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D5BF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D5BF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D5BF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D5BF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D5BF8" w:rsidTr="002E5576">
        <w:tc>
          <w:tcPr>
            <w:tcW w:w="4518" w:type="dxa"/>
          </w:tcPr>
          <w:p w:rsidR="00BF25F3" w:rsidRPr="002E2327" w:rsidRDefault="0011031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11031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D5BF8" w:rsidTr="002E5576">
        <w:tc>
          <w:tcPr>
            <w:tcW w:w="4518" w:type="dxa"/>
          </w:tcPr>
          <w:p w:rsidR="009F3024" w:rsidRPr="00F6416F" w:rsidRDefault="009F3024" w:rsidP="009F3024">
            <w:pPr>
              <w:tabs>
                <w:tab w:val="left" w:pos="6075"/>
              </w:tabs>
              <w:rPr>
                <w:rFonts w:cs="Times New Roman"/>
                <w:szCs w:val="24"/>
                <w:lang w:val="fr-CA"/>
              </w:rPr>
            </w:pPr>
          </w:p>
          <w:p w:rsidR="009F3024" w:rsidRPr="00F6416F" w:rsidRDefault="009F3024" w:rsidP="009F3024">
            <w:pPr>
              <w:tabs>
                <w:tab w:val="left" w:pos="6075"/>
              </w:tabs>
              <w:rPr>
                <w:rFonts w:cs="Times New Roman"/>
                <w:szCs w:val="24"/>
                <w:lang w:val="fr-CA"/>
              </w:rPr>
            </w:pPr>
          </w:p>
        </w:tc>
        <w:tc>
          <w:tcPr>
            <w:tcW w:w="630" w:type="dxa"/>
          </w:tcPr>
          <w:p w:rsidR="009F3024" w:rsidRPr="00F6416F"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D5BF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6416F" w:rsidP="00F0068D">
      <w:pPr>
        <w:pBdr>
          <w:bottom w:val="single" w:sz="6" w:space="1" w:color="auto"/>
        </w:pBdr>
        <w:tabs>
          <w:tab w:val="center" w:pos="4680"/>
          <w:tab w:val="right" w:pos="9360"/>
        </w:tabs>
        <w:rPr>
          <w:lang w:val="fr-CA"/>
        </w:rPr>
      </w:pPr>
      <w:r>
        <w:rPr>
          <w:lang w:val="fr-CA"/>
        </w:rPr>
        <w:t>M</w:t>
      </w:r>
      <w:r w:rsidR="00C73D06">
        <w:rPr>
          <w:lang w:val="fr-CA"/>
        </w:rPr>
        <w:t>ar</w:t>
      </w:r>
      <w:r>
        <w:rPr>
          <w:lang w:val="fr-CA"/>
        </w:rPr>
        <w:t>ch</w:t>
      </w:r>
      <w:r w:rsidR="00440E24" w:rsidRPr="00675479">
        <w:rPr>
          <w:lang w:val="fr-CA"/>
        </w:rPr>
        <w:t xml:space="preserve"> </w:t>
      </w:r>
      <w:r>
        <w:rPr>
          <w:lang w:val="fr-CA"/>
        </w:rPr>
        <w:t>2</w:t>
      </w:r>
      <w:r w:rsidR="00C73D06">
        <w:rPr>
          <w:lang w:val="fr-CA"/>
        </w:rPr>
        <w:t>3</w:t>
      </w:r>
      <w:r w:rsidR="00440E24" w:rsidRPr="00675479">
        <w:rPr>
          <w:lang w:val="fr-CA"/>
        </w:rPr>
        <w:t>, 201</w:t>
      </w:r>
      <w:r w:rsidR="00C73D06">
        <w:rPr>
          <w:lang w:val="fr-CA"/>
        </w:rPr>
        <w:t>2</w:t>
      </w:r>
      <w:r w:rsidR="00F0068D" w:rsidRPr="00675479">
        <w:rPr>
          <w:lang w:val="fr-CA"/>
        </w:rPr>
        <w:tab/>
      </w:r>
      <w:r>
        <w:rPr>
          <w:lang w:val="fr-CA"/>
        </w:rPr>
        <w:t>381</w:t>
      </w:r>
      <w:r w:rsidR="00F0068D" w:rsidRPr="00675479">
        <w:rPr>
          <w:lang w:val="fr-CA"/>
        </w:rPr>
        <w:t xml:space="preserve"> - </w:t>
      </w:r>
      <w:r w:rsidR="002D2A80">
        <w:rPr>
          <w:lang w:val="fr-CA"/>
        </w:rPr>
        <w:t>425</w:t>
      </w:r>
      <w:r w:rsidR="00440E24" w:rsidRPr="00675479">
        <w:rPr>
          <w:lang w:val="fr-CA"/>
        </w:rPr>
        <w:tab/>
      </w:r>
      <w:r w:rsidR="00440E24" w:rsidRPr="002E2327">
        <w:rPr>
          <w:lang w:val="fr-CA"/>
        </w:rPr>
        <w:t>Le</w:t>
      </w:r>
      <w:r w:rsidR="00C73D06">
        <w:rPr>
          <w:lang w:val="fr-CA"/>
        </w:rPr>
        <w:t xml:space="preserve"> </w:t>
      </w:r>
      <w:r>
        <w:rPr>
          <w:lang w:val="fr-CA"/>
        </w:rPr>
        <w:t>2</w:t>
      </w:r>
      <w:r w:rsidR="00C73D06">
        <w:rPr>
          <w:lang w:val="fr-CA"/>
        </w:rPr>
        <w:t xml:space="preserve">3 </w:t>
      </w:r>
      <w:r>
        <w:rPr>
          <w:lang w:val="fr-CA"/>
        </w:rPr>
        <w:t>m</w:t>
      </w:r>
      <w:r w:rsidR="00440E24" w:rsidRPr="002E2327">
        <w:rPr>
          <w:lang w:val="fr-CA"/>
        </w:rPr>
        <w:t>a</w:t>
      </w:r>
      <w:r w:rsidR="00C73D06">
        <w:rPr>
          <w:lang w:val="fr-CA"/>
        </w:rPr>
        <w:t>r</w:t>
      </w:r>
      <w:r>
        <w:rPr>
          <w:lang w:val="fr-CA"/>
        </w:rPr>
        <w:t>s</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922CDF">
            <w:pPr>
              <w:tabs>
                <w:tab w:val="right" w:pos="9360"/>
              </w:tabs>
              <w:rPr>
                <w:rFonts w:cs="Times New Roman"/>
                <w:sz w:val="20"/>
                <w:szCs w:val="20"/>
              </w:rPr>
            </w:pPr>
          </w:p>
        </w:tc>
        <w:tc>
          <w:tcPr>
            <w:tcW w:w="1980" w:type="dxa"/>
          </w:tcPr>
          <w:p w:rsidR="0095096B" w:rsidRPr="002E2327" w:rsidRDefault="00EB4F1F" w:rsidP="0095096B">
            <w:pPr>
              <w:jc w:val="center"/>
              <w:rPr>
                <w:rFonts w:cs="Times New Roman"/>
                <w:sz w:val="20"/>
                <w:szCs w:val="20"/>
              </w:rPr>
            </w:pPr>
            <w:r>
              <w:rPr>
                <w:rFonts w:cs="Times New Roman"/>
                <w:sz w:val="20"/>
                <w:szCs w:val="20"/>
              </w:rPr>
              <w:t xml:space="preserve">381 </w:t>
            </w:r>
            <w:r w:rsidR="0011031E" w:rsidRPr="002E2327">
              <w:rPr>
                <w:rFonts w:cs="Times New Roman"/>
                <w:sz w:val="20"/>
                <w:szCs w:val="20"/>
              </w:rPr>
              <w:fldChar w:fldCharType="begin"/>
            </w:r>
            <w:r w:rsidR="0095096B" w:rsidRPr="002E2327">
              <w:rPr>
                <w:rFonts w:cs="Times New Roman"/>
                <w:sz w:val="20"/>
                <w:szCs w:val="20"/>
              </w:rPr>
              <w:instrText xml:space="preserve"> SEQ CHAPTER \h \r 1</w:instrText>
            </w:r>
            <w:r w:rsidR="0011031E" w:rsidRPr="002E2327">
              <w:rPr>
                <w:rFonts w:cs="Times New Roman"/>
                <w:sz w:val="20"/>
                <w:szCs w:val="20"/>
              </w:rPr>
              <w:fldChar w:fldCharType="end"/>
            </w:r>
            <w:r w:rsidR="0095096B" w:rsidRPr="002E2327">
              <w:rPr>
                <w:rFonts w:cs="Times New Roman"/>
                <w:sz w:val="20"/>
                <w:szCs w:val="20"/>
              </w:rPr>
              <w:t>-</w:t>
            </w:r>
            <w:r w:rsidR="009A4D4D">
              <w:rPr>
                <w:rFonts w:cs="Times New Roman"/>
                <w:sz w:val="20"/>
                <w:szCs w:val="20"/>
              </w:rPr>
              <w:t xml:space="preserve"> 382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A4D4D" w:rsidP="0095096B">
            <w:pPr>
              <w:jc w:val="center"/>
              <w:rPr>
                <w:rFonts w:cs="Times New Roman"/>
                <w:sz w:val="20"/>
                <w:szCs w:val="20"/>
              </w:rPr>
            </w:pPr>
            <w:r>
              <w:rPr>
                <w:rFonts w:cs="Times New Roman"/>
                <w:sz w:val="20"/>
                <w:szCs w:val="20"/>
              </w:rPr>
              <w:t>383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22CDF" w:rsidP="0095096B">
            <w:pPr>
              <w:jc w:val="center"/>
              <w:rPr>
                <w:rFonts w:cs="Times New Roman"/>
                <w:sz w:val="20"/>
                <w:szCs w:val="20"/>
              </w:rPr>
            </w:pPr>
            <w:r>
              <w:rPr>
                <w:rFonts w:cs="Times New Roman"/>
                <w:sz w:val="20"/>
                <w:szCs w:val="20"/>
              </w:rPr>
              <w:t xml:space="preserve">384 </w:t>
            </w:r>
            <w:r w:rsidR="0095096B" w:rsidRPr="002E2327">
              <w:rPr>
                <w:rFonts w:cs="Times New Roman"/>
                <w:sz w:val="20"/>
                <w:szCs w:val="20"/>
              </w:rPr>
              <w:t>-</w:t>
            </w:r>
            <w:r w:rsidR="00464804">
              <w:rPr>
                <w:rFonts w:cs="Times New Roman"/>
                <w:sz w:val="20"/>
                <w:szCs w:val="20"/>
              </w:rPr>
              <w:t xml:space="preserve"> 395</w:t>
            </w:r>
          </w:p>
          <w:p w:rsidR="0095096B" w:rsidRPr="002E2327" w:rsidRDefault="0095096B" w:rsidP="0095096B">
            <w:pPr>
              <w:jc w:val="center"/>
              <w:rPr>
                <w:rFonts w:cs="Times New Roman"/>
                <w:sz w:val="20"/>
                <w:szCs w:val="20"/>
              </w:rPr>
            </w:pPr>
          </w:p>
          <w:p w:rsidR="00464804" w:rsidRDefault="00464804" w:rsidP="0095096B">
            <w:pPr>
              <w:jc w:val="center"/>
              <w:rPr>
                <w:rFonts w:cs="Times New Roman"/>
                <w:sz w:val="20"/>
                <w:szCs w:val="20"/>
              </w:rPr>
            </w:pPr>
          </w:p>
          <w:p w:rsidR="0095096B" w:rsidRPr="002E2327" w:rsidRDefault="00464804" w:rsidP="0095096B">
            <w:pPr>
              <w:jc w:val="center"/>
              <w:rPr>
                <w:rFonts w:cs="Times New Roman"/>
                <w:sz w:val="20"/>
                <w:szCs w:val="20"/>
              </w:rPr>
            </w:pPr>
            <w:r>
              <w:rPr>
                <w:rFonts w:cs="Times New Roman"/>
                <w:sz w:val="20"/>
                <w:szCs w:val="20"/>
              </w:rPr>
              <w:t xml:space="preserve">396 </w:t>
            </w:r>
            <w:r w:rsidR="0095096B" w:rsidRPr="002E2327">
              <w:rPr>
                <w:rFonts w:cs="Times New Roman"/>
                <w:sz w:val="20"/>
                <w:szCs w:val="20"/>
              </w:rPr>
              <w:t>-</w:t>
            </w:r>
            <w:r>
              <w:rPr>
                <w:rFonts w:cs="Times New Roman"/>
                <w:sz w:val="20"/>
                <w:szCs w:val="20"/>
              </w:rPr>
              <w:t xml:space="preserve"> 402</w:t>
            </w:r>
          </w:p>
          <w:p w:rsidR="0095096B" w:rsidRPr="002E2327" w:rsidRDefault="0095096B" w:rsidP="0095096B">
            <w:pPr>
              <w:jc w:val="center"/>
              <w:rPr>
                <w:rFonts w:cs="Times New Roman"/>
                <w:sz w:val="20"/>
                <w:szCs w:val="20"/>
              </w:rPr>
            </w:pPr>
          </w:p>
          <w:p w:rsidR="0095096B" w:rsidRPr="002E2327" w:rsidRDefault="00464804" w:rsidP="0095096B">
            <w:pPr>
              <w:jc w:val="center"/>
              <w:rPr>
                <w:rFonts w:cs="Times New Roman"/>
                <w:sz w:val="20"/>
                <w:szCs w:val="20"/>
              </w:rPr>
            </w:pPr>
            <w:r>
              <w:rPr>
                <w:rFonts w:cs="Times New Roman"/>
                <w:sz w:val="20"/>
                <w:szCs w:val="20"/>
              </w:rPr>
              <w:t xml:space="preserve">403 </w:t>
            </w:r>
            <w:r w:rsidR="0095096B" w:rsidRPr="002E2327">
              <w:rPr>
                <w:rFonts w:cs="Times New Roman"/>
                <w:sz w:val="20"/>
                <w:szCs w:val="20"/>
              </w:rPr>
              <w:t>-</w:t>
            </w:r>
            <w:r>
              <w:rPr>
                <w:rFonts w:cs="Times New Roman"/>
                <w:sz w:val="20"/>
                <w:szCs w:val="20"/>
              </w:rPr>
              <w:t xml:space="preserve"> 408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64804" w:rsidP="0095096B">
            <w:pPr>
              <w:jc w:val="center"/>
              <w:rPr>
                <w:rFonts w:cs="Times New Roman"/>
                <w:sz w:val="20"/>
                <w:szCs w:val="20"/>
              </w:rPr>
            </w:pPr>
            <w:r>
              <w:rPr>
                <w:rFonts w:cs="Times New Roman"/>
                <w:sz w:val="20"/>
                <w:szCs w:val="20"/>
              </w:rPr>
              <w:t>409</w:t>
            </w:r>
          </w:p>
          <w:p w:rsidR="0095096B" w:rsidRPr="002E2327" w:rsidRDefault="0095096B" w:rsidP="0095096B">
            <w:pPr>
              <w:jc w:val="center"/>
              <w:rPr>
                <w:rFonts w:cs="Times New Roman"/>
                <w:sz w:val="20"/>
                <w:szCs w:val="20"/>
              </w:rPr>
            </w:pPr>
          </w:p>
          <w:p w:rsidR="00464804" w:rsidRDefault="00464804" w:rsidP="0095096B">
            <w:pPr>
              <w:jc w:val="center"/>
              <w:rPr>
                <w:rFonts w:cs="Times New Roman"/>
                <w:sz w:val="20"/>
                <w:szCs w:val="20"/>
              </w:rPr>
            </w:pPr>
          </w:p>
          <w:p w:rsidR="0095096B" w:rsidRPr="002E2327" w:rsidRDefault="00464804" w:rsidP="0095096B">
            <w:pPr>
              <w:jc w:val="center"/>
              <w:rPr>
                <w:rFonts w:cs="Times New Roman"/>
                <w:sz w:val="20"/>
                <w:szCs w:val="20"/>
              </w:rPr>
            </w:pPr>
            <w:r>
              <w:rPr>
                <w:rFonts w:cs="Times New Roman"/>
                <w:sz w:val="20"/>
                <w:szCs w:val="20"/>
              </w:rPr>
              <w:t xml:space="preserve">410 </w:t>
            </w:r>
            <w:r w:rsidR="0095096B" w:rsidRPr="002E2327">
              <w:rPr>
                <w:rFonts w:cs="Times New Roman"/>
                <w:sz w:val="20"/>
                <w:szCs w:val="20"/>
              </w:rPr>
              <w:t>-</w:t>
            </w:r>
            <w:r>
              <w:rPr>
                <w:rFonts w:cs="Times New Roman"/>
                <w:sz w:val="20"/>
                <w:szCs w:val="20"/>
              </w:rPr>
              <w:t xml:space="preserve"> </w:t>
            </w:r>
            <w:r w:rsidR="0070582A">
              <w:rPr>
                <w:rFonts w:cs="Times New Roman"/>
                <w:sz w:val="20"/>
                <w:szCs w:val="20"/>
              </w:rPr>
              <w:t>425</w:t>
            </w:r>
          </w:p>
          <w:p w:rsidR="00A87207" w:rsidRPr="002E2327" w:rsidRDefault="00A87207" w:rsidP="00922CDF">
            <w:pPr>
              <w:tabs>
                <w:tab w:val="right" w:pos="9360"/>
              </w:tabs>
              <w:jc w:val="center"/>
              <w:rPr>
                <w:rFonts w:cs="Times New Roman"/>
                <w:sz w:val="20"/>
                <w:szCs w:val="20"/>
              </w:rPr>
            </w:pPr>
          </w:p>
        </w:tc>
        <w:tc>
          <w:tcPr>
            <w:tcW w:w="3888" w:type="dxa"/>
          </w:tcPr>
          <w:p w:rsidR="0095096B" w:rsidRPr="002E2327" w:rsidRDefault="0011031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922CDF">
            <w:pPr>
              <w:tabs>
                <w:tab w:val="right" w:pos="9360"/>
              </w:tabs>
              <w:rPr>
                <w:rFonts w:cs="Times New Roman"/>
                <w:sz w:val="20"/>
                <w:szCs w:val="20"/>
                <w:lang w:val="fr-CA"/>
              </w:rPr>
            </w:pPr>
          </w:p>
        </w:tc>
      </w:tr>
    </w:tbl>
    <w:p w:rsidR="0095096B" w:rsidRDefault="0095096B" w:rsidP="0095096B">
      <w:pPr>
        <w:tabs>
          <w:tab w:val="right" w:pos="9360"/>
        </w:tabs>
      </w:pPr>
    </w:p>
    <w:p w:rsidR="00922CDF" w:rsidRDefault="00922CDF" w:rsidP="0095096B">
      <w:pPr>
        <w:tabs>
          <w:tab w:val="right" w:pos="9360"/>
        </w:tabs>
      </w:pPr>
    </w:p>
    <w:p w:rsidR="00922CDF" w:rsidRDefault="00922CDF" w:rsidP="0095096B">
      <w:pPr>
        <w:tabs>
          <w:tab w:val="right" w:pos="9360"/>
        </w:tabs>
      </w:pPr>
    </w:p>
    <w:p w:rsidR="00922CDF" w:rsidRDefault="00922CDF" w:rsidP="0095096B">
      <w:pPr>
        <w:tabs>
          <w:tab w:val="right" w:pos="9360"/>
        </w:tabs>
      </w:pPr>
    </w:p>
    <w:p w:rsidR="00922CDF" w:rsidRDefault="00922CDF" w:rsidP="0095096B">
      <w:pPr>
        <w:tabs>
          <w:tab w:val="right" w:pos="9360"/>
        </w:tabs>
      </w:pPr>
    </w:p>
    <w:p w:rsidR="00922CDF" w:rsidRPr="002E2327" w:rsidRDefault="00922CDF" w:rsidP="0095096B">
      <w:pPr>
        <w:tabs>
          <w:tab w:val="right" w:pos="9360"/>
        </w:tabs>
      </w:pPr>
    </w:p>
    <w:tbl>
      <w:tblPr>
        <w:tblStyle w:val="TableGrid"/>
        <w:tblW w:w="0" w:type="auto"/>
        <w:tblLook w:val="04A0"/>
      </w:tblPr>
      <w:tblGrid>
        <w:gridCol w:w="9576"/>
      </w:tblGrid>
      <w:tr w:rsidR="0079724F" w:rsidRPr="007D5BF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197CDB" w:rsidRDefault="00EF503B" w:rsidP="003B3977">
            <w:pPr>
              <w:rPr>
                <w:b/>
                <w:sz w:val="20"/>
                <w:szCs w:val="20"/>
              </w:rPr>
            </w:pPr>
            <w:r w:rsidRPr="00197CDB">
              <w:rPr>
                <w:b/>
                <w:sz w:val="20"/>
                <w:szCs w:val="20"/>
              </w:rPr>
              <w:t xml:space="preserve">Alan Neil </w:t>
            </w:r>
            <w:proofErr w:type="spellStart"/>
            <w:r w:rsidRPr="00197CDB">
              <w:rPr>
                <w:b/>
                <w:sz w:val="20"/>
                <w:szCs w:val="20"/>
              </w:rPr>
              <w:t>Kippax</w:t>
            </w:r>
            <w:proofErr w:type="spellEnd"/>
          </w:p>
          <w:p w:rsidR="00242AEE" w:rsidRPr="00A935AA" w:rsidRDefault="00242AEE" w:rsidP="003B3977">
            <w:pPr>
              <w:tabs>
                <w:tab w:val="left" w:pos="-1440"/>
                <w:tab w:val="left" w:pos="-720"/>
              </w:tabs>
              <w:rPr>
                <w:sz w:val="20"/>
                <w:szCs w:val="20"/>
              </w:rPr>
            </w:pPr>
            <w:r w:rsidRPr="00A935AA">
              <w:rPr>
                <w:sz w:val="20"/>
                <w:szCs w:val="20"/>
              </w:rPr>
              <w:tab/>
            </w:r>
            <w:r w:rsidR="00EF503B">
              <w:rPr>
                <w:sz w:val="20"/>
                <w:szCs w:val="20"/>
              </w:rPr>
              <w:t xml:space="preserve">Alan Neil </w:t>
            </w:r>
            <w:proofErr w:type="spellStart"/>
            <w:r w:rsidR="00EF503B">
              <w:rPr>
                <w:sz w:val="20"/>
                <w:szCs w:val="20"/>
              </w:rPr>
              <w:t>Kippax</w:t>
            </w:r>
            <w:proofErr w:type="spellEnd"/>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EB4F1F">
              <w:rPr>
                <w:sz w:val="20"/>
                <w:szCs w:val="20"/>
              </w:rPr>
              <w:t>4</w:t>
            </w:r>
            <w:r w:rsidR="00EF503B">
              <w:rPr>
                <w:sz w:val="20"/>
                <w:szCs w:val="20"/>
              </w:rPr>
              <w:t>696</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EF503B"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EF503B">
              <w:rPr>
                <w:sz w:val="20"/>
                <w:szCs w:val="20"/>
              </w:rPr>
              <w:t>Joanne K. Stuart</w:t>
            </w:r>
          </w:p>
          <w:p w:rsidR="00242AEE" w:rsidRPr="00A935AA" w:rsidRDefault="00242AEE" w:rsidP="003B3977">
            <w:pPr>
              <w:tabs>
                <w:tab w:val="left" w:pos="-1440"/>
                <w:tab w:val="left" w:pos="-720"/>
              </w:tabs>
              <w:rPr>
                <w:sz w:val="20"/>
                <w:szCs w:val="20"/>
              </w:rPr>
            </w:pPr>
            <w:r w:rsidRPr="00A935AA">
              <w:rPr>
                <w:sz w:val="20"/>
                <w:szCs w:val="20"/>
              </w:rPr>
              <w:tab/>
            </w:r>
            <w:r w:rsidR="00EF503B">
              <w:rPr>
                <w:sz w:val="20"/>
                <w:szCs w:val="20"/>
              </w:rPr>
              <w:t>A.G. of Ontario</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EF503B">
              <w:rPr>
                <w:sz w:val="20"/>
                <w:szCs w:val="20"/>
              </w:rPr>
              <w:t>0</w:t>
            </w:r>
            <w:r w:rsidRPr="00A935AA">
              <w:rPr>
                <w:sz w:val="20"/>
                <w:szCs w:val="20"/>
              </w:rPr>
              <w:t>.0</w:t>
            </w:r>
            <w:r w:rsidR="00EB4F1F">
              <w:rPr>
                <w:sz w:val="20"/>
                <w:szCs w:val="20"/>
              </w:rPr>
              <w:t>2</w:t>
            </w:r>
            <w:r w:rsidRPr="00A935AA">
              <w:rPr>
                <w:sz w:val="20"/>
                <w:szCs w:val="20"/>
              </w:rPr>
              <w:t>.201</w:t>
            </w:r>
            <w:r w:rsidR="00EB4F1F">
              <w:rPr>
                <w:sz w:val="20"/>
                <w:szCs w:val="20"/>
              </w:rPr>
              <w:t>2</w:t>
            </w:r>
          </w:p>
          <w:p w:rsidR="00242AEE" w:rsidRPr="00A935AA" w:rsidRDefault="0011031E" w:rsidP="003B3977">
            <w:pPr>
              <w:rPr>
                <w:sz w:val="20"/>
                <w:szCs w:val="20"/>
              </w:rPr>
            </w:pPr>
            <w:r w:rsidRPr="0011031E">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EF503B" w:rsidP="003B3977">
            <w:pPr>
              <w:keepNext/>
              <w:keepLines/>
              <w:tabs>
                <w:tab w:val="left" w:pos="-1440"/>
                <w:tab w:val="left" w:pos="-720"/>
              </w:tabs>
              <w:rPr>
                <w:b/>
                <w:sz w:val="20"/>
                <w:szCs w:val="20"/>
              </w:rPr>
            </w:pPr>
            <w:r>
              <w:rPr>
                <w:b/>
                <w:sz w:val="20"/>
                <w:szCs w:val="20"/>
              </w:rPr>
              <w:t>Reverend Brother Michel D. Ethier</w:t>
            </w:r>
          </w:p>
          <w:p w:rsidR="00242AEE" w:rsidRPr="00A935AA" w:rsidRDefault="00242AEE" w:rsidP="003B3977">
            <w:pPr>
              <w:keepNext/>
              <w:keepLines/>
              <w:tabs>
                <w:tab w:val="left" w:pos="-1440"/>
                <w:tab w:val="left" w:pos="-720"/>
              </w:tabs>
              <w:rPr>
                <w:sz w:val="20"/>
                <w:szCs w:val="20"/>
              </w:rPr>
            </w:pPr>
            <w:r w:rsidRPr="00A935AA">
              <w:rPr>
                <w:sz w:val="20"/>
                <w:szCs w:val="20"/>
              </w:rPr>
              <w:tab/>
            </w:r>
            <w:r w:rsidR="00EF503B">
              <w:rPr>
                <w:sz w:val="20"/>
                <w:szCs w:val="20"/>
              </w:rPr>
              <w:t>Reverend Brother Michel D. Ethier</w:t>
            </w:r>
          </w:p>
          <w:p w:rsidR="00242AEE" w:rsidRPr="00A935AA" w:rsidRDefault="00242AEE" w:rsidP="003B3977">
            <w:pPr>
              <w:keepNext/>
              <w:keepLines/>
              <w:tabs>
                <w:tab w:val="left" w:pos="-1440"/>
                <w:tab w:val="left" w:pos="-720"/>
              </w:tabs>
              <w:rPr>
                <w:sz w:val="20"/>
                <w:szCs w:val="20"/>
              </w:rPr>
            </w:pPr>
          </w:p>
          <w:p w:rsidR="00242AEE" w:rsidRPr="00EF503B" w:rsidRDefault="00242AEE" w:rsidP="003B3977">
            <w:pPr>
              <w:keepNext/>
              <w:keepLines/>
              <w:tabs>
                <w:tab w:val="left" w:pos="-1440"/>
                <w:tab w:val="left" w:pos="-720"/>
              </w:tabs>
              <w:rPr>
                <w:sz w:val="20"/>
                <w:szCs w:val="20"/>
              </w:rPr>
            </w:pPr>
            <w:r w:rsidRPr="00A935AA">
              <w:rPr>
                <w:sz w:val="20"/>
                <w:szCs w:val="20"/>
              </w:rPr>
              <w:tab/>
            </w:r>
            <w:r w:rsidRPr="00EF503B">
              <w:rPr>
                <w:sz w:val="20"/>
                <w:szCs w:val="20"/>
              </w:rPr>
              <w:t>v. (3</w:t>
            </w:r>
            <w:r w:rsidR="00EB4F1F" w:rsidRPr="00EF503B">
              <w:rPr>
                <w:sz w:val="20"/>
                <w:szCs w:val="20"/>
              </w:rPr>
              <w:t>4</w:t>
            </w:r>
            <w:r w:rsidR="00EF503B">
              <w:rPr>
                <w:sz w:val="20"/>
                <w:szCs w:val="20"/>
              </w:rPr>
              <w:t>688)</w:t>
            </w:r>
          </w:p>
          <w:p w:rsidR="00242AEE" w:rsidRPr="00EF503B" w:rsidRDefault="00242AEE" w:rsidP="003B3977">
            <w:pPr>
              <w:keepNext/>
              <w:keepLines/>
              <w:tabs>
                <w:tab w:val="left" w:pos="-1440"/>
                <w:tab w:val="left" w:pos="-720"/>
              </w:tabs>
              <w:rPr>
                <w:sz w:val="20"/>
                <w:szCs w:val="20"/>
              </w:rPr>
            </w:pPr>
          </w:p>
          <w:p w:rsidR="00242AEE" w:rsidRPr="00EF503B" w:rsidRDefault="00EF503B" w:rsidP="003B3977">
            <w:pPr>
              <w:keepNext/>
              <w:keepLines/>
              <w:tabs>
                <w:tab w:val="left" w:pos="-1440"/>
                <w:tab w:val="left" w:pos="-720"/>
              </w:tabs>
              <w:rPr>
                <w:b/>
                <w:sz w:val="20"/>
                <w:szCs w:val="20"/>
              </w:rPr>
            </w:pPr>
            <w:r>
              <w:rPr>
                <w:b/>
                <w:sz w:val="20"/>
                <w:szCs w:val="20"/>
              </w:rPr>
              <w:t xml:space="preserve">Her Majesty the Queen </w:t>
            </w:r>
            <w:r w:rsidR="00242AEE" w:rsidRPr="00EF503B">
              <w:rPr>
                <w:b/>
                <w:sz w:val="20"/>
                <w:szCs w:val="20"/>
              </w:rPr>
              <w:t>(Ont.)</w:t>
            </w:r>
          </w:p>
          <w:p w:rsidR="00242AEE" w:rsidRPr="00EF503B" w:rsidRDefault="00242AEE" w:rsidP="003B3977">
            <w:pPr>
              <w:keepNext/>
              <w:keepLines/>
              <w:tabs>
                <w:tab w:val="left" w:pos="-1440"/>
                <w:tab w:val="left" w:pos="-720"/>
              </w:tabs>
              <w:rPr>
                <w:sz w:val="20"/>
                <w:szCs w:val="20"/>
              </w:rPr>
            </w:pPr>
            <w:r w:rsidRPr="00EF503B">
              <w:rPr>
                <w:sz w:val="20"/>
                <w:szCs w:val="20"/>
              </w:rPr>
              <w:tab/>
            </w:r>
            <w:r w:rsidR="00EF503B">
              <w:rPr>
                <w:sz w:val="20"/>
                <w:szCs w:val="20"/>
              </w:rPr>
              <w:t>Kevin R. Wilson</w:t>
            </w:r>
          </w:p>
          <w:p w:rsidR="00242AEE" w:rsidRPr="00EF503B" w:rsidRDefault="00242AEE" w:rsidP="003B3977">
            <w:pPr>
              <w:keepNext/>
              <w:keepLines/>
              <w:tabs>
                <w:tab w:val="left" w:pos="-1440"/>
                <w:tab w:val="left" w:pos="-720"/>
              </w:tabs>
              <w:rPr>
                <w:sz w:val="20"/>
                <w:szCs w:val="20"/>
              </w:rPr>
            </w:pPr>
            <w:r w:rsidRPr="00EF503B">
              <w:rPr>
                <w:sz w:val="20"/>
                <w:szCs w:val="20"/>
              </w:rPr>
              <w:tab/>
            </w:r>
            <w:r w:rsidR="00EF503B">
              <w:rPr>
                <w:sz w:val="20"/>
                <w:szCs w:val="20"/>
              </w:rPr>
              <w:t>Public Prosecution Service of Canada</w:t>
            </w:r>
          </w:p>
          <w:p w:rsidR="00EB4F1F" w:rsidRDefault="00EB4F1F" w:rsidP="003B3977">
            <w:pPr>
              <w:rPr>
                <w:sz w:val="20"/>
                <w:szCs w:val="20"/>
              </w:rPr>
            </w:pPr>
          </w:p>
          <w:p w:rsidR="00242AEE" w:rsidRPr="00A935AA" w:rsidRDefault="00242AEE" w:rsidP="00EF503B">
            <w:pPr>
              <w:rPr>
                <w:sz w:val="20"/>
                <w:szCs w:val="20"/>
              </w:rPr>
            </w:pPr>
            <w:r w:rsidRPr="00A935AA">
              <w:rPr>
                <w:sz w:val="20"/>
                <w:szCs w:val="20"/>
              </w:rPr>
              <w:t>FILING DATE: 2</w:t>
            </w:r>
            <w:r w:rsidR="00EF503B">
              <w:rPr>
                <w:sz w:val="20"/>
                <w:szCs w:val="20"/>
              </w:rPr>
              <w:t>4</w:t>
            </w:r>
            <w:r w:rsidRPr="00A935AA">
              <w:rPr>
                <w:sz w:val="20"/>
                <w:szCs w:val="20"/>
              </w:rPr>
              <w:t>.0</w:t>
            </w:r>
            <w:r w:rsidR="00EB4F1F">
              <w:rPr>
                <w:sz w:val="20"/>
                <w:szCs w:val="20"/>
              </w:rPr>
              <w:t>2</w:t>
            </w:r>
            <w:r w:rsidRPr="00A935AA">
              <w:rPr>
                <w:sz w:val="20"/>
                <w:szCs w:val="20"/>
              </w:rPr>
              <w:t>.201</w:t>
            </w:r>
            <w:r w:rsidR="00EB4F1F">
              <w:rPr>
                <w:sz w:val="20"/>
                <w:szCs w:val="20"/>
              </w:rPr>
              <w:t>2</w:t>
            </w:r>
            <w:r w:rsidR="0011031E" w:rsidRPr="0011031E">
              <w:rPr>
                <w:sz w:val="20"/>
                <w:szCs w:val="20"/>
                <w:lang w:val="fr-CA"/>
              </w:rPr>
              <w:pict>
                <v:rect id="_x0000_i1026" style="width:108pt;height:1pt" o:hrpct="0" o:hralign="center" o:hrstd="t" o:hrnoshade="t" o:hr="t" fillcolor="black [3213]" stroked="f"/>
              </w:pict>
            </w:r>
          </w:p>
        </w:tc>
      </w:tr>
      <w:tr w:rsidR="00EB4F1F" w:rsidRPr="00A935AA" w:rsidTr="003B3977">
        <w:tc>
          <w:tcPr>
            <w:tcW w:w="4320" w:type="dxa"/>
            <w:shd w:val="clear" w:color="auto" w:fill="auto"/>
          </w:tcPr>
          <w:p w:rsidR="00EB4F1F" w:rsidRPr="00A935AA" w:rsidRDefault="00EF503B" w:rsidP="00EF503B">
            <w:pPr>
              <w:rPr>
                <w:b/>
                <w:sz w:val="20"/>
                <w:szCs w:val="20"/>
              </w:rPr>
            </w:pPr>
            <w:r>
              <w:rPr>
                <w:b/>
                <w:sz w:val="20"/>
                <w:szCs w:val="20"/>
              </w:rPr>
              <w:t>Thank Long Vu</w:t>
            </w:r>
          </w:p>
          <w:p w:rsidR="00EB4F1F" w:rsidRPr="00A935AA" w:rsidRDefault="00EB4F1F" w:rsidP="00EF503B">
            <w:pPr>
              <w:tabs>
                <w:tab w:val="left" w:pos="-1440"/>
                <w:tab w:val="left" w:pos="-720"/>
              </w:tabs>
              <w:rPr>
                <w:sz w:val="20"/>
                <w:szCs w:val="20"/>
              </w:rPr>
            </w:pPr>
            <w:r w:rsidRPr="00A935AA">
              <w:rPr>
                <w:sz w:val="20"/>
                <w:szCs w:val="20"/>
              </w:rPr>
              <w:tab/>
            </w:r>
            <w:r w:rsidR="00EF503B">
              <w:rPr>
                <w:sz w:val="20"/>
                <w:szCs w:val="20"/>
              </w:rPr>
              <w:t>Neil L. Cobb</w:t>
            </w:r>
          </w:p>
          <w:p w:rsidR="00EB4F1F" w:rsidRPr="00A935AA" w:rsidRDefault="00EB4F1F" w:rsidP="00EF503B">
            <w:pPr>
              <w:tabs>
                <w:tab w:val="left" w:pos="-1440"/>
                <w:tab w:val="left" w:pos="-720"/>
              </w:tabs>
              <w:rPr>
                <w:sz w:val="20"/>
                <w:szCs w:val="20"/>
              </w:rPr>
            </w:pPr>
            <w:r w:rsidRPr="00A935AA">
              <w:rPr>
                <w:sz w:val="20"/>
                <w:szCs w:val="20"/>
              </w:rPr>
              <w:tab/>
            </w:r>
            <w:r w:rsidR="00EF503B">
              <w:rPr>
                <w:sz w:val="20"/>
                <w:szCs w:val="20"/>
              </w:rPr>
              <w:t>Cobb St. Pierre Lewis</w:t>
            </w:r>
          </w:p>
          <w:p w:rsidR="00EB4F1F" w:rsidRPr="00A935AA" w:rsidRDefault="00EB4F1F" w:rsidP="00EF503B">
            <w:pPr>
              <w:tabs>
                <w:tab w:val="left" w:pos="-1440"/>
                <w:tab w:val="left" w:pos="-720"/>
              </w:tabs>
              <w:rPr>
                <w:sz w:val="20"/>
                <w:szCs w:val="20"/>
              </w:rPr>
            </w:pPr>
          </w:p>
          <w:p w:rsidR="00EB4F1F" w:rsidRPr="00A935AA" w:rsidRDefault="00EB4F1F" w:rsidP="00EF503B">
            <w:pPr>
              <w:tabs>
                <w:tab w:val="left" w:pos="-1440"/>
                <w:tab w:val="left" w:pos="-720"/>
              </w:tabs>
              <w:rPr>
                <w:sz w:val="20"/>
                <w:szCs w:val="20"/>
              </w:rPr>
            </w:pPr>
            <w:r w:rsidRPr="00A935AA">
              <w:rPr>
                <w:sz w:val="20"/>
                <w:szCs w:val="20"/>
              </w:rPr>
              <w:tab/>
              <w:t>v. (3</w:t>
            </w:r>
            <w:r>
              <w:rPr>
                <w:sz w:val="20"/>
                <w:szCs w:val="20"/>
              </w:rPr>
              <w:t>4</w:t>
            </w:r>
            <w:r w:rsidR="00EF503B">
              <w:rPr>
                <w:sz w:val="20"/>
                <w:szCs w:val="20"/>
              </w:rPr>
              <w:t>68</w:t>
            </w:r>
            <w:r w:rsidRPr="00A935AA">
              <w:rPr>
                <w:sz w:val="20"/>
                <w:szCs w:val="20"/>
              </w:rPr>
              <w:t>7)</w:t>
            </w:r>
          </w:p>
          <w:p w:rsidR="00EB4F1F" w:rsidRPr="00A935AA" w:rsidRDefault="00EB4F1F" w:rsidP="00EF503B">
            <w:pPr>
              <w:tabs>
                <w:tab w:val="left" w:pos="-1440"/>
                <w:tab w:val="left" w:pos="-720"/>
              </w:tabs>
              <w:rPr>
                <w:sz w:val="20"/>
                <w:szCs w:val="20"/>
              </w:rPr>
            </w:pPr>
          </w:p>
          <w:p w:rsidR="00EB4F1F" w:rsidRPr="00A935AA" w:rsidRDefault="00EF503B" w:rsidP="00EF503B">
            <w:pPr>
              <w:tabs>
                <w:tab w:val="left" w:pos="-1440"/>
                <w:tab w:val="left" w:pos="-720"/>
              </w:tabs>
              <w:rPr>
                <w:b/>
                <w:sz w:val="20"/>
                <w:szCs w:val="20"/>
              </w:rPr>
            </w:pPr>
            <w:r>
              <w:rPr>
                <w:b/>
                <w:sz w:val="20"/>
                <w:szCs w:val="20"/>
              </w:rPr>
              <w:t xml:space="preserve">Her Majesty the Queen </w:t>
            </w:r>
            <w:r w:rsidR="00EB4F1F" w:rsidRPr="00A935AA">
              <w:rPr>
                <w:b/>
                <w:sz w:val="20"/>
                <w:szCs w:val="20"/>
              </w:rPr>
              <w:t>(B.C.)</w:t>
            </w:r>
          </w:p>
          <w:p w:rsidR="00EB4F1F" w:rsidRPr="00A935AA" w:rsidRDefault="00EB4F1F" w:rsidP="00EF503B">
            <w:pPr>
              <w:tabs>
                <w:tab w:val="left" w:pos="-1440"/>
                <w:tab w:val="left" w:pos="-720"/>
              </w:tabs>
              <w:rPr>
                <w:sz w:val="20"/>
                <w:szCs w:val="20"/>
              </w:rPr>
            </w:pPr>
            <w:r w:rsidRPr="00A935AA">
              <w:rPr>
                <w:sz w:val="20"/>
                <w:szCs w:val="20"/>
              </w:rPr>
              <w:tab/>
            </w:r>
            <w:r w:rsidR="00EF503B">
              <w:rPr>
                <w:sz w:val="20"/>
                <w:szCs w:val="20"/>
              </w:rPr>
              <w:t>W. Paul Riley</w:t>
            </w:r>
          </w:p>
          <w:p w:rsidR="00EB4F1F" w:rsidRPr="00A935AA" w:rsidRDefault="00EB4F1F" w:rsidP="00EF503B">
            <w:pPr>
              <w:tabs>
                <w:tab w:val="left" w:pos="-1440"/>
                <w:tab w:val="left" w:pos="-720"/>
              </w:tabs>
              <w:rPr>
                <w:sz w:val="20"/>
                <w:szCs w:val="20"/>
              </w:rPr>
            </w:pPr>
            <w:r w:rsidRPr="00A935AA">
              <w:rPr>
                <w:sz w:val="20"/>
                <w:szCs w:val="20"/>
              </w:rPr>
              <w:tab/>
            </w:r>
            <w:r w:rsidR="00EF503B">
              <w:rPr>
                <w:sz w:val="20"/>
                <w:szCs w:val="20"/>
              </w:rPr>
              <w:t>Public Prosecution Service of Canada</w:t>
            </w:r>
          </w:p>
          <w:p w:rsidR="00EB4F1F" w:rsidRPr="00A935AA" w:rsidRDefault="00EB4F1F" w:rsidP="00EF503B">
            <w:pPr>
              <w:tabs>
                <w:tab w:val="left" w:pos="-1440"/>
                <w:tab w:val="left" w:pos="-720"/>
              </w:tabs>
              <w:rPr>
                <w:sz w:val="20"/>
                <w:szCs w:val="20"/>
              </w:rPr>
            </w:pPr>
          </w:p>
          <w:p w:rsidR="00EB4F1F" w:rsidRPr="00A935AA" w:rsidRDefault="00EB4F1F" w:rsidP="00EF503B">
            <w:pPr>
              <w:rPr>
                <w:sz w:val="20"/>
                <w:szCs w:val="20"/>
              </w:rPr>
            </w:pPr>
            <w:r w:rsidRPr="00A935AA">
              <w:rPr>
                <w:sz w:val="20"/>
                <w:szCs w:val="20"/>
              </w:rPr>
              <w:t>FILING DATE: 27.0</w:t>
            </w:r>
            <w:r>
              <w:rPr>
                <w:sz w:val="20"/>
                <w:szCs w:val="20"/>
              </w:rPr>
              <w:t>2</w:t>
            </w:r>
            <w:r w:rsidRPr="00A935AA">
              <w:rPr>
                <w:sz w:val="20"/>
                <w:szCs w:val="20"/>
              </w:rPr>
              <w:t>.201</w:t>
            </w:r>
            <w:r>
              <w:rPr>
                <w:sz w:val="20"/>
                <w:szCs w:val="20"/>
              </w:rPr>
              <w:t>2</w:t>
            </w:r>
          </w:p>
          <w:p w:rsidR="00EB4F1F" w:rsidRPr="00A935AA" w:rsidRDefault="0011031E" w:rsidP="00EF503B">
            <w:pPr>
              <w:rPr>
                <w:sz w:val="20"/>
                <w:szCs w:val="20"/>
              </w:rPr>
            </w:pPr>
            <w:r w:rsidRPr="0011031E">
              <w:rPr>
                <w:sz w:val="20"/>
                <w:szCs w:val="20"/>
                <w:lang w:val="fr-CA"/>
              </w:rPr>
              <w:pict>
                <v:rect id="_x0000_i1027" style="width:108pt;height:1pt" o:hrpct="0" o:hralign="center" o:hrstd="t" o:hrnoshade="t" o:hr="t" fillcolor="black [3213]" stroked="f"/>
              </w:pict>
            </w:r>
          </w:p>
        </w:tc>
        <w:tc>
          <w:tcPr>
            <w:tcW w:w="1181" w:type="dxa"/>
            <w:shd w:val="clear" w:color="auto" w:fill="auto"/>
          </w:tcPr>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tc>
        <w:tc>
          <w:tcPr>
            <w:tcW w:w="4320" w:type="dxa"/>
            <w:shd w:val="clear" w:color="auto" w:fill="auto"/>
          </w:tcPr>
          <w:p w:rsidR="00EB4F1F" w:rsidRPr="00A935AA" w:rsidRDefault="00EF503B" w:rsidP="00EF503B">
            <w:pPr>
              <w:keepNext/>
              <w:keepLines/>
              <w:tabs>
                <w:tab w:val="left" w:pos="-1440"/>
                <w:tab w:val="left" w:pos="-720"/>
              </w:tabs>
              <w:rPr>
                <w:b/>
                <w:sz w:val="20"/>
                <w:szCs w:val="20"/>
              </w:rPr>
            </w:pPr>
            <w:r>
              <w:rPr>
                <w:b/>
                <w:sz w:val="20"/>
                <w:szCs w:val="20"/>
              </w:rPr>
              <w:t>Norman Ted Walton</w:t>
            </w:r>
          </w:p>
          <w:p w:rsidR="00EF503B" w:rsidRDefault="00EB4F1F" w:rsidP="00EF503B">
            <w:pPr>
              <w:keepNext/>
              <w:keepLines/>
              <w:tabs>
                <w:tab w:val="left" w:pos="-1440"/>
                <w:tab w:val="left" w:pos="-720"/>
              </w:tabs>
              <w:rPr>
                <w:sz w:val="20"/>
                <w:szCs w:val="20"/>
              </w:rPr>
            </w:pPr>
            <w:r w:rsidRPr="00A935AA">
              <w:rPr>
                <w:sz w:val="20"/>
                <w:szCs w:val="20"/>
              </w:rPr>
              <w:tab/>
            </w:r>
            <w:r w:rsidR="00EF503B">
              <w:rPr>
                <w:sz w:val="20"/>
                <w:szCs w:val="20"/>
              </w:rPr>
              <w:t>Albert E. Ki</w:t>
            </w:r>
            <w:r w:rsidR="00EF503B" w:rsidRPr="00EF503B">
              <w:rPr>
                <w:sz w:val="20"/>
                <w:szCs w:val="20"/>
              </w:rPr>
              <w:t>n</w:t>
            </w:r>
            <w:r w:rsidR="00EF503B">
              <w:rPr>
                <w:sz w:val="20"/>
                <w:szCs w:val="20"/>
              </w:rPr>
              <w:t>g</w:t>
            </w:r>
          </w:p>
          <w:p w:rsidR="00EF503B" w:rsidRPr="00EF503B" w:rsidRDefault="00EF503B" w:rsidP="00EF503B">
            <w:pPr>
              <w:keepNext/>
              <w:keepLines/>
              <w:tabs>
                <w:tab w:val="left" w:pos="-1440"/>
                <w:tab w:val="left" w:pos="-720"/>
              </w:tabs>
              <w:rPr>
                <w:sz w:val="20"/>
                <w:szCs w:val="20"/>
              </w:rPr>
            </w:pPr>
            <w:r>
              <w:rPr>
                <w:sz w:val="20"/>
                <w:szCs w:val="20"/>
              </w:rPr>
              <w:tab/>
              <w:t>King Sutton Sadlemyer</w:t>
            </w:r>
          </w:p>
          <w:p w:rsidR="00EB4F1F" w:rsidRPr="00A935AA" w:rsidRDefault="00EB4F1F" w:rsidP="00EF503B">
            <w:pPr>
              <w:keepNext/>
              <w:keepLines/>
              <w:tabs>
                <w:tab w:val="left" w:pos="-1440"/>
                <w:tab w:val="left" w:pos="-720"/>
              </w:tabs>
              <w:rPr>
                <w:sz w:val="20"/>
                <w:szCs w:val="20"/>
              </w:rPr>
            </w:pPr>
          </w:p>
          <w:p w:rsidR="00EB4F1F" w:rsidRPr="00EF503B" w:rsidRDefault="00EB4F1F" w:rsidP="00EF503B">
            <w:pPr>
              <w:keepNext/>
              <w:keepLines/>
              <w:tabs>
                <w:tab w:val="left" w:pos="-1440"/>
                <w:tab w:val="left" w:pos="-720"/>
              </w:tabs>
              <w:rPr>
                <w:sz w:val="20"/>
                <w:szCs w:val="20"/>
              </w:rPr>
            </w:pPr>
            <w:r w:rsidRPr="00A935AA">
              <w:rPr>
                <w:sz w:val="20"/>
                <w:szCs w:val="20"/>
              </w:rPr>
              <w:tab/>
            </w:r>
            <w:r w:rsidRPr="00EF503B">
              <w:rPr>
                <w:sz w:val="20"/>
                <w:szCs w:val="20"/>
              </w:rPr>
              <w:t>v. (34</w:t>
            </w:r>
            <w:r w:rsidR="00EF503B">
              <w:rPr>
                <w:sz w:val="20"/>
                <w:szCs w:val="20"/>
              </w:rPr>
              <w:t>692</w:t>
            </w:r>
            <w:r w:rsidRPr="00EF503B">
              <w:rPr>
                <w:sz w:val="20"/>
                <w:szCs w:val="20"/>
              </w:rPr>
              <w:t>)</w:t>
            </w:r>
          </w:p>
          <w:p w:rsidR="00EB4F1F" w:rsidRPr="00EF503B" w:rsidRDefault="00EB4F1F" w:rsidP="00EF503B">
            <w:pPr>
              <w:keepNext/>
              <w:keepLines/>
              <w:tabs>
                <w:tab w:val="left" w:pos="-1440"/>
                <w:tab w:val="left" w:pos="-720"/>
              </w:tabs>
              <w:rPr>
                <w:sz w:val="20"/>
                <w:szCs w:val="20"/>
              </w:rPr>
            </w:pPr>
          </w:p>
          <w:p w:rsidR="00EB4F1F" w:rsidRPr="00EF503B" w:rsidRDefault="00EF503B" w:rsidP="00EF503B">
            <w:pPr>
              <w:keepNext/>
              <w:keepLines/>
              <w:tabs>
                <w:tab w:val="left" w:pos="-1440"/>
                <w:tab w:val="left" w:pos="-720"/>
              </w:tabs>
              <w:rPr>
                <w:b/>
                <w:sz w:val="20"/>
                <w:szCs w:val="20"/>
              </w:rPr>
            </w:pPr>
            <w:r>
              <w:rPr>
                <w:b/>
                <w:sz w:val="20"/>
                <w:szCs w:val="20"/>
              </w:rPr>
              <w:t xml:space="preserve">Her Majesty the Queen </w:t>
            </w:r>
            <w:r w:rsidRPr="00A935AA">
              <w:rPr>
                <w:b/>
                <w:sz w:val="20"/>
                <w:szCs w:val="20"/>
              </w:rPr>
              <w:t>(B.C.)</w:t>
            </w:r>
          </w:p>
          <w:p w:rsidR="00EB4F1F" w:rsidRPr="00EF503B" w:rsidRDefault="00EB4F1F" w:rsidP="00EF503B">
            <w:pPr>
              <w:keepNext/>
              <w:keepLines/>
              <w:tabs>
                <w:tab w:val="left" w:pos="-1440"/>
                <w:tab w:val="left" w:pos="-720"/>
              </w:tabs>
              <w:rPr>
                <w:sz w:val="20"/>
                <w:szCs w:val="20"/>
              </w:rPr>
            </w:pPr>
            <w:r w:rsidRPr="00EF503B">
              <w:rPr>
                <w:sz w:val="20"/>
                <w:szCs w:val="20"/>
              </w:rPr>
              <w:tab/>
            </w:r>
            <w:r w:rsidR="00EF503B">
              <w:rPr>
                <w:sz w:val="20"/>
                <w:szCs w:val="20"/>
              </w:rPr>
              <w:t>Mary T. Ainslie</w:t>
            </w:r>
          </w:p>
          <w:p w:rsidR="00EB4F1F" w:rsidRPr="00EF503B" w:rsidRDefault="00EB4F1F" w:rsidP="00EF503B">
            <w:pPr>
              <w:keepNext/>
              <w:keepLines/>
              <w:tabs>
                <w:tab w:val="left" w:pos="-1440"/>
                <w:tab w:val="left" w:pos="-720"/>
              </w:tabs>
              <w:rPr>
                <w:sz w:val="20"/>
                <w:szCs w:val="20"/>
              </w:rPr>
            </w:pPr>
            <w:r w:rsidRPr="00EF503B">
              <w:rPr>
                <w:sz w:val="20"/>
                <w:szCs w:val="20"/>
              </w:rPr>
              <w:tab/>
            </w:r>
            <w:r w:rsidR="00EF503B">
              <w:rPr>
                <w:sz w:val="20"/>
                <w:szCs w:val="20"/>
              </w:rPr>
              <w:t>A.G. of British Columbia</w:t>
            </w:r>
          </w:p>
          <w:p w:rsidR="00EB4F1F" w:rsidRDefault="00EB4F1F" w:rsidP="00EF503B">
            <w:pPr>
              <w:rPr>
                <w:sz w:val="20"/>
                <w:szCs w:val="20"/>
              </w:rPr>
            </w:pPr>
          </w:p>
          <w:p w:rsidR="00EB4F1F" w:rsidRPr="00A935AA" w:rsidRDefault="00EB4F1F" w:rsidP="00EF503B">
            <w:pPr>
              <w:rPr>
                <w:sz w:val="20"/>
                <w:szCs w:val="20"/>
              </w:rPr>
            </w:pPr>
            <w:r w:rsidRPr="00A935AA">
              <w:rPr>
                <w:sz w:val="20"/>
                <w:szCs w:val="20"/>
              </w:rPr>
              <w:t xml:space="preserve">FILING DATE: </w:t>
            </w:r>
            <w:r w:rsidR="00EF503B">
              <w:rPr>
                <w:sz w:val="20"/>
                <w:szCs w:val="20"/>
              </w:rPr>
              <w:t>01</w:t>
            </w:r>
            <w:r w:rsidRPr="00A935AA">
              <w:rPr>
                <w:sz w:val="20"/>
                <w:szCs w:val="20"/>
              </w:rPr>
              <w:t>.0</w:t>
            </w:r>
            <w:r w:rsidR="00EF503B">
              <w:rPr>
                <w:sz w:val="20"/>
                <w:szCs w:val="20"/>
              </w:rPr>
              <w:t>3</w:t>
            </w:r>
            <w:r w:rsidRPr="00A935AA">
              <w:rPr>
                <w:sz w:val="20"/>
                <w:szCs w:val="20"/>
              </w:rPr>
              <w:t>.201</w:t>
            </w:r>
            <w:r>
              <w:rPr>
                <w:sz w:val="20"/>
                <w:szCs w:val="20"/>
              </w:rPr>
              <w:t>2</w:t>
            </w:r>
            <w:r w:rsidR="0011031E" w:rsidRPr="0011031E">
              <w:rPr>
                <w:sz w:val="20"/>
                <w:szCs w:val="20"/>
                <w:lang w:val="fr-CA"/>
              </w:rPr>
              <w:pict>
                <v:rect id="_x0000_i1028" style="width:108pt;height:1pt" o:hrpct="0" o:hralign="center" o:hrstd="t" o:hrnoshade="t" o:hr="t" fillcolor="black [3213]" stroked="f"/>
              </w:pict>
            </w:r>
          </w:p>
        </w:tc>
      </w:tr>
      <w:tr w:rsidR="00EB4F1F" w:rsidRPr="00A935AA" w:rsidTr="003B3977">
        <w:tc>
          <w:tcPr>
            <w:tcW w:w="4320" w:type="dxa"/>
            <w:shd w:val="clear" w:color="auto" w:fill="auto"/>
          </w:tcPr>
          <w:p w:rsidR="00EB4F1F" w:rsidRPr="00A935AA" w:rsidRDefault="00EF503B" w:rsidP="00EF503B">
            <w:pPr>
              <w:rPr>
                <w:b/>
                <w:sz w:val="20"/>
                <w:szCs w:val="20"/>
              </w:rPr>
            </w:pPr>
            <w:r>
              <w:rPr>
                <w:b/>
                <w:sz w:val="20"/>
                <w:szCs w:val="20"/>
              </w:rPr>
              <w:t>Mohamad Tohl</w:t>
            </w:r>
          </w:p>
          <w:p w:rsidR="00EB4F1F" w:rsidRPr="00A935AA" w:rsidRDefault="00EB4F1F" w:rsidP="00EF503B">
            <w:pPr>
              <w:tabs>
                <w:tab w:val="left" w:pos="-1440"/>
                <w:tab w:val="left" w:pos="-720"/>
              </w:tabs>
              <w:rPr>
                <w:sz w:val="20"/>
                <w:szCs w:val="20"/>
              </w:rPr>
            </w:pPr>
            <w:r w:rsidRPr="00A935AA">
              <w:rPr>
                <w:sz w:val="20"/>
                <w:szCs w:val="20"/>
              </w:rPr>
              <w:tab/>
            </w:r>
            <w:r w:rsidR="00EF503B">
              <w:rPr>
                <w:sz w:val="20"/>
                <w:szCs w:val="20"/>
              </w:rPr>
              <w:t>Christine Mainville</w:t>
            </w:r>
          </w:p>
          <w:p w:rsidR="00EB4F1F" w:rsidRPr="00A935AA" w:rsidRDefault="00EB4F1F" w:rsidP="00EF503B">
            <w:pPr>
              <w:tabs>
                <w:tab w:val="left" w:pos="-1440"/>
                <w:tab w:val="left" w:pos="-720"/>
              </w:tabs>
              <w:rPr>
                <w:sz w:val="20"/>
                <w:szCs w:val="20"/>
              </w:rPr>
            </w:pPr>
            <w:r w:rsidRPr="00A935AA">
              <w:rPr>
                <w:sz w:val="20"/>
                <w:szCs w:val="20"/>
              </w:rPr>
              <w:tab/>
            </w:r>
            <w:r w:rsidR="00EF503B">
              <w:rPr>
                <w:sz w:val="20"/>
                <w:szCs w:val="20"/>
              </w:rPr>
              <w:t>Henein &amp; Associates</w:t>
            </w:r>
          </w:p>
          <w:p w:rsidR="00EB4F1F" w:rsidRPr="00A935AA" w:rsidRDefault="00EB4F1F" w:rsidP="00EF503B">
            <w:pPr>
              <w:tabs>
                <w:tab w:val="left" w:pos="-1440"/>
                <w:tab w:val="left" w:pos="-720"/>
              </w:tabs>
              <w:rPr>
                <w:sz w:val="20"/>
                <w:szCs w:val="20"/>
              </w:rPr>
            </w:pPr>
          </w:p>
          <w:p w:rsidR="00EB4F1F" w:rsidRPr="00A935AA" w:rsidRDefault="00EB4F1F" w:rsidP="00EF503B">
            <w:pPr>
              <w:tabs>
                <w:tab w:val="left" w:pos="-1440"/>
                <w:tab w:val="left" w:pos="-720"/>
              </w:tabs>
              <w:rPr>
                <w:sz w:val="20"/>
                <w:szCs w:val="20"/>
              </w:rPr>
            </w:pPr>
            <w:r w:rsidRPr="00A935AA">
              <w:rPr>
                <w:sz w:val="20"/>
                <w:szCs w:val="20"/>
              </w:rPr>
              <w:tab/>
              <w:t>v. (3</w:t>
            </w:r>
            <w:r>
              <w:rPr>
                <w:sz w:val="20"/>
                <w:szCs w:val="20"/>
              </w:rPr>
              <w:t>4</w:t>
            </w:r>
            <w:r w:rsidR="00EF503B">
              <w:rPr>
                <w:sz w:val="20"/>
                <w:szCs w:val="20"/>
              </w:rPr>
              <w:t>695</w:t>
            </w:r>
            <w:r w:rsidRPr="00A935AA">
              <w:rPr>
                <w:sz w:val="20"/>
                <w:szCs w:val="20"/>
              </w:rPr>
              <w:t>)</w:t>
            </w:r>
          </w:p>
          <w:p w:rsidR="00EB4F1F" w:rsidRPr="00A935AA" w:rsidRDefault="00EB4F1F" w:rsidP="00EF503B">
            <w:pPr>
              <w:tabs>
                <w:tab w:val="left" w:pos="-1440"/>
                <w:tab w:val="left" w:pos="-720"/>
              </w:tabs>
              <w:rPr>
                <w:sz w:val="20"/>
                <w:szCs w:val="20"/>
              </w:rPr>
            </w:pPr>
          </w:p>
          <w:p w:rsidR="00EB4F1F" w:rsidRPr="00A935AA" w:rsidRDefault="00EF503B" w:rsidP="00EF503B">
            <w:pPr>
              <w:tabs>
                <w:tab w:val="left" w:pos="-1440"/>
                <w:tab w:val="left" w:pos="-720"/>
              </w:tabs>
              <w:rPr>
                <w:b/>
                <w:sz w:val="20"/>
                <w:szCs w:val="20"/>
              </w:rPr>
            </w:pPr>
            <w:r>
              <w:rPr>
                <w:b/>
                <w:sz w:val="20"/>
                <w:szCs w:val="20"/>
              </w:rPr>
              <w:t xml:space="preserve">Her Majesty the Queen </w:t>
            </w:r>
            <w:r w:rsidR="00EB4F1F" w:rsidRPr="00A935AA">
              <w:rPr>
                <w:b/>
                <w:sz w:val="20"/>
                <w:szCs w:val="20"/>
              </w:rPr>
              <w:t>(</w:t>
            </w:r>
            <w:r>
              <w:rPr>
                <w:b/>
                <w:sz w:val="20"/>
                <w:szCs w:val="20"/>
              </w:rPr>
              <w:t>Ont</w:t>
            </w:r>
            <w:r w:rsidR="00EB4F1F" w:rsidRPr="00A935AA">
              <w:rPr>
                <w:b/>
                <w:sz w:val="20"/>
                <w:szCs w:val="20"/>
              </w:rPr>
              <w:t>.)</w:t>
            </w:r>
          </w:p>
          <w:p w:rsidR="00EB4F1F" w:rsidRPr="00A935AA" w:rsidRDefault="00EB4F1F" w:rsidP="00EF503B">
            <w:pPr>
              <w:tabs>
                <w:tab w:val="left" w:pos="-1440"/>
                <w:tab w:val="left" w:pos="-720"/>
              </w:tabs>
              <w:rPr>
                <w:sz w:val="20"/>
                <w:szCs w:val="20"/>
              </w:rPr>
            </w:pPr>
            <w:r w:rsidRPr="00A935AA">
              <w:rPr>
                <w:sz w:val="20"/>
                <w:szCs w:val="20"/>
              </w:rPr>
              <w:tab/>
            </w:r>
            <w:r w:rsidR="00EF503B">
              <w:rPr>
                <w:sz w:val="20"/>
                <w:szCs w:val="20"/>
              </w:rPr>
              <w:t>Vanita Goela</w:t>
            </w:r>
          </w:p>
          <w:p w:rsidR="00EB4F1F" w:rsidRPr="00A935AA" w:rsidRDefault="00EB4F1F" w:rsidP="00EF503B">
            <w:pPr>
              <w:tabs>
                <w:tab w:val="left" w:pos="-1440"/>
                <w:tab w:val="left" w:pos="-720"/>
              </w:tabs>
              <w:rPr>
                <w:sz w:val="20"/>
                <w:szCs w:val="20"/>
              </w:rPr>
            </w:pPr>
            <w:r w:rsidRPr="00A935AA">
              <w:rPr>
                <w:sz w:val="20"/>
                <w:szCs w:val="20"/>
              </w:rPr>
              <w:tab/>
            </w:r>
            <w:r w:rsidR="00EF503B">
              <w:rPr>
                <w:sz w:val="20"/>
                <w:szCs w:val="20"/>
              </w:rPr>
              <w:t>Public Prosecution Service of Canada</w:t>
            </w:r>
          </w:p>
          <w:p w:rsidR="00EB4F1F" w:rsidRPr="00A935AA" w:rsidRDefault="00EB4F1F" w:rsidP="00EF503B">
            <w:pPr>
              <w:tabs>
                <w:tab w:val="left" w:pos="-1440"/>
                <w:tab w:val="left" w:pos="-720"/>
              </w:tabs>
              <w:rPr>
                <w:sz w:val="20"/>
                <w:szCs w:val="20"/>
              </w:rPr>
            </w:pPr>
          </w:p>
          <w:p w:rsidR="00EB4F1F" w:rsidRPr="00A935AA" w:rsidRDefault="00EF503B" w:rsidP="00EF503B">
            <w:pPr>
              <w:rPr>
                <w:sz w:val="20"/>
                <w:szCs w:val="20"/>
              </w:rPr>
            </w:pPr>
            <w:r>
              <w:rPr>
                <w:sz w:val="20"/>
                <w:szCs w:val="20"/>
              </w:rPr>
              <w:t>FILING DATE: 05</w:t>
            </w:r>
            <w:r w:rsidR="00EB4F1F" w:rsidRPr="00A935AA">
              <w:rPr>
                <w:sz w:val="20"/>
                <w:szCs w:val="20"/>
              </w:rPr>
              <w:t>.0</w:t>
            </w:r>
            <w:r>
              <w:rPr>
                <w:sz w:val="20"/>
                <w:szCs w:val="20"/>
              </w:rPr>
              <w:t>3</w:t>
            </w:r>
            <w:r w:rsidR="00EB4F1F" w:rsidRPr="00A935AA">
              <w:rPr>
                <w:sz w:val="20"/>
                <w:szCs w:val="20"/>
              </w:rPr>
              <w:t>.201</w:t>
            </w:r>
            <w:r w:rsidR="00EB4F1F">
              <w:rPr>
                <w:sz w:val="20"/>
                <w:szCs w:val="20"/>
              </w:rPr>
              <w:t>2</w:t>
            </w:r>
          </w:p>
          <w:p w:rsidR="00EB4F1F" w:rsidRPr="00A935AA" w:rsidRDefault="0011031E" w:rsidP="00EF503B">
            <w:pPr>
              <w:rPr>
                <w:sz w:val="20"/>
                <w:szCs w:val="20"/>
              </w:rPr>
            </w:pPr>
            <w:r w:rsidRPr="0011031E">
              <w:rPr>
                <w:sz w:val="20"/>
                <w:szCs w:val="20"/>
                <w:lang w:val="fr-CA"/>
              </w:rPr>
              <w:pict>
                <v:rect id="_x0000_i1029" style="width:108pt;height:1pt" o:hrpct="0" o:hralign="center" o:hrstd="t" o:hrnoshade="t" o:hr="t" fillcolor="black [3213]" stroked="f"/>
              </w:pict>
            </w:r>
          </w:p>
        </w:tc>
        <w:tc>
          <w:tcPr>
            <w:tcW w:w="1181" w:type="dxa"/>
            <w:shd w:val="clear" w:color="auto" w:fill="auto"/>
          </w:tcPr>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Default="00EB4F1F" w:rsidP="00242AEE">
            <w:pPr>
              <w:jc w:val="center"/>
              <w:rPr>
                <w:sz w:val="20"/>
                <w:szCs w:val="20"/>
              </w:rPr>
            </w:pPr>
          </w:p>
          <w:p w:rsidR="00EB4F1F" w:rsidRPr="00A935AA" w:rsidRDefault="00EB4F1F" w:rsidP="00242AEE">
            <w:pPr>
              <w:jc w:val="center"/>
              <w:rPr>
                <w:sz w:val="20"/>
                <w:szCs w:val="20"/>
              </w:rPr>
            </w:pPr>
          </w:p>
          <w:p w:rsidR="00EB4F1F" w:rsidRDefault="00EB4F1F" w:rsidP="00242AEE">
            <w:pPr>
              <w:jc w:val="center"/>
              <w:rPr>
                <w:sz w:val="20"/>
                <w:szCs w:val="20"/>
              </w:rPr>
            </w:pPr>
          </w:p>
          <w:p w:rsidR="00EB4F1F" w:rsidRPr="00A935AA" w:rsidRDefault="00EB4F1F" w:rsidP="00242AEE">
            <w:pPr>
              <w:jc w:val="center"/>
              <w:rPr>
                <w:sz w:val="20"/>
                <w:szCs w:val="20"/>
              </w:rPr>
            </w:pPr>
          </w:p>
        </w:tc>
        <w:tc>
          <w:tcPr>
            <w:tcW w:w="4320" w:type="dxa"/>
            <w:shd w:val="clear" w:color="auto" w:fill="auto"/>
          </w:tcPr>
          <w:p w:rsidR="00EB4F1F" w:rsidRPr="00A935AA" w:rsidRDefault="00EF503B" w:rsidP="00EF503B">
            <w:pPr>
              <w:keepNext/>
              <w:keepLines/>
              <w:tabs>
                <w:tab w:val="left" w:pos="-1440"/>
                <w:tab w:val="left" w:pos="-720"/>
              </w:tabs>
              <w:rPr>
                <w:b/>
                <w:sz w:val="20"/>
                <w:szCs w:val="20"/>
              </w:rPr>
            </w:pPr>
            <w:r>
              <w:rPr>
                <w:b/>
                <w:sz w:val="20"/>
                <w:szCs w:val="20"/>
              </w:rPr>
              <w:t>Estate of Angelo Dicaro, deceased, by his estate trustee Carmela Dicaro and Carmela Dicaro</w:t>
            </w:r>
          </w:p>
          <w:p w:rsidR="00EB4F1F" w:rsidRPr="00197CDB" w:rsidRDefault="00EB4F1F" w:rsidP="00EF503B">
            <w:pPr>
              <w:keepNext/>
              <w:keepLines/>
              <w:tabs>
                <w:tab w:val="left" w:pos="-1440"/>
                <w:tab w:val="left" w:pos="-720"/>
              </w:tabs>
              <w:rPr>
                <w:sz w:val="20"/>
                <w:szCs w:val="20"/>
                <w:lang w:val="fr-CA"/>
              </w:rPr>
            </w:pPr>
            <w:r w:rsidRPr="00A935AA">
              <w:rPr>
                <w:sz w:val="20"/>
                <w:szCs w:val="20"/>
              </w:rPr>
              <w:tab/>
            </w:r>
            <w:r w:rsidR="00276F8C" w:rsidRPr="00197CDB">
              <w:rPr>
                <w:sz w:val="20"/>
                <w:szCs w:val="20"/>
                <w:lang w:val="fr-CA"/>
              </w:rPr>
              <w:t>Christian J. Guerette</w:t>
            </w:r>
          </w:p>
          <w:p w:rsidR="00EB4F1F" w:rsidRPr="00197CDB" w:rsidRDefault="00EB4F1F" w:rsidP="00EF503B">
            <w:pPr>
              <w:keepNext/>
              <w:keepLines/>
              <w:tabs>
                <w:tab w:val="left" w:pos="-1440"/>
                <w:tab w:val="left" w:pos="-720"/>
              </w:tabs>
              <w:rPr>
                <w:sz w:val="20"/>
                <w:szCs w:val="20"/>
                <w:lang w:val="fr-CA"/>
              </w:rPr>
            </w:pPr>
            <w:r w:rsidRPr="00197CDB">
              <w:rPr>
                <w:sz w:val="20"/>
                <w:szCs w:val="20"/>
                <w:lang w:val="fr-CA"/>
              </w:rPr>
              <w:tab/>
            </w:r>
            <w:r w:rsidR="00276F8C" w:rsidRPr="00197CDB">
              <w:rPr>
                <w:sz w:val="20"/>
                <w:szCs w:val="20"/>
                <w:lang w:val="fr-CA"/>
              </w:rPr>
              <w:t>Guerette Rajagopalan</w:t>
            </w:r>
          </w:p>
          <w:p w:rsidR="00EB4F1F" w:rsidRPr="00197CDB" w:rsidRDefault="00EB4F1F" w:rsidP="00EF503B">
            <w:pPr>
              <w:keepNext/>
              <w:keepLines/>
              <w:tabs>
                <w:tab w:val="left" w:pos="-1440"/>
                <w:tab w:val="left" w:pos="-720"/>
              </w:tabs>
              <w:rPr>
                <w:sz w:val="20"/>
                <w:szCs w:val="20"/>
                <w:lang w:val="fr-CA"/>
              </w:rPr>
            </w:pPr>
          </w:p>
          <w:p w:rsidR="00EB4F1F" w:rsidRPr="00197CDB" w:rsidRDefault="00EB4F1F" w:rsidP="00EF503B">
            <w:pPr>
              <w:keepNext/>
              <w:keepLines/>
              <w:tabs>
                <w:tab w:val="left" w:pos="-1440"/>
                <w:tab w:val="left" w:pos="-720"/>
              </w:tabs>
              <w:rPr>
                <w:sz w:val="20"/>
                <w:szCs w:val="20"/>
                <w:lang w:val="fr-CA"/>
              </w:rPr>
            </w:pPr>
            <w:r w:rsidRPr="00197CDB">
              <w:rPr>
                <w:sz w:val="20"/>
                <w:szCs w:val="20"/>
                <w:lang w:val="fr-CA"/>
              </w:rPr>
              <w:tab/>
              <w:t>v. (34</w:t>
            </w:r>
            <w:r w:rsidR="00276F8C" w:rsidRPr="00197CDB">
              <w:rPr>
                <w:sz w:val="20"/>
                <w:szCs w:val="20"/>
                <w:lang w:val="fr-CA"/>
              </w:rPr>
              <w:t>69</w:t>
            </w:r>
            <w:r w:rsidRPr="00197CDB">
              <w:rPr>
                <w:sz w:val="20"/>
                <w:szCs w:val="20"/>
                <w:lang w:val="fr-CA"/>
              </w:rPr>
              <w:t>7)</w:t>
            </w:r>
          </w:p>
          <w:p w:rsidR="00EB4F1F" w:rsidRPr="00197CDB" w:rsidRDefault="00EB4F1F" w:rsidP="00EF503B">
            <w:pPr>
              <w:keepNext/>
              <w:keepLines/>
              <w:tabs>
                <w:tab w:val="left" w:pos="-1440"/>
                <w:tab w:val="left" w:pos="-720"/>
              </w:tabs>
              <w:rPr>
                <w:sz w:val="20"/>
                <w:szCs w:val="20"/>
                <w:lang w:val="fr-CA"/>
              </w:rPr>
            </w:pPr>
          </w:p>
          <w:p w:rsidR="00EB4F1F" w:rsidRPr="00276F8C" w:rsidRDefault="00276F8C" w:rsidP="00EF503B">
            <w:pPr>
              <w:keepNext/>
              <w:keepLines/>
              <w:tabs>
                <w:tab w:val="left" w:pos="-1440"/>
                <w:tab w:val="left" w:pos="-720"/>
              </w:tabs>
              <w:rPr>
                <w:b/>
                <w:sz w:val="20"/>
                <w:szCs w:val="20"/>
              </w:rPr>
            </w:pPr>
            <w:r w:rsidRPr="00276F8C">
              <w:rPr>
                <w:b/>
                <w:sz w:val="20"/>
                <w:szCs w:val="20"/>
              </w:rPr>
              <w:t xml:space="preserve">Manufacturers Life Insurance Company </w:t>
            </w:r>
            <w:r w:rsidR="00EB4F1F" w:rsidRPr="00276F8C">
              <w:rPr>
                <w:b/>
                <w:sz w:val="20"/>
                <w:szCs w:val="20"/>
              </w:rPr>
              <w:t>(Ont.)</w:t>
            </w:r>
          </w:p>
          <w:p w:rsidR="00EB4F1F" w:rsidRPr="00276F8C" w:rsidRDefault="00EB4F1F" w:rsidP="00EF503B">
            <w:pPr>
              <w:keepNext/>
              <w:keepLines/>
              <w:tabs>
                <w:tab w:val="left" w:pos="-1440"/>
                <w:tab w:val="left" w:pos="-720"/>
              </w:tabs>
              <w:rPr>
                <w:sz w:val="20"/>
                <w:szCs w:val="20"/>
              </w:rPr>
            </w:pPr>
            <w:r w:rsidRPr="00276F8C">
              <w:rPr>
                <w:sz w:val="20"/>
                <w:szCs w:val="20"/>
              </w:rPr>
              <w:tab/>
            </w:r>
            <w:r w:rsidR="00276F8C">
              <w:rPr>
                <w:sz w:val="20"/>
                <w:szCs w:val="20"/>
              </w:rPr>
              <w:t>Gordon A. Jermane</w:t>
            </w:r>
          </w:p>
          <w:p w:rsidR="00EB4F1F" w:rsidRPr="00276F8C" w:rsidRDefault="00EB4F1F" w:rsidP="00EF503B">
            <w:pPr>
              <w:keepNext/>
              <w:keepLines/>
              <w:tabs>
                <w:tab w:val="left" w:pos="-1440"/>
                <w:tab w:val="left" w:pos="-720"/>
              </w:tabs>
              <w:rPr>
                <w:sz w:val="20"/>
                <w:szCs w:val="20"/>
              </w:rPr>
            </w:pPr>
            <w:r w:rsidRPr="00276F8C">
              <w:rPr>
                <w:sz w:val="20"/>
                <w:szCs w:val="20"/>
              </w:rPr>
              <w:tab/>
            </w:r>
            <w:r w:rsidR="00276F8C">
              <w:rPr>
                <w:sz w:val="20"/>
                <w:szCs w:val="20"/>
              </w:rPr>
              <w:t>Manulife Financial</w:t>
            </w:r>
          </w:p>
          <w:p w:rsidR="00EB4F1F" w:rsidRDefault="00EB4F1F" w:rsidP="00EF503B">
            <w:pPr>
              <w:rPr>
                <w:sz w:val="20"/>
                <w:szCs w:val="20"/>
              </w:rPr>
            </w:pPr>
          </w:p>
          <w:p w:rsidR="00EB4F1F" w:rsidRPr="00A935AA" w:rsidRDefault="00EB4F1F" w:rsidP="00276F8C">
            <w:pPr>
              <w:rPr>
                <w:sz w:val="20"/>
                <w:szCs w:val="20"/>
              </w:rPr>
            </w:pPr>
            <w:r w:rsidRPr="00A935AA">
              <w:rPr>
                <w:sz w:val="20"/>
                <w:szCs w:val="20"/>
              </w:rPr>
              <w:t xml:space="preserve">FILING DATE: </w:t>
            </w:r>
            <w:r w:rsidR="00276F8C">
              <w:rPr>
                <w:sz w:val="20"/>
                <w:szCs w:val="20"/>
              </w:rPr>
              <w:t>06</w:t>
            </w:r>
            <w:r w:rsidRPr="00A935AA">
              <w:rPr>
                <w:sz w:val="20"/>
                <w:szCs w:val="20"/>
              </w:rPr>
              <w:t>.0</w:t>
            </w:r>
            <w:r w:rsidR="00276F8C">
              <w:rPr>
                <w:sz w:val="20"/>
                <w:szCs w:val="20"/>
              </w:rPr>
              <w:t>3</w:t>
            </w:r>
            <w:r w:rsidRPr="00A935AA">
              <w:rPr>
                <w:sz w:val="20"/>
                <w:szCs w:val="20"/>
              </w:rPr>
              <w:t>.201</w:t>
            </w:r>
            <w:r>
              <w:rPr>
                <w:sz w:val="20"/>
                <w:szCs w:val="20"/>
              </w:rPr>
              <w:t>2</w:t>
            </w:r>
            <w:r w:rsidR="0011031E" w:rsidRPr="0011031E">
              <w:rPr>
                <w:sz w:val="20"/>
                <w:szCs w:val="20"/>
                <w:lang w:val="fr-CA"/>
              </w:rPr>
              <w:pict>
                <v:rect id="_x0000_i1030" style="width:108pt;height:1pt" o:hrpct="0" o:hralign="center" o:hrstd="t" o:hrnoshade="t" o:hr="t" fillcolor="black [3213]" stroked="f"/>
              </w:pict>
            </w:r>
          </w:p>
        </w:tc>
      </w:tr>
      <w:tr w:rsidR="00EB4F1F" w:rsidRPr="00A935AA" w:rsidTr="003B3977">
        <w:trPr>
          <w:cantSplit/>
        </w:trPr>
        <w:tc>
          <w:tcPr>
            <w:tcW w:w="4320" w:type="dxa"/>
            <w:shd w:val="clear" w:color="auto" w:fill="auto"/>
          </w:tcPr>
          <w:p w:rsidR="00EB4F1F" w:rsidRPr="00276F8C" w:rsidRDefault="00276F8C" w:rsidP="00EF503B">
            <w:pPr>
              <w:rPr>
                <w:b/>
                <w:sz w:val="20"/>
                <w:szCs w:val="20"/>
                <w:lang w:val="fr-CA"/>
              </w:rPr>
            </w:pPr>
            <w:r w:rsidRPr="00276F8C">
              <w:rPr>
                <w:b/>
                <w:sz w:val="20"/>
                <w:szCs w:val="20"/>
                <w:lang w:val="fr-CA"/>
              </w:rPr>
              <w:t>La Souveraine, Compagnie d’assurance générale</w:t>
            </w:r>
          </w:p>
          <w:p w:rsidR="00EB4F1F" w:rsidRPr="00276F8C" w:rsidRDefault="00EB4F1F" w:rsidP="00EF503B">
            <w:pPr>
              <w:tabs>
                <w:tab w:val="left" w:pos="-1440"/>
                <w:tab w:val="left" w:pos="-720"/>
              </w:tabs>
              <w:rPr>
                <w:sz w:val="20"/>
                <w:szCs w:val="20"/>
                <w:lang w:val="fr-CA"/>
              </w:rPr>
            </w:pPr>
            <w:r w:rsidRPr="00276F8C">
              <w:rPr>
                <w:sz w:val="20"/>
                <w:szCs w:val="20"/>
                <w:lang w:val="fr-CA"/>
              </w:rPr>
              <w:tab/>
            </w:r>
            <w:r w:rsidR="00276F8C" w:rsidRPr="00276F8C">
              <w:rPr>
                <w:sz w:val="20"/>
                <w:szCs w:val="20"/>
                <w:lang w:val="fr-CA"/>
              </w:rPr>
              <w:t>Patrick Henry</w:t>
            </w:r>
          </w:p>
          <w:p w:rsidR="00EB4F1F" w:rsidRPr="00276F8C" w:rsidRDefault="00EB4F1F" w:rsidP="00EF503B">
            <w:pPr>
              <w:tabs>
                <w:tab w:val="left" w:pos="-1440"/>
                <w:tab w:val="left" w:pos="-720"/>
              </w:tabs>
              <w:rPr>
                <w:sz w:val="20"/>
                <w:szCs w:val="20"/>
                <w:lang w:val="fr-CA"/>
              </w:rPr>
            </w:pPr>
            <w:r w:rsidRPr="00276F8C">
              <w:rPr>
                <w:sz w:val="20"/>
                <w:szCs w:val="20"/>
                <w:lang w:val="fr-CA"/>
              </w:rPr>
              <w:tab/>
            </w:r>
            <w:r w:rsidR="00276F8C">
              <w:rPr>
                <w:sz w:val="20"/>
                <w:szCs w:val="20"/>
                <w:lang w:val="fr-CA"/>
              </w:rPr>
              <w:t>Robinson Sheppard Shapiro</w:t>
            </w:r>
          </w:p>
          <w:p w:rsidR="00EB4F1F" w:rsidRPr="00276F8C" w:rsidRDefault="00EB4F1F" w:rsidP="00EF503B">
            <w:pPr>
              <w:tabs>
                <w:tab w:val="left" w:pos="-1440"/>
                <w:tab w:val="left" w:pos="-720"/>
              </w:tabs>
              <w:rPr>
                <w:sz w:val="20"/>
                <w:szCs w:val="20"/>
                <w:lang w:val="fr-CA"/>
              </w:rPr>
            </w:pPr>
          </w:p>
          <w:p w:rsidR="00EB4F1F" w:rsidRPr="00276F8C" w:rsidRDefault="00EB4F1F" w:rsidP="00EF503B">
            <w:pPr>
              <w:tabs>
                <w:tab w:val="left" w:pos="-1440"/>
                <w:tab w:val="left" w:pos="-720"/>
              </w:tabs>
              <w:rPr>
                <w:sz w:val="20"/>
                <w:szCs w:val="20"/>
                <w:lang w:val="fr-CA"/>
              </w:rPr>
            </w:pPr>
            <w:r w:rsidRPr="00276F8C">
              <w:rPr>
                <w:sz w:val="20"/>
                <w:szCs w:val="20"/>
                <w:lang w:val="fr-CA"/>
              </w:rPr>
              <w:tab/>
            </w:r>
            <w:r w:rsidR="00276F8C">
              <w:rPr>
                <w:sz w:val="20"/>
                <w:szCs w:val="20"/>
                <w:lang w:val="fr-CA"/>
              </w:rPr>
              <w:t>c</w:t>
            </w:r>
            <w:r w:rsidRPr="00276F8C">
              <w:rPr>
                <w:sz w:val="20"/>
                <w:szCs w:val="20"/>
                <w:lang w:val="fr-CA"/>
              </w:rPr>
              <w:t>. (34</w:t>
            </w:r>
            <w:r w:rsidR="00276F8C" w:rsidRPr="00276F8C">
              <w:rPr>
                <w:sz w:val="20"/>
                <w:szCs w:val="20"/>
                <w:lang w:val="fr-CA"/>
              </w:rPr>
              <w:t>699</w:t>
            </w:r>
            <w:r w:rsidRPr="00276F8C">
              <w:rPr>
                <w:sz w:val="20"/>
                <w:szCs w:val="20"/>
                <w:lang w:val="fr-CA"/>
              </w:rPr>
              <w:t>)</w:t>
            </w:r>
          </w:p>
          <w:p w:rsidR="00EB4F1F" w:rsidRPr="00276F8C" w:rsidRDefault="00EB4F1F" w:rsidP="00EF503B">
            <w:pPr>
              <w:tabs>
                <w:tab w:val="left" w:pos="-1440"/>
                <w:tab w:val="left" w:pos="-720"/>
              </w:tabs>
              <w:rPr>
                <w:sz w:val="20"/>
                <w:szCs w:val="20"/>
                <w:lang w:val="fr-CA"/>
              </w:rPr>
            </w:pPr>
          </w:p>
          <w:p w:rsidR="00EB4F1F" w:rsidRPr="00276F8C" w:rsidRDefault="00276F8C" w:rsidP="00EF503B">
            <w:pPr>
              <w:tabs>
                <w:tab w:val="left" w:pos="-1440"/>
                <w:tab w:val="left" w:pos="-720"/>
              </w:tabs>
              <w:rPr>
                <w:b/>
                <w:sz w:val="20"/>
                <w:szCs w:val="20"/>
                <w:lang w:val="fr-CA"/>
              </w:rPr>
            </w:pPr>
            <w:r w:rsidRPr="00276F8C">
              <w:rPr>
                <w:b/>
                <w:sz w:val="20"/>
                <w:szCs w:val="20"/>
                <w:lang w:val="fr-CA"/>
              </w:rPr>
              <w:t xml:space="preserve">Autorité des marchés financiers </w:t>
            </w:r>
            <w:r w:rsidR="00EB4F1F" w:rsidRPr="00276F8C">
              <w:rPr>
                <w:b/>
                <w:sz w:val="20"/>
                <w:szCs w:val="20"/>
                <w:lang w:val="fr-CA"/>
              </w:rPr>
              <w:t>(</w:t>
            </w:r>
            <w:r w:rsidRPr="00276F8C">
              <w:rPr>
                <w:b/>
                <w:sz w:val="20"/>
                <w:szCs w:val="20"/>
                <w:lang w:val="fr-CA"/>
              </w:rPr>
              <w:t>Qc</w:t>
            </w:r>
            <w:r w:rsidR="00EB4F1F" w:rsidRPr="00276F8C">
              <w:rPr>
                <w:b/>
                <w:sz w:val="20"/>
                <w:szCs w:val="20"/>
                <w:lang w:val="fr-CA"/>
              </w:rPr>
              <w:t>)</w:t>
            </w:r>
          </w:p>
          <w:p w:rsidR="00EB4F1F" w:rsidRPr="00276F8C" w:rsidRDefault="00EB4F1F" w:rsidP="00EF503B">
            <w:pPr>
              <w:tabs>
                <w:tab w:val="left" w:pos="-1440"/>
                <w:tab w:val="left" w:pos="-720"/>
              </w:tabs>
              <w:rPr>
                <w:sz w:val="20"/>
                <w:szCs w:val="20"/>
                <w:lang w:val="fr-CA"/>
              </w:rPr>
            </w:pPr>
            <w:r w:rsidRPr="00276F8C">
              <w:rPr>
                <w:sz w:val="20"/>
                <w:szCs w:val="20"/>
                <w:lang w:val="fr-CA"/>
              </w:rPr>
              <w:tab/>
            </w:r>
            <w:r w:rsidR="00276F8C">
              <w:rPr>
                <w:sz w:val="20"/>
                <w:szCs w:val="20"/>
                <w:lang w:val="fr-CA"/>
              </w:rPr>
              <w:t>Tristan Desjardins</w:t>
            </w:r>
          </w:p>
          <w:p w:rsidR="00EB4F1F" w:rsidRPr="00276F8C" w:rsidRDefault="00EB4F1F" w:rsidP="00EF503B">
            <w:pPr>
              <w:tabs>
                <w:tab w:val="left" w:pos="-1440"/>
                <w:tab w:val="left" w:pos="-720"/>
              </w:tabs>
              <w:rPr>
                <w:sz w:val="20"/>
                <w:szCs w:val="20"/>
                <w:lang w:val="fr-CA"/>
              </w:rPr>
            </w:pPr>
            <w:r w:rsidRPr="00276F8C">
              <w:rPr>
                <w:sz w:val="20"/>
                <w:szCs w:val="20"/>
                <w:lang w:val="fr-CA"/>
              </w:rPr>
              <w:tab/>
            </w:r>
            <w:r w:rsidR="00276F8C">
              <w:rPr>
                <w:sz w:val="20"/>
                <w:szCs w:val="20"/>
                <w:lang w:val="fr-CA"/>
              </w:rPr>
              <w:t>Downs</w:t>
            </w:r>
            <w:r w:rsidR="00662715">
              <w:rPr>
                <w:sz w:val="20"/>
                <w:szCs w:val="20"/>
                <w:lang w:val="fr-CA"/>
              </w:rPr>
              <w:t xml:space="preserve"> </w:t>
            </w:r>
            <w:r w:rsidR="00276F8C">
              <w:rPr>
                <w:sz w:val="20"/>
                <w:szCs w:val="20"/>
                <w:lang w:val="fr-CA"/>
              </w:rPr>
              <w:t>Lepage, s.n.a.</w:t>
            </w:r>
          </w:p>
          <w:p w:rsidR="00EB4F1F" w:rsidRPr="00276F8C" w:rsidRDefault="00EB4F1F" w:rsidP="00EF503B">
            <w:pPr>
              <w:tabs>
                <w:tab w:val="left" w:pos="-1440"/>
                <w:tab w:val="left" w:pos="-720"/>
              </w:tabs>
              <w:rPr>
                <w:sz w:val="20"/>
                <w:szCs w:val="20"/>
                <w:lang w:val="fr-CA"/>
              </w:rPr>
            </w:pPr>
          </w:p>
          <w:p w:rsidR="00EB4F1F" w:rsidRPr="00A935AA" w:rsidRDefault="00EB4F1F" w:rsidP="00EF503B">
            <w:pPr>
              <w:rPr>
                <w:sz w:val="20"/>
                <w:szCs w:val="20"/>
              </w:rPr>
            </w:pPr>
            <w:r w:rsidRPr="00A935AA">
              <w:rPr>
                <w:sz w:val="20"/>
                <w:szCs w:val="20"/>
              </w:rPr>
              <w:t>DATE</w:t>
            </w:r>
            <w:r w:rsidR="00276F8C">
              <w:rPr>
                <w:sz w:val="20"/>
                <w:szCs w:val="20"/>
              </w:rPr>
              <w:t xml:space="preserve"> DE PRODUCTION </w:t>
            </w:r>
            <w:r w:rsidRPr="00A935AA">
              <w:rPr>
                <w:sz w:val="20"/>
                <w:szCs w:val="20"/>
              </w:rPr>
              <w:t xml:space="preserve">: </w:t>
            </w:r>
            <w:r w:rsidR="00276F8C">
              <w:rPr>
                <w:sz w:val="20"/>
                <w:szCs w:val="20"/>
              </w:rPr>
              <w:t>06</w:t>
            </w:r>
            <w:r w:rsidRPr="00A935AA">
              <w:rPr>
                <w:sz w:val="20"/>
                <w:szCs w:val="20"/>
              </w:rPr>
              <w:t>.0</w:t>
            </w:r>
            <w:r w:rsidR="00276F8C">
              <w:rPr>
                <w:sz w:val="20"/>
                <w:szCs w:val="20"/>
              </w:rPr>
              <w:t>3</w:t>
            </w:r>
            <w:r w:rsidRPr="00A935AA">
              <w:rPr>
                <w:sz w:val="20"/>
                <w:szCs w:val="20"/>
              </w:rPr>
              <w:t>.201</w:t>
            </w:r>
            <w:r>
              <w:rPr>
                <w:sz w:val="20"/>
                <w:szCs w:val="20"/>
              </w:rPr>
              <w:t>2</w:t>
            </w:r>
          </w:p>
          <w:p w:rsidR="00EB4F1F" w:rsidRPr="00A935AA" w:rsidRDefault="0011031E" w:rsidP="00EF503B">
            <w:pPr>
              <w:rPr>
                <w:sz w:val="20"/>
                <w:szCs w:val="20"/>
              </w:rPr>
            </w:pPr>
            <w:r w:rsidRPr="0011031E">
              <w:rPr>
                <w:sz w:val="20"/>
                <w:szCs w:val="20"/>
                <w:lang w:val="fr-CA"/>
              </w:rPr>
              <w:pict>
                <v:rect id="_x0000_i1031" style="width:108pt;height:1pt" o:hrpct="0" o:hralign="center" o:hrstd="t" o:hrnoshade="t" o:hr="t" fillcolor="black [3213]" stroked="f"/>
              </w:pict>
            </w:r>
          </w:p>
        </w:tc>
        <w:tc>
          <w:tcPr>
            <w:tcW w:w="1181" w:type="dxa"/>
            <w:shd w:val="clear" w:color="auto" w:fill="auto"/>
          </w:tcPr>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Default="00EB4F1F" w:rsidP="00242AEE">
            <w:pPr>
              <w:jc w:val="center"/>
              <w:rPr>
                <w:sz w:val="20"/>
                <w:szCs w:val="20"/>
              </w:rPr>
            </w:pPr>
          </w:p>
          <w:p w:rsidR="00EB4F1F" w:rsidRPr="00A935AA" w:rsidRDefault="00EB4F1F" w:rsidP="00242AEE">
            <w:pPr>
              <w:jc w:val="center"/>
              <w:rPr>
                <w:sz w:val="20"/>
                <w:szCs w:val="20"/>
              </w:rPr>
            </w:pPr>
          </w:p>
        </w:tc>
        <w:tc>
          <w:tcPr>
            <w:tcW w:w="4320" w:type="dxa"/>
            <w:shd w:val="clear" w:color="auto" w:fill="auto"/>
          </w:tcPr>
          <w:p w:rsidR="00EB4F1F" w:rsidRDefault="00EB4F1F" w:rsidP="00EF503B">
            <w:pPr>
              <w:keepNext/>
              <w:keepLines/>
              <w:tabs>
                <w:tab w:val="left" w:pos="-1440"/>
                <w:tab w:val="left" w:pos="-720"/>
              </w:tabs>
              <w:rPr>
                <w:b/>
                <w:sz w:val="20"/>
                <w:szCs w:val="20"/>
              </w:rPr>
            </w:pPr>
          </w:p>
          <w:p w:rsidR="00276F8C" w:rsidRPr="00A935AA" w:rsidRDefault="00276F8C" w:rsidP="00EF503B">
            <w:pPr>
              <w:keepNext/>
              <w:keepLines/>
              <w:tabs>
                <w:tab w:val="left" w:pos="-1440"/>
                <w:tab w:val="left" w:pos="-720"/>
              </w:tabs>
              <w:rPr>
                <w:b/>
                <w:sz w:val="20"/>
                <w:szCs w:val="20"/>
              </w:rPr>
            </w:pPr>
            <w:r>
              <w:rPr>
                <w:b/>
                <w:sz w:val="20"/>
                <w:szCs w:val="20"/>
              </w:rPr>
              <w:t>Anthony Diamond et al.</w:t>
            </w:r>
          </w:p>
          <w:p w:rsidR="00EB4F1F" w:rsidRPr="00A935AA" w:rsidRDefault="00EB4F1F" w:rsidP="00EF503B">
            <w:pPr>
              <w:keepNext/>
              <w:keepLines/>
              <w:tabs>
                <w:tab w:val="left" w:pos="-1440"/>
                <w:tab w:val="left" w:pos="-720"/>
              </w:tabs>
              <w:rPr>
                <w:sz w:val="20"/>
                <w:szCs w:val="20"/>
              </w:rPr>
            </w:pPr>
            <w:r w:rsidRPr="00A935AA">
              <w:rPr>
                <w:sz w:val="20"/>
                <w:szCs w:val="20"/>
              </w:rPr>
              <w:tab/>
            </w:r>
            <w:r w:rsidR="00F46FC4">
              <w:rPr>
                <w:sz w:val="20"/>
                <w:szCs w:val="20"/>
              </w:rPr>
              <w:t>David M. Midanik</w:t>
            </w:r>
          </w:p>
          <w:p w:rsidR="00EB4F1F" w:rsidRPr="00A935AA" w:rsidRDefault="00EB4F1F" w:rsidP="00EF503B">
            <w:pPr>
              <w:keepNext/>
              <w:keepLines/>
              <w:tabs>
                <w:tab w:val="left" w:pos="-1440"/>
                <w:tab w:val="left" w:pos="-720"/>
              </w:tabs>
              <w:rPr>
                <w:sz w:val="20"/>
                <w:szCs w:val="20"/>
              </w:rPr>
            </w:pPr>
          </w:p>
          <w:p w:rsidR="00EB4F1F" w:rsidRPr="00F46FC4" w:rsidRDefault="00EB4F1F" w:rsidP="00EF503B">
            <w:pPr>
              <w:keepNext/>
              <w:keepLines/>
              <w:tabs>
                <w:tab w:val="left" w:pos="-1440"/>
                <w:tab w:val="left" w:pos="-720"/>
              </w:tabs>
              <w:rPr>
                <w:sz w:val="20"/>
                <w:szCs w:val="20"/>
              </w:rPr>
            </w:pPr>
            <w:r w:rsidRPr="00A935AA">
              <w:rPr>
                <w:sz w:val="20"/>
                <w:szCs w:val="20"/>
              </w:rPr>
              <w:tab/>
            </w:r>
            <w:r w:rsidRPr="00F46FC4">
              <w:rPr>
                <w:sz w:val="20"/>
                <w:szCs w:val="20"/>
              </w:rPr>
              <w:t>v. (347</w:t>
            </w:r>
            <w:r w:rsidR="00F46FC4">
              <w:rPr>
                <w:sz w:val="20"/>
                <w:szCs w:val="20"/>
              </w:rPr>
              <w:t>00</w:t>
            </w:r>
            <w:r w:rsidRPr="00F46FC4">
              <w:rPr>
                <w:sz w:val="20"/>
                <w:szCs w:val="20"/>
              </w:rPr>
              <w:t>)</w:t>
            </w:r>
          </w:p>
          <w:p w:rsidR="00EB4F1F" w:rsidRPr="00F46FC4" w:rsidRDefault="00EB4F1F" w:rsidP="00EF503B">
            <w:pPr>
              <w:keepNext/>
              <w:keepLines/>
              <w:tabs>
                <w:tab w:val="left" w:pos="-1440"/>
                <w:tab w:val="left" w:pos="-720"/>
              </w:tabs>
              <w:rPr>
                <w:sz w:val="20"/>
                <w:szCs w:val="20"/>
              </w:rPr>
            </w:pPr>
          </w:p>
          <w:p w:rsidR="00EB4F1F" w:rsidRPr="00197CDB" w:rsidRDefault="00F46FC4" w:rsidP="00EF503B">
            <w:pPr>
              <w:keepNext/>
              <w:keepLines/>
              <w:tabs>
                <w:tab w:val="left" w:pos="-1440"/>
                <w:tab w:val="left" w:pos="-720"/>
              </w:tabs>
              <w:rPr>
                <w:b/>
                <w:sz w:val="20"/>
                <w:szCs w:val="20"/>
              </w:rPr>
            </w:pPr>
            <w:r w:rsidRPr="00197CDB">
              <w:rPr>
                <w:b/>
                <w:sz w:val="20"/>
                <w:szCs w:val="20"/>
              </w:rPr>
              <w:t xml:space="preserve">Danny Doobay et al. </w:t>
            </w:r>
            <w:r w:rsidR="00EB4F1F" w:rsidRPr="00197CDB">
              <w:rPr>
                <w:b/>
                <w:sz w:val="20"/>
                <w:szCs w:val="20"/>
              </w:rPr>
              <w:t>(Ont.)</w:t>
            </w:r>
          </w:p>
          <w:p w:rsidR="00EB4F1F" w:rsidRPr="00F46FC4" w:rsidRDefault="00EB4F1F" w:rsidP="00EF503B">
            <w:pPr>
              <w:keepNext/>
              <w:keepLines/>
              <w:tabs>
                <w:tab w:val="left" w:pos="-1440"/>
                <w:tab w:val="left" w:pos="-720"/>
              </w:tabs>
              <w:rPr>
                <w:sz w:val="20"/>
                <w:szCs w:val="20"/>
              </w:rPr>
            </w:pPr>
            <w:r w:rsidRPr="00197CDB">
              <w:rPr>
                <w:sz w:val="20"/>
                <w:szCs w:val="20"/>
              </w:rPr>
              <w:tab/>
            </w:r>
            <w:r w:rsidR="00F46FC4" w:rsidRPr="00F46FC4">
              <w:rPr>
                <w:sz w:val="20"/>
                <w:szCs w:val="20"/>
              </w:rPr>
              <w:t>Simon Bieber</w:t>
            </w:r>
          </w:p>
          <w:p w:rsidR="00EB4F1F" w:rsidRPr="00F46FC4" w:rsidRDefault="00EB4F1F" w:rsidP="00EF503B">
            <w:pPr>
              <w:keepNext/>
              <w:keepLines/>
              <w:tabs>
                <w:tab w:val="left" w:pos="-1440"/>
                <w:tab w:val="left" w:pos="-720"/>
              </w:tabs>
              <w:rPr>
                <w:sz w:val="20"/>
                <w:szCs w:val="20"/>
              </w:rPr>
            </w:pPr>
            <w:r w:rsidRPr="00F46FC4">
              <w:rPr>
                <w:sz w:val="20"/>
                <w:szCs w:val="20"/>
              </w:rPr>
              <w:tab/>
            </w:r>
            <w:r w:rsidR="00F46FC4" w:rsidRPr="00F46FC4">
              <w:rPr>
                <w:sz w:val="20"/>
                <w:szCs w:val="20"/>
              </w:rPr>
              <w:t>Wardle Daley Bernstein LLP</w:t>
            </w:r>
          </w:p>
          <w:p w:rsidR="00EB4F1F" w:rsidRPr="00F46FC4" w:rsidRDefault="00EB4F1F" w:rsidP="00EF503B">
            <w:pPr>
              <w:rPr>
                <w:sz w:val="20"/>
                <w:szCs w:val="20"/>
              </w:rPr>
            </w:pPr>
          </w:p>
          <w:p w:rsidR="00EB4F1F" w:rsidRPr="00A935AA" w:rsidRDefault="00EB4F1F" w:rsidP="00F46FC4">
            <w:pPr>
              <w:rPr>
                <w:sz w:val="20"/>
                <w:szCs w:val="20"/>
              </w:rPr>
            </w:pPr>
            <w:r w:rsidRPr="00A935AA">
              <w:rPr>
                <w:sz w:val="20"/>
                <w:szCs w:val="20"/>
              </w:rPr>
              <w:t xml:space="preserve">FILING DATE: </w:t>
            </w:r>
            <w:r w:rsidR="00F46FC4">
              <w:rPr>
                <w:sz w:val="20"/>
                <w:szCs w:val="20"/>
              </w:rPr>
              <w:t>06</w:t>
            </w:r>
            <w:r w:rsidRPr="00A935AA">
              <w:rPr>
                <w:sz w:val="20"/>
                <w:szCs w:val="20"/>
              </w:rPr>
              <w:t>.0</w:t>
            </w:r>
            <w:r w:rsidR="00F46FC4">
              <w:rPr>
                <w:sz w:val="20"/>
                <w:szCs w:val="20"/>
              </w:rPr>
              <w:t>3</w:t>
            </w:r>
            <w:r w:rsidRPr="00A935AA">
              <w:rPr>
                <w:sz w:val="20"/>
                <w:szCs w:val="20"/>
              </w:rPr>
              <w:t>.201</w:t>
            </w:r>
            <w:r>
              <w:rPr>
                <w:sz w:val="20"/>
                <w:szCs w:val="20"/>
              </w:rPr>
              <w:t>2</w:t>
            </w:r>
            <w:r w:rsidR="0011031E" w:rsidRPr="0011031E">
              <w:rPr>
                <w:sz w:val="20"/>
                <w:szCs w:val="20"/>
                <w:lang w:val="fr-CA"/>
              </w:rPr>
              <w:pict>
                <v:rect id="_x0000_i1032" style="width:108pt;height:1pt" o:hrpct="0" o:hralign="center" o:hrstd="t" o:hrnoshade="t" o:hr="t" fillcolor="black [3213]" stroked="f"/>
              </w:pict>
            </w:r>
          </w:p>
        </w:tc>
      </w:tr>
      <w:tr w:rsidR="00EB4F1F" w:rsidRPr="00A935AA" w:rsidTr="003B3977">
        <w:trPr>
          <w:cantSplit/>
        </w:trPr>
        <w:tc>
          <w:tcPr>
            <w:tcW w:w="4320" w:type="dxa"/>
            <w:shd w:val="clear" w:color="auto" w:fill="auto"/>
          </w:tcPr>
          <w:p w:rsidR="00EB4F1F" w:rsidRPr="00A935AA" w:rsidRDefault="00F46FC4" w:rsidP="00EF503B">
            <w:pPr>
              <w:rPr>
                <w:b/>
                <w:sz w:val="20"/>
                <w:szCs w:val="20"/>
              </w:rPr>
            </w:pPr>
            <w:r>
              <w:rPr>
                <w:b/>
                <w:sz w:val="20"/>
                <w:szCs w:val="20"/>
              </w:rPr>
              <w:lastRenderedPageBreak/>
              <w:t>Albert Green</w:t>
            </w:r>
          </w:p>
          <w:p w:rsidR="00EB4F1F" w:rsidRPr="00A935AA" w:rsidRDefault="00EB4F1F" w:rsidP="00EF503B">
            <w:pPr>
              <w:tabs>
                <w:tab w:val="left" w:pos="-1440"/>
                <w:tab w:val="left" w:pos="-720"/>
              </w:tabs>
              <w:rPr>
                <w:sz w:val="20"/>
                <w:szCs w:val="20"/>
              </w:rPr>
            </w:pPr>
            <w:r w:rsidRPr="00A935AA">
              <w:rPr>
                <w:sz w:val="20"/>
                <w:szCs w:val="20"/>
              </w:rPr>
              <w:tab/>
            </w:r>
            <w:r w:rsidR="00F46FC4">
              <w:rPr>
                <w:sz w:val="20"/>
                <w:szCs w:val="20"/>
              </w:rPr>
              <w:t>Todd J. McCarthy</w:t>
            </w:r>
          </w:p>
          <w:p w:rsidR="00EB4F1F" w:rsidRPr="00A935AA" w:rsidRDefault="00EB4F1F" w:rsidP="00EF503B">
            <w:pPr>
              <w:tabs>
                <w:tab w:val="left" w:pos="-1440"/>
                <w:tab w:val="left" w:pos="-720"/>
              </w:tabs>
              <w:rPr>
                <w:sz w:val="20"/>
                <w:szCs w:val="20"/>
              </w:rPr>
            </w:pPr>
            <w:r w:rsidRPr="00A935AA">
              <w:rPr>
                <w:sz w:val="20"/>
                <w:szCs w:val="20"/>
              </w:rPr>
              <w:tab/>
            </w:r>
            <w:r w:rsidR="00F46FC4">
              <w:rPr>
                <w:sz w:val="20"/>
                <w:szCs w:val="20"/>
              </w:rPr>
              <w:t>Flaherty Dow Elliott &amp; McCarthy</w:t>
            </w:r>
          </w:p>
          <w:p w:rsidR="00EB4F1F" w:rsidRPr="00A935AA" w:rsidRDefault="00EB4F1F" w:rsidP="00EF503B">
            <w:pPr>
              <w:tabs>
                <w:tab w:val="left" w:pos="-1440"/>
                <w:tab w:val="left" w:pos="-720"/>
              </w:tabs>
              <w:rPr>
                <w:sz w:val="20"/>
                <w:szCs w:val="20"/>
              </w:rPr>
            </w:pPr>
          </w:p>
          <w:p w:rsidR="00EB4F1F" w:rsidRPr="00A935AA" w:rsidRDefault="00EB4F1F" w:rsidP="00EF503B">
            <w:pPr>
              <w:tabs>
                <w:tab w:val="left" w:pos="-1440"/>
                <w:tab w:val="left" w:pos="-720"/>
              </w:tabs>
              <w:rPr>
                <w:sz w:val="20"/>
                <w:szCs w:val="20"/>
              </w:rPr>
            </w:pPr>
            <w:r w:rsidRPr="00A935AA">
              <w:rPr>
                <w:sz w:val="20"/>
                <w:szCs w:val="20"/>
              </w:rPr>
              <w:tab/>
              <w:t>v. (3</w:t>
            </w:r>
            <w:r>
              <w:rPr>
                <w:sz w:val="20"/>
                <w:szCs w:val="20"/>
              </w:rPr>
              <w:t>4</w:t>
            </w:r>
            <w:r w:rsidRPr="00A935AA">
              <w:rPr>
                <w:sz w:val="20"/>
                <w:szCs w:val="20"/>
              </w:rPr>
              <w:t>7</w:t>
            </w:r>
            <w:r w:rsidR="00F46FC4">
              <w:rPr>
                <w:sz w:val="20"/>
                <w:szCs w:val="20"/>
              </w:rPr>
              <w:t>01</w:t>
            </w:r>
            <w:r w:rsidRPr="00A935AA">
              <w:rPr>
                <w:sz w:val="20"/>
                <w:szCs w:val="20"/>
              </w:rPr>
              <w:t>)</w:t>
            </w:r>
          </w:p>
          <w:p w:rsidR="00EB4F1F" w:rsidRPr="00A935AA" w:rsidRDefault="00EB4F1F" w:rsidP="00EF503B">
            <w:pPr>
              <w:tabs>
                <w:tab w:val="left" w:pos="-1440"/>
                <w:tab w:val="left" w:pos="-720"/>
              </w:tabs>
              <w:rPr>
                <w:sz w:val="20"/>
                <w:szCs w:val="20"/>
              </w:rPr>
            </w:pPr>
          </w:p>
          <w:p w:rsidR="00EB4F1F" w:rsidRPr="00A935AA" w:rsidRDefault="00F46FC4" w:rsidP="00EF503B">
            <w:pPr>
              <w:tabs>
                <w:tab w:val="left" w:pos="-1440"/>
                <w:tab w:val="left" w:pos="-720"/>
              </w:tabs>
              <w:rPr>
                <w:b/>
                <w:sz w:val="20"/>
                <w:szCs w:val="20"/>
              </w:rPr>
            </w:pPr>
            <w:r>
              <w:rPr>
                <w:b/>
                <w:sz w:val="20"/>
                <w:szCs w:val="20"/>
              </w:rPr>
              <w:t xml:space="preserve">Carmen Placzek </w:t>
            </w:r>
            <w:r w:rsidR="00EB4F1F" w:rsidRPr="00A935AA">
              <w:rPr>
                <w:b/>
                <w:sz w:val="20"/>
                <w:szCs w:val="20"/>
              </w:rPr>
              <w:t>(</w:t>
            </w:r>
            <w:r>
              <w:rPr>
                <w:b/>
                <w:sz w:val="20"/>
                <w:szCs w:val="20"/>
              </w:rPr>
              <w:t>Ont</w:t>
            </w:r>
            <w:r w:rsidR="00EB4F1F" w:rsidRPr="00A935AA">
              <w:rPr>
                <w:b/>
                <w:sz w:val="20"/>
                <w:szCs w:val="20"/>
              </w:rPr>
              <w:t>.)</w:t>
            </w:r>
          </w:p>
          <w:p w:rsidR="00EB4F1F" w:rsidRPr="00A935AA" w:rsidRDefault="00EB4F1F" w:rsidP="00EF503B">
            <w:pPr>
              <w:tabs>
                <w:tab w:val="left" w:pos="-1440"/>
                <w:tab w:val="left" w:pos="-720"/>
              </w:tabs>
              <w:rPr>
                <w:sz w:val="20"/>
                <w:szCs w:val="20"/>
              </w:rPr>
            </w:pPr>
            <w:r w:rsidRPr="00A935AA">
              <w:rPr>
                <w:sz w:val="20"/>
                <w:szCs w:val="20"/>
              </w:rPr>
              <w:tab/>
            </w:r>
            <w:r w:rsidR="00F46FC4">
              <w:rPr>
                <w:sz w:val="20"/>
                <w:szCs w:val="20"/>
              </w:rPr>
              <w:t>Barbara L. Legate</w:t>
            </w:r>
          </w:p>
          <w:p w:rsidR="00EB4F1F" w:rsidRPr="00A935AA" w:rsidRDefault="00EB4F1F" w:rsidP="00EF503B">
            <w:pPr>
              <w:tabs>
                <w:tab w:val="left" w:pos="-1440"/>
                <w:tab w:val="left" w:pos="-720"/>
              </w:tabs>
              <w:rPr>
                <w:sz w:val="20"/>
                <w:szCs w:val="20"/>
              </w:rPr>
            </w:pPr>
            <w:r w:rsidRPr="00A935AA">
              <w:rPr>
                <w:sz w:val="20"/>
                <w:szCs w:val="20"/>
              </w:rPr>
              <w:tab/>
            </w:r>
            <w:r w:rsidR="00F46FC4">
              <w:rPr>
                <w:sz w:val="20"/>
                <w:szCs w:val="20"/>
              </w:rPr>
              <w:t>Legate &amp; Associates</w:t>
            </w:r>
          </w:p>
          <w:p w:rsidR="00EB4F1F" w:rsidRPr="00A935AA" w:rsidRDefault="00EB4F1F" w:rsidP="00EF503B">
            <w:pPr>
              <w:tabs>
                <w:tab w:val="left" w:pos="-1440"/>
                <w:tab w:val="left" w:pos="-720"/>
              </w:tabs>
              <w:rPr>
                <w:sz w:val="20"/>
                <w:szCs w:val="20"/>
              </w:rPr>
            </w:pPr>
          </w:p>
          <w:p w:rsidR="00EB4F1F" w:rsidRPr="00A935AA" w:rsidRDefault="00EB4F1F" w:rsidP="00EF503B">
            <w:pPr>
              <w:rPr>
                <w:sz w:val="20"/>
                <w:szCs w:val="20"/>
              </w:rPr>
            </w:pPr>
            <w:r w:rsidRPr="00A935AA">
              <w:rPr>
                <w:sz w:val="20"/>
                <w:szCs w:val="20"/>
              </w:rPr>
              <w:t xml:space="preserve">FILING DATE: </w:t>
            </w:r>
            <w:r w:rsidR="00F46FC4">
              <w:rPr>
                <w:sz w:val="20"/>
                <w:szCs w:val="20"/>
              </w:rPr>
              <w:t>0</w:t>
            </w:r>
            <w:r w:rsidRPr="00A935AA">
              <w:rPr>
                <w:sz w:val="20"/>
                <w:szCs w:val="20"/>
              </w:rPr>
              <w:t>7.0</w:t>
            </w:r>
            <w:r w:rsidR="00F46FC4">
              <w:rPr>
                <w:sz w:val="20"/>
                <w:szCs w:val="20"/>
              </w:rPr>
              <w:t>3</w:t>
            </w:r>
            <w:r w:rsidRPr="00A935AA">
              <w:rPr>
                <w:sz w:val="20"/>
                <w:szCs w:val="20"/>
              </w:rPr>
              <w:t>.201</w:t>
            </w:r>
            <w:r>
              <w:rPr>
                <w:sz w:val="20"/>
                <w:szCs w:val="20"/>
              </w:rPr>
              <w:t>2</w:t>
            </w:r>
          </w:p>
          <w:p w:rsidR="00EB4F1F" w:rsidRPr="00A935AA" w:rsidRDefault="0011031E" w:rsidP="00EF503B">
            <w:pPr>
              <w:rPr>
                <w:sz w:val="20"/>
                <w:szCs w:val="20"/>
              </w:rPr>
            </w:pPr>
            <w:r w:rsidRPr="0011031E">
              <w:rPr>
                <w:sz w:val="20"/>
                <w:szCs w:val="20"/>
                <w:lang w:val="fr-CA"/>
              </w:rPr>
              <w:pict>
                <v:rect id="_x0000_i1033" style="width:108pt;height:1pt" o:hrpct="0" o:hralign="center" o:hrstd="t" o:hrnoshade="t" o:hr="t" fillcolor="black [3213]" stroked="f"/>
              </w:pict>
            </w:r>
          </w:p>
        </w:tc>
        <w:tc>
          <w:tcPr>
            <w:tcW w:w="1181" w:type="dxa"/>
            <w:shd w:val="clear" w:color="auto" w:fill="auto"/>
          </w:tcPr>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p w:rsidR="00EB4F1F" w:rsidRPr="00A935AA" w:rsidRDefault="00EB4F1F" w:rsidP="00242AEE">
            <w:pPr>
              <w:jc w:val="center"/>
              <w:rPr>
                <w:sz w:val="20"/>
                <w:szCs w:val="20"/>
              </w:rPr>
            </w:pPr>
          </w:p>
        </w:tc>
        <w:tc>
          <w:tcPr>
            <w:tcW w:w="4320" w:type="dxa"/>
            <w:shd w:val="clear" w:color="auto" w:fill="auto"/>
          </w:tcPr>
          <w:p w:rsidR="00EB4F1F" w:rsidRPr="00A935AA" w:rsidRDefault="00EB4F1F" w:rsidP="00EF503B">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EB4F1F">
          <w:headerReference w:type="default" r:id="rId16"/>
          <w:footerReference w:type="default" r:id="rId17"/>
          <w:headerReference w:type="first" r:id="rId18"/>
          <w:footerReference w:type="first" r:id="rId19"/>
          <w:pgSz w:w="12240" w:h="15840"/>
          <w:pgMar w:top="720" w:right="965" w:bottom="1080" w:left="1656" w:header="706" w:footer="706" w:gutter="0"/>
          <w:pgNumType w:start="38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7D5BF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B7F60" w:rsidP="004B7F60">
      <w:pPr>
        <w:widowControl w:val="0"/>
        <w:rPr>
          <w:b/>
          <w:sz w:val="20"/>
          <w:szCs w:val="20"/>
        </w:rPr>
      </w:pPr>
      <w:r>
        <w:rPr>
          <w:b/>
          <w:sz w:val="20"/>
          <w:szCs w:val="20"/>
        </w:rPr>
        <w:t>M</w:t>
      </w:r>
      <w:r w:rsidR="00B16110">
        <w:rPr>
          <w:b/>
          <w:sz w:val="20"/>
          <w:szCs w:val="20"/>
        </w:rPr>
        <w:t>A</w:t>
      </w:r>
      <w:r>
        <w:rPr>
          <w:b/>
          <w:sz w:val="20"/>
          <w:szCs w:val="20"/>
        </w:rPr>
        <w:t>R</w:t>
      </w:r>
      <w:r w:rsidR="00B16110">
        <w:rPr>
          <w:b/>
          <w:sz w:val="20"/>
          <w:szCs w:val="20"/>
        </w:rPr>
        <w:t>CH</w:t>
      </w:r>
      <w:r w:rsidRPr="00C50A5C">
        <w:rPr>
          <w:b/>
          <w:sz w:val="20"/>
          <w:szCs w:val="20"/>
        </w:rPr>
        <w:t xml:space="preserve"> </w:t>
      </w:r>
      <w:r w:rsidR="00B16110">
        <w:rPr>
          <w:b/>
          <w:sz w:val="20"/>
          <w:szCs w:val="20"/>
        </w:rPr>
        <w:t>19</w:t>
      </w:r>
      <w:r w:rsidRPr="00C50A5C">
        <w:rPr>
          <w:b/>
          <w:sz w:val="20"/>
          <w:szCs w:val="20"/>
        </w:rPr>
        <w:t>, 201</w:t>
      </w:r>
      <w:r w:rsidR="00B16110">
        <w:rPr>
          <w:b/>
          <w:sz w:val="20"/>
          <w:szCs w:val="20"/>
        </w:rPr>
        <w:t>2</w:t>
      </w:r>
      <w:r w:rsidRPr="00C50A5C">
        <w:rPr>
          <w:b/>
          <w:sz w:val="20"/>
          <w:szCs w:val="20"/>
        </w:rPr>
        <w:t xml:space="preserve"> / LE </w:t>
      </w:r>
      <w:r w:rsidR="00B16110">
        <w:rPr>
          <w:b/>
          <w:sz w:val="20"/>
          <w:szCs w:val="20"/>
        </w:rPr>
        <w:t xml:space="preserve">19 </w:t>
      </w:r>
      <w:r>
        <w:rPr>
          <w:b/>
          <w:sz w:val="20"/>
          <w:szCs w:val="20"/>
        </w:rPr>
        <w:t>M</w:t>
      </w:r>
      <w:r w:rsidR="00B16110">
        <w:rPr>
          <w:b/>
          <w:sz w:val="20"/>
          <w:szCs w:val="20"/>
        </w:rPr>
        <w:t>ARS</w:t>
      </w:r>
      <w:r w:rsidRPr="00C50A5C">
        <w:rPr>
          <w:b/>
          <w:sz w:val="20"/>
          <w:szCs w:val="20"/>
        </w:rPr>
        <w:t xml:space="preserve"> 201</w:t>
      </w:r>
      <w:r w:rsidR="00B16110">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4A2E2B" w:rsidP="004B7F60">
      <w:pPr>
        <w:pStyle w:val="ListParagraph"/>
        <w:widowControl w:val="0"/>
        <w:numPr>
          <w:ilvl w:val="0"/>
          <w:numId w:val="1"/>
        </w:numPr>
        <w:ind w:hanging="720"/>
        <w:jc w:val="both"/>
        <w:rPr>
          <w:sz w:val="20"/>
          <w:szCs w:val="20"/>
        </w:rPr>
      </w:pPr>
      <w:r w:rsidRPr="004A2E2B">
        <w:rPr>
          <w:i/>
          <w:sz w:val="20"/>
          <w:szCs w:val="20"/>
        </w:rPr>
        <w:t>William Joseph Black v. Her Majesty the Queen et al.</w:t>
      </w:r>
      <w:r w:rsidRPr="004A2E2B">
        <w:rPr>
          <w:sz w:val="20"/>
          <w:szCs w:val="20"/>
        </w:rPr>
        <w:t xml:space="preserve"> (Alta.) (Crim</w:t>
      </w:r>
      <w:r>
        <w:rPr>
          <w:sz w:val="20"/>
          <w:szCs w:val="20"/>
        </w:rPr>
        <w:t>.</w:t>
      </w:r>
      <w:r w:rsidRPr="004A2E2B">
        <w:rPr>
          <w:sz w:val="20"/>
          <w:szCs w:val="20"/>
        </w:rPr>
        <w:t>) (By Leave)</w:t>
      </w:r>
      <w:r w:rsidRPr="00C50A5C">
        <w:rPr>
          <w:sz w:val="20"/>
          <w:szCs w:val="20"/>
        </w:rPr>
        <w:t xml:space="preserve"> </w:t>
      </w:r>
      <w:r w:rsidR="004B7F60" w:rsidRPr="00C50A5C">
        <w:rPr>
          <w:sz w:val="20"/>
          <w:szCs w:val="20"/>
        </w:rPr>
        <w:t>(3</w:t>
      </w:r>
      <w:r w:rsidR="004B7F60">
        <w:rPr>
          <w:sz w:val="20"/>
          <w:szCs w:val="20"/>
        </w:rPr>
        <w:t>4</w:t>
      </w:r>
      <w:r>
        <w:rPr>
          <w:sz w:val="20"/>
          <w:szCs w:val="20"/>
        </w:rPr>
        <w:t>6</w:t>
      </w:r>
      <w:r w:rsidR="004B7F60">
        <w:rPr>
          <w:sz w:val="20"/>
          <w:szCs w:val="20"/>
        </w:rPr>
        <w:t>4</w:t>
      </w:r>
      <w:r>
        <w:rPr>
          <w:sz w:val="20"/>
          <w:szCs w:val="20"/>
        </w:rPr>
        <w:t>8</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4A2E2B" w:rsidP="004B7F60">
      <w:pPr>
        <w:pStyle w:val="ListParagraph"/>
        <w:widowControl w:val="0"/>
        <w:numPr>
          <w:ilvl w:val="0"/>
          <w:numId w:val="1"/>
        </w:numPr>
        <w:ind w:hanging="720"/>
        <w:jc w:val="both"/>
        <w:rPr>
          <w:sz w:val="20"/>
          <w:szCs w:val="20"/>
        </w:rPr>
      </w:pPr>
      <w:r w:rsidRPr="004A2E2B">
        <w:rPr>
          <w:i/>
          <w:sz w:val="20"/>
          <w:szCs w:val="20"/>
        </w:rPr>
        <w:t>D.J.W. v. Her Majesty the Queen</w:t>
      </w:r>
      <w:r w:rsidRPr="004A2E2B">
        <w:rPr>
          <w:sz w:val="20"/>
          <w:szCs w:val="20"/>
        </w:rPr>
        <w:t xml:space="preserve"> (B.C.) (Crim</w:t>
      </w:r>
      <w:r>
        <w:rPr>
          <w:sz w:val="20"/>
          <w:szCs w:val="20"/>
        </w:rPr>
        <w:t>.</w:t>
      </w:r>
      <w:r w:rsidRPr="004A2E2B">
        <w:rPr>
          <w:sz w:val="20"/>
          <w:szCs w:val="20"/>
        </w:rPr>
        <w:t>) (As of Right / By Leave)</w:t>
      </w:r>
      <w:r>
        <w:rPr>
          <w:sz w:val="20"/>
          <w:szCs w:val="20"/>
        </w:rPr>
        <w:t xml:space="preserve"> </w:t>
      </w:r>
      <w:r w:rsidR="004B7F60" w:rsidRPr="00C612D0">
        <w:rPr>
          <w:sz w:val="20"/>
          <w:szCs w:val="20"/>
        </w:rPr>
        <w:t>(34</w:t>
      </w:r>
      <w:r>
        <w:rPr>
          <w:sz w:val="20"/>
          <w:szCs w:val="20"/>
        </w:rPr>
        <w:t>6</w:t>
      </w:r>
      <w:r w:rsidR="004B7F60" w:rsidRPr="00C612D0">
        <w:rPr>
          <w:sz w:val="20"/>
          <w:szCs w:val="20"/>
        </w:rPr>
        <w:t>2</w:t>
      </w:r>
      <w:r>
        <w:rPr>
          <w:sz w:val="20"/>
          <w:szCs w:val="20"/>
        </w:rPr>
        <w:t>3</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4A2E2B" w:rsidP="004B7F60">
      <w:pPr>
        <w:pStyle w:val="ListParagraph"/>
        <w:widowControl w:val="0"/>
        <w:numPr>
          <w:ilvl w:val="0"/>
          <w:numId w:val="1"/>
        </w:numPr>
        <w:ind w:hanging="720"/>
        <w:jc w:val="both"/>
        <w:rPr>
          <w:sz w:val="20"/>
          <w:szCs w:val="20"/>
        </w:rPr>
      </w:pPr>
      <w:r w:rsidRPr="004A2E2B">
        <w:rPr>
          <w:i/>
          <w:sz w:val="20"/>
          <w:szCs w:val="20"/>
        </w:rPr>
        <w:t>Ellen Smith v. Inco Limited</w:t>
      </w:r>
      <w:r w:rsidRPr="004A2E2B">
        <w:rPr>
          <w:sz w:val="20"/>
          <w:szCs w:val="20"/>
        </w:rPr>
        <w:t xml:space="preserve"> (Ont.) (Civil) (By Leave)</w:t>
      </w:r>
      <w:r w:rsidRPr="00940CAD">
        <w:rPr>
          <w:sz w:val="20"/>
          <w:szCs w:val="20"/>
        </w:rPr>
        <w:t xml:space="preserve"> </w:t>
      </w:r>
      <w:r w:rsidR="004B7F60" w:rsidRPr="00940CAD">
        <w:rPr>
          <w:sz w:val="20"/>
          <w:szCs w:val="20"/>
        </w:rPr>
        <w:t>(34</w:t>
      </w:r>
      <w:r>
        <w:rPr>
          <w:sz w:val="20"/>
          <w:szCs w:val="20"/>
        </w:rPr>
        <w:t>5</w:t>
      </w:r>
      <w:r w:rsidR="004B7F60" w:rsidRPr="00940CAD">
        <w:rPr>
          <w:sz w:val="20"/>
          <w:szCs w:val="20"/>
        </w:rPr>
        <w:t>6</w:t>
      </w:r>
      <w:r>
        <w:rPr>
          <w:sz w:val="20"/>
          <w:szCs w:val="20"/>
        </w:rPr>
        <w:t>1</w:t>
      </w:r>
      <w:r w:rsidR="004B7F60" w:rsidRPr="00940CAD">
        <w:rPr>
          <w:sz w:val="20"/>
          <w:szCs w:val="20"/>
        </w:rPr>
        <w:t>)</w:t>
      </w:r>
    </w:p>
    <w:p w:rsidR="004B7F60" w:rsidRDefault="004B7F60" w:rsidP="004B7F60">
      <w:pPr>
        <w:widowControl w:val="0"/>
        <w:rPr>
          <w:sz w:val="20"/>
          <w:szCs w:val="20"/>
        </w:rPr>
      </w:pPr>
    </w:p>
    <w:p w:rsidR="004A2E2B" w:rsidRDefault="004A2E2B" w:rsidP="004B7F60">
      <w:pPr>
        <w:widowControl w:val="0"/>
        <w:rPr>
          <w:sz w:val="20"/>
          <w:szCs w:val="20"/>
        </w:rPr>
      </w:pPr>
    </w:p>
    <w:p w:rsidR="004A2E2B" w:rsidRPr="00C50A5C" w:rsidRDefault="004A2E2B" w:rsidP="004A2E2B">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4A2E2B" w:rsidRPr="00C50A5C" w:rsidRDefault="004A2E2B" w:rsidP="004A2E2B">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4A2E2B" w:rsidRPr="004A2E2B" w:rsidRDefault="004A2E2B" w:rsidP="004B7F60">
      <w:pPr>
        <w:widowControl w:val="0"/>
        <w:rPr>
          <w:sz w:val="20"/>
          <w:szCs w:val="20"/>
          <w:lang w:val="fr-CA"/>
        </w:rPr>
      </w:pPr>
    </w:p>
    <w:p w:rsidR="004B7F60" w:rsidRPr="004A2E2B" w:rsidRDefault="004A2E2B" w:rsidP="004B7F60">
      <w:pPr>
        <w:pStyle w:val="ListParagraph"/>
        <w:widowControl w:val="0"/>
        <w:numPr>
          <w:ilvl w:val="0"/>
          <w:numId w:val="1"/>
        </w:numPr>
        <w:ind w:hanging="720"/>
        <w:jc w:val="both"/>
        <w:rPr>
          <w:sz w:val="20"/>
          <w:szCs w:val="20"/>
          <w:lang w:val="fr-CA"/>
        </w:rPr>
      </w:pPr>
      <w:r w:rsidRPr="004A2E2B">
        <w:rPr>
          <w:i/>
          <w:sz w:val="20"/>
          <w:szCs w:val="20"/>
          <w:lang w:val="fr-CA"/>
        </w:rPr>
        <w:t>Coastal Contacts Inc. et autre c. Ordre des optométristes du Québec</w:t>
      </w:r>
      <w:r w:rsidRPr="004A2E2B">
        <w:rPr>
          <w:sz w:val="20"/>
          <w:szCs w:val="20"/>
          <w:lang w:val="fr-CA"/>
        </w:rPr>
        <w:t xml:space="preserve"> (Qc) (Civile) (Autorisation) </w:t>
      </w:r>
      <w:r w:rsidR="004B7F60" w:rsidRPr="004A2E2B">
        <w:rPr>
          <w:sz w:val="20"/>
          <w:szCs w:val="20"/>
          <w:lang w:val="fr-CA"/>
        </w:rPr>
        <w:t>(34</w:t>
      </w:r>
      <w:r w:rsidRPr="004A2E2B">
        <w:rPr>
          <w:sz w:val="20"/>
          <w:szCs w:val="20"/>
          <w:lang w:val="fr-CA"/>
        </w:rPr>
        <w:t>56</w:t>
      </w:r>
      <w:r w:rsidR="004B7F60" w:rsidRPr="004A2E2B">
        <w:rPr>
          <w:sz w:val="20"/>
          <w:szCs w:val="20"/>
          <w:lang w:val="fr-CA"/>
        </w:rPr>
        <w:t>3)</w:t>
      </w:r>
    </w:p>
    <w:p w:rsidR="004B7F60" w:rsidRPr="00C16CB3" w:rsidRDefault="004B7F60" w:rsidP="004B7F60">
      <w:pPr>
        <w:widowControl w:val="0"/>
        <w:jc w:val="both"/>
        <w:rPr>
          <w:sz w:val="20"/>
          <w:szCs w:val="20"/>
          <w:lang w:val="fr-CA"/>
        </w:rPr>
      </w:pPr>
    </w:p>
    <w:p w:rsidR="004B7F60" w:rsidRPr="00C612D0" w:rsidRDefault="004A2E2B" w:rsidP="004B7F60">
      <w:pPr>
        <w:pStyle w:val="ListParagraph"/>
        <w:widowControl w:val="0"/>
        <w:numPr>
          <w:ilvl w:val="0"/>
          <w:numId w:val="1"/>
        </w:numPr>
        <w:ind w:hanging="720"/>
        <w:jc w:val="both"/>
        <w:rPr>
          <w:sz w:val="20"/>
          <w:szCs w:val="20"/>
          <w:lang w:val="fr-CA"/>
        </w:rPr>
      </w:pPr>
      <w:r w:rsidRPr="004A2E2B">
        <w:rPr>
          <w:i/>
          <w:sz w:val="20"/>
          <w:szCs w:val="20"/>
          <w:lang w:val="fr-CA"/>
        </w:rPr>
        <w:t>Louise St-Hilaire et autres c. Mario Hébert et autres</w:t>
      </w:r>
      <w:r w:rsidRPr="004A2E2B">
        <w:rPr>
          <w:sz w:val="20"/>
          <w:szCs w:val="20"/>
          <w:lang w:val="fr-CA"/>
        </w:rPr>
        <w:t xml:space="preserve"> (Qc) (Civile) (Autorisation)</w:t>
      </w:r>
      <w:r>
        <w:rPr>
          <w:sz w:val="20"/>
          <w:szCs w:val="20"/>
          <w:lang w:val="fr-CA"/>
        </w:rPr>
        <w:t xml:space="preserve"> </w:t>
      </w:r>
      <w:r w:rsidR="004B7F60" w:rsidRPr="00C612D0">
        <w:rPr>
          <w:sz w:val="20"/>
          <w:szCs w:val="20"/>
          <w:lang w:val="fr-CA"/>
        </w:rPr>
        <w:t>(344</w:t>
      </w:r>
      <w:r>
        <w:rPr>
          <w:sz w:val="20"/>
          <w:szCs w:val="20"/>
          <w:lang w:val="fr-CA"/>
        </w:rPr>
        <w:t>60</w:t>
      </w:r>
      <w:r w:rsidR="004B7F60" w:rsidRPr="00C612D0">
        <w:rPr>
          <w:sz w:val="20"/>
          <w:szCs w:val="20"/>
          <w:lang w:val="fr-CA"/>
        </w:rPr>
        <w:t>)</w:t>
      </w:r>
    </w:p>
    <w:p w:rsidR="004B7F60" w:rsidRDefault="004B7F60" w:rsidP="004B7F60">
      <w:pPr>
        <w:widowControl w:val="0"/>
        <w:rPr>
          <w:sz w:val="20"/>
          <w:szCs w:val="20"/>
          <w:lang w:val="fr-CA"/>
        </w:rPr>
      </w:pPr>
    </w:p>
    <w:p w:rsidR="004A2E2B" w:rsidRDefault="004A2E2B" w:rsidP="004B7F60">
      <w:pPr>
        <w:widowControl w:val="0"/>
        <w:rPr>
          <w:sz w:val="20"/>
          <w:szCs w:val="20"/>
          <w:lang w:val="fr-CA"/>
        </w:rPr>
      </w:pPr>
    </w:p>
    <w:p w:rsidR="004A2E2B" w:rsidRPr="00C50A5C" w:rsidRDefault="004A2E2B" w:rsidP="004A2E2B">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4A2E2B" w:rsidRPr="00C50A5C" w:rsidRDefault="004A2E2B" w:rsidP="004A2E2B">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4A2E2B" w:rsidRPr="00C612D0" w:rsidRDefault="004A2E2B" w:rsidP="004B7F60">
      <w:pPr>
        <w:widowControl w:val="0"/>
        <w:rPr>
          <w:sz w:val="20"/>
          <w:szCs w:val="20"/>
          <w:lang w:val="fr-CA"/>
        </w:rPr>
      </w:pPr>
    </w:p>
    <w:p w:rsidR="004B7F60" w:rsidRPr="004A2E2B" w:rsidRDefault="004A2E2B" w:rsidP="004B7F60">
      <w:pPr>
        <w:pStyle w:val="ListParagraph"/>
        <w:widowControl w:val="0"/>
        <w:numPr>
          <w:ilvl w:val="0"/>
          <w:numId w:val="1"/>
        </w:numPr>
        <w:ind w:hanging="720"/>
        <w:jc w:val="both"/>
        <w:rPr>
          <w:sz w:val="20"/>
          <w:szCs w:val="20"/>
        </w:rPr>
      </w:pPr>
      <w:r w:rsidRPr="004A2E2B">
        <w:rPr>
          <w:i/>
          <w:sz w:val="20"/>
          <w:szCs w:val="20"/>
        </w:rPr>
        <w:t>Erhun Candir v. Her Majesty the Queen</w:t>
      </w:r>
      <w:r w:rsidRPr="004A2E2B">
        <w:rPr>
          <w:sz w:val="20"/>
          <w:szCs w:val="20"/>
        </w:rPr>
        <w:t xml:space="preserve"> (Ont.) (Crim</w:t>
      </w:r>
      <w:r>
        <w:rPr>
          <w:sz w:val="20"/>
          <w:szCs w:val="20"/>
        </w:rPr>
        <w:t>.</w:t>
      </w:r>
      <w:r w:rsidRPr="004A2E2B">
        <w:rPr>
          <w:sz w:val="20"/>
          <w:szCs w:val="20"/>
        </w:rPr>
        <w:t>) (By Leave)</w:t>
      </w:r>
      <w:r>
        <w:rPr>
          <w:sz w:val="20"/>
          <w:szCs w:val="20"/>
        </w:rPr>
        <w:t xml:space="preserve"> </w:t>
      </w:r>
      <w:r w:rsidR="004B7F60" w:rsidRPr="004A2E2B">
        <w:rPr>
          <w:sz w:val="20"/>
          <w:szCs w:val="20"/>
        </w:rPr>
        <w:t>(34</w:t>
      </w:r>
      <w:r w:rsidRPr="004A2E2B">
        <w:rPr>
          <w:sz w:val="20"/>
          <w:szCs w:val="20"/>
        </w:rPr>
        <w:t>622</w:t>
      </w:r>
      <w:r w:rsidR="004B7F60" w:rsidRPr="004A2E2B">
        <w:rPr>
          <w:sz w:val="20"/>
          <w:szCs w:val="20"/>
        </w:rPr>
        <w:t>)</w:t>
      </w:r>
    </w:p>
    <w:p w:rsidR="004B7F60" w:rsidRPr="004A2E2B" w:rsidRDefault="004B7F60" w:rsidP="004B7F60">
      <w:pPr>
        <w:widowControl w:val="0"/>
        <w:jc w:val="both"/>
        <w:rPr>
          <w:sz w:val="20"/>
          <w:szCs w:val="20"/>
        </w:rPr>
      </w:pPr>
    </w:p>
    <w:p w:rsidR="004B7F60" w:rsidRPr="00115C9E" w:rsidRDefault="004A2E2B" w:rsidP="004B7F60">
      <w:pPr>
        <w:pStyle w:val="ListParagraph"/>
        <w:widowControl w:val="0"/>
        <w:numPr>
          <w:ilvl w:val="0"/>
          <w:numId w:val="1"/>
        </w:numPr>
        <w:ind w:hanging="720"/>
        <w:jc w:val="both"/>
        <w:rPr>
          <w:sz w:val="20"/>
          <w:szCs w:val="20"/>
          <w:lang w:val="fr-CA"/>
        </w:rPr>
      </w:pPr>
      <w:r w:rsidRPr="004A2E2B">
        <w:rPr>
          <w:i/>
          <w:sz w:val="20"/>
          <w:szCs w:val="20"/>
        </w:rPr>
        <w:t>Brandon Carl Huntley v. Minister of Citizenship and Immigration</w:t>
      </w:r>
      <w:r w:rsidRPr="004A2E2B">
        <w:rPr>
          <w:sz w:val="20"/>
          <w:szCs w:val="20"/>
        </w:rPr>
        <w:t xml:space="preserve"> (F</w:t>
      </w:r>
      <w:r>
        <w:rPr>
          <w:sz w:val="20"/>
          <w:szCs w:val="20"/>
        </w:rPr>
        <w:t>.</w:t>
      </w:r>
      <w:r w:rsidRPr="004A2E2B">
        <w:rPr>
          <w:sz w:val="20"/>
          <w:szCs w:val="20"/>
        </w:rPr>
        <w:t>C</w:t>
      </w:r>
      <w:r>
        <w:rPr>
          <w:sz w:val="20"/>
          <w:szCs w:val="20"/>
        </w:rPr>
        <w:t>.</w:t>
      </w:r>
      <w:r w:rsidRPr="004A2E2B">
        <w:rPr>
          <w:sz w:val="20"/>
          <w:szCs w:val="20"/>
        </w:rPr>
        <w:t>) (Civil) (By Leave)</w:t>
      </w:r>
      <w:r>
        <w:rPr>
          <w:sz w:val="20"/>
          <w:szCs w:val="20"/>
        </w:rPr>
        <w:t xml:space="preserve"> </w:t>
      </w:r>
      <w:r w:rsidR="004B7F60" w:rsidRPr="00115C9E">
        <w:rPr>
          <w:sz w:val="20"/>
          <w:szCs w:val="20"/>
          <w:lang w:val="fr-CA"/>
        </w:rPr>
        <w:t>(3454</w:t>
      </w:r>
      <w:r>
        <w:rPr>
          <w:sz w:val="20"/>
          <w:szCs w:val="20"/>
          <w:lang w:val="fr-CA"/>
        </w:rPr>
        <w:t>8</w:t>
      </w:r>
      <w:r w:rsidR="004B7F60" w:rsidRPr="00115C9E">
        <w:rPr>
          <w:sz w:val="20"/>
          <w:szCs w:val="20"/>
          <w:lang w:val="fr-CA"/>
        </w:rPr>
        <w:t>)</w:t>
      </w:r>
    </w:p>
    <w:p w:rsidR="002E2327" w:rsidRPr="001B157C" w:rsidRDefault="002E2327" w:rsidP="002E2327">
      <w:pPr>
        <w:widowControl w:val="0"/>
        <w:rPr>
          <w:sz w:val="20"/>
          <w:szCs w:val="20"/>
        </w:rPr>
      </w:pPr>
    </w:p>
    <w:p w:rsidR="002E2327" w:rsidRPr="00C50A5C" w:rsidRDefault="0011031E" w:rsidP="002E2327">
      <w:pPr>
        <w:widowControl w:val="0"/>
        <w:rPr>
          <w:sz w:val="20"/>
          <w:szCs w:val="20"/>
        </w:rPr>
      </w:pPr>
      <w:r w:rsidRPr="0011031E">
        <w:rPr>
          <w:sz w:val="20"/>
          <w:szCs w:val="20"/>
        </w:rPr>
        <w:pict>
          <v:rect id="_x0000_i1036"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7D5BF8"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CC012F" w:rsidP="008D292F">
      <w:pPr>
        <w:rPr>
          <w:b/>
          <w:sz w:val="20"/>
          <w:szCs w:val="20"/>
        </w:rPr>
      </w:pPr>
      <w:r>
        <w:rPr>
          <w:b/>
          <w:sz w:val="20"/>
          <w:szCs w:val="20"/>
        </w:rPr>
        <w:t>M</w:t>
      </w:r>
      <w:r w:rsidR="008D292F" w:rsidRPr="00C50A5C">
        <w:rPr>
          <w:b/>
          <w:sz w:val="20"/>
          <w:szCs w:val="20"/>
        </w:rPr>
        <w:t>AR</w:t>
      </w:r>
      <w:r>
        <w:rPr>
          <w:b/>
          <w:sz w:val="20"/>
          <w:szCs w:val="20"/>
        </w:rPr>
        <w:t>CH</w:t>
      </w:r>
      <w:r w:rsidR="008D292F" w:rsidRPr="00C50A5C">
        <w:rPr>
          <w:b/>
          <w:sz w:val="20"/>
          <w:szCs w:val="20"/>
        </w:rPr>
        <w:t xml:space="preserve"> 2</w:t>
      </w:r>
      <w:r>
        <w:rPr>
          <w:b/>
          <w:sz w:val="20"/>
          <w:szCs w:val="20"/>
        </w:rPr>
        <w:t>2</w:t>
      </w:r>
      <w:r w:rsidR="008D292F" w:rsidRPr="00C50A5C">
        <w:rPr>
          <w:b/>
          <w:sz w:val="20"/>
          <w:szCs w:val="20"/>
        </w:rPr>
        <w:t>, 201</w:t>
      </w:r>
      <w:r>
        <w:rPr>
          <w:b/>
          <w:sz w:val="20"/>
          <w:szCs w:val="20"/>
        </w:rPr>
        <w:t>2</w:t>
      </w:r>
      <w:r w:rsidR="008D292F" w:rsidRPr="00C50A5C">
        <w:rPr>
          <w:b/>
          <w:sz w:val="20"/>
          <w:szCs w:val="20"/>
        </w:rPr>
        <w:t xml:space="preserve"> / LE 2</w:t>
      </w:r>
      <w:r>
        <w:rPr>
          <w:b/>
          <w:sz w:val="20"/>
          <w:szCs w:val="20"/>
        </w:rPr>
        <w:t>2</w:t>
      </w:r>
      <w:r w:rsidR="008D292F" w:rsidRPr="00C50A5C">
        <w:rPr>
          <w:b/>
          <w:sz w:val="20"/>
          <w:szCs w:val="20"/>
        </w:rPr>
        <w:t xml:space="preserve"> </w:t>
      </w:r>
      <w:r>
        <w:rPr>
          <w:b/>
          <w:sz w:val="20"/>
          <w:szCs w:val="20"/>
        </w:rPr>
        <w:t>MA</w:t>
      </w:r>
      <w:r w:rsidR="008D292F" w:rsidRPr="00C50A5C">
        <w:rPr>
          <w:b/>
          <w:sz w:val="20"/>
          <w:szCs w:val="20"/>
        </w:rPr>
        <w:t>R</w:t>
      </w:r>
      <w:r>
        <w:rPr>
          <w:b/>
          <w:sz w:val="20"/>
          <w:szCs w:val="20"/>
        </w:rPr>
        <w:t>S</w:t>
      </w:r>
      <w:r w:rsidR="008D292F" w:rsidRPr="00C50A5C">
        <w:rPr>
          <w:b/>
          <w:sz w:val="20"/>
          <w:szCs w:val="20"/>
        </w:rPr>
        <w:t xml:space="preserve"> 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389C" w:rsidRPr="007D5BF8" w:rsidTr="00D50228">
        <w:trPr>
          <w:cantSplit/>
        </w:trPr>
        <w:tc>
          <w:tcPr>
            <w:tcW w:w="1458" w:type="dxa"/>
          </w:tcPr>
          <w:p w:rsidR="00D1389C" w:rsidRPr="002D4E22" w:rsidRDefault="00D1389C" w:rsidP="00D50228">
            <w:pPr>
              <w:rPr>
                <w:sz w:val="20"/>
                <w:szCs w:val="20"/>
              </w:rPr>
            </w:pPr>
            <w:r w:rsidRPr="002D4E22">
              <w:rPr>
                <w:rStyle w:val="SCCFileNumberChar"/>
                <w:sz w:val="20"/>
                <w:szCs w:val="20"/>
              </w:rPr>
              <w:t>34412</w:t>
            </w:r>
          </w:p>
          <w:p w:rsidR="00D1389C" w:rsidRPr="002D4E22" w:rsidRDefault="00D1389C" w:rsidP="00D50228">
            <w:pPr>
              <w:rPr>
                <w:b/>
                <w:sz w:val="20"/>
                <w:szCs w:val="20"/>
                <w:lang w:val="fr-CA"/>
              </w:rPr>
            </w:pPr>
          </w:p>
        </w:tc>
        <w:tc>
          <w:tcPr>
            <w:tcW w:w="8118" w:type="dxa"/>
          </w:tcPr>
          <w:p w:rsidR="00D1389C" w:rsidRPr="002D4E22" w:rsidRDefault="00D1389C" w:rsidP="00D50228">
            <w:pPr>
              <w:rPr>
                <w:sz w:val="20"/>
                <w:szCs w:val="20"/>
                <w:lang w:val="fr-CA"/>
              </w:rPr>
            </w:pPr>
            <w:r w:rsidRPr="002D4E22">
              <w:rPr>
                <w:rStyle w:val="SCCLsocChar"/>
                <w:sz w:val="20"/>
                <w:szCs w:val="20"/>
              </w:rPr>
              <w:t>Théodore Lavoie c. Yves Lavoie</w:t>
            </w:r>
            <w:r w:rsidRPr="002D4E22">
              <w:rPr>
                <w:sz w:val="20"/>
                <w:szCs w:val="20"/>
                <w:lang w:val="fr-CA"/>
              </w:rPr>
              <w:t xml:space="preserve"> (Qc) (Civile) (Autorisation)</w:t>
            </w:r>
          </w:p>
          <w:p w:rsidR="00D1389C" w:rsidRPr="002D4E22" w:rsidRDefault="00D1389C" w:rsidP="00D50228">
            <w:pPr>
              <w:rPr>
                <w:sz w:val="20"/>
                <w:szCs w:val="20"/>
                <w:lang w:val="fr-CA"/>
              </w:rPr>
            </w:pPr>
          </w:p>
        </w:tc>
      </w:tr>
      <w:tr w:rsidR="00D1389C" w:rsidRPr="007D5BF8" w:rsidTr="00D50228">
        <w:trPr>
          <w:cantSplit/>
        </w:trPr>
        <w:tc>
          <w:tcPr>
            <w:tcW w:w="1458" w:type="dxa"/>
          </w:tcPr>
          <w:p w:rsidR="00D1389C" w:rsidRPr="002D4E22" w:rsidRDefault="00D1389C" w:rsidP="00D50228">
            <w:pPr>
              <w:rPr>
                <w:sz w:val="20"/>
                <w:szCs w:val="20"/>
              </w:rPr>
            </w:pPr>
            <w:r w:rsidRPr="002D4E22">
              <w:rPr>
                <w:sz w:val="20"/>
                <w:szCs w:val="20"/>
              </w:rPr>
              <w:t>Coram :</w:t>
            </w:r>
          </w:p>
        </w:tc>
        <w:tc>
          <w:tcPr>
            <w:tcW w:w="8118" w:type="dxa"/>
          </w:tcPr>
          <w:p w:rsidR="00D1389C" w:rsidRPr="002D4E22" w:rsidRDefault="00D1389C" w:rsidP="00D50228">
            <w:pPr>
              <w:rPr>
                <w:sz w:val="20"/>
                <w:szCs w:val="20"/>
                <w:lang w:val="fr-CA"/>
              </w:rPr>
            </w:pPr>
            <w:r w:rsidRPr="002D4E22">
              <w:rPr>
                <w:rStyle w:val="SCCCoramChar"/>
                <w:sz w:val="20"/>
                <w:szCs w:val="20"/>
              </w:rPr>
              <w:t>Les juges LeBel, Abella et Cromwell</w:t>
            </w:r>
          </w:p>
          <w:p w:rsidR="00D1389C" w:rsidRPr="002D4E22" w:rsidRDefault="00D1389C" w:rsidP="00D50228">
            <w:pPr>
              <w:rPr>
                <w:sz w:val="20"/>
                <w:szCs w:val="20"/>
                <w:u w:val="single"/>
                <w:lang w:val="fr-CA"/>
              </w:rPr>
            </w:pPr>
          </w:p>
        </w:tc>
      </w:tr>
      <w:tr w:rsidR="00D1389C" w:rsidRPr="002D4E22" w:rsidTr="00D50228">
        <w:trPr>
          <w:cantSplit/>
        </w:trPr>
        <w:tc>
          <w:tcPr>
            <w:tcW w:w="9576" w:type="dxa"/>
            <w:gridSpan w:val="2"/>
          </w:tcPr>
          <w:p w:rsidR="00D1389C" w:rsidRPr="002D4E22" w:rsidRDefault="00D1389C" w:rsidP="00D50228">
            <w:pPr>
              <w:pStyle w:val="SCCShortJudgment"/>
              <w:rPr>
                <w:szCs w:val="20"/>
                <w:lang w:val="fr-CA"/>
              </w:rPr>
            </w:pPr>
            <w:r w:rsidRPr="002D4E22">
              <w:rPr>
                <w:szCs w:val="20"/>
                <w:lang w:val="fr-CA"/>
              </w:rPr>
              <w:t>La demande d’autorisation d’appel de l’arrêt de la Cour d’appel du Québec (Québec), numéro 200-09-006751-090, 2011 QCCA 1205, daté du 6 juin 2011, est rejetée avec dépens.</w:t>
            </w:r>
          </w:p>
          <w:p w:rsidR="00D1389C" w:rsidRPr="002D4E22" w:rsidRDefault="00D1389C" w:rsidP="00D50228">
            <w:pPr>
              <w:pStyle w:val="SCCShortJudgment"/>
              <w:ind w:firstLine="0"/>
              <w:rPr>
                <w:szCs w:val="20"/>
                <w:lang w:val="fr-CA"/>
              </w:rPr>
            </w:pPr>
          </w:p>
          <w:p w:rsidR="00D1389C" w:rsidRPr="002D4E22" w:rsidRDefault="00D1389C" w:rsidP="00D50228">
            <w:pPr>
              <w:pStyle w:val="SCCShortJudgment"/>
              <w:rPr>
                <w:szCs w:val="20"/>
              </w:rPr>
            </w:pPr>
            <w:r w:rsidRPr="002D4E22">
              <w:rPr>
                <w:szCs w:val="20"/>
              </w:rPr>
              <w:t>The application for leave to appeal from the judgment of the Court of Appeal of Quebec (Québec), Number 200-09-006751-090, 2011 QCCA 1205, dated June 6, 2011, is dismissed with costs.</w:t>
            </w:r>
          </w:p>
        </w:tc>
      </w:tr>
    </w:tbl>
    <w:p w:rsidR="00CC012F" w:rsidRPr="00D1389C" w:rsidRDefault="00CC012F" w:rsidP="00CC012F">
      <w:pPr>
        <w:rPr>
          <w:sz w:val="20"/>
          <w:szCs w:val="20"/>
        </w:rPr>
      </w:pPr>
    </w:p>
    <w:p w:rsidR="00CC012F" w:rsidRPr="001B157C" w:rsidRDefault="00CC012F" w:rsidP="00CC012F">
      <w:pPr>
        <w:rPr>
          <w:sz w:val="20"/>
          <w:szCs w:val="20"/>
          <w:u w:val="single"/>
        </w:rPr>
      </w:pPr>
      <w:r w:rsidRPr="001B157C">
        <w:rPr>
          <w:sz w:val="20"/>
          <w:szCs w:val="20"/>
          <w:u w:val="single"/>
        </w:rPr>
        <w:t>CASE SUMMARY</w:t>
      </w:r>
    </w:p>
    <w:p w:rsidR="00CC012F" w:rsidRDefault="00CC012F"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94AE2" w:rsidRPr="0079002B" w:rsidTr="00D50228">
        <w:tc>
          <w:tcPr>
            <w:tcW w:w="5000" w:type="pct"/>
            <w:gridSpan w:val="3"/>
          </w:tcPr>
          <w:p w:rsidR="00694AE2" w:rsidRPr="0079002B" w:rsidRDefault="00694AE2" w:rsidP="00D50228">
            <w:pPr>
              <w:jc w:val="both"/>
              <w:rPr>
                <w:rFonts w:eastAsia="Calibri"/>
                <w:sz w:val="20"/>
              </w:rPr>
            </w:pPr>
            <w:r w:rsidRPr="0079002B">
              <w:rPr>
                <w:rFonts w:eastAsia="Calibri"/>
                <w:sz w:val="20"/>
              </w:rPr>
              <w:t>Sale – Execution of title – Contract – Interpretation – Courts – Judicial discretion – Extent of Quebec courts’ power to define object of contract to be entered into by parties in proceedings relating to execution of title.</w:t>
            </w:r>
          </w:p>
        </w:tc>
      </w:tr>
      <w:tr w:rsidR="00694AE2" w:rsidRPr="0079002B" w:rsidTr="00D50228">
        <w:tc>
          <w:tcPr>
            <w:tcW w:w="5000" w:type="pct"/>
            <w:gridSpan w:val="3"/>
          </w:tcPr>
          <w:p w:rsidR="00694AE2" w:rsidRPr="0079002B" w:rsidRDefault="00694AE2" w:rsidP="00D50228">
            <w:pPr>
              <w:jc w:val="both"/>
              <w:rPr>
                <w:rFonts w:eastAsia="Calibri"/>
                <w:sz w:val="20"/>
              </w:rPr>
            </w:pPr>
          </w:p>
        </w:tc>
      </w:tr>
      <w:tr w:rsidR="00694AE2" w:rsidRPr="0079002B" w:rsidTr="00D50228">
        <w:tc>
          <w:tcPr>
            <w:tcW w:w="5000" w:type="pct"/>
            <w:gridSpan w:val="3"/>
          </w:tcPr>
          <w:p w:rsidR="00694AE2" w:rsidRPr="0079002B" w:rsidRDefault="00694AE2" w:rsidP="00D50228">
            <w:pPr>
              <w:jc w:val="both"/>
              <w:rPr>
                <w:rFonts w:eastAsia="Calibri"/>
                <w:sz w:val="20"/>
              </w:rPr>
            </w:pPr>
            <w:r w:rsidRPr="0079002B">
              <w:rPr>
                <w:rFonts w:eastAsia="Calibri"/>
                <w:sz w:val="20"/>
              </w:rPr>
              <w:t>On October 15, 2002, the applicant Théodore Lavoie and his nephew, the respondent Yves Lavoie, signed a document (“agreement”) drawn up by the applicant entitled [</w:t>
            </w:r>
            <w:r w:rsidRPr="0079002B">
              <w:rPr>
                <w:rFonts w:eastAsia="Calibri"/>
                <w:smallCaps/>
                <w:sz w:val="20"/>
              </w:rPr>
              <w:t>translation</w:t>
            </w:r>
            <w:r w:rsidRPr="0079002B">
              <w:rPr>
                <w:rFonts w:eastAsia="Calibri"/>
                <w:sz w:val="20"/>
              </w:rPr>
              <w:t>] “Lease with Option to Purchase”, which concerned land under cultivation and two barns.  Yves Lavoie paid a $20,000 deposit.  The option to purchase the land and two barns was then fixed at $50,000.  Around November 15, 2004, Yves Lavoie sought to complete the transaction, but the parties were unable to agree.  On November 30, 2004, Théodore Lavoie sold certain lots located on the land in question.  On December 15, 2004, he informed Yves Lavoie that he no longer wanted to sell him the land under cultivation.  On December 23, 2004, Yves Lavoie gave Théodore Lavoie formal notice to [</w:t>
            </w:r>
            <w:r w:rsidRPr="0079002B">
              <w:rPr>
                <w:rFonts w:eastAsia="Calibri"/>
                <w:smallCaps/>
                <w:sz w:val="20"/>
              </w:rPr>
              <w:t>translation</w:t>
            </w:r>
            <w:r w:rsidRPr="0079002B">
              <w:rPr>
                <w:rFonts w:eastAsia="Calibri"/>
                <w:sz w:val="20"/>
              </w:rPr>
              <w:t>] “sign [his] acceptance of the promise to purchase and/or inform [him] of any reasonable change concerning the accessories”.  On July 26, 2005, Théodore Lavoie signed a deed of sale for the land under cultivation in question.  The same day, Yves Lavoie filed a motion to institute proceedings against Théodore Lavoie for execution of title, a mandatory injunction and damages.</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July 4, 2008</w:t>
            </w:r>
          </w:p>
          <w:p w:rsidR="00694AE2" w:rsidRPr="0079002B" w:rsidRDefault="00694AE2" w:rsidP="00D50228">
            <w:pPr>
              <w:jc w:val="both"/>
              <w:rPr>
                <w:rFonts w:eastAsia="Calibri"/>
                <w:sz w:val="20"/>
              </w:rPr>
            </w:pPr>
            <w:r w:rsidRPr="0079002B">
              <w:rPr>
                <w:rFonts w:eastAsia="Calibri"/>
                <w:sz w:val="20"/>
              </w:rPr>
              <w:t>Quebec Superior Court</w:t>
            </w:r>
          </w:p>
          <w:p w:rsidR="00694AE2" w:rsidRPr="0079002B" w:rsidRDefault="00694AE2" w:rsidP="00D50228">
            <w:pPr>
              <w:jc w:val="both"/>
              <w:rPr>
                <w:rFonts w:eastAsia="Calibri"/>
                <w:sz w:val="20"/>
              </w:rPr>
            </w:pPr>
            <w:r w:rsidRPr="0079002B">
              <w:rPr>
                <w:rFonts w:eastAsia="Calibri"/>
                <w:sz w:val="20"/>
              </w:rPr>
              <w:t>(Caron J.)</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Motion for execution of title, mandatory injunction and damages allowed in part</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November 10, 2008</w:t>
            </w:r>
          </w:p>
          <w:p w:rsidR="00694AE2" w:rsidRPr="0079002B" w:rsidRDefault="00694AE2" w:rsidP="00D50228">
            <w:pPr>
              <w:jc w:val="both"/>
              <w:rPr>
                <w:rFonts w:eastAsia="Calibri"/>
                <w:sz w:val="20"/>
              </w:rPr>
            </w:pPr>
            <w:r w:rsidRPr="0079002B">
              <w:rPr>
                <w:rFonts w:eastAsia="Calibri"/>
                <w:sz w:val="20"/>
              </w:rPr>
              <w:t>Quebec Court of Appeal (Québec)</w:t>
            </w:r>
          </w:p>
          <w:p w:rsidR="00694AE2" w:rsidRPr="0079002B" w:rsidRDefault="00694AE2" w:rsidP="00D50228">
            <w:pPr>
              <w:jc w:val="both"/>
              <w:rPr>
                <w:rFonts w:eastAsia="Calibri"/>
                <w:sz w:val="20"/>
              </w:rPr>
            </w:pPr>
            <w:r w:rsidRPr="0079002B">
              <w:rPr>
                <w:rFonts w:eastAsia="Calibri"/>
                <w:sz w:val="20"/>
              </w:rPr>
              <w:t>(Thibault, Giroux and Hesler Nicole JJ.A.)</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Appeal dismissed</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June 16, 2009</w:t>
            </w:r>
          </w:p>
          <w:p w:rsidR="00694AE2" w:rsidRPr="0079002B" w:rsidRDefault="00694AE2" w:rsidP="00D50228">
            <w:pPr>
              <w:jc w:val="both"/>
              <w:rPr>
                <w:rFonts w:eastAsia="Calibri"/>
                <w:sz w:val="20"/>
              </w:rPr>
            </w:pPr>
            <w:r w:rsidRPr="0079002B">
              <w:rPr>
                <w:rFonts w:eastAsia="Calibri"/>
                <w:sz w:val="20"/>
              </w:rPr>
              <w:t>Quebec Superior Court</w:t>
            </w:r>
          </w:p>
          <w:p w:rsidR="00694AE2" w:rsidRPr="0079002B" w:rsidRDefault="00694AE2" w:rsidP="00D50228">
            <w:pPr>
              <w:jc w:val="both"/>
              <w:rPr>
                <w:rFonts w:eastAsia="Calibri"/>
                <w:sz w:val="20"/>
              </w:rPr>
            </w:pPr>
            <w:r w:rsidRPr="0079002B">
              <w:rPr>
                <w:rFonts w:eastAsia="Calibri"/>
                <w:sz w:val="20"/>
              </w:rPr>
              <w:t>(Caron J.)</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Superior Court’s judgment of July 4, 2008 corrected</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June 6, 2011</w:t>
            </w:r>
          </w:p>
          <w:p w:rsidR="00694AE2" w:rsidRPr="0079002B" w:rsidRDefault="00694AE2" w:rsidP="00D50228">
            <w:pPr>
              <w:jc w:val="both"/>
              <w:rPr>
                <w:rFonts w:eastAsia="Calibri"/>
                <w:sz w:val="20"/>
              </w:rPr>
            </w:pPr>
            <w:r w:rsidRPr="0079002B">
              <w:rPr>
                <w:rFonts w:eastAsia="Calibri"/>
                <w:sz w:val="20"/>
              </w:rPr>
              <w:t>Quebec Court of Appeal (Québec)</w:t>
            </w:r>
          </w:p>
          <w:p w:rsidR="00694AE2" w:rsidRPr="0079002B" w:rsidRDefault="00694AE2" w:rsidP="00F4784C">
            <w:pPr>
              <w:jc w:val="both"/>
              <w:rPr>
                <w:rFonts w:eastAsia="Calibri"/>
                <w:sz w:val="20"/>
              </w:rPr>
            </w:pPr>
            <w:r w:rsidRPr="0079002B">
              <w:rPr>
                <w:rFonts w:eastAsia="Calibri"/>
                <w:sz w:val="20"/>
              </w:rPr>
              <w:t>(Giroux, Bouchard and Viens JJ.A.)</w:t>
            </w: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Appeal dismissed</w:t>
            </w:r>
          </w:p>
          <w:p w:rsidR="00694AE2" w:rsidRPr="0079002B" w:rsidRDefault="00694AE2" w:rsidP="00D50228">
            <w:pPr>
              <w:jc w:val="both"/>
              <w:rPr>
                <w:rFonts w:eastAsia="Calibri"/>
                <w:sz w:val="20"/>
              </w:rPr>
            </w:pPr>
          </w:p>
        </w:tc>
      </w:tr>
    </w:tbl>
    <w:p w:rsidR="00F4784C" w:rsidRDefault="00F4784C"/>
    <w:p w:rsidR="00F4784C" w:rsidRDefault="00F4784C">
      <w:r>
        <w:br w:type="page"/>
      </w:r>
    </w:p>
    <w:tbl>
      <w:tblPr>
        <w:tblW w:w="4952" w:type="pct"/>
        <w:tblLayout w:type="fixed"/>
        <w:tblCellMar>
          <w:left w:w="0" w:type="dxa"/>
          <w:bottom w:w="99" w:type="dxa"/>
          <w:right w:w="0" w:type="dxa"/>
        </w:tblCellMar>
        <w:tblLook w:val="04A0"/>
      </w:tblPr>
      <w:tblGrid>
        <w:gridCol w:w="4624"/>
        <w:gridCol w:w="463"/>
        <w:gridCol w:w="4440"/>
      </w:tblGrid>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lastRenderedPageBreak/>
              <w:t>September 1, 2011</w:t>
            </w:r>
          </w:p>
          <w:p w:rsidR="00694AE2" w:rsidRPr="0079002B" w:rsidRDefault="00694AE2" w:rsidP="00D50228">
            <w:pPr>
              <w:jc w:val="both"/>
              <w:rPr>
                <w:rFonts w:eastAsia="Calibri"/>
                <w:sz w:val="20"/>
              </w:rPr>
            </w:pPr>
            <w:r w:rsidRPr="0079002B">
              <w:rPr>
                <w:rFonts w:eastAsia="Calibri"/>
                <w:sz w:val="20"/>
              </w:rPr>
              <w:t>Supreme Court of Canada</w:t>
            </w: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Application for leave to appeal filed</w:t>
            </w:r>
          </w:p>
          <w:p w:rsidR="00694AE2" w:rsidRPr="0079002B" w:rsidRDefault="00694AE2" w:rsidP="00D50228">
            <w:pPr>
              <w:jc w:val="both"/>
              <w:rPr>
                <w:rFonts w:eastAsia="Calibri"/>
                <w:sz w:val="20"/>
              </w:rPr>
            </w:pPr>
          </w:p>
        </w:tc>
      </w:tr>
    </w:tbl>
    <w:p w:rsidR="00CC012F" w:rsidRDefault="00CC012F" w:rsidP="008D292F">
      <w:pPr>
        <w:rPr>
          <w:sz w:val="20"/>
          <w:szCs w:val="20"/>
        </w:rPr>
      </w:pPr>
    </w:p>
    <w:p w:rsidR="00CC012F" w:rsidRPr="00C50A5C" w:rsidRDefault="0011031E" w:rsidP="00CC012F">
      <w:pPr>
        <w:rPr>
          <w:sz w:val="20"/>
          <w:szCs w:val="20"/>
        </w:rPr>
      </w:pPr>
      <w:r w:rsidRPr="0011031E">
        <w:rPr>
          <w:sz w:val="20"/>
          <w:szCs w:val="20"/>
          <w:lang w:val="fr-CA"/>
        </w:rPr>
        <w:pict>
          <v:rect id="_x0000_i1039" style="width:2in;height:1pt" o:hrpct="0" o:hralign="center" o:hrstd="t" o:hrnoshade="t" o:hr="t" fillcolor="black [3213]" stroked="f"/>
        </w:pict>
      </w:r>
    </w:p>
    <w:p w:rsidR="00CC012F" w:rsidRDefault="00CC012F" w:rsidP="00CC012F">
      <w:pPr>
        <w:rPr>
          <w:sz w:val="20"/>
          <w:szCs w:val="20"/>
        </w:rPr>
      </w:pPr>
    </w:p>
    <w:p w:rsidR="00CC012F" w:rsidRPr="001B157C" w:rsidRDefault="00CC012F" w:rsidP="00CC012F">
      <w:pPr>
        <w:rPr>
          <w:sz w:val="20"/>
          <w:szCs w:val="20"/>
          <w:u w:val="single"/>
          <w:lang w:val="fr-CA"/>
        </w:rPr>
      </w:pPr>
      <w:r w:rsidRPr="001B157C">
        <w:rPr>
          <w:sz w:val="20"/>
          <w:szCs w:val="20"/>
          <w:u w:val="single"/>
          <w:lang w:val="fr-CA"/>
        </w:rPr>
        <w:t>RÉSUMÉ DE L’AFFAIRE</w:t>
      </w:r>
    </w:p>
    <w:p w:rsidR="00CC012F" w:rsidRDefault="00CC012F"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94AE2" w:rsidRPr="007D5BF8" w:rsidTr="00D50228">
        <w:tc>
          <w:tcPr>
            <w:tcW w:w="5000" w:type="pct"/>
            <w:gridSpan w:val="3"/>
          </w:tcPr>
          <w:p w:rsidR="00694AE2" w:rsidRPr="0079002B" w:rsidRDefault="00694AE2" w:rsidP="00D50228">
            <w:pPr>
              <w:jc w:val="both"/>
              <w:rPr>
                <w:rFonts w:eastAsia="Calibri"/>
                <w:sz w:val="20"/>
                <w:lang w:val="fr-CA"/>
              </w:rPr>
            </w:pPr>
            <w:r w:rsidRPr="0079002B">
              <w:rPr>
                <w:rFonts w:eastAsia="Calibri"/>
                <w:sz w:val="20"/>
                <w:lang w:val="fr-CA"/>
              </w:rPr>
              <w:t>Vente – Passation de titres – Contrat – Interprétation – Tribunaux – Discrétion judiciaire – En matière de passation de titre, quelle est l’étendue des pouvoirs des tribunaux québécois pour définir l’objet du contrat à intervenir entre les parties?</w:t>
            </w:r>
          </w:p>
        </w:tc>
      </w:tr>
      <w:tr w:rsidR="00694AE2" w:rsidRPr="007D5BF8" w:rsidTr="00D50228">
        <w:tc>
          <w:tcPr>
            <w:tcW w:w="5000" w:type="pct"/>
            <w:gridSpan w:val="3"/>
          </w:tcPr>
          <w:p w:rsidR="00694AE2" w:rsidRPr="0079002B" w:rsidRDefault="00694AE2" w:rsidP="00D50228">
            <w:pPr>
              <w:jc w:val="both"/>
              <w:rPr>
                <w:rFonts w:eastAsia="Calibri"/>
                <w:sz w:val="20"/>
                <w:lang w:val="fr-CA"/>
              </w:rPr>
            </w:pPr>
          </w:p>
        </w:tc>
      </w:tr>
      <w:tr w:rsidR="00694AE2" w:rsidRPr="007D5BF8" w:rsidTr="00D50228">
        <w:tc>
          <w:tcPr>
            <w:tcW w:w="5000" w:type="pct"/>
            <w:gridSpan w:val="3"/>
          </w:tcPr>
          <w:p w:rsidR="00694AE2" w:rsidRPr="0079002B" w:rsidRDefault="00694AE2" w:rsidP="00D50228">
            <w:pPr>
              <w:jc w:val="both"/>
              <w:rPr>
                <w:rFonts w:eastAsia="Calibri"/>
                <w:sz w:val="20"/>
                <w:lang w:val="fr-CA"/>
              </w:rPr>
            </w:pPr>
            <w:r w:rsidRPr="0079002B">
              <w:rPr>
                <w:rFonts w:eastAsia="Calibri"/>
                <w:sz w:val="20"/>
                <w:lang w:val="fr-CA"/>
              </w:rPr>
              <w:t>Le 15 octobre 2002, Théodore Lavoie, demandeur, et Yves Lavoie, intimé, son neveu, signent un document (« Entente »), rédigé par le demandeur, intitulé « Location avec option d’achat » relativement à des terres en culture et deux granges. M. Yves Lavoie verse un acompte de 20 000$. L’option d’achat pour le terrain et les deux granges est alors fixée à 50 000$. Vers le 15 novembre 2004, M. Yves Lavoie cherche à conclure la transaction, mais les parties n’arrivent pas à s’entendre. Le 30 novembre 2004, M. Théodore Lavoie vend certains lots situés sur les terres en cause. Le 15 décembre 2004, il informe M. Yves Lavoie qu’il ne veut plus lui vendre les terres en culture. Le 23 décembre 2004, M. Yves Lavoie met M. Théodore Lavoie en demeure de « signer [son] acceptation de la promesse d’achat et/ou à [lui] faire part de toute modification raisonnable sur les accessoires ». Le 26 juillet 2005, M. Théodore Lavoie signe un acte de vente relativement aux terres en culture en l’espèce. Le même jour, M. Yves Lavoie dépose contre M. Théodore Lavoie une requête introductive d’instance en passation de titre, en injonction mandatoire et en dommages-intérêts.</w:t>
            </w:r>
          </w:p>
          <w:p w:rsidR="00694AE2" w:rsidRPr="0079002B" w:rsidRDefault="00694AE2" w:rsidP="00D50228">
            <w:pPr>
              <w:jc w:val="both"/>
              <w:rPr>
                <w:rFonts w:eastAsia="Calibri"/>
                <w:sz w:val="20"/>
                <w:lang w:val="fr-CA"/>
              </w:rPr>
            </w:pPr>
          </w:p>
        </w:tc>
      </w:tr>
      <w:tr w:rsidR="00694AE2" w:rsidRPr="007D5BF8"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t>Le 4 juillet 2008</w:t>
            </w:r>
          </w:p>
          <w:p w:rsidR="00694AE2" w:rsidRPr="0079002B" w:rsidRDefault="00694AE2" w:rsidP="00D50228">
            <w:pPr>
              <w:jc w:val="both"/>
              <w:rPr>
                <w:rFonts w:eastAsia="Calibri"/>
                <w:sz w:val="20"/>
                <w:lang w:val="fr-CA"/>
              </w:rPr>
            </w:pPr>
            <w:r w:rsidRPr="0079002B">
              <w:rPr>
                <w:rFonts w:eastAsia="Calibri"/>
                <w:sz w:val="20"/>
                <w:lang w:val="fr-CA"/>
              </w:rPr>
              <w:t>Cour supérieure du Québec</w:t>
            </w:r>
          </w:p>
          <w:p w:rsidR="00694AE2" w:rsidRPr="0079002B" w:rsidRDefault="00694AE2" w:rsidP="00D50228">
            <w:pPr>
              <w:jc w:val="both"/>
              <w:rPr>
                <w:rFonts w:eastAsia="Calibri"/>
                <w:sz w:val="20"/>
                <w:lang w:val="fr-CA"/>
              </w:rPr>
            </w:pPr>
            <w:r w:rsidRPr="0079002B">
              <w:rPr>
                <w:rFonts w:eastAsia="Calibri"/>
                <w:sz w:val="20"/>
                <w:lang w:val="fr-CA"/>
              </w:rPr>
              <w:t>(Le juge Caron)</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Requête en passation de titre, injonction mandatoire et dommages-intérêts accueillie en partie.</w:t>
            </w:r>
          </w:p>
          <w:p w:rsidR="00694AE2" w:rsidRPr="0079002B" w:rsidRDefault="00694AE2" w:rsidP="00D50228">
            <w:pPr>
              <w:jc w:val="both"/>
              <w:rPr>
                <w:rFonts w:eastAsia="Calibri"/>
                <w:sz w:val="20"/>
                <w:lang w:val="fr-CA"/>
              </w:rPr>
            </w:pPr>
          </w:p>
        </w:tc>
      </w:tr>
      <w:tr w:rsidR="00694AE2" w:rsidRPr="0079002B"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t>Le 10 novembre 2008</w:t>
            </w:r>
          </w:p>
          <w:p w:rsidR="00694AE2" w:rsidRPr="0079002B" w:rsidRDefault="00694AE2" w:rsidP="00D50228">
            <w:pPr>
              <w:jc w:val="both"/>
              <w:rPr>
                <w:rFonts w:eastAsia="Calibri"/>
                <w:sz w:val="20"/>
                <w:lang w:val="fr-CA"/>
              </w:rPr>
            </w:pPr>
            <w:r w:rsidRPr="0079002B">
              <w:rPr>
                <w:rFonts w:eastAsia="Calibri"/>
                <w:sz w:val="20"/>
                <w:lang w:val="fr-CA"/>
              </w:rPr>
              <w:t>Cour d’appel du Québec (Québec)</w:t>
            </w:r>
          </w:p>
          <w:p w:rsidR="00694AE2" w:rsidRPr="0079002B" w:rsidRDefault="00694AE2" w:rsidP="00D50228">
            <w:pPr>
              <w:jc w:val="both"/>
              <w:rPr>
                <w:rFonts w:eastAsia="Calibri"/>
                <w:sz w:val="20"/>
                <w:lang w:val="fr-CA"/>
              </w:rPr>
            </w:pPr>
            <w:r w:rsidRPr="0079002B">
              <w:rPr>
                <w:rFonts w:eastAsia="Calibri"/>
                <w:sz w:val="20"/>
                <w:lang w:val="fr-CA"/>
              </w:rPr>
              <w:t>(Les juges Thibault, Giroux et Hesler Nicole)</w:t>
            </w:r>
          </w:p>
          <w:p w:rsidR="00694AE2" w:rsidRPr="0079002B" w:rsidRDefault="00694AE2" w:rsidP="00D50228">
            <w:pPr>
              <w:jc w:val="both"/>
              <w:rPr>
                <w:rFonts w:eastAsia="Calibri"/>
                <w:sz w:val="20"/>
                <w:lang w:val="fr-CA"/>
              </w:rPr>
            </w:pPr>
          </w:p>
        </w:tc>
        <w:tc>
          <w:tcPr>
            <w:tcW w:w="243" w:type="pct"/>
          </w:tcPr>
          <w:p w:rsidR="00694AE2" w:rsidRPr="0079002B" w:rsidRDefault="00694AE2" w:rsidP="00D50228">
            <w:pPr>
              <w:jc w:val="both"/>
              <w:rPr>
                <w:rFonts w:eastAsia="Calibri"/>
                <w:sz w:val="20"/>
                <w:lang w:val="fr-CA"/>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Appel rejeté.</w:t>
            </w:r>
          </w:p>
          <w:p w:rsidR="00694AE2" w:rsidRPr="0079002B" w:rsidRDefault="00694AE2" w:rsidP="00D50228">
            <w:pPr>
              <w:jc w:val="both"/>
              <w:rPr>
                <w:rFonts w:eastAsia="Calibri"/>
                <w:sz w:val="20"/>
                <w:lang w:val="fr-CA"/>
              </w:rPr>
            </w:pPr>
          </w:p>
        </w:tc>
      </w:tr>
      <w:tr w:rsidR="00694AE2" w:rsidRPr="007D5BF8"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t>Le 16 juin 2009</w:t>
            </w:r>
          </w:p>
          <w:p w:rsidR="00694AE2" w:rsidRPr="0079002B" w:rsidRDefault="00694AE2" w:rsidP="00D50228">
            <w:pPr>
              <w:jc w:val="both"/>
              <w:rPr>
                <w:rFonts w:eastAsia="Calibri"/>
                <w:sz w:val="20"/>
                <w:lang w:val="fr-CA"/>
              </w:rPr>
            </w:pPr>
            <w:r w:rsidRPr="0079002B">
              <w:rPr>
                <w:rFonts w:eastAsia="Calibri"/>
                <w:sz w:val="20"/>
                <w:lang w:val="fr-CA"/>
              </w:rPr>
              <w:t>Cour supérieure du Québec</w:t>
            </w:r>
          </w:p>
          <w:p w:rsidR="00694AE2" w:rsidRPr="0079002B" w:rsidRDefault="00694AE2" w:rsidP="00D50228">
            <w:pPr>
              <w:jc w:val="both"/>
              <w:rPr>
                <w:rFonts w:eastAsia="Calibri"/>
                <w:sz w:val="20"/>
                <w:lang w:val="fr-CA"/>
              </w:rPr>
            </w:pPr>
            <w:r w:rsidRPr="0079002B">
              <w:rPr>
                <w:rFonts w:eastAsia="Calibri"/>
                <w:sz w:val="20"/>
                <w:lang w:val="fr-CA"/>
              </w:rPr>
              <w:t>(Le juge Caron)</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Jugement de la Cour supérieure du 4 juillet 2008 rectifié.</w:t>
            </w:r>
          </w:p>
          <w:p w:rsidR="00694AE2" w:rsidRPr="0079002B" w:rsidRDefault="00694AE2" w:rsidP="00D50228">
            <w:pPr>
              <w:jc w:val="both"/>
              <w:rPr>
                <w:rFonts w:eastAsia="Calibri"/>
                <w:sz w:val="20"/>
                <w:lang w:val="fr-CA"/>
              </w:rPr>
            </w:pPr>
          </w:p>
        </w:tc>
      </w:tr>
      <w:tr w:rsidR="00694AE2" w:rsidRPr="0079002B"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t>Le 6 juin 2011</w:t>
            </w:r>
          </w:p>
          <w:p w:rsidR="00694AE2" w:rsidRPr="0079002B" w:rsidRDefault="00694AE2" w:rsidP="00D50228">
            <w:pPr>
              <w:jc w:val="both"/>
              <w:rPr>
                <w:rFonts w:eastAsia="Calibri"/>
                <w:sz w:val="20"/>
                <w:lang w:val="fr-CA"/>
              </w:rPr>
            </w:pPr>
            <w:r w:rsidRPr="0079002B">
              <w:rPr>
                <w:rFonts w:eastAsia="Calibri"/>
                <w:sz w:val="20"/>
                <w:lang w:val="fr-CA"/>
              </w:rPr>
              <w:t>Cour d’appel du Québec (Québec)</w:t>
            </w:r>
          </w:p>
          <w:p w:rsidR="00694AE2" w:rsidRPr="0079002B" w:rsidRDefault="00694AE2" w:rsidP="00D50228">
            <w:pPr>
              <w:jc w:val="both"/>
              <w:rPr>
                <w:rFonts w:eastAsia="Calibri"/>
                <w:sz w:val="20"/>
                <w:lang w:val="fr-CA"/>
              </w:rPr>
            </w:pPr>
            <w:r w:rsidRPr="0079002B">
              <w:rPr>
                <w:rFonts w:eastAsia="Calibri"/>
                <w:sz w:val="20"/>
                <w:lang w:val="fr-CA"/>
              </w:rPr>
              <w:t>(Le juges Giroux, Bouchard et Viens)</w:t>
            </w:r>
          </w:p>
          <w:p w:rsidR="00694AE2" w:rsidRPr="0079002B" w:rsidRDefault="00694AE2" w:rsidP="00D50228">
            <w:pPr>
              <w:jc w:val="both"/>
              <w:rPr>
                <w:rFonts w:eastAsia="Calibri"/>
                <w:sz w:val="20"/>
                <w:lang w:val="fr-CA"/>
              </w:rPr>
            </w:pPr>
          </w:p>
        </w:tc>
        <w:tc>
          <w:tcPr>
            <w:tcW w:w="243" w:type="pct"/>
          </w:tcPr>
          <w:p w:rsidR="00694AE2" w:rsidRPr="0079002B" w:rsidRDefault="00694AE2" w:rsidP="00D50228">
            <w:pPr>
              <w:jc w:val="both"/>
              <w:rPr>
                <w:rFonts w:eastAsia="Calibri"/>
                <w:sz w:val="20"/>
                <w:lang w:val="fr-CA"/>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Appel rejeté.</w:t>
            </w:r>
          </w:p>
          <w:p w:rsidR="00694AE2" w:rsidRPr="0079002B" w:rsidRDefault="00694AE2" w:rsidP="00D50228">
            <w:pPr>
              <w:jc w:val="both"/>
              <w:rPr>
                <w:rFonts w:eastAsia="Calibri"/>
                <w:sz w:val="20"/>
                <w:lang w:val="fr-CA"/>
              </w:rPr>
            </w:pPr>
          </w:p>
        </w:tc>
      </w:tr>
      <w:tr w:rsidR="00694AE2" w:rsidRPr="0079002B"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t>Le 1 septembre 2011</w:t>
            </w:r>
          </w:p>
          <w:p w:rsidR="00694AE2" w:rsidRPr="0079002B" w:rsidRDefault="00694AE2" w:rsidP="00D50228">
            <w:pPr>
              <w:jc w:val="both"/>
              <w:rPr>
                <w:rFonts w:eastAsia="Calibri"/>
                <w:sz w:val="20"/>
                <w:lang w:val="fr-CA"/>
              </w:rPr>
            </w:pPr>
            <w:r w:rsidRPr="0079002B">
              <w:rPr>
                <w:rFonts w:eastAsia="Calibri"/>
                <w:sz w:val="20"/>
                <w:lang w:val="fr-CA"/>
              </w:rPr>
              <w:t>Cour suprême du Canada</w:t>
            </w:r>
          </w:p>
        </w:tc>
        <w:tc>
          <w:tcPr>
            <w:tcW w:w="243" w:type="pct"/>
          </w:tcPr>
          <w:p w:rsidR="00694AE2" w:rsidRPr="0079002B" w:rsidRDefault="00694AE2" w:rsidP="00D50228">
            <w:pPr>
              <w:jc w:val="both"/>
              <w:rPr>
                <w:rFonts w:eastAsia="Calibri"/>
                <w:sz w:val="20"/>
                <w:lang w:val="fr-CA"/>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Demande d'autorisation d'appel déposée</w:t>
            </w:r>
          </w:p>
          <w:p w:rsidR="00694AE2" w:rsidRPr="0079002B" w:rsidRDefault="00694AE2" w:rsidP="00D50228">
            <w:pPr>
              <w:jc w:val="both"/>
              <w:rPr>
                <w:rFonts w:eastAsia="Calibri"/>
                <w:sz w:val="20"/>
                <w:lang w:val="fr-CA"/>
              </w:rPr>
            </w:pPr>
          </w:p>
        </w:tc>
      </w:tr>
    </w:tbl>
    <w:p w:rsidR="00CC012F" w:rsidRDefault="00CC012F" w:rsidP="008D292F">
      <w:pPr>
        <w:rPr>
          <w:sz w:val="20"/>
          <w:szCs w:val="20"/>
        </w:rPr>
      </w:pPr>
    </w:p>
    <w:p w:rsidR="00CC012F" w:rsidRPr="00C50A5C" w:rsidRDefault="0011031E" w:rsidP="00CC012F">
      <w:pPr>
        <w:rPr>
          <w:sz w:val="20"/>
          <w:szCs w:val="20"/>
        </w:rPr>
      </w:pPr>
      <w:r w:rsidRPr="0011031E">
        <w:rPr>
          <w:sz w:val="20"/>
          <w:szCs w:val="20"/>
          <w:lang w:val="fr-CA"/>
        </w:rPr>
        <w:pict>
          <v:rect id="_x0000_i1040" style="width:2in;height:1pt" o:hrpct="0" o:hralign="center" o:hrstd="t" o:hrnoshade="t" o:hr="t" fillcolor="black [3213]" stroked="f"/>
        </w:pict>
      </w:r>
    </w:p>
    <w:p w:rsidR="00CC012F" w:rsidRDefault="00CC012F" w:rsidP="00CC01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389C" w:rsidRPr="007D5BF8" w:rsidTr="00D50228">
        <w:trPr>
          <w:cantSplit/>
        </w:trPr>
        <w:tc>
          <w:tcPr>
            <w:tcW w:w="1458" w:type="dxa"/>
          </w:tcPr>
          <w:p w:rsidR="00D1389C" w:rsidRPr="002D4E22" w:rsidRDefault="00D1389C" w:rsidP="00D50228">
            <w:pPr>
              <w:rPr>
                <w:sz w:val="20"/>
                <w:szCs w:val="20"/>
              </w:rPr>
            </w:pPr>
            <w:r w:rsidRPr="002D4E22">
              <w:rPr>
                <w:rStyle w:val="SCCFileNumberChar"/>
                <w:sz w:val="20"/>
                <w:szCs w:val="20"/>
              </w:rPr>
              <w:lastRenderedPageBreak/>
              <w:t>34447</w:t>
            </w:r>
          </w:p>
          <w:p w:rsidR="00D1389C" w:rsidRPr="002D4E22" w:rsidRDefault="00D1389C" w:rsidP="00D50228">
            <w:pPr>
              <w:rPr>
                <w:b/>
                <w:sz w:val="20"/>
                <w:szCs w:val="20"/>
                <w:lang w:val="fr-CA"/>
              </w:rPr>
            </w:pPr>
          </w:p>
        </w:tc>
        <w:tc>
          <w:tcPr>
            <w:tcW w:w="8118" w:type="dxa"/>
          </w:tcPr>
          <w:p w:rsidR="00D1389C" w:rsidRPr="002D4E22" w:rsidRDefault="00D1389C" w:rsidP="00D50228">
            <w:pPr>
              <w:jc w:val="both"/>
              <w:rPr>
                <w:sz w:val="20"/>
                <w:szCs w:val="20"/>
                <w:lang w:val="fr-CA"/>
              </w:rPr>
            </w:pPr>
            <w:r w:rsidRPr="002D4E22">
              <w:rPr>
                <w:rStyle w:val="SCCLsocChar"/>
                <w:sz w:val="20"/>
                <w:szCs w:val="20"/>
              </w:rPr>
              <w:t>Compagnie d'inspection et d'assurance chaudière et machinerie c. H.A. Simons Ltd., Babcock &amp; Wilcox Industries Ltd., Cegelec Enterprises Ltd., faisant affaire sous la dénomination sociale B.G.Checo Enr., entreprise conjointe (Joint Venture); H.A. Simons Ltd., Babcock &amp; Wilcox Industries Ltd., Cegelec Enterprises Ltd., faisant affaire sous la dénomination sociale B.G. Checo Constructions Enr., Services Kamtech Inc., anciennement connue sous les nom et dénomination sociale de Kamyr Enterprises Inc., Continental Casualty Company, Royal Insurance Company of Canada, Canadian Surety Company of Canada</w:t>
            </w:r>
            <w:r w:rsidR="00427637">
              <w:rPr>
                <w:rStyle w:val="SCCLsocChar"/>
                <w:sz w:val="20"/>
                <w:szCs w:val="20"/>
              </w:rPr>
              <w:t xml:space="preserve"> et</w:t>
            </w:r>
            <w:r w:rsidRPr="002D4E22">
              <w:rPr>
                <w:rStyle w:val="SCCLsocChar"/>
                <w:sz w:val="20"/>
                <w:szCs w:val="20"/>
              </w:rPr>
              <w:t xml:space="preserve"> Commonwealth Insurance Company</w:t>
            </w:r>
            <w:r w:rsidRPr="002D4E22">
              <w:rPr>
                <w:sz w:val="20"/>
                <w:szCs w:val="20"/>
                <w:lang w:val="fr-CA"/>
              </w:rPr>
              <w:t xml:space="preserve"> (Qc) (Civile) (Autorisation)</w:t>
            </w:r>
          </w:p>
          <w:p w:rsidR="00D1389C" w:rsidRPr="002D4E22" w:rsidRDefault="00D1389C" w:rsidP="00D50228">
            <w:pPr>
              <w:rPr>
                <w:sz w:val="20"/>
                <w:szCs w:val="20"/>
                <w:lang w:val="fr-CA"/>
              </w:rPr>
            </w:pPr>
          </w:p>
        </w:tc>
      </w:tr>
      <w:tr w:rsidR="00D1389C" w:rsidRPr="007D5BF8" w:rsidTr="00D50228">
        <w:trPr>
          <w:cantSplit/>
        </w:trPr>
        <w:tc>
          <w:tcPr>
            <w:tcW w:w="1458" w:type="dxa"/>
          </w:tcPr>
          <w:p w:rsidR="00D1389C" w:rsidRPr="002D4E22" w:rsidRDefault="00D1389C" w:rsidP="00D50228">
            <w:pPr>
              <w:rPr>
                <w:sz w:val="20"/>
                <w:szCs w:val="20"/>
              </w:rPr>
            </w:pPr>
            <w:r w:rsidRPr="002D4E22">
              <w:rPr>
                <w:sz w:val="20"/>
                <w:szCs w:val="20"/>
              </w:rPr>
              <w:t>Coram :</w:t>
            </w:r>
          </w:p>
        </w:tc>
        <w:tc>
          <w:tcPr>
            <w:tcW w:w="8118" w:type="dxa"/>
          </w:tcPr>
          <w:p w:rsidR="00D1389C" w:rsidRPr="002D4E22" w:rsidRDefault="00D1389C" w:rsidP="00D50228">
            <w:pPr>
              <w:rPr>
                <w:sz w:val="20"/>
                <w:szCs w:val="20"/>
                <w:lang w:val="fr-CA"/>
              </w:rPr>
            </w:pPr>
            <w:r w:rsidRPr="002D4E22">
              <w:rPr>
                <w:rStyle w:val="SCCCoramChar"/>
                <w:sz w:val="20"/>
                <w:szCs w:val="20"/>
              </w:rPr>
              <w:t>Les juges LeBel, Abella et Cromwell</w:t>
            </w:r>
          </w:p>
          <w:p w:rsidR="00D1389C" w:rsidRPr="002D4E22" w:rsidRDefault="00D1389C" w:rsidP="00D50228">
            <w:pPr>
              <w:rPr>
                <w:sz w:val="20"/>
                <w:szCs w:val="20"/>
                <w:u w:val="single"/>
                <w:lang w:val="fr-CA"/>
              </w:rPr>
            </w:pPr>
          </w:p>
        </w:tc>
      </w:tr>
      <w:tr w:rsidR="00D1389C" w:rsidRPr="002D4E22" w:rsidTr="00D50228">
        <w:trPr>
          <w:cantSplit/>
        </w:trPr>
        <w:tc>
          <w:tcPr>
            <w:tcW w:w="9576" w:type="dxa"/>
            <w:gridSpan w:val="2"/>
          </w:tcPr>
          <w:p w:rsidR="00D1389C" w:rsidRPr="002D4E22" w:rsidRDefault="00D1389C" w:rsidP="00D50228">
            <w:pPr>
              <w:pStyle w:val="SCCShortJudgment"/>
              <w:rPr>
                <w:szCs w:val="20"/>
                <w:lang w:val="fr-CA"/>
              </w:rPr>
            </w:pPr>
            <w:r w:rsidRPr="002D4E22">
              <w:rPr>
                <w:szCs w:val="20"/>
                <w:lang w:val="fr-CA"/>
              </w:rPr>
              <w:t>La demande d’autorisation d’appel de l’arrêt de la Cour d’appel du Québec (Montréal), numéro 500-09-021260-104, 2011 QCCA 1194, daté du 23 juin 2011, est rejetée avec dépens.</w:t>
            </w:r>
          </w:p>
          <w:p w:rsidR="00D1389C" w:rsidRPr="002D4E22" w:rsidRDefault="00D1389C" w:rsidP="00D50228">
            <w:pPr>
              <w:pStyle w:val="SCCShortJudgment"/>
              <w:ind w:firstLine="0"/>
              <w:rPr>
                <w:szCs w:val="20"/>
                <w:lang w:val="fr-CA"/>
              </w:rPr>
            </w:pPr>
          </w:p>
          <w:p w:rsidR="00D1389C" w:rsidRPr="002D4E22" w:rsidRDefault="00D1389C" w:rsidP="00D50228">
            <w:pPr>
              <w:pStyle w:val="SCCShortJudgment"/>
              <w:rPr>
                <w:szCs w:val="20"/>
              </w:rPr>
            </w:pPr>
            <w:r w:rsidRPr="002D4E22">
              <w:rPr>
                <w:szCs w:val="20"/>
              </w:rPr>
              <w:t>The application for leave to appeal from the judgment of the Court of Appeal of Quebec (Montréal), Number 500-09-021260-104, 2011 QCCA 1194, dated June 23, 2011 is dismissed with costs.</w:t>
            </w:r>
          </w:p>
        </w:tc>
      </w:tr>
    </w:tbl>
    <w:p w:rsidR="00CC012F" w:rsidRPr="00D1389C" w:rsidRDefault="00CC012F" w:rsidP="00CC012F">
      <w:pPr>
        <w:rPr>
          <w:sz w:val="20"/>
          <w:szCs w:val="20"/>
        </w:rPr>
      </w:pPr>
    </w:p>
    <w:p w:rsidR="00CC012F" w:rsidRPr="001B157C" w:rsidRDefault="00CC012F" w:rsidP="00CC012F">
      <w:pPr>
        <w:rPr>
          <w:sz w:val="20"/>
          <w:szCs w:val="20"/>
          <w:u w:val="single"/>
        </w:rPr>
      </w:pPr>
      <w:r w:rsidRPr="001B157C">
        <w:rPr>
          <w:sz w:val="20"/>
          <w:szCs w:val="20"/>
          <w:u w:val="single"/>
        </w:rPr>
        <w:t>CASE SUMMARY</w:t>
      </w:r>
    </w:p>
    <w:p w:rsidR="00CC012F" w:rsidRDefault="00CC012F" w:rsidP="00CC01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94AE2" w:rsidRPr="0079002B" w:rsidTr="00D50228">
        <w:tc>
          <w:tcPr>
            <w:tcW w:w="5000" w:type="pct"/>
            <w:gridSpan w:val="3"/>
          </w:tcPr>
          <w:p w:rsidR="00694AE2" w:rsidRPr="0079002B" w:rsidRDefault="00694AE2" w:rsidP="00D50228">
            <w:pPr>
              <w:jc w:val="both"/>
              <w:rPr>
                <w:rFonts w:eastAsia="Calibri"/>
                <w:sz w:val="20"/>
              </w:rPr>
            </w:pPr>
            <w:r w:rsidRPr="0079002B">
              <w:rPr>
                <w:rFonts w:eastAsia="Calibri"/>
                <w:sz w:val="20"/>
              </w:rPr>
              <w:t xml:space="preserve">Insurance – Contracts of insurance and reinsurance – Industrial insured compensated by its insurer following breakdown – Insurer compensated by its reinsurer for same amount – Reinsurer claiming amount from contractors that had worked for insured and from contractors’ insurers on basis of fault – Whether Court of Appeal erred in law in applying civil rules concerning contracts of insurance and reinsurance rather than basing its decision on theory of </w:t>
            </w:r>
            <w:r w:rsidRPr="0079002B">
              <w:rPr>
                <w:rFonts w:eastAsia="Calibri"/>
                <w:i/>
                <w:sz w:val="20"/>
              </w:rPr>
              <w:t>prête</w:t>
            </w:r>
            <w:r w:rsidRPr="0079002B">
              <w:rPr>
                <w:rFonts w:eastAsia="Calibri"/>
                <w:i/>
                <w:sz w:val="20"/>
              </w:rPr>
              <w:noBreakHyphen/>
              <w:t>nom</w:t>
            </w:r>
            <w:r w:rsidRPr="0079002B">
              <w:rPr>
                <w:rFonts w:eastAsia="Calibri"/>
                <w:sz w:val="20"/>
              </w:rPr>
              <w:t xml:space="preserve"> – </w:t>
            </w:r>
            <w:r w:rsidRPr="0079002B">
              <w:rPr>
                <w:rFonts w:eastAsia="Calibri"/>
                <w:i/>
                <w:sz w:val="20"/>
              </w:rPr>
              <w:t>Civil Code of Québec</w:t>
            </w:r>
            <w:r w:rsidRPr="0079002B">
              <w:rPr>
                <w:rFonts w:eastAsia="Calibri"/>
                <w:sz w:val="20"/>
              </w:rPr>
              <w:t>, S.Q. 1991, c. 64, art. 2397.</w:t>
            </w:r>
          </w:p>
        </w:tc>
      </w:tr>
      <w:tr w:rsidR="00694AE2" w:rsidRPr="0079002B" w:rsidTr="00D50228">
        <w:tc>
          <w:tcPr>
            <w:tcW w:w="5000" w:type="pct"/>
            <w:gridSpan w:val="3"/>
          </w:tcPr>
          <w:p w:rsidR="00694AE2" w:rsidRPr="0079002B" w:rsidRDefault="00694AE2" w:rsidP="00D50228">
            <w:pPr>
              <w:jc w:val="both"/>
              <w:rPr>
                <w:rFonts w:eastAsia="Calibri"/>
                <w:sz w:val="20"/>
              </w:rPr>
            </w:pPr>
          </w:p>
        </w:tc>
      </w:tr>
      <w:tr w:rsidR="00694AE2" w:rsidRPr="0079002B" w:rsidTr="00D50228">
        <w:tc>
          <w:tcPr>
            <w:tcW w:w="5000" w:type="pct"/>
            <w:gridSpan w:val="3"/>
          </w:tcPr>
          <w:p w:rsidR="00694AE2" w:rsidRPr="0079002B" w:rsidRDefault="00694AE2" w:rsidP="00D50228">
            <w:pPr>
              <w:jc w:val="both"/>
              <w:rPr>
                <w:rFonts w:eastAsia="Calibri"/>
                <w:sz w:val="20"/>
              </w:rPr>
            </w:pPr>
            <w:r w:rsidRPr="0079002B">
              <w:rPr>
                <w:rFonts w:eastAsia="Calibri"/>
                <w:sz w:val="20"/>
              </w:rPr>
              <w:t>Domtar held all</w:t>
            </w:r>
            <w:r w:rsidRPr="0079002B">
              <w:rPr>
                <w:rFonts w:eastAsia="Calibri"/>
                <w:sz w:val="20"/>
              </w:rPr>
              <w:noBreakHyphen/>
              <w:t>risks insurance with American Home for its Lebel</w:t>
            </w:r>
            <w:r w:rsidRPr="0079002B">
              <w:rPr>
                <w:rFonts w:eastAsia="Calibri"/>
                <w:sz w:val="20"/>
              </w:rPr>
              <w:noBreakHyphen/>
              <w:t>sur</w:t>
            </w:r>
            <w:r w:rsidRPr="0079002B">
              <w:rPr>
                <w:rFonts w:eastAsia="Calibri"/>
                <w:sz w:val="20"/>
              </w:rPr>
              <w:noBreakHyphen/>
              <w:t>Quévillon mill when it had the respondent contractors perform major work there in 1995.  The applicant was the reinsurer under the contracts.  In November 1995 and October 1996, the machinery affected by the work broke down, forcing Domtar to suspend production.  Following an investigation by the reinsurer, more than $8 million in compensation was paid by the reinsurer to the insurer and by the insurer to the insured.  The reinsurer then brought an action against the companies that had performed the work and their insurers, relying on causal fault.  The respondents moved to dismiss the action.</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November 16, 2010</w:t>
            </w:r>
          </w:p>
          <w:p w:rsidR="00694AE2" w:rsidRPr="0079002B" w:rsidRDefault="00694AE2" w:rsidP="00D50228">
            <w:pPr>
              <w:jc w:val="both"/>
              <w:rPr>
                <w:rFonts w:eastAsia="Calibri"/>
                <w:sz w:val="20"/>
              </w:rPr>
            </w:pPr>
            <w:r w:rsidRPr="0079002B">
              <w:rPr>
                <w:rFonts w:eastAsia="Calibri"/>
                <w:sz w:val="20"/>
              </w:rPr>
              <w:t xml:space="preserve">Quebec Superior Court </w:t>
            </w:r>
          </w:p>
          <w:p w:rsidR="00694AE2" w:rsidRPr="0079002B" w:rsidRDefault="00694AE2" w:rsidP="00D50228">
            <w:pPr>
              <w:jc w:val="both"/>
              <w:rPr>
                <w:rFonts w:eastAsia="Calibri"/>
                <w:sz w:val="20"/>
              </w:rPr>
            </w:pPr>
            <w:r w:rsidRPr="0079002B">
              <w:rPr>
                <w:rFonts w:eastAsia="Calibri"/>
                <w:sz w:val="20"/>
              </w:rPr>
              <w:t>(Denis J.)</w:t>
            </w:r>
          </w:p>
          <w:p w:rsidR="00694AE2" w:rsidRPr="0079002B" w:rsidRDefault="00694AE2" w:rsidP="00D50228">
            <w:pPr>
              <w:jc w:val="both"/>
              <w:rPr>
                <w:rFonts w:eastAsia="Calibri"/>
                <w:sz w:val="20"/>
              </w:rPr>
            </w:pPr>
            <w:r w:rsidRPr="0079002B">
              <w:rPr>
                <w:rFonts w:eastAsia="Calibri"/>
                <w:sz w:val="20"/>
              </w:rPr>
              <w:t>Neutral citation: 2010 QCCS 5554</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Applicant’s action dismissed</w:t>
            </w: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June 23, 2011</w:t>
            </w:r>
          </w:p>
          <w:p w:rsidR="00694AE2" w:rsidRPr="0079002B" w:rsidRDefault="00694AE2" w:rsidP="00D50228">
            <w:pPr>
              <w:jc w:val="both"/>
              <w:rPr>
                <w:rFonts w:eastAsia="Calibri"/>
                <w:sz w:val="20"/>
              </w:rPr>
            </w:pPr>
            <w:r w:rsidRPr="0079002B">
              <w:rPr>
                <w:rFonts w:eastAsia="Calibri"/>
                <w:sz w:val="20"/>
              </w:rPr>
              <w:t>Quebec Court of Appeal (Montréal)</w:t>
            </w:r>
          </w:p>
          <w:p w:rsidR="00694AE2" w:rsidRPr="0079002B" w:rsidRDefault="00694AE2" w:rsidP="00D50228">
            <w:pPr>
              <w:jc w:val="both"/>
              <w:rPr>
                <w:rFonts w:eastAsia="Calibri"/>
                <w:sz w:val="20"/>
              </w:rPr>
            </w:pPr>
            <w:r w:rsidRPr="0079002B">
              <w:rPr>
                <w:rFonts w:eastAsia="Calibri"/>
                <w:sz w:val="20"/>
              </w:rPr>
              <w:t>(Thibault, Rochette and Kasirer JJ.A.)</w:t>
            </w:r>
          </w:p>
          <w:p w:rsidR="00694AE2" w:rsidRPr="0079002B" w:rsidRDefault="00694AE2" w:rsidP="00D50228">
            <w:pPr>
              <w:jc w:val="both"/>
              <w:rPr>
                <w:rFonts w:eastAsia="Calibri"/>
                <w:sz w:val="20"/>
              </w:rPr>
            </w:pPr>
            <w:r w:rsidRPr="0079002B">
              <w:rPr>
                <w:rFonts w:eastAsia="Calibri"/>
                <w:sz w:val="20"/>
              </w:rPr>
              <w:t>Neutral citation: 2011 QCCA 1194</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Appeal dismissed</w:t>
            </w: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September 22, 2011</w:t>
            </w:r>
          </w:p>
          <w:p w:rsidR="00694AE2" w:rsidRPr="0079002B" w:rsidRDefault="00694AE2" w:rsidP="00D50228">
            <w:pPr>
              <w:jc w:val="both"/>
              <w:rPr>
                <w:rFonts w:eastAsia="Calibri"/>
                <w:sz w:val="20"/>
              </w:rPr>
            </w:pPr>
            <w:r w:rsidRPr="0079002B">
              <w:rPr>
                <w:rFonts w:eastAsia="Calibri"/>
                <w:sz w:val="20"/>
              </w:rPr>
              <w:t>Supreme Court of Canada</w:t>
            </w: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Application for leave to appeal filed</w:t>
            </w:r>
          </w:p>
          <w:p w:rsidR="00694AE2" w:rsidRPr="0079002B" w:rsidRDefault="00694AE2" w:rsidP="00D50228">
            <w:pPr>
              <w:jc w:val="both"/>
              <w:rPr>
                <w:rFonts w:eastAsia="Calibri"/>
                <w:sz w:val="20"/>
              </w:rPr>
            </w:pPr>
          </w:p>
        </w:tc>
      </w:tr>
    </w:tbl>
    <w:p w:rsidR="00CC012F" w:rsidRDefault="00CC012F" w:rsidP="00CC012F">
      <w:pPr>
        <w:rPr>
          <w:sz w:val="20"/>
          <w:szCs w:val="20"/>
        </w:rPr>
      </w:pPr>
    </w:p>
    <w:p w:rsidR="00CC012F" w:rsidRPr="00C50A5C" w:rsidRDefault="0011031E" w:rsidP="00CC012F">
      <w:pPr>
        <w:rPr>
          <w:sz w:val="20"/>
          <w:szCs w:val="20"/>
        </w:rPr>
      </w:pPr>
      <w:r w:rsidRPr="0011031E">
        <w:rPr>
          <w:sz w:val="20"/>
          <w:szCs w:val="20"/>
          <w:lang w:val="fr-CA"/>
        </w:rPr>
        <w:pict>
          <v:rect id="_x0000_i1041" style="width:2in;height:1pt" o:hrpct="0" o:hralign="center" o:hrstd="t" o:hrnoshade="t" o:hr="t" fillcolor="black [3213]" stroked="f"/>
        </w:pict>
      </w:r>
    </w:p>
    <w:p w:rsidR="00CC012F" w:rsidRDefault="00CC012F" w:rsidP="00CC012F">
      <w:pPr>
        <w:rPr>
          <w:sz w:val="20"/>
          <w:szCs w:val="20"/>
        </w:rPr>
      </w:pPr>
    </w:p>
    <w:p w:rsidR="00CC012F" w:rsidRPr="001B157C" w:rsidRDefault="00CC012F" w:rsidP="00CC012F">
      <w:pPr>
        <w:rPr>
          <w:sz w:val="20"/>
          <w:szCs w:val="20"/>
          <w:u w:val="single"/>
          <w:lang w:val="fr-CA"/>
        </w:rPr>
      </w:pPr>
      <w:r w:rsidRPr="001B157C">
        <w:rPr>
          <w:sz w:val="20"/>
          <w:szCs w:val="20"/>
          <w:u w:val="single"/>
          <w:lang w:val="fr-CA"/>
        </w:rPr>
        <w:t>RÉSUMÉ DE L’AFFAIRE</w:t>
      </w:r>
    </w:p>
    <w:p w:rsidR="00CC012F" w:rsidRDefault="00CC012F" w:rsidP="00CC01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94AE2" w:rsidRPr="007D5BF8" w:rsidTr="00D50228">
        <w:tc>
          <w:tcPr>
            <w:tcW w:w="5000" w:type="pct"/>
            <w:gridSpan w:val="3"/>
          </w:tcPr>
          <w:p w:rsidR="00694AE2" w:rsidRPr="0079002B" w:rsidRDefault="00694AE2" w:rsidP="00D50228">
            <w:pPr>
              <w:jc w:val="both"/>
              <w:rPr>
                <w:rFonts w:eastAsia="Calibri"/>
                <w:sz w:val="20"/>
                <w:lang w:val="fr-CA"/>
              </w:rPr>
            </w:pPr>
            <w:r w:rsidRPr="0079002B">
              <w:rPr>
                <w:rFonts w:eastAsia="Calibri"/>
                <w:sz w:val="20"/>
                <w:lang w:val="fr-CA"/>
              </w:rPr>
              <w:t xml:space="preserve">Assurances – Contrats d’assurance et de réassurance – Assuré industriel indemnisé par son assureur à la suite d’un bris </w:t>
            </w:r>
            <w:r w:rsidRPr="0079002B">
              <w:rPr>
                <w:rFonts w:eastAsia="Calibri"/>
                <w:sz w:val="20"/>
                <w:lang w:val="fr-CA"/>
              </w:rPr>
              <w:lastRenderedPageBreak/>
              <w:t>– Assureur indemnisé par son réassureur pour le même montant – Réassureur réclamant ce montant aux entrepreneurs ayant travaillé pour l’assuré et à leurs propres assureurs en invoquant la faute – La Cour d’appel a</w:t>
            </w:r>
            <w:r w:rsidRPr="0079002B">
              <w:rPr>
                <w:rFonts w:eastAsia="Calibri"/>
                <w:sz w:val="20"/>
                <w:lang w:val="fr-CA"/>
              </w:rPr>
              <w:noBreakHyphen/>
              <w:t>t</w:t>
            </w:r>
            <w:r w:rsidRPr="0079002B">
              <w:rPr>
                <w:rFonts w:eastAsia="Calibri"/>
                <w:sz w:val="20"/>
                <w:lang w:val="fr-CA"/>
              </w:rPr>
              <w:noBreakHyphen/>
              <w:t>elle erré en droit en appliquant les règles civiles des contrats d’assurance et de réassurance plutôt que de fonder sa décision sur la théorie du prête</w:t>
            </w:r>
            <w:r w:rsidRPr="0079002B">
              <w:rPr>
                <w:rFonts w:eastAsia="Calibri"/>
                <w:sz w:val="20"/>
                <w:lang w:val="fr-CA"/>
              </w:rPr>
              <w:noBreakHyphen/>
              <w:t xml:space="preserve">nom? – </w:t>
            </w:r>
            <w:r w:rsidRPr="0079002B">
              <w:rPr>
                <w:rFonts w:eastAsia="Calibri"/>
                <w:i/>
                <w:sz w:val="20"/>
                <w:lang w:val="fr-CA"/>
              </w:rPr>
              <w:t>Code civil du Québec</w:t>
            </w:r>
            <w:r w:rsidRPr="0079002B">
              <w:rPr>
                <w:rFonts w:eastAsia="Calibri"/>
                <w:sz w:val="20"/>
                <w:lang w:val="fr-CA"/>
              </w:rPr>
              <w:t>, L.Q. 1991, ch. 64, art. 2397.</w:t>
            </w:r>
          </w:p>
        </w:tc>
      </w:tr>
      <w:tr w:rsidR="00694AE2" w:rsidRPr="007D5BF8" w:rsidTr="00D50228">
        <w:tc>
          <w:tcPr>
            <w:tcW w:w="5000" w:type="pct"/>
            <w:gridSpan w:val="3"/>
          </w:tcPr>
          <w:p w:rsidR="00694AE2" w:rsidRPr="0079002B" w:rsidRDefault="00694AE2" w:rsidP="00D50228">
            <w:pPr>
              <w:jc w:val="both"/>
              <w:rPr>
                <w:rFonts w:eastAsia="Calibri"/>
                <w:sz w:val="20"/>
                <w:lang w:val="fr-CA"/>
              </w:rPr>
            </w:pPr>
          </w:p>
        </w:tc>
      </w:tr>
      <w:tr w:rsidR="00694AE2" w:rsidRPr="0079002B" w:rsidTr="00D50228">
        <w:tc>
          <w:tcPr>
            <w:tcW w:w="5000" w:type="pct"/>
            <w:gridSpan w:val="3"/>
          </w:tcPr>
          <w:p w:rsidR="00694AE2" w:rsidRPr="0079002B" w:rsidRDefault="00694AE2" w:rsidP="00D50228">
            <w:pPr>
              <w:jc w:val="both"/>
              <w:rPr>
                <w:rFonts w:eastAsia="Calibri"/>
                <w:sz w:val="20"/>
                <w:lang w:val="fr-CA"/>
              </w:rPr>
            </w:pPr>
            <w:r w:rsidRPr="0079002B">
              <w:rPr>
                <w:rFonts w:eastAsia="Calibri"/>
                <w:sz w:val="20"/>
                <w:lang w:val="fr-CA"/>
              </w:rPr>
              <w:t>Domtar détient une assurance tous risques avec American Home pour son usine de Lebel</w:t>
            </w:r>
            <w:r w:rsidRPr="0079002B">
              <w:rPr>
                <w:rFonts w:eastAsia="Calibri"/>
                <w:sz w:val="20"/>
                <w:lang w:val="fr-CA"/>
              </w:rPr>
              <w:noBreakHyphen/>
              <w:t>sur</w:t>
            </w:r>
            <w:r w:rsidRPr="0079002B">
              <w:rPr>
                <w:rFonts w:eastAsia="Calibri"/>
                <w:sz w:val="20"/>
                <w:lang w:val="fr-CA"/>
              </w:rPr>
              <w:noBreakHyphen/>
              <w:t>Quévillon lorsqu’elle y fait accomplir des travaux majeurs par les entrepreneurs intimés, en 1995. La demanderesse est le réassureur aux termes des contrats. En novembre 1995 et octobre 1996, des bris surviennent dans la machinerie touchée par les travaux, forçant Domtar à interrompre sa production. Après enquête du réassureur, une indemnité de plus de 8 M$ est payée par le réassureur à l’assureur et par l’assureur à l’assurée. Le réassureur entreprend alors un recours contre les compagnies ayant effectué les travaux ainsi que leurs assureurs, invoquant la faute causale. Les intimées plaident l’irrecevabilité de l’action.</w:t>
            </w:r>
          </w:p>
          <w:p w:rsidR="00694AE2" w:rsidRPr="0079002B" w:rsidRDefault="00694AE2" w:rsidP="00D50228">
            <w:pPr>
              <w:jc w:val="both"/>
              <w:rPr>
                <w:rFonts w:eastAsia="Calibri"/>
                <w:sz w:val="20"/>
                <w:lang w:val="fr-CA"/>
              </w:rPr>
            </w:pPr>
          </w:p>
        </w:tc>
      </w:tr>
      <w:tr w:rsidR="00694AE2" w:rsidRPr="007D5BF8"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t>Le 16 novembre 2010</w:t>
            </w:r>
          </w:p>
          <w:p w:rsidR="00694AE2" w:rsidRPr="0079002B" w:rsidRDefault="00694AE2" w:rsidP="00D50228">
            <w:pPr>
              <w:jc w:val="both"/>
              <w:rPr>
                <w:rFonts w:eastAsia="Calibri"/>
                <w:sz w:val="20"/>
                <w:lang w:val="fr-CA"/>
              </w:rPr>
            </w:pPr>
            <w:r w:rsidRPr="0079002B">
              <w:rPr>
                <w:rFonts w:eastAsia="Calibri"/>
                <w:sz w:val="20"/>
                <w:lang w:val="fr-CA"/>
              </w:rPr>
              <w:t>Cour supérieure du Québec</w:t>
            </w:r>
          </w:p>
          <w:p w:rsidR="00694AE2" w:rsidRPr="0079002B" w:rsidRDefault="00694AE2" w:rsidP="00D50228">
            <w:pPr>
              <w:jc w:val="both"/>
              <w:rPr>
                <w:rFonts w:eastAsia="Calibri"/>
                <w:sz w:val="20"/>
                <w:lang w:val="fr-CA"/>
              </w:rPr>
            </w:pPr>
            <w:r w:rsidRPr="0079002B">
              <w:rPr>
                <w:rFonts w:eastAsia="Calibri"/>
                <w:sz w:val="20"/>
                <w:lang w:val="fr-CA"/>
              </w:rPr>
              <w:t>(Le juge Denis)</w:t>
            </w:r>
          </w:p>
          <w:p w:rsidR="00694AE2" w:rsidRPr="0079002B" w:rsidRDefault="00694AE2" w:rsidP="00D50228">
            <w:pPr>
              <w:jc w:val="both"/>
              <w:rPr>
                <w:rFonts w:eastAsia="Calibri"/>
                <w:sz w:val="20"/>
                <w:lang w:val="fr-CA"/>
              </w:rPr>
            </w:pPr>
            <w:r w:rsidRPr="0079002B">
              <w:rPr>
                <w:rFonts w:eastAsia="Calibri"/>
                <w:sz w:val="20"/>
                <w:lang w:val="fr-CA"/>
              </w:rPr>
              <w:t>Référence neutre : 2010 QCCS 5554</w:t>
            </w:r>
          </w:p>
          <w:p w:rsidR="00694AE2" w:rsidRPr="0079002B" w:rsidRDefault="00694AE2" w:rsidP="00D50228">
            <w:pPr>
              <w:jc w:val="both"/>
              <w:rPr>
                <w:rFonts w:eastAsia="Calibri"/>
                <w:sz w:val="20"/>
                <w:lang w:val="fr-FR"/>
              </w:rPr>
            </w:pPr>
          </w:p>
        </w:tc>
        <w:tc>
          <w:tcPr>
            <w:tcW w:w="243" w:type="pct"/>
          </w:tcPr>
          <w:p w:rsidR="00694AE2" w:rsidRPr="0079002B" w:rsidRDefault="00694AE2" w:rsidP="00D50228">
            <w:pPr>
              <w:jc w:val="both"/>
              <w:rPr>
                <w:rFonts w:eastAsia="Calibri"/>
                <w:sz w:val="20"/>
                <w:lang w:val="fr-FR"/>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Rejet de l’action de la demanderesse.</w:t>
            </w:r>
          </w:p>
        </w:tc>
      </w:tr>
      <w:tr w:rsidR="00694AE2" w:rsidRPr="0079002B"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t>Le 23 juin 2011</w:t>
            </w:r>
          </w:p>
          <w:p w:rsidR="00694AE2" w:rsidRPr="0079002B" w:rsidRDefault="00694AE2" w:rsidP="00D50228">
            <w:pPr>
              <w:jc w:val="both"/>
              <w:rPr>
                <w:rFonts w:eastAsia="Calibri"/>
                <w:sz w:val="20"/>
                <w:lang w:val="fr-CA"/>
              </w:rPr>
            </w:pPr>
            <w:r w:rsidRPr="0079002B">
              <w:rPr>
                <w:rFonts w:eastAsia="Calibri"/>
                <w:sz w:val="20"/>
                <w:lang w:val="fr-CA"/>
              </w:rPr>
              <w:t>Cour d’appel du Québec (Montréal)</w:t>
            </w:r>
          </w:p>
          <w:p w:rsidR="00694AE2" w:rsidRPr="0079002B" w:rsidRDefault="00694AE2" w:rsidP="00D50228">
            <w:pPr>
              <w:jc w:val="both"/>
              <w:rPr>
                <w:rFonts w:eastAsia="Calibri"/>
                <w:sz w:val="20"/>
                <w:lang w:val="fr-CA"/>
              </w:rPr>
            </w:pPr>
            <w:r w:rsidRPr="0079002B">
              <w:rPr>
                <w:rFonts w:eastAsia="Calibri"/>
                <w:sz w:val="20"/>
                <w:lang w:val="fr-CA"/>
              </w:rPr>
              <w:t>(Les juges Thibault, Rochette et Kasirer)</w:t>
            </w:r>
          </w:p>
          <w:p w:rsidR="00694AE2" w:rsidRPr="0079002B" w:rsidRDefault="00694AE2" w:rsidP="00D50228">
            <w:pPr>
              <w:jc w:val="both"/>
              <w:rPr>
                <w:rFonts w:eastAsia="Calibri"/>
                <w:sz w:val="20"/>
                <w:lang w:val="fr-CA"/>
              </w:rPr>
            </w:pPr>
            <w:r w:rsidRPr="0079002B">
              <w:rPr>
                <w:rFonts w:eastAsia="Calibri"/>
                <w:sz w:val="20"/>
                <w:lang w:val="fr-CA"/>
              </w:rPr>
              <w:t>Référence neutre : 2011 QCCA 1194</w:t>
            </w:r>
          </w:p>
          <w:p w:rsidR="00694AE2" w:rsidRPr="0079002B" w:rsidRDefault="00694AE2" w:rsidP="00D50228">
            <w:pPr>
              <w:jc w:val="both"/>
              <w:rPr>
                <w:rFonts w:eastAsia="Calibri"/>
                <w:sz w:val="20"/>
                <w:lang w:val="fr-FR"/>
              </w:rPr>
            </w:pPr>
          </w:p>
        </w:tc>
        <w:tc>
          <w:tcPr>
            <w:tcW w:w="243" w:type="pct"/>
          </w:tcPr>
          <w:p w:rsidR="00694AE2" w:rsidRPr="0079002B" w:rsidRDefault="00694AE2" w:rsidP="00D50228">
            <w:pPr>
              <w:jc w:val="both"/>
              <w:rPr>
                <w:rFonts w:eastAsia="Calibri"/>
                <w:sz w:val="20"/>
                <w:lang w:val="fr-FR"/>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Rejet de l’appel.</w:t>
            </w:r>
          </w:p>
        </w:tc>
      </w:tr>
      <w:tr w:rsidR="00694AE2" w:rsidRPr="007D5BF8"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t>Le 22 septembre 2011</w:t>
            </w:r>
          </w:p>
          <w:p w:rsidR="00694AE2" w:rsidRPr="0079002B" w:rsidRDefault="00694AE2" w:rsidP="00D50228">
            <w:pPr>
              <w:jc w:val="both"/>
              <w:rPr>
                <w:rFonts w:eastAsia="Calibri"/>
                <w:sz w:val="20"/>
                <w:lang w:val="fr-FR"/>
              </w:rPr>
            </w:pPr>
            <w:r w:rsidRPr="0079002B">
              <w:rPr>
                <w:rFonts w:eastAsia="Calibri"/>
                <w:sz w:val="20"/>
                <w:lang w:val="fr-CA"/>
              </w:rPr>
              <w:t>Cour suprême du Canada</w:t>
            </w:r>
          </w:p>
        </w:tc>
        <w:tc>
          <w:tcPr>
            <w:tcW w:w="243" w:type="pct"/>
          </w:tcPr>
          <w:p w:rsidR="00694AE2" w:rsidRPr="0079002B" w:rsidRDefault="00694AE2" w:rsidP="00D50228">
            <w:pPr>
              <w:jc w:val="both"/>
              <w:rPr>
                <w:rFonts w:eastAsia="Calibri"/>
                <w:sz w:val="20"/>
                <w:lang w:val="fr-FR"/>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Dépôt de la demande d'autorisation d'appel.</w:t>
            </w:r>
          </w:p>
          <w:p w:rsidR="00694AE2" w:rsidRPr="0079002B" w:rsidRDefault="00694AE2" w:rsidP="00D50228">
            <w:pPr>
              <w:jc w:val="both"/>
              <w:rPr>
                <w:rFonts w:eastAsia="Calibri"/>
                <w:sz w:val="20"/>
                <w:lang w:val="fr-CA"/>
              </w:rPr>
            </w:pPr>
          </w:p>
        </w:tc>
      </w:tr>
    </w:tbl>
    <w:p w:rsidR="00CC012F" w:rsidRPr="00694AE2" w:rsidRDefault="00CC012F" w:rsidP="00CC012F">
      <w:pPr>
        <w:rPr>
          <w:sz w:val="20"/>
          <w:szCs w:val="20"/>
          <w:lang w:val="fr-CA"/>
        </w:rPr>
      </w:pPr>
    </w:p>
    <w:p w:rsidR="00CC012F" w:rsidRPr="00C50A5C" w:rsidRDefault="0011031E" w:rsidP="00CC012F">
      <w:pPr>
        <w:rPr>
          <w:sz w:val="20"/>
          <w:szCs w:val="20"/>
        </w:rPr>
      </w:pPr>
      <w:r w:rsidRPr="0011031E">
        <w:rPr>
          <w:sz w:val="20"/>
          <w:szCs w:val="20"/>
          <w:lang w:val="fr-CA"/>
        </w:rPr>
        <w:pict>
          <v:rect id="_x0000_i1042" style="width:2in;height:1pt" o:hrpct="0" o:hralign="center" o:hrstd="t" o:hrnoshade="t" o:hr="t" fillcolor="black [3213]" stroked="f"/>
        </w:pict>
      </w:r>
    </w:p>
    <w:p w:rsidR="00CC012F" w:rsidRDefault="00CC012F" w:rsidP="00CC01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389C" w:rsidRPr="002D4E22" w:rsidTr="00D50228">
        <w:trPr>
          <w:cantSplit/>
        </w:trPr>
        <w:tc>
          <w:tcPr>
            <w:tcW w:w="1458" w:type="dxa"/>
          </w:tcPr>
          <w:p w:rsidR="00D1389C" w:rsidRPr="002D4E22" w:rsidRDefault="00D1389C" w:rsidP="00D50228">
            <w:pPr>
              <w:rPr>
                <w:sz w:val="20"/>
                <w:szCs w:val="20"/>
              </w:rPr>
            </w:pPr>
            <w:r w:rsidRPr="002D4E22">
              <w:rPr>
                <w:rStyle w:val="SCCFileNumberChar"/>
                <w:sz w:val="20"/>
                <w:szCs w:val="20"/>
              </w:rPr>
              <w:t>34473</w:t>
            </w:r>
          </w:p>
          <w:p w:rsidR="00D1389C" w:rsidRPr="002D4E22" w:rsidRDefault="00D1389C" w:rsidP="00D50228">
            <w:pPr>
              <w:rPr>
                <w:b/>
                <w:sz w:val="20"/>
                <w:szCs w:val="20"/>
                <w:lang w:val="fr-CA"/>
              </w:rPr>
            </w:pPr>
          </w:p>
        </w:tc>
        <w:tc>
          <w:tcPr>
            <w:tcW w:w="8118" w:type="dxa"/>
          </w:tcPr>
          <w:p w:rsidR="00D1389C" w:rsidRPr="002D4E22" w:rsidRDefault="00D1389C" w:rsidP="00D50228">
            <w:pPr>
              <w:jc w:val="both"/>
              <w:rPr>
                <w:sz w:val="20"/>
                <w:szCs w:val="20"/>
              </w:rPr>
            </w:pPr>
            <w:r w:rsidRPr="00D1389C">
              <w:rPr>
                <w:rStyle w:val="SCCLsocChar"/>
                <w:sz w:val="20"/>
                <w:szCs w:val="20"/>
                <w:lang w:val="en-CA"/>
              </w:rPr>
              <w:t>Communications, Energy and Paperworkers Union of Canada, Local 30 v. Irving Pulp &amp; Paper, Limited</w:t>
            </w:r>
            <w:r w:rsidRPr="002D4E22">
              <w:rPr>
                <w:sz w:val="20"/>
                <w:szCs w:val="20"/>
              </w:rPr>
              <w:t xml:space="preserve"> (N.B.) (Civil) (By Leave)</w:t>
            </w:r>
          </w:p>
          <w:p w:rsidR="00D1389C" w:rsidRPr="002D4E22" w:rsidRDefault="00D1389C" w:rsidP="00D50228">
            <w:pPr>
              <w:rPr>
                <w:sz w:val="20"/>
                <w:szCs w:val="20"/>
              </w:rPr>
            </w:pPr>
          </w:p>
        </w:tc>
      </w:tr>
      <w:tr w:rsidR="00D1389C" w:rsidRPr="002D4E22" w:rsidTr="00D50228">
        <w:trPr>
          <w:cantSplit/>
        </w:trPr>
        <w:tc>
          <w:tcPr>
            <w:tcW w:w="1458" w:type="dxa"/>
          </w:tcPr>
          <w:p w:rsidR="00D1389C" w:rsidRPr="002D4E22" w:rsidRDefault="00D1389C" w:rsidP="00D50228">
            <w:pPr>
              <w:rPr>
                <w:sz w:val="20"/>
                <w:szCs w:val="20"/>
              </w:rPr>
            </w:pPr>
            <w:r w:rsidRPr="002D4E22">
              <w:rPr>
                <w:sz w:val="20"/>
                <w:szCs w:val="20"/>
              </w:rPr>
              <w:t>Coram :</w:t>
            </w:r>
          </w:p>
        </w:tc>
        <w:tc>
          <w:tcPr>
            <w:tcW w:w="8118" w:type="dxa"/>
          </w:tcPr>
          <w:p w:rsidR="00D1389C" w:rsidRPr="002D4E22" w:rsidRDefault="00D1389C" w:rsidP="00D50228">
            <w:pPr>
              <w:rPr>
                <w:sz w:val="20"/>
                <w:szCs w:val="20"/>
              </w:rPr>
            </w:pPr>
            <w:r w:rsidRPr="00D1389C">
              <w:rPr>
                <w:rStyle w:val="SCCCoramChar"/>
                <w:sz w:val="20"/>
                <w:szCs w:val="20"/>
                <w:lang w:val="en-CA"/>
              </w:rPr>
              <w:t>LeBel, Abella and Cromwell JJ.</w:t>
            </w:r>
          </w:p>
          <w:p w:rsidR="00D1389C" w:rsidRPr="002D4E22" w:rsidRDefault="00D1389C" w:rsidP="00D50228">
            <w:pPr>
              <w:rPr>
                <w:sz w:val="20"/>
                <w:szCs w:val="20"/>
                <w:u w:val="single"/>
              </w:rPr>
            </w:pPr>
          </w:p>
        </w:tc>
      </w:tr>
      <w:tr w:rsidR="00D1389C" w:rsidRPr="007D5BF8" w:rsidTr="00D50228">
        <w:trPr>
          <w:cantSplit/>
        </w:trPr>
        <w:tc>
          <w:tcPr>
            <w:tcW w:w="9576" w:type="dxa"/>
            <w:gridSpan w:val="2"/>
          </w:tcPr>
          <w:p w:rsidR="00D1389C" w:rsidRPr="002D4E22" w:rsidRDefault="00D1389C" w:rsidP="00D50228">
            <w:pPr>
              <w:pStyle w:val="SCCShortJudgment"/>
              <w:rPr>
                <w:szCs w:val="20"/>
              </w:rPr>
            </w:pPr>
            <w:r w:rsidRPr="002D4E22">
              <w:rPr>
                <w:szCs w:val="20"/>
              </w:rPr>
              <w:t>The application for leave to appeal from the judgment of the Court of Appeal of New Brunswick, Number 133-10-CA, 2011 NBCA 58, dated July 7, 2011, is granted with costs in the cause.</w:t>
            </w:r>
          </w:p>
          <w:p w:rsidR="00D1389C" w:rsidRPr="002D4E22" w:rsidRDefault="00D1389C" w:rsidP="00D50228">
            <w:pPr>
              <w:pStyle w:val="SCCShortJudgment"/>
              <w:ind w:firstLine="0"/>
              <w:rPr>
                <w:szCs w:val="20"/>
              </w:rPr>
            </w:pPr>
          </w:p>
          <w:p w:rsidR="00D1389C" w:rsidRPr="002D4E22" w:rsidRDefault="00D1389C" w:rsidP="00D50228">
            <w:pPr>
              <w:pStyle w:val="SCCShortJudgment"/>
              <w:rPr>
                <w:szCs w:val="20"/>
                <w:lang w:val="fr-CA"/>
              </w:rPr>
            </w:pPr>
            <w:r w:rsidRPr="002D4E22">
              <w:rPr>
                <w:szCs w:val="20"/>
                <w:lang w:val="fr-CA"/>
              </w:rPr>
              <w:t>La demande d’autorisation d’appel de l’arrêt de la Cour d’appel du Nouveau-Brunswick, numéro 133-10-CA, 2011 NBCA 58, daté du 7 juillet 2011, est accueillie avec dépens suivant l’issue de la cause.</w:t>
            </w:r>
          </w:p>
        </w:tc>
      </w:tr>
    </w:tbl>
    <w:p w:rsidR="00CC012F" w:rsidRPr="00CC012F" w:rsidRDefault="00CC012F" w:rsidP="00CC012F">
      <w:pPr>
        <w:rPr>
          <w:sz w:val="20"/>
          <w:szCs w:val="20"/>
          <w:lang w:val="fr-CA"/>
        </w:rPr>
      </w:pPr>
    </w:p>
    <w:p w:rsidR="00CC012F" w:rsidRPr="001B157C" w:rsidRDefault="00CC012F" w:rsidP="00CC012F">
      <w:pPr>
        <w:rPr>
          <w:sz w:val="20"/>
          <w:szCs w:val="20"/>
          <w:u w:val="single"/>
        </w:rPr>
      </w:pPr>
      <w:r w:rsidRPr="001B157C">
        <w:rPr>
          <w:sz w:val="20"/>
          <w:szCs w:val="20"/>
          <w:u w:val="single"/>
        </w:rPr>
        <w:t>CASE SUMMARY</w:t>
      </w:r>
    </w:p>
    <w:p w:rsidR="00CC012F" w:rsidRDefault="00CC012F" w:rsidP="00CC01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94AE2" w:rsidRPr="0079002B" w:rsidTr="00D50228">
        <w:tc>
          <w:tcPr>
            <w:tcW w:w="5000" w:type="pct"/>
            <w:gridSpan w:val="3"/>
          </w:tcPr>
          <w:p w:rsidR="00694AE2" w:rsidRPr="0079002B" w:rsidRDefault="00694AE2" w:rsidP="00D50228">
            <w:pPr>
              <w:jc w:val="both"/>
              <w:rPr>
                <w:rFonts w:eastAsia="Calibri"/>
                <w:sz w:val="20"/>
              </w:rPr>
            </w:pPr>
            <w:r w:rsidRPr="0079002B">
              <w:rPr>
                <w:rFonts w:eastAsia="Calibri"/>
                <w:sz w:val="20"/>
              </w:rPr>
              <w:t>Labour relations – Arbitration – Collective agreements – Policy grievance – Mandatory random alcohol testing policy – Inherently dangerous workplace – Judicial review – Standard of review – Whether an employer is required to establish reasonable cause before it can impose a policy of random alcohol testing in an inherently dangerous unionized workplace – Whether an issue of collective agreement interpretation, absent legislation, can be of sufficient general public importance that the judiciary may abandon deference and impose correctness.</w:t>
            </w:r>
          </w:p>
        </w:tc>
      </w:tr>
      <w:tr w:rsidR="00694AE2" w:rsidRPr="0079002B" w:rsidTr="00D50228">
        <w:tc>
          <w:tcPr>
            <w:tcW w:w="5000" w:type="pct"/>
            <w:gridSpan w:val="3"/>
          </w:tcPr>
          <w:p w:rsidR="00694AE2" w:rsidRPr="0079002B" w:rsidRDefault="00694AE2" w:rsidP="00D50228">
            <w:pPr>
              <w:jc w:val="both"/>
              <w:rPr>
                <w:rFonts w:eastAsia="Calibri"/>
                <w:sz w:val="20"/>
              </w:rPr>
            </w:pPr>
          </w:p>
        </w:tc>
      </w:tr>
      <w:tr w:rsidR="00694AE2" w:rsidRPr="0079002B" w:rsidTr="00D50228">
        <w:tc>
          <w:tcPr>
            <w:tcW w:w="5000" w:type="pct"/>
            <w:gridSpan w:val="3"/>
          </w:tcPr>
          <w:p w:rsidR="00694AE2" w:rsidRPr="0079002B" w:rsidRDefault="00694AE2" w:rsidP="00D50228">
            <w:pPr>
              <w:jc w:val="both"/>
              <w:rPr>
                <w:rFonts w:eastAsia="Calibri"/>
                <w:sz w:val="20"/>
              </w:rPr>
            </w:pPr>
            <w:r w:rsidRPr="0079002B">
              <w:rPr>
                <w:rFonts w:eastAsia="Calibri"/>
                <w:sz w:val="20"/>
              </w:rPr>
              <w:t xml:space="preserve">The respondent, Irving Pulp &amp; Paper, operates a kraft paper mill along the banks of the St. John River.  In 2006, Irving unilaterally adopted a workplace policy which included mandatory random alcohol testing, by breathalyser, for </w:t>
            </w:r>
            <w:r w:rsidRPr="0079002B">
              <w:rPr>
                <w:rFonts w:eastAsia="Calibri"/>
                <w:sz w:val="20"/>
              </w:rPr>
              <w:lastRenderedPageBreak/>
              <w:t xml:space="preserve">employees holding safety sensitive positions. An Irving employee and member of the union occupying a safety sensitive position was randomly tested. The test revealed a blood alcohol level of zero. Nevertheless, the union filed a policy grievance challenging the reasonableness of the policy on the basis of test set out in </w:t>
            </w:r>
            <w:r w:rsidRPr="0079002B">
              <w:rPr>
                <w:rFonts w:eastAsia="Calibri"/>
                <w:i/>
                <w:sz w:val="20"/>
              </w:rPr>
              <w:t>KVP Co. v. Lumber &amp; Sawmill Workers' Union, Local 2537</w:t>
            </w:r>
            <w:r w:rsidRPr="0079002B">
              <w:rPr>
                <w:rFonts w:eastAsia="Calibri"/>
                <w:sz w:val="20"/>
              </w:rPr>
              <w:t xml:space="preserve">, [1965] 16 L.A.C. 73, which was referred to an arbitration panel.  Applying a balancing of interests approach, the majority of the arbitration board determined that Irving failed to establish a need for the policy in terms of demonstrating the mill operations posed a sufficient risk of harm that outweighs an employee's right to privacy. Specifically, the majority concluded Irving had not adduced sufficient evidence of prior incidents of alcohol related impaired work performance to justify the policy's adoption.  The majority concluded that, while the mill operation represented a "dangerous work environment", the mill operation did not fall within the “ultra-dangerous” category such as a nuclear plant or an airline, where employers had a lighter burden of justification. </w:t>
            </w:r>
          </w:p>
          <w:p w:rsidR="00694AE2" w:rsidRPr="0079002B" w:rsidRDefault="00694AE2" w:rsidP="00D50228">
            <w:pPr>
              <w:jc w:val="both"/>
              <w:rPr>
                <w:rFonts w:eastAsia="Calibri"/>
                <w:sz w:val="20"/>
              </w:rPr>
            </w:pPr>
          </w:p>
          <w:p w:rsidR="00694AE2" w:rsidRPr="0079002B" w:rsidRDefault="00694AE2" w:rsidP="00D50228">
            <w:pPr>
              <w:jc w:val="both"/>
              <w:rPr>
                <w:rFonts w:eastAsia="Calibri"/>
                <w:sz w:val="20"/>
              </w:rPr>
            </w:pPr>
            <w:r w:rsidRPr="0079002B">
              <w:rPr>
                <w:rFonts w:eastAsia="Calibri"/>
                <w:sz w:val="20"/>
              </w:rPr>
              <w:t>Adopting a reasonableness standard of review, the Court of Queen’s Bench allowed the application for judicial review and quashed the arbitration decision, holding it was unreasonable to require evidence demonstrating a history of alcohol abuse in the workplace once the majority of the arbitration board had concluded the paper mill represented a dangerous workplace.  Although the Court of Appeal reversed the applications judge on the issue of the standard of review and applied a correctness standard, the Court of Appeal dismissed the union’s appeal.</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lastRenderedPageBreak/>
              <w:t>September 17, 2010</w:t>
            </w:r>
          </w:p>
          <w:p w:rsidR="00694AE2" w:rsidRPr="0079002B" w:rsidRDefault="00694AE2" w:rsidP="00D50228">
            <w:pPr>
              <w:jc w:val="both"/>
              <w:rPr>
                <w:rFonts w:eastAsia="Calibri"/>
                <w:sz w:val="20"/>
              </w:rPr>
            </w:pPr>
            <w:r w:rsidRPr="0079002B">
              <w:rPr>
                <w:rFonts w:eastAsia="Calibri"/>
                <w:sz w:val="20"/>
              </w:rPr>
              <w:t>Court of Queen’s Bench of New Brunswick</w:t>
            </w:r>
          </w:p>
          <w:p w:rsidR="00694AE2" w:rsidRPr="0079002B" w:rsidRDefault="00694AE2" w:rsidP="00D50228">
            <w:pPr>
              <w:jc w:val="both"/>
              <w:rPr>
                <w:rFonts w:eastAsia="Calibri"/>
                <w:sz w:val="20"/>
              </w:rPr>
            </w:pPr>
            <w:r w:rsidRPr="0079002B">
              <w:rPr>
                <w:rFonts w:eastAsia="Calibri"/>
                <w:sz w:val="20"/>
              </w:rPr>
              <w:t>(Grant J.)</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The Respondent’s application for judicial review, allowed.</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July 7, 2011</w:t>
            </w:r>
          </w:p>
          <w:p w:rsidR="00694AE2" w:rsidRPr="0079002B" w:rsidRDefault="00694AE2" w:rsidP="00D50228">
            <w:pPr>
              <w:jc w:val="both"/>
              <w:rPr>
                <w:rFonts w:eastAsia="Calibri"/>
                <w:sz w:val="20"/>
              </w:rPr>
            </w:pPr>
            <w:r w:rsidRPr="0079002B">
              <w:rPr>
                <w:rFonts w:eastAsia="Calibri"/>
                <w:sz w:val="20"/>
              </w:rPr>
              <w:t>Court of Appeal of New Brunswick</w:t>
            </w:r>
          </w:p>
          <w:p w:rsidR="00694AE2" w:rsidRPr="0079002B" w:rsidRDefault="00694AE2" w:rsidP="00D50228">
            <w:pPr>
              <w:jc w:val="both"/>
              <w:rPr>
                <w:rFonts w:eastAsia="Calibri"/>
                <w:sz w:val="20"/>
              </w:rPr>
            </w:pPr>
            <w:r w:rsidRPr="0079002B">
              <w:rPr>
                <w:rFonts w:eastAsia="Calibri"/>
                <w:sz w:val="20"/>
              </w:rPr>
              <w:t>(Drapeau C.J.N.B. and Turnbull and Robertson JJ. A.)</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The Applicant’s appeal, dismissed.</w:t>
            </w:r>
          </w:p>
          <w:p w:rsidR="00694AE2" w:rsidRPr="0079002B" w:rsidRDefault="00694AE2" w:rsidP="00D50228">
            <w:pPr>
              <w:jc w:val="both"/>
              <w:rPr>
                <w:rFonts w:eastAsia="Calibri"/>
                <w:sz w:val="20"/>
              </w:rPr>
            </w:pP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September 29, 2011</w:t>
            </w:r>
          </w:p>
          <w:p w:rsidR="00694AE2" w:rsidRPr="0079002B" w:rsidRDefault="00694AE2" w:rsidP="00D50228">
            <w:pPr>
              <w:jc w:val="both"/>
              <w:rPr>
                <w:rFonts w:eastAsia="Calibri"/>
                <w:sz w:val="20"/>
              </w:rPr>
            </w:pPr>
            <w:r w:rsidRPr="0079002B">
              <w:rPr>
                <w:rFonts w:eastAsia="Calibri"/>
                <w:sz w:val="20"/>
              </w:rPr>
              <w:t>Supreme Court of Canada</w:t>
            </w: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Application for leave to appeal, filed.</w:t>
            </w:r>
          </w:p>
          <w:p w:rsidR="00694AE2" w:rsidRPr="0079002B" w:rsidRDefault="00694AE2" w:rsidP="00D50228">
            <w:pPr>
              <w:jc w:val="both"/>
              <w:rPr>
                <w:rFonts w:eastAsia="Calibri"/>
                <w:sz w:val="20"/>
              </w:rPr>
            </w:pPr>
          </w:p>
        </w:tc>
      </w:tr>
    </w:tbl>
    <w:p w:rsidR="00CC012F" w:rsidRDefault="00CC012F" w:rsidP="00CC012F">
      <w:pPr>
        <w:rPr>
          <w:sz w:val="20"/>
          <w:szCs w:val="20"/>
        </w:rPr>
      </w:pPr>
    </w:p>
    <w:p w:rsidR="00CC012F" w:rsidRPr="00C50A5C" w:rsidRDefault="0011031E" w:rsidP="00CC012F">
      <w:pPr>
        <w:rPr>
          <w:sz w:val="20"/>
          <w:szCs w:val="20"/>
        </w:rPr>
      </w:pPr>
      <w:r w:rsidRPr="0011031E">
        <w:rPr>
          <w:sz w:val="20"/>
          <w:szCs w:val="20"/>
          <w:lang w:val="fr-CA"/>
        </w:rPr>
        <w:pict>
          <v:rect id="_x0000_i1043" style="width:2in;height:1pt" o:hrpct="0" o:hralign="center" o:hrstd="t" o:hrnoshade="t" o:hr="t" fillcolor="black [3213]" stroked="f"/>
        </w:pict>
      </w:r>
    </w:p>
    <w:p w:rsidR="00CC012F" w:rsidRDefault="00CC012F" w:rsidP="00CC012F">
      <w:pPr>
        <w:rPr>
          <w:sz w:val="20"/>
          <w:szCs w:val="20"/>
        </w:rPr>
      </w:pPr>
    </w:p>
    <w:p w:rsidR="00CC012F" w:rsidRPr="001B157C" w:rsidRDefault="00CC012F" w:rsidP="00CC012F">
      <w:pPr>
        <w:rPr>
          <w:sz w:val="20"/>
          <w:szCs w:val="20"/>
          <w:u w:val="single"/>
          <w:lang w:val="fr-CA"/>
        </w:rPr>
      </w:pPr>
      <w:r w:rsidRPr="001B157C">
        <w:rPr>
          <w:sz w:val="20"/>
          <w:szCs w:val="20"/>
          <w:u w:val="single"/>
          <w:lang w:val="fr-CA"/>
        </w:rPr>
        <w:t>RÉSUMÉ DE L’AFFAIRE</w:t>
      </w:r>
    </w:p>
    <w:p w:rsidR="00CC012F" w:rsidRDefault="00CC012F" w:rsidP="00CC01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94AE2" w:rsidRPr="007D5BF8" w:rsidTr="00D50228">
        <w:tc>
          <w:tcPr>
            <w:tcW w:w="5000" w:type="pct"/>
            <w:gridSpan w:val="3"/>
          </w:tcPr>
          <w:p w:rsidR="00694AE2" w:rsidRPr="0079002B" w:rsidRDefault="00694AE2" w:rsidP="00D50228">
            <w:pPr>
              <w:jc w:val="both"/>
              <w:rPr>
                <w:rFonts w:eastAsia="Calibri"/>
                <w:sz w:val="20"/>
                <w:lang w:val="fr-CA"/>
              </w:rPr>
            </w:pPr>
            <w:r w:rsidRPr="0079002B">
              <w:rPr>
                <w:rFonts w:eastAsia="Calibri"/>
                <w:sz w:val="20"/>
                <w:lang w:val="fr-CA"/>
              </w:rPr>
              <w:t>Relations du travail – Arbitrage – Convention collective – Grief de principe – Politique de tests aléatoires de dépistage d’alcool – Lieu de travail dangereux par nature – Contrôle judiciaire – Norme de contrôle – Un employeur est-il tenu d'établir un motif raisonnable avant de pouvoir imposer une politique de tests aléatoires de dépistage d'alcool dans un lieu de travail syndiqué dangereux par nature? – Une question touchant l'interprétation d’une convention collective, en l'absence de texte de loi, peut-elle avoir un intérêt public général suffisamment important que la magistrature peut abandonner la déférence et imposer la norme de la décision correcte?</w:t>
            </w:r>
          </w:p>
        </w:tc>
      </w:tr>
      <w:tr w:rsidR="00694AE2" w:rsidRPr="007D5BF8" w:rsidTr="00D50228">
        <w:tc>
          <w:tcPr>
            <w:tcW w:w="5000" w:type="pct"/>
            <w:gridSpan w:val="3"/>
          </w:tcPr>
          <w:p w:rsidR="00694AE2" w:rsidRPr="0079002B" w:rsidRDefault="00694AE2" w:rsidP="00D50228">
            <w:pPr>
              <w:jc w:val="both"/>
              <w:rPr>
                <w:rFonts w:eastAsia="Calibri"/>
                <w:sz w:val="20"/>
                <w:lang w:val="fr-CA"/>
              </w:rPr>
            </w:pPr>
          </w:p>
        </w:tc>
      </w:tr>
      <w:tr w:rsidR="00694AE2" w:rsidRPr="007D5BF8" w:rsidTr="00D50228">
        <w:tc>
          <w:tcPr>
            <w:tcW w:w="5000" w:type="pct"/>
            <w:gridSpan w:val="3"/>
          </w:tcPr>
          <w:p w:rsidR="00694AE2" w:rsidRPr="0079002B" w:rsidRDefault="00694AE2" w:rsidP="00D50228">
            <w:pPr>
              <w:jc w:val="both"/>
              <w:rPr>
                <w:rFonts w:eastAsia="Calibri"/>
                <w:sz w:val="20"/>
                <w:lang w:val="fr-CA"/>
              </w:rPr>
            </w:pPr>
            <w:r w:rsidRPr="0079002B">
              <w:rPr>
                <w:rFonts w:eastAsia="Calibri"/>
                <w:sz w:val="20"/>
                <w:lang w:val="fr-CA"/>
              </w:rPr>
              <w:t>L’intimée, Les Pâtes et Papier Irving, exploite une usine de papier Kraft sur les rives de la rivière St</w:t>
            </w:r>
            <w:r w:rsidRPr="0079002B">
              <w:rPr>
                <w:rFonts w:eastAsia="Calibri"/>
                <w:sz w:val="20"/>
                <w:lang w:val="fr-CA"/>
              </w:rPr>
              <w:noBreakHyphen/>
              <w:t xml:space="preserve">Jean. En 2006, Irving a unilatéralement adopté une politique applicable en milieu de travail qui obligeait notamment les employés occupant un poste critique pour la sécurité à se soumettre à des tests aléatoires de dépistage d’alcool administrés au moyen d’un alcootest. Un employé d’Irving et membre du syndicat qui occupait un poste critique pour la sécurité a aléatoirement été soumis à un test. Le test a révélé une alcoolémie de zéro. Néanmoins, le syndicat a déposé un grief de principe aux fins de contester le caractère raisonnable de la politique suivant le critère énoncé dans l'affaire </w:t>
            </w:r>
            <w:r w:rsidRPr="0079002B">
              <w:rPr>
                <w:rFonts w:eastAsia="Calibri"/>
                <w:i/>
                <w:sz w:val="20"/>
                <w:lang w:val="fr-CA"/>
              </w:rPr>
              <w:t>KVP Co. c. Lumber &amp; Sawmill Workers' Union, Local 2537</w:t>
            </w:r>
            <w:r w:rsidRPr="0079002B">
              <w:rPr>
                <w:rFonts w:eastAsia="Calibri"/>
                <w:sz w:val="20"/>
                <w:lang w:val="fr-CA"/>
              </w:rPr>
              <w:t xml:space="preserve">, [1965] 16 L.A.C. 73, qui a été renvoyée à un tribunal d'arbitrage. Le conseil d’arbitrage a procédé à une mise en balance des intérêts en cause et a jugé à la majorité qu’Irving n’avait pas établi que la politique en question était nécessaire, savoir qu’elle n’avait pas démontré que les activités de l’usine comportaient un risque de préjudice suffisant qui l’emportait sur le droit de l’employé au respect de sa vie privée. Plus précisément, la majorité a conclu qu’Irving n’avait pas produit d’éléments de preuve suffisants aux fins d’établir l’existence d’incidents antérieurs au cours desquels l’exécution des tâches avait été compromise par </w:t>
            </w:r>
            <w:r w:rsidRPr="0079002B">
              <w:rPr>
                <w:rFonts w:eastAsia="Calibri"/>
                <w:sz w:val="20"/>
                <w:lang w:val="fr-CA"/>
              </w:rPr>
              <w:lastRenderedPageBreak/>
              <w:t xml:space="preserve">l’alcool et de justifier l’adoption de la politique en question. La majorité a conclu que bien que l’usine ait constitué « un milieu de travail dangereux », elle n’appartenait pas à la catégorie des activités ultra-dangereuses comme l’exploitation d’une centrale nucléaire ou d’une ligne aérienne, où les employeurs portaient un fardeau de justification plus léger. </w:t>
            </w:r>
          </w:p>
          <w:p w:rsidR="00694AE2" w:rsidRPr="0079002B" w:rsidRDefault="00694AE2" w:rsidP="00D50228">
            <w:pPr>
              <w:jc w:val="both"/>
              <w:rPr>
                <w:rFonts w:eastAsia="Calibri"/>
                <w:sz w:val="20"/>
                <w:lang w:val="fr-CA"/>
              </w:rPr>
            </w:pPr>
          </w:p>
          <w:p w:rsidR="00694AE2" w:rsidRPr="0079002B" w:rsidRDefault="00694AE2" w:rsidP="00D50228">
            <w:pPr>
              <w:jc w:val="both"/>
              <w:rPr>
                <w:rFonts w:eastAsia="Calibri"/>
                <w:sz w:val="20"/>
                <w:lang w:val="fr-CA"/>
              </w:rPr>
            </w:pPr>
            <w:r w:rsidRPr="0079002B">
              <w:rPr>
                <w:rFonts w:eastAsia="Calibri"/>
                <w:sz w:val="20"/>
                <w:lang w:val="fr-CA"/>
              </w:rPr>
              <w:t>Adoptant la norme de contrôle du caractère raisonnable, la Cour du Banc de la Reine a accueilli la demande de contrôle judiciaire et a annulé la sentence arbitrale, statuant qu’il n’était pas raisonnable d’exiger des éléments de preuve établissant des antécédents de problèmes d'alcool en milieu travail dès lors que la majorité du conseil d'arbitrage avait conclu que l’usine de papier constituait un lieu de travail dangereux. Bien que la Cour d'appel ait infirmé la décision du juge de première instance sur la question de la norme de contrôle et ait appliqué la norme de la décision correcte, la Cour d'appel a rejeté l'appel du syndicat.</w:t>
            </w:r>
          </w:p>
          <w:p w:rsidR="00694AE2" w:rsidRPr="0079002B" w:rsidRDefault="00694AE2" w:rsidP="00D50228">
            <w:pPr>
              <w:jc w:val="both"/>
              <w:rPr>
                <w:rFonts w:eastAsia="Calibri"/>
                <w:sz w:val="20"/>
                <w:lang w:val="fr-CA"/>
              </w:rPr>
            </w:pPr>
          </w:p>
        </w:tc>
      </w:tr>
      <w:tr w:rsidR="00694AE2" w:rsidRPr="007D5BF8"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lastRenderedPageBreak/>
              <w:t>17 septembre 2010</w:t>
            </w:r>
          </w:p>
          <w:p w:rsidR="00694AE2" w:rsidRPr="0079002B" w:rsidRDefault="00694AE2" w:rsidP="00D50228">
            <w:pPr>
              <w:jc w:val="both"/>
              <w:rPr>
                <w:rFonts w:eastAsia="Calibri"/>
                <w:sz w:val="20"/>
                <w:lang w:val="fr-CA"/>
              </w:rPr>
            </w:pPr>
            <w:r w:rsidRPr="0079002B">
              <w:rPr>
                <w:rFonts w:eastAsia="Calibri"/>
                <w:sz w:val="20"/>
                <w:lang w:val="fr-CA"/>
              </w:rPr>
              <w:t xml:space="preserve">Cour du Banc de la Reine du Nouveau-Brunswick </w:t>
            </w:r>
          </w:p>
          <w:p w:rsidR="00694AE2" w:rsidRPr="0079002B" w:rsidRDefault="00694AE2" w:rsidP="00D50228">
            <w:pPr>
              <w:jc w:val="both"/>
              <w:rPr>
                <w:rFonts w:eastAsia="Calibri"/>
                <w:sz w:val="20"/>
                <w:lang w:val="fr-CA"/>
              </w:rPr>
            </w:pPr>
            <w:r w:rsidRPr="0079002B">
              <w:rPr>
                <w:rFonts w:eastAsia="Calibri"/>
                <w:sz w:val="20"/>
                <w:lang w:val="fr-CA"/>
              </w:rPr>
              <w:t>(Juge Grant)</w:t>
            </w:r>
          </w:p>
          <w:p w:rsidR="00694AE2" w:rsidRPr="0079002B" w:rsidRDefault="00694AE2" w:rsidP="00D50228">
            <w:pPr>
              <w:jc w:val="both"/>
              <w:rPr>
                <w:rFonts w:eastAsia="Calibri"/>
                <w:sz w:val="20"/>
                <w:lang w:val="fr-CA"/>
              </w:rPr>
            </w:pPr>
          </w:p>
        </w:tc>
        <w:tc>
          <w:tcPr>
            <w:tcW w:w="243" w:type="pct"/>
          </w:tcPr>
          <w:p w:rsidR="00694AE2" w:rsidRPr="0079002B" w:rsidRDefault="00694AE2" w:rsidP="00D50228">
            <w:pPr>
              <w:jc w:val="both"/>
              <w:rPr>
                <w:rFonts w:eastAsia="Calibri"/>
                <w:sz w:val="20"/>
                <w:lang w:val="fr-CA"/>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Demande de contrôle judiciaire de l’intimée, accueilli.</w:t>
            </w:r>
          </w:p>
          <w:p w:rsidR="00694AE2" w:rsidRPr="0079002B" w:rsidRDefault="00694AE2" w:rsidP="00D50228">
            <w:pPr>
              <w:jc w:val="both"/>
              <w:rPr>
                <w:rFonts w:eastAsia="Calibri"/>
                <w:sz w:val="20"/>
                <w:lang w:val="fr-CA"/>
              </w:rPr>
            </w:pPr>
          </w:p>
        </w:tc>
      </w:tr>
      <w:tr w:rsidR="00694AE2" w:rsidRPr="0079002B"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t>7 juillet 2011</w:t>
            </w:r>
          </w:p>
          <w:p w:rsidR="00694AE2" w:rsidRPr="0079002B" w:rsidRDefault="00694AE2" w:rsidP="00D50228">
            <w:pPr>
              <w:jc w:val="both"/>
              <w:rPr>
                <w:rFonts w:eastAsia="Calibri"/>
                <w:sz w:val="20"/>
                <w:lang w:val="fr-CA"/>
              </w:rPr>
            </w:pPr>
            <w:r w:rsidRPr="0079002B">
              <w:rPr>
                <w:rFonts w:eastAsia="Calibri"/>
                <w:sz w:val="20"/>
                <w:lang w:val="fr-CA"/>
              </w:rPr>
              <w:t xml:space="preserve">Cour d'appel du Nouveau-Brunswick </w:t>
            </w:r>
          </w:p>
          <w:p w:rsidR="00694AE2" w:rsidRPr="0079002B" w:rsidRDefault="00694AE2" w:rsidP="00D50228">
            <w:pPr>
              <w:jc w:val="both"/>
              <w:rPr>
                <w:rFonts w:eastAsia="Calibri"/>
                <w:sz w:val="20"/>
                <w:lang w:val="fr-CA"/>
              </w:rPr>
            </w:pPr>
            <w:r w:rsidRPr="0079002B">
              <w:rPr>
                <w:rFonts w:eastAsia="Calibri"/>
                <w:sz w:val="20"/>
                <w:lang w:val="fr-CA"/>
              </w:rPr>
              <w:t>(Juge en chef Drapeau, juges Turnbull et Robertson)</w:t>
            </w:r>
          </w:p>
          <w:p w:rsidR="00694AE2" w:rsidRPr="0079002B" w:rsidRDefault="00694AE2" w:rsidP="00D50228">
            <w:pPr>
              <w:jc w:val="both"/>
              <w:rPr>
                <w:rFonts w:eastAsia="Calibri"/>
                <w:sz w:val="20"/>
                <w:lang w:val="fr-CA"/>
              </w:rPr>
            </w:pPr>
          </w:p>
        </w:tc>
        <w:tc>
          <w:tcPr>
            <w:tcW w:w="243" w:type="pct"/>
          </w:tcPr>
          <w:p w:rsidR="00694AE2" w:rsidRPr="0079002B" w:rsidRDefault="00694AE2" w:rsidP="00D50228">
            <w:pPr>
              <w:jc w:val="both"/>
              <w:rPr>
                <w:rFonts w:eastAsia="Calibri"/>
                <w:sz w:val="20"/>
                <w:lang w:val="fr-CA"/>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Appel du demandeur, rejeté.</w:t>
            </w:r>
          </w:p>
          <w:p w:rsidR="00694AE2" w:rsidRPr="0079002B" w:rsidRDefault="00694AE2" w:rsidP="00D50228">
            <w:pPr>
              <w:jc w:val="both"/>
              <w:rPr>
                <w:rFonts w:eastAsia="Calibri"/>
                <w:sz w:val="20"/>
                <w:lang w:val="fr-CA"/>
              </w:rPr>
            </w:pPr>
          </w:p>
          <w:p w:rsidR="00694AE2" w:rsidRPr="0079002B" w:rsidRDefault="00694AE2" w:rsidP="00D50228">
            <w:pPr>
              <w:jc w:val="both"/>
              <w:rPr>
                <w:rFonts w:eastAsia="Calibri"/>
                <w:sz w:val="20"/>
                <w:lang w:val="fr-CA"/>
              </w:rPr>
            </w:pPr>
          </w:p>
        </w:tc>
      </w:tr>
      <w:tr w:rsidR="00694AE2" w:rsidRPr="0079002B"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t>29 septembre 2011</w:t>
            </w:r>
          </w:p>
          <w:p w:rsidR="00694AE2" w:rsidRPr="0079002B" w:rsidRDefault="00694AE2" w:rsidP="00D50228">
            <w:pPr>
              <w:jc w:val="both"/>
              <w:rPr>
                <w:rFonts w:eastAsia="Calibri"/>
                <w:sz w:val="20"/>
                <w:lang w:val="fr-CA"/>
              </w:rPr>
            </w:pPr>
            <w:r w:rsidRPr="0079002B">
              <w:rPr>
                <w:rFonts w:eastAsia="Calibri"/>
                <w:sz w:val="20"/>
                <w:lang w:val="fr-CA"/>
              </w:rPr>
              <w:t>Cour suprême du Canada</w:t>
            </w:r>
          </w:p>
        </w:tc>
        <w:tc>
          <w:tcPr>
            <w:tcW w:w="243" w:type="pct"/>
          </w:tcPr>
          <w:p w:rsidR="00694AE2" w:rsidRPr="0079002B" w:rsidRDefault="00694AE2" w:rsidP="00D50228">
            <w:pPr>
              <w:jc w:val="both"/>
              <w:rPr>
                <w:rFonts w:eastAsia="Calibri"/>
                <w:sz w:val="20"/>
                <w:lang w:val="fr-CA"/>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Demande d'autorisation d'appel, déposée.</w:t>
            </w:r>
          </w:p>
          <w:p w:rsidR="00694AE2" w:rsidRPr="0079002B" w:rsidRDefault="00694AE2" w:rsidP="00D50228">
            <w:pPr>
              <w:jc w:val="both"/>
              <w:rPr>
                <w:rFonts w:eastAsia="Calibri"/>
                <w:sz w:val="20"/>
                <w:lang w:val="fr-CA"/>
              </w:rPr>
            </w:pPr>
          </w:p>
        </w:tc>
      </w:tr>
    </w:tbl>
    <w:p w:rsidR="00CC012F" w:rsidRDefault="00CC012F" w:rsidP="00CC012F">
      <w:pPr>
        <w:rPr>
          <w:sz w:val="20"/>
          <w:szCs w:val="20"/>
        </w:rPr>
      </w:pPr>
    </w:p>
    <w:p w:rsidR="00CC012F" w:rsidRPr="00C50A5C" w:rsidRDefault="0011031E" w:rsidP="00CC012F">
      <w:pPr>
        <w:rPr>
          <w:sz w:val="20"/>
          <w:szCs w:val="20"/>
        </w:rPr>
      </w:pPr>
      <w:r w:rsidRPr="0011031E">
        <w:rPr>
          <w:sz w:val="20"/>
          <w:szCs w:val="20"/>
          <w:lang w:val="fr-CA"/>
        </w:rPr>
        <w:pict>
          <v:rect id="_x0000_i1044" style="width:2in;height:1pt" o:hrpct="0" o:hralign="center" o:hrstd="t" o:hrnoshade="t" o:hr="t" fillcolor="black [3213]" stroked="f"/>
        </w:pict>
      </w:r>
    </w:p>
    <w:p w:rsidR="00CC012F" w:rsidRDefault="00CC012F" w:rsidP="00CC01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389C" w:rsidRPr="002D4E22" w:rsidTr="00D50228">
        <w:trPr>
          <w:cantSplit/>
        </w:trPr>
        <w:tc>
          <w:tcPr>
            <w:tcW w:w="1458" w:type="dxa"/>
          </w:tcPr>
          <w:p w:rsidR="00D1389C" w:rsidRPr="002D4E22" w:rsidRDefault="00D1389C" w:rsidP="00D50228">
            <w:pPr>
              <w:rPr>
                <w:sz w:val="20"/>
                <w:szCs w:val="20"/>
              </w:rPr>
            </w:pPr>
            <w:r w:rsidRPr="002D4E22">
              <w:rPr>
                <w:rStyle w:val="SCCFileNumberChar"/>
                <w:sz w:val="20"/>
                <w:szCs w:val="20"/>
              </w:rPr>
              <w:t>34507</w:t>
            </w:r>
          </w:p>
          <w:p w:rsidR="00D1389C" w:rsidRPr="002D4E22" w:rsidRDefault="00D1389C" w:rsidP="00D50228">
            <w:pPr>
              <w:rPr>
                <w:b/>
                <w:sz w:val="20"/>
                <w:szCs w:val="20"/>
                <w:lang w:val="fr-CA"/>
              </w:rPr>
            </w:pPr>
          </w:p>
        </w:tc>
        <w:tc>
          <w:tcPr>
            <w:tcW w:w="8118" w:type="dxa"/>
          </w:tcPr>
          <w:p w:rsidR="00D1389C" w:rsidRPr="002D4E22" w:rsidRDefault="00D1389C" w:rsidP="003252C9">
            <w:pPr>
              <w:jc w:val="both"/>
              <w:rPr>
                <w:sz w:val="20"/>
                <w:szCs w:val="20"/>
              </w:rPr>
            </w:pPr>
            <w:r w:rsidRPr="00121545">
              <w:rPr>
                <w:rStyle w:val="SCCLsocChar"/>
                <w:sz w:val="20"/>
                <w:szCs w:val="20"/>
              </w:rPr>
              <w:t>Achot Nersésian v. 9036-4167 Quebec Inc., Chahé Bakmazjian, Ed House (In-House Solutions Inc.), Cap Technologies Inc., Eric F. Lemieux</w:t>
            </w:r>
            <w:r w:rsidR="003A731F" w:rsidRPr="00121545">
              <w:rPr>
                <w:rStyle w:val="SCCLsocChar"/>
                <w:sz w:val="20"/>
                <w:szCs w:val="20"/>
              </w:rPr>
              <w:t xml:space="preserve"> and</w:t>
            </w:r>
            <w:r w:rsidRPr="00121545">
              <w:rPr>
                <w:rStyle w:val="SCCLsocChar"/>
                <w:sz w:val="20"/>
                <w:szCs w:val="20"/>
              </w:rPr>
              <w:t xml:space="preserve"> Quebec Bar Association</w:t>
            </w:r>
            <w:r w:rsidRPr="00121545">
              <w:rPr>
                <w:sz w:val="20"/>
                <w:szCs w:val="20"/>
                <w:lang w:val="fr-CA"/>
              </w:rPr>
              <w:t xml:space="preserve"> (Que.) </w:t>
            </w:r>
            <w:r w:rsidRPr="002D4E22">
              <w:rPr>
                <w:sz w:val="20"/>
                <w:szCs w:val="20"/>
              </w:rPr>
              <w:t>(Civil) (By</w:t>
            </w:r>
            <w:r w:rsidR="003252C9">
              <w:rPr>
                <w:sz w:val="20"/>
                <w:szCs w:val="20"/>
              </w:rPr>
              <w:t> </w:t>
            </w:r>
            <w:r w:rsidRPr="002D4E22">
              <w:rPr>
                <w:sz w:val="20"/>
                <w:szCs w:val="20"/>
              </w:rPr>
              <w:t>Leave)</w:t>
            </w:r>
          </w:p>
          <w:p w:rsidR="00D1389C" w:rsidRPr="002D4E22" w:rsidRDefault="00D1389C" w:rsidP="00D50228">
            <w:pPr>
              <w:rPr>
                <w:sz w:val="20"/>
                <w:szCs w:val="20"/>
              </w:rPr>
            </w:pPr>
          </w:p>
        </w:tc>
      </w:tr>
      <w:tr w:rsidR="00D1389C" w:rsidRPr="002D4E22" w:rsidTr="00D50228">
        <w:trPr>
          <w:cantSplit/>
        </w:trPr>
        <w:tc>
          <w:tcPr>
            <w:tcW w:w="1458" w:type="dxa"/>
          </w:tcPr>
          <w:p w:rsidR="00D1389C" w:rsidRPr="002D4E22" w:rsidRDefault="00D1389C" w:rsidP="00D50228">
            <w:pPr>
              <w:rPr>
                <w:sz w:val="20"/>
                <w:szCs w:val="20"/>
              </w:rPr>
            </w:pPr>
            <w:r w:rsidRPr="002D4E22">
              <w:rPr>
                <w:sz w:val="20"/>
                <w:szCs w:val="20"/>
              </w:rPr>
              <w:t>Coram :</w:t>
            </w:r>
          </w:p>
        </w:tc>
        <w:tc>
          <w:tcPr>
            <w:tcW w:w="8118" w:type="dxa"/>
          </w:tcPr>
          <w:p w:rsidR="00D1389C" w:rsidRPr="002D4E22" w:rsidRDefault="00D1389C" w:rsidP="00D50228">
            <w:pPr>
              <w:rPr>
                <w:sz w:val="20"/>
                <w:szCs w:val="20"/>
              </w:rPr>
            </w:pPr>
            <w:r w:rsidRPr="00D1389C">
              <w:rPr>
                <w:rStyle w:val="SCCCoramChar"/>
                <w:sz w:val="20"/>
                <w:szCs w:val="20"/>
                <w:lang w:val="en-CA"/>
              </w:rPr>
              <w:t>LeBel, Abella and Cromwell JJ.</w:t>
            </w:r>
          </w:p>
          <w:p w:rsidR="00D1389C" w:rsidRPr="002D4E22" w:rsidRDefault="00D1389C" w:rsidP="00D50228">
            <w:pPr>
              <w:rPr>
                <w:sz w:val="20"/>
                <w:szCs w:val="20"/>
                <w:u w:val="single"/>
              </w:rPr>
            </w:pPr>
          </w:p>
        </w:tc>
      </w:tr>
      <w:tr w:rsidR="00D1389C" w:rsidRPr="007D5BF8" w:rsidTr="00D50228">
        <w:trPr>
          <w:cantSplit/>
        </w:trPr>
        <w:tc>
          <w:tcPr>
            <w:tcW w:w="9576" w:type="dxa"/>
            <w:gridSpan w:val="2"/>
          </w:tcPr>
          <w:p w:rsidR="00D1389C" w:rsidRPr="002D4E22" w:rsidRDefault="00D1389C" w:rsidP="00D50228">
            <w:pPr>
              <w:pStyle w:val="SCCShortJudgment"/>
              <w:rPr>
                <w:szCs w:val="20"/>
              </w:rPr>
            </w:pPr>
            <w:r w:rsidRPr="002D4E22">
              <w:rPr>
                <w:szCs w:val="20"/>
              </w:rPr>
              <w:t>The motion for an extension of time to serve and file the application for leave to appeal is granted. The application for leave to appeal from the judgment of the Court of Appeal of Quebec (Montréal), Number 500-09-021690-110, dated August 5, 2011, is dismissed without costs.</w:t>
            </w:r>
          </w:p>
          <w:p w:rsidR="00D1389C" w:rsidRPr="002D4E22" w:rsidRDefault="00D1389C" w:rsidP="00D50228">
            <w:pPr>
              <w:pStyle w:val="SCCShortJudgment"/>
              <w:ind w:firstLine="0"/>
              <w:rPr>
                <w:szCs w:val="20"/>
              </w:rPr>
            </w:pPr>
          </w:p>
          <w:p w:rsidR="00D1389C" w:rsidRPr="002D4E22" w:rsidRDefault="00D1389C" w:rsidP="00D50228">
            <w:pPr>
              <w:pStyle w:val="SCCShortJudgment"/>
              <w:rPr>
                <w:szCs w:val="20"/>
                <w:lang w:val="fr-CA"/>
              </w:rPr>
            </w:pPr>
            <w:r w:rsidRPr="002D4E22">
              <w:rPr>
                <w:szCs w:val="20"/>
                <w:lang w:val="fr-CA"/>
              </w:rPr>
              <w:t>La requête en prorogation du délai de signification et de dépôt de la demande d’autorisation d’appel est accordée. La demande d’autorisation d’appel de l’arrêt de la Cour d’appel du Québec (Montréal), numéro 500-09-021690-110, daté du 5 août 2011, est rejetée sans dépens.</w:t>
            </w:r>
          </w:p>
        </w:tc>
      </w:tr>
    </w:tbl>
    <w:p w:rsidR="00CC012F" w:rsidRPr="00D1389C" w:rsidRDefault="00CC012F" w:rsidP="008D292F">
      <w:pPr>
        <w:rPr>
          <w:sz w:val="20"/>
          <w:szCs w:val="20"/>
          <w:lang w:val="fr-CA"/>
        </w:rPr>
      </w:pPr>
    </w:p>
    <w:p w:rsidR="00CC012F" w:rsidRPr="00CC012F" w:rsidRDefault="00CC012F" w:rsidP="00CC012F">
      <w:pPr>
        <w:rPr>
          <w:sz w:val="20"/>
          <w:szCs w:val="20"/>
          <w:lang w:val="fr-CA"/>
        </w:rPr>
      </w:pPr>
    </w:p>
    <w:p w:rsidR="00CC012F" w:rsidRPr="001B157C" w:rsidRDefault="00CC012F" w:rsidP="00CC012F">
      <w:pPr>
        <w:rPr>
          <w:sz w:val="20"/>
          <w:szCs w:val="20"/>
          <w:u w:val="single"/>
        </w:rPr>
      </w:pPr>
      <w:r w:rsidRPr="001B157C">
        <w:rPr>
          <w:sz w:val="20"/>
          <w:szCs w:val="20"/>
          <w:u w:val="single"/>
        </w:rPr>
        <w:t>CASE SUMMARY</w:t>
      </w:r>
    </w:p>
    <w:p w:rsidR="00CC012F" w:rsidRDefault="00CC012F" w:rsidP="00CC01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94AE2" w:rsidRPr="0079002B" w:rsidTr="00D50228">
        <w:tc>
          <w:tcPr>
            <w:tcW w:w="5000" w:type="pct"/>
            <w:gridSpan w:val="3"/>
          </w:tcPr>
          <w:p w:rsidR="00694AE2" w:rsidRPr="0079002B" w:rsidRDefault="00694AE2" w:rsidP="00D50228">
            <w:pPr>
              <w:jc w:val="both"/>
              <w:rPr>
                <w:rFonts w:eastAsia="Calibri"/>
                <w:sz w:val="20"/>
              </w:rPr>
            </w:pPr>
            <w:r w:rsidRPr="0079002B">
              <w:rPr>
                <w:rFonts w:eastAsia="Calibri"/>
                <w:sz w:val="20"/>
              </w:rPr>
              <w:t xml:space="preserve">Civil procedure – Action in damages for unlawful dismissal dismissed </w:t>
            </w:r>
            <w:r w:rsidRPr="0079002B">
              <w:rPr>
                <w:rFonts w:eastAsia="Calibri"/>
                <w:i/>
                <w:sz w:val="20"/>
              </w:rPr>
              <w:t xml:space="preserve">ex parte </w:t>
            </w:r>
            <w:r w:rsidRPr="0079002B">
              <w:rPr>
                <w:rFonts w:eastAsia="Calibri"/>
                <w:sz w:val="20"/>
              </w:rPr>
              <w:t>– Cancellation and judicial review of that decision later refused because of unjustified absence and prescription - Scope of action extended to the members of the Tribunal, the Bar and two ministers – Applicant declared vexatious pleader – Was the applicant’s action dismissed unfairly?</w:t>
            </w:r>
          </w:p>
        </w:tc>
      </w:tr>
      <w:tr w:rsidR="00694AE2" w:rsidRPr="0079002B" w:rsidTr="00D50228">
        <w:tc>
          <w:tcPr>
            <w:tcW w:w="5000" w:type="pct"/>
            <w:gridSpan w:val="3"/>
          </w:tcPr>
          <w:p w:rsidR="00694AE2" w:rsidRPr="0079002B" w:rsidRDefault="00694AE2" w:rsidP="00D50228">
            <w:pPr>
              <w:jc w:val="both"/>
              <w:rPr>
                <w:rFonts w:eastAsia="Calibri"/>
                <w:sz w:val="20"/>
              </w:rPr>
            </w:pPr>
          </w:p>
        </w:tc>
      </w:tr>
      <w:tr w:rsidR="00694AE2" w:rsidRPr="0079002B" w:rsidTr="00D50228">
        <w:tc>
          <w:tcPr>
            <w:tcW w:w="5000" w:type="pct"/>
            <w:gridSpan w:val="3"/>
          </w:tcPr>
          <w:p w:rsidR="00694AE2" w:rsidRPr="0079002B" w:rsidRDefault="00694AE2" w:rsidP="00D50228">
            <w:pPr>
              <w:jc w:val="both"/>
              <w:rPr>
                <w:rFonts w:eastAsia="Calibri"/>
                <w:sz w:val="20"/>
              </w:rPr>
            </w:pPr>
            <w:r w:rsidRPr="0079002B">
              <w:rPr>
                <w:rFonts w:eastAsia="Calibri"/>
                <w:sz w:val="20"/>
              </w:rPr>
              <w:t xml:space="preserve">Mr. Nersézian used to work for Jabez as an industrial robotics researcher. He claims to be the conceptor of Robotmaster, a much successful program that benefited the company. After his dismissal on October 29, 2007, he filed a complaint before the Commission des relations de travail. By the time the Commission was ready to hear the case, in </w:t>
            </w:r>
            <w:r w:rsidRPr="0079002B">
              <w:rPr>
                <w:rFonts w:eastAsia="Calibri"/>
                <w:sz w:val="20"/>
              </w:rPr>
              <w:lastRenderedPageBreak/>
              <w:t>June 2008, Mr. Nersérian was depressed and not ready to proceed. In his absence, commissioner Vignola dismissed the complaint. The Commission later refused to reconsider the case, absent a sufficient reason for the absence. The Superior Court refused a judicial review in March 2010 on the ground that the applicant had been negligent. The applicant then filed a new action in damages directed against several defendants including commissioners, ministers and the Bar.</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lastRenderedPageBreak/>
              <w:t>March 29, 2011</w:t>
            </w:r>
          </w:p>
          <w:p w:rsidR="00694AE2" w:rsidRPr="0079002B" w:rsidRDefault="00694AE2" w:rsidP="00D50228">
            <w:pPr>
              <w:jc w:val="both"/>
              <w:rPr>
                <w:rFonts w:eastAsia="Calibri"/>
                <w:sz w:val="20"/>
              </w:rPr>
            </w:pPr>
            <w:r w:rsidRPr="0079002B">
              <w:rPr>
                <w:rFonts w:eastAsia="Calibri"/>
                <w:sz w:val="20"/>
              </w:rPr>
              <w:t>Superior Court of Quebec</w:t>
            </w:r>
          </w:p>
          <w:p w:rsidR="00694AE2" w:rsidRPr="0079002B" w:rsidRDefault="00694AE2" w:rsidP="00D50228">
            <w:pPr>
              <w:jc w:val="both"/>
              <w:rPr>
                <w:rFonts w:eastAsia="Calibri"/>
                <w:sz w:val="20"/>
              </w:rPr>
            </w:pPr>
            <w:r w:rsidRPr="0079002B">
              <w:rPr>
                <w:rFonts w:eastAsia="Calibri"/>
                <w:sz w:val="20"/>
              </w:rPr>
              <w:t>(Turcotte, J.)</w:t>
            </w:r>
          </w:p>
          <w:p w:rsidR="00694AE2" w:rsidRPr="0079002B" w:rsidRDefault="00694AE2" w:rsidP="00D50228">
            <w:pPr>
              <w:jc w:val="both"/>
              <w:rPr>
                <w:rFonts w:eastAsia="Calibri"/>
                <w:sz w:val="20"/>
              </w:rPr>
            </w:pPr>
            <w:r w:rsidRPr="0079002B">
              <w:rPr>
                <w:rFonts w:eastAsia="Calibri"/>
                <w:sz w:val="20"/>
              </w:rPr>
              <w:t>Neutral citation: 2011 QCCS 4701</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Action dismissed; applicant declared a vexatious pleader.</w:t>
            </w: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August 5, 2011</w:t>
            </w:r>
          </w:p>
          <w:p w:rsidR="00694AE2" w:rsidRPr="0079002B" w:rsidRDefault="00694AE2" w:rsidP="00D50228">
            <w:pPr>
              <w:jc w:val="both"/>
              <w:rPr>
                <w:rFonts w:eastAsia="Calibri"/>
                <w:sz w:val="20"/>
              </w:rPr>
            </w:pPr>
            <w:r w:rsidRPr="0079002B">
              <w:rPr>
                <w:rFonts w:eastAsia="Calibri"/>
                <w:sz w:val="20"/>
              </w:rPr>
              <w:t>Court of Appeal of Quebec (Montréal)</w:t>
            </w:r>
          </w:p>
          <w:p w:rsidR="00694AE2" w:rsidRPr="0079002B" w:rsidRDefault="00694AE2" w:rsidP="00D50228">
            <w:pPr>
              <w:jc w:val="both"/>
              <w:rPr>
                <w:rFonts w:eastAsia="Calibri"/>
                <w:sz w:val="20"/>
              </w:rPr>
            </w:pPr>
            <w:r w:rsidRPr="0079002B">
              <w:rPr>
                <w:rFonts w:eastAsia="Calibri"/>
                <w:sz w:val="20"/>
              </w:rPr>
              <w:t>(Dufresne, Duval Hesler and Wagner)</w:t>
            </w:r>
          </w:p>
          <w:p w:rsidR="00694AE2" w:rsidRPr="0079002B" w:rsidRDefault="00694AE2" w:rsidP="00D50228">
            <w:pPr>
              <w:jc w:val="both"/>
              <w:rPr>
                <w:rFonts w:eastAsia="Calibri"/>
                <w:sz w:val="20"/>
              </w:rPr>
            </w:pPr>
            <w:r w:rsidRPr="0079002B">
              <w:rPr>
                <w:rFonts w:eastAsia="Calibri"/>
                <w:sz w:val="20"/>
              </w:rPr>
              <w:t>Neutral citation: 2011 QCCA 1454</w:t>
            </w:r>
          </w:p>
          <w:p w:rsidR="00694AE2" w:rsidRPr="0079002B" w:rsidRDefault="00694AE2" w:rsidP="00D50228">
            <w:pPr>
              <w:jc w:val="both"/>
              <w:rPr>
                <w:rFonts w:eastAsia="Calibri"/>
                <w:sz w:val="20"/>
                <w:lang w:val="fr-FR"/>
              </w:rPr>
            </w:pPr>
          </w:p>
        </w:tc>
        <w:tc>
          <w:tcPr>
            <w:tcW w:w="243" w:type="pct"/>
          </w:tcPr>
          <w:p w:rsidR="00694AE2" w:rsidRPr="0079002B" w:rsidRDefault="00694AE2" w:rsidP="00D50228">
            <w:pPr>
              <w:jc w:val="both"/>
              <w:rPr>
                <w:rFonts w:eastAsia="Calibri"/>
                <w:sz w:val="20"/>
                <w:lang w:val="fr-FR"/>
              </w:rPr>
            </w:pPr>
          </w:p>
        </w:tc>
        <w:tc>
          <w:tcPr>
            <w:tcW w:w="2330" w:type="pct"/>
          </w:tcPr>
          <w:p w:rsidR="00694AE2" w:rsidRPr="0079002B" w:rsidRDefault="00694AE2" w:rsidP="00D50228">
            <w:pPr>
              <w:jc w:val="both"/>
              <w:rPr>
                <w:rFonts w:eastAsia="Calibri"/>
                <w:sz w:val="20"/>
              </w:rPr>
            </w:pPr>
            <w:r w:rsidRPr="0079002B">
              <w:rPr>
                <w:rFonts w:eastAsia="Calibri"/>
                <w:sz w:val="20"/>
              </w:rPr>
              <w:t>Appeal dismissed.</w:t>
            </w: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October 4, 2011</w:t>
            </w:r>
          </w:p>
          <w:p w:rsidR="00694AE2" w:rsidRPr="0079002B" w:rsidRDefault="00694AE2" w:rsidP="00D50228">
            <w:pPr>
              <w:jc w:val="both"/>
              <w:rPr>
                <w:rFonts w:eastAsia="Calibri"/>
                <w:sz w:val="20"/>
              </w:rPr>
            </w:pPr>
            <w:r w:rsidRPr="0079002B">
              <w:rPr>
                <w:rFonts w:eastAsia="Calibri"/>
                <w:sz w:val="20"/>
              </w:rPr>
              <w:t>Supreme Court of Canada</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lang w:val="fr-FR"/>
              </w:rPr>
            </w:pPr>
          </w:p>
        </w:tc>
        <w:tc>
          <w:tcPr>
            <w:tcW w:w="2330" w:type="pct"/>
          </w:tcPr>
          <w:p w:rsidR="00694AE2" w:rsidRPr="0079002B" w:rsidRDefault="00694AE2" w:rsidP="00D50228">
            <w:pPr>
              <w:jc w:val="both"/>
              <w:rPr>
                <w:rFonts w:eastAsia="Calibri"/>
                <w:sz w:val="20"/>
              </w:rPr>
            </w:pPr>
            <w:r w:rsidRPr="0079002B">
              <w:rPr>
                <w:rFonts w:eastAsia="Calibri"/>
                <w:sz w:val="20"/>
              </w:rPr>
              <w:t>Motion for extension of time to file and serve application for leave to appeal filed.</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October 28, 2011</w:t>
            </w:r>
          </w:p>
          <w:p w:rsidR="00694AE2" w:rsidRPr="0079002B" w:rsidRDefault="00694AE2" w:rsidP="00D50228">
            <w:pPr>
              <w:jc w:val="both"/>
              <w:rPr>
                <w:rFonts w:eastAsia="Calibri"/>
                <w:sz w:val="20"/>
              </w:rPr>
            </w:pPr>
            <w:r w:rsidRPr="0079002B">
              <w:rPr>
                <w:rFonts w:eastAsia="Calibri"/>
                <w:sz w:val="20"/>
              </w:rPr>
              <w:t>Supreme Court of Canada</w:t>
            </w: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Application for leave to appeal filed.</w:t>
            </w:r>
          </w:p>
        </w:tc>
      </w:tr>
    </w:tbl>
    <w:p w:rsidR="00CC012F" w:rsidRDefault="00CC012F" w:rsidP="00CC012F">
      <w:pPr>
        <w:rPr>
          <w:sz w:val="20"/>
          <w:szCs w:val="20"/>
        </w:rPr>
      </w:pPr>
    </w:p>
    <w:p w:rsidR="00CC012F" w:rsidRPr="00C50A5C" w:rsidRDefault="0011031E" w:rsidP="00CC012F">
      <w:pPr>
        <w:rPr>
          <w:sz w:val="20"/>
          <w:szCs w:val="20"/>
        </w:rPr>
      </w:pPr>
      <w:r w:rsidRPr="0011031E">
        <w:rPr>
          <w:sz w:val="20"/>
          <w:szCs w:val="20"/>
          <w:lang w:val="fr-CA"/>
        </w:rPr>
        <w:pict>
          <v:rect id="_x0000_i1045" style="width:2in;height:1pt" o:hrpct="0" o:hralign="center" o:hrstd="t" o:hrnoshade="t" o:hr="t" fillcolor="black [3213]" stroked="f"/>
        </w:pict>
      </w:r>
    </w:p>
    <w:p w:rsidR="00CC012F" w:rsidRDefault="00CC012F" w:rsidP="00CC012F">
      <w:pPr>
        <w:rPr>
          <w:sz w:val="20"/>
          <w:szCs w:val="20"/>
        </w:rPr>
      </w:pPr>
    </w:p>
    <w:p w:rsidR="00CC012F" w:rsidRPr="001B157C" w:rsidRDefault="00CC012F" w:rsidP="00CC012F">
      <w:pPr>
        <w:rPr>
          <w:sz w:val="20"/>
          <w:szCs w:val="20"/>
          <w:u w:val="single"/>
          <w:lang w:val="fr-CA"/>
        </w:rPr>
      </w:pPr>
      <w:r w:rsidRPr="001B157C">
        <w:rPr>
          <w:sz w:val="20"/>
          <w:szCs w:val="20"/>
          <w:u w:val="single"/>
          <w:lang w:val="fr-CA"/>
        </w:rPr>
        <w:t>RÉSUMÉ DE L’AFFAIRE</w:t>
      </w:r>
    </w:p>
    <w:p w:rsidR="00CC012F" w:rsidRDefault="00CC012F" w:rsidP="00CC01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94AE2" w:rsidRPr="007D5BF8" w:rsidTr="00D50228">
        <w:tc>
          <w:tcPr>
            <w:tcW w:w="5000" w:type="pct"/>
            <w:gridSpan w:val="3"/>
          </w:tcPr>
          <w:p w:rsidR="00694AE2" w:rsidRPr="0079002B" w:rsidRDefault="00694AE2" w:rsidP="00D50228">
            <w:pPr>
              <w:jc w:val="both"/>
              <w:rPr>
                <w:rFonts w:eastAsia="Calibri"/>
                <w:sz w:val="20"/>
                <w:lang w:val="fr-CA"/>
              </w:rPr>
            </w:pPr>
            <w:r w:rsidRPr="0079002B">
              <w:rPr>
                <w:rFonts w:eastAsia="Calibri"/>
                <w:sz w:val="20"/>
                <w:lang w:val="fr-CA"/>
              </w:rPr>
              <w:t xml:space="preserve">Procédure civile – Action en dommages-intérêts pour congédiement illégal rejetée </w:t>
            </w:r>
            <w:r w:rsidRPr="0079002B">
              <w:rPr>
                <w:rFonts w:eastAsia="Calibri"/>
                <w:i/>
                <w:sz w:val="20"/>
                <w:lang w:val="fr-CA"/>
              </w:rPr>
              <w:t xml:space="preserve">ex parte </w:t>
            </w:r>
            <w:r w:rsidRPr="0079002B">
              <w:rPr>
                <w:rFonts w:eastAsia="Calibri"/>
                <w:sz w:val="20"/>
                <w:lang w:val="fr-CA"/>
              </w:rPr>
              <w:t>– Annulation et contrôle judiciaire de cette décision refusés par la suite pour cause d'absence injustifiée et de prescription – Une action a ensuite été dirigée contre les membres du tribunal, le Barreau et deux ministres – Le demandeur a été déclaré plaideur quérulent – L'action du demandeur a-t-elle été rejetée injustement ?</w:t>
            </w:r>
          </w:p>
        </w:tc>
      </w:tr>
      <w:tr w:rsidR="00694AE2" w:rsidRPr="007D5BF8" w:rsidTr="00D50228">
        <w:tc>
          <w:tcPr>
            <w:tcW w:w="5000" w:type="pct"/>
            <w:gridSpan w:val="3"/>
          </w:tcPr>
          <w:p w:rsidR="00694AE2" w:rsidRPr="0079002B" w:rsidRDefault="00694AE2" w:rsidP="00D50228">
            <w:pPr>
              <w:jc w:val="both"/>
              <w:rPr>
                <w:rFonts w:eastAsia="Calibri"/>
                <w:sz w:val="20"/>
                <w:lang w:val="fr-CA"/>
              </w:rPr>
            </w:pPr>
          </w:p>
        </w:tc>
      </w:tr>
      <w:tr w:rsidR="00694AE2" w:rsidRPr="007D5BF8" w:rsidTr="00D50228">
        <w:tc>
          <w:tcPr>
            <w:tcW w:w="5000" w:type="pct"/>
            <w:gridSpan w:val="3"/>
          </w:tcPr>
          <w:p w:rsidR="00694AE2" w:rsidRPr="0079002B" w:rsidRDefault="00694AE2" w:rsidP="00D50228">
            <w:pPr>
              <w:jc w:val="both"/>
              <w:rPr>
                <w:rFonts w:eastAsia="Calibri"/>
                <w:sz w:val="20"/>
                <w:lang w:val="fr-CA"/>
              </w:rPr>
            </w:pPr>
            <w:r w:rsidRPr="0079002B">
              <w:rPr>
                <w:rFonts w:eastAsia="Calibri"/>
                <w:sz w:val="20"/>
                <w:lang w:val="fr-CA"/>
              </w:rPr>
              <w:t>Monsieur Nersésian travaillait auparavant pour Jabez comme chercheur en robotique industrielle. Il allègue être le concepteur de Robotmaster, un programme qui a remporté beaucoup de succès et qui a profité à la compagnie. Après son congédiement le 29 octobre 2007, il a déposé une plainte à la Commission des relations de travail. Lorsque que la Commission a été prête à entendre l’affaire en juin 2008, M. Nersésian était déprimé et n'était pas prêt à procéder. En son absence, le commissaire Vignola a rejeté la plainte. La Commission a ensuite refusé de réexaminer l'affaire, faute de motifs suffisants pour l’absence. La Cour supérieure a refusé un contrôle judiciaire en mars 2010 au motif que le demandeur avait été négligent. Le demandeur a ensuite déposé une nouvelle action en dommages-intérêts dirigée contre plusieurs défendeurs, y compris les commissaires, les ministres et le Barreau.</w:t>
            </w:r>
          </w:p>
          <w:p w:rsidR="00694AE2" w:rsidRPr="0079002B" w:rsidRDefault="00694AE2" w:rsidP="00D50228">
            <w:pPr>
              <w:jc w:val="both"/>
              <w:rPr>
                <w:rFonts w:eastAsia="Calibri"/>
                <w:sz w:val="20"/>
                <w:lang w:val="fr-CA"/>
              </w:rPr>
            </w:pPr>
          </w:p>
        </w:tc>
      </w:tr>
      <w:tr w:rsidR="00694AE2" w:rsidRPr="007D5BF8"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t>29 mars 2011</w:t>
            </w:r>
          </w:p>
          <w:p w:rsidR="00694AE2" w:rsidRPr="0079002B" w:rsidRDefault="00694AE2" w:rsidP="00D50228">
            <w:pPr>
              <w:jc w:val="both"/>
              <w:rPr>
                <w:rFonts w:eastAsia="Calibri"/>
                <w:sz w:val="20"/>
                <w:lang w:val="fr-CA"/>
              </w:rPr>
            </w:pPr>
            <w:r w:rsidRPr="0079002B">
              <w:rPr>
                <w:rFonts w:eastAsia="Calibri"/>
                <w:sz w:val="20"/>
                <w:lang w:val="fr-CA"/>
              </w:rPr>
              <w:t xml:space="preserve">Cour supérieure du Québec </w:t>
            </w:r>
          </w:p>
          <w:p w:rsidR="00694AE2" w:rsidRPr="0079002B" w:rsidRDefault="00694AE2" w:rsidP="00D50228">
            <w:pPr>
              <w:jc w:val="both"/>
              <w:rPr>
                <w:rFonts w:eastAsia="Calibri"/>
                <w:sz w:val="20"/>
                <w:lang w:val="fr-CA"/>
              </w:rPr>
            </w:pPr>
            <w:r w:rsidRPr="0079002B">
              <w:rPr>
                <w:rFonts w:eastAsia="Calibri"/>
                <w:sz w:val="20"/>
                <w:lang w:val="fr-CA"/>
              </w:rPr>
              <w:t>(Juge Turcotte)</w:t>
            </w:r>
          </w:p>
          <w:p w:rsidR="00694AE2" w:rsidRPr="0079002B" w:rsidRDefault="00694AE2" w:rsidP="00D50228">
            <w:pPr>
              <w:jc w:val="both"/>
              <w:rPr>
                <w:rFonts w:eastAsia="Calibri"/>
                <w:sz w:val="20"/>
                <w:lang w:val="fr-CA"/>
              </w:rPr>
            </w:pPr>
            <w:r w:rsidRPr="0079002B">
              <w:rPr>
                <w:rFonts w:eastAsia="Calibri"/>
                <w:sz w:val="20"/>
                <w:lang w:val="fr-CA"/>
              </w:rPr>
              <w:t>Référence neutre : 2011 QCCS 4701</w:t>
            </w:r>
          </w:p>
          <w:p w:rsidR="00694AE2" w:rsidRPr="0079002B" w:rsidRDefault="00694AE2" w:rsidP="00D50228">
            <w:pPr>
              <w:jc w:val="both"/>
              <w:rPr>
                <w:rFonts w:eastAsia="Calibri"/>
                <w:sz w:val="20"/>
                <w:lang w:val="fr-CA"/>
              </w:rPr>
            </w:pPr>
          </w:p>
        </w:tc>
        <w:tc>
          <w:tcPr>
            <w:tcW w:w="243" w:type="pct"/>
          </w:tcPr>
          <w:p w:rsidR="00694AE2" w:rsidRPr="0079002B" w:rsidRDefault="00694AE2" w:rsidP="00D50228">
            <w:pPr>
              <w:jc w:val="both"/>
              <w:rPr>
                <w:rFonts w:eastAsia="Calibri"/>
                <w:sz w:val="20"/>
                <w:lang w:val="fr-CA"/>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Action rejetée; demandeur déclaré plaideur quérulent.</w:t>
            </w:r>
          </w:p>
        </w:tc>
      </w:tr>
      <w:tr w:rsidR="00694AE2" w:rsidRPr="0079002B"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t>5 août 2011</w:t>
            </w:r>
          </w:p>
          <w:p w:rsidR="00694AE2" w:rsidRPr="0079002B" w:rsidRDefault="00694AE2" w:rsidP="00D50228">
            <w:pPr>
              <w:jc w:val="both"/>
              <w:rPr>
                <w:rFonts w:eastAsia="Calibri"/>
                <w:sz w:val="20"/>
                <w:lang w:val="fr-CA"/>
              </w:rPr>
            </w:pPr>
            <w:r w:rsidRPr="0079002B">
              <w:rPr>
                <w:rFonts w:eastAsia="Calibri"/>
                <w:sz w:val="20"/>
                <w:lang w:val="fr-CA"/>
              </w:rPr>
              <w:t>Cour d'appel du Québec (Montréal)</w:t>
            </w:r>
          </w:p>
          <w:p w:rsidR="00694AE2" w:rsidRPr="0079002B" w:rsidRDefault="00694AE2" w:rsidP="00D50228">
            <w:pPr>
              <w:jc w:val="both"/>
              <w:rPr>
                <w:rFonts w:eastAsia="Calibri"/>
                <w:sz w:val="20"/>
                <w:lang w:val="fr-CA"/>
              </w:rPr>
            </w:pPr>
            <w:r w:rsidRPr="0079002B">
              <w:rPr>
                <w:rFonts w:eastAsia="Calibri"/>
                <w:sz w:val="20"/>
                <w:lang w:val="fr-CA"/>
              </w:rPr>
              <w:t>(Juges Dufresne, Duval Hesler et Wagner)</w:t>
            </w:r>
          </w:p>
          <w:p w:rsidR="00694AE2" w:rsidRPr="0079002B" w:rsidRDefault="00694AE2" w:rsidP="00D50228">
            <w:pPr>
              <w:jc w:val="both"/>
              <w:rPr>
                <w:rFonts w:eastAsia="Calibri"/>
                <w:sz w:val="20"/>
                <w:lang w:val="fr-CA"/>
              </w:rPr>
            </w:pPr>
            <w:r w:rsidRPr="0079002B">
              <w:rPr>
                <w:rFonts w:eastAsia="Calibri"/>
                <w:sz w:val="20"/>
                <w:lang w:val="fr-CA"/>
              </w:rPr>
              <w:t>Référence neutre : 2011 QCCA 1454</w:t>
            </w:r>
          </w:p>
          <w:p w:rsidR="00694AE2" w:rsidRPr="0079002B" w:rsidRDefault="00694AE2" w:rsidP="00D50228">
            <w:pPr>
              <w:jc w:val="both"/>
              <w:rPr>
                <w:rFonts w:eastAsia="Calibri"/>
                <w:sz w:val="20"/>
                <w:lang w:val="fr-CA"/>
              </w:rPr>
            </w:pPr>
          </w:p>
        </w:tc>
        <w:tc>
          <w:tcPr>
            <w:tcW w:w="243" w:type="pct"/>
          </w:tcPr>
          <w:p w:rsidR="00694AE2" w:rsidRPr="0079002B" w:rsidRDefault="00694AE2" w:rsidP="00D50228">
            <w:pPr>
              <w:jc w:val="both"/>
              <w:rPr>
                <w:rFonts w:eastAsia="Calibri"/>
                <w:sz w:val="20"/>
                <w:lang w:val="fr-CA"/>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Appel rejeté.</w:t>
            </w:r>
          </w:p>
        </w:tc>
      </w:tr>
      <w:tr w:rsidR="00694AE2" w:rsidRPr="007D5BF8" w:rsidTr="00D50228">
        <w:trPr>
          <w:trHeight w:val="460"/>
        </w:trPr>
        <w:tc>
          <w:tcPr>
            <w:tcW w:w="2427" w:type="pct"/>
          </w:tcPr>
          <w:p w:rsidR="00694AE2" w:rsidRPr="0079002B" w:rsidRDefault="00694AE2" w:rsidP="00D50228">
            <w:pPr>
              <w:jc w:val="both"/>
              <w:rPr>
                <w:rFonts w:eastAsia="Calibri"/>
                <w:sz w:val="20"/>
                <w:lang w:val="fr-CA"/>
              </w:rPr>
            </w:pPr>
            <w:r w:rsidRPr="0079002B">
              <w:rPr>
                <w:rFonts w:eastAsia="Calibri"/>
                <w:sz w:val="20"/>
                <w:lang w:val="fr-CA"/>
              </w:rPr>
              <w:lastRenderedPageBreak/>
              <w:t>4 octobre 2011</w:t>
            </w:r>
          </w:p>
          <w:p w:rsidR="00694AE2" w:rsidRPr="0079002B" w:rsidRDefault="00694AE2" w:rsidP="00D50228">
            <w:pPr>
              <w:jc w:val="both"/>
              <w:rPr>
                <w:rFonts w:eastAsia="Calibri"/>
                <w:sz w:val="20"/>
                <w:lang w:val="fr-CA"/>
              </w:rPr>
            </w:pPr>
            <w:r w:rsidRPr="0079002B">
              <w:rPr>
                <w:rFonts w:eastAsia="Calibri"/>
                <w:sz w:val="20"/>
                <w:lang w:val="fr-CA"/>
              </w:rPr>
              <w:t>Cour suprême du Canada</w:t>
            </w:r>
          </w:p>
          <w:p w:rsidR="00694AE2" w:rsidRPr="0079002B" w:rsidRDefault="00694AE2" w:rsidP="00D50228">
            <w:pPr>
              <w:jc w:val="both"/>
              <w:rPr>
                <w:rFonts w:eastAsia="Calibri"/>
                <w:sz w:val="20"/>
                <w:lang w:val="fr-CA"/>
              </w:rPr>
            </w:pPr>
          </w:p>
        </w:tc>
        <w:tc>
          <w:tcPr>
            <w:tcW w:w="243" w:type="pct"/>
          </w:tcPr>
          <w:p w:rsidR="00694AE2" w:rsidRPr="0079002B" w:rsidRDefault="00694AE2" w:rsidP="00D50228">
            <w:pPr>
              <w:jc w:val="both"/>
              <w:rPr>
                <w:rFonts w:eastAsia="Calibri"/>
                <w:sz w:val="20"/>
                <w:lang w:val="fr-CA"/>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Requête en prorogation du délai de dépôt et de signification de la demande d'autorisation d'appel, déposée.</w:t>
            </w:r>
          </w:p>
          <w:p w:rsidR="00694AE2" w:rsidRPr="0079002B" w:rsidRDefault="00694AE2" w:rsidP="00D50228">
            <w:pPr>
              <w:jc w:val="both"/>
              <w:rPr>
                <w:rFonts w:eastAsia="Calibri"/>
                <w:sz w:val="20"/>
                <w:lang w:val="fr-CA"/>
              </w:rPr>
            </w:pPr>
          </w:p>
        </w:tc>
      </w:tr>
      <w:tr w:rsidR="00694AE2" w:rsidRPr="0079002B" w:rsidTr="00D50228">
        <w:trPr>
          <w:trHeight w:val="460"/>
        </w:trPr>
        <w:tc>
          <w:tcPr>
            <w:tcW w:w="2427" w:type="pct"/>
          </w:tcPr>
          <w:p w:rsidR="00694AE2" w:rsidRPr="0079002B" w:rsidRDefault="00694AE2" w:rsidP="00D50228">
            <w:pPr>
              <w:jc w:val="both"/>
              <w:rPr>
                <w:rFonts w:eastAsia="Calibri"/>
                <w:sz w:val="20"/>
                <w:lang w:val="fr-CA"/>
              </w:rPr>
            </w:pPr>
            <w:r w:rsidRPr="0079002B">
              <w:rPr>
                <w:rFonts w:eastAsia="Calibri"/>
                <w:sz w:val="20"/>
                <w:lang w:val="fr-CA"/>
              </w:rPr>
              <w:t>28 octobre 2011</w:t>
            </w:r>
          </w:p>
          <w:p w:rsidR="00694AE2" w:rsidRPr="0079002B" w:rsidRDefault="00694AE2" w:rsidP="00D50228">
            <w:pPr>
              <w:jc w:val="both"/>
              <w:rPr>
                <w:rFonts w:eastAsia="Calibri"/>
                <w:sz w:val="20"/>
                <w:lang w:val="fr-CA"/>
              </w:rPr>
            </w:pPr>
            <w:r w:rsidRPr="0079002B">
              <w:rPr>
                <w:rFonts w:eastAsia="Calibri"/>
                <w:sz w:val="20"/>
                <w:lang w:val="fr-CA"/>
              </w:rPr>
              <w:t>Cour suprême du Canada</w:t>
            </w:r>
          </w:p>
        </w:tc>
        <w:tc>
          <w:tcPr>
            <w:tcW w:w="243" w:type="pct"/>
          </w:tcPr>
          <w:p w:rsidR="00694AE2" w:rsidRPr="0079002B" w:rsidRDefault="00694AE2" w:rsidP="00D50228">
            <w:pPr>
              <w:jc w:val="both"/>
              <w:rPr>
                <w:rFonts w:eastAsia="Calibri"/>
                <w:sz w:val="20"/>
                <w:lang w:val="fr-CA"/>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Demande d'autorisation d'appel, déposée.</w:t>
            </w:r>
          </w:p>
          <w:p w:rsidR="00694AE2" w:rsidRPr="0079002B" w:rsidRDefault="00694AE2" w:rsidP="00D50228">
            <w:pPr>
              <w:jc w:val="both"/>
              <w:rPr>
                <w:rFonts w:eastAsia="Calibri"/>
                <w:sz w:val="20"/>
                <w:lang w:val="fr-CA"/>
              </w:rPr>
            </w:pPr>
          </w:p>
        </w:tc>
      </w:tr>
    </w:tbl>
    <w:p w:rsidR="00CC012F" w:rsidRDefault="00CC012F" w:rsidP="00CC012F">
      <w:pPr>
        <w:rPr>
          <w:sz w:val="20"/>
          <w:szCs w:val="20"/>
        </w:rPr>
      </w:pPr>
    </w:p>
    <w:p w:rsidR="00CC012F" w:rsidRPr="00C50A5C" w:rsidRDefault="0011031E" w:rsidP="00CC012F">
      <w:pPr>
        <w:rPr>
          <w:sz w:val="20"/>
          <w:szCs w:val="20"/>
        </w:rPr>
      </w:pPr>
      <w:r w:rsidRPr="0011031E">
        <w:rPr>
          <w:sz w:val="20"/>
          <w:szCs w:val="20"/>
          <w:lang w:val="fr-CA"/>
        </w:rPr>
        <w:pict>
          <v:rect id="_x0000_i1046" style="width:2in;height:1pt" o:hrpct="0" o:hralign="center" o:hrstd="t" o:hrnoshade="t" o:hr="t" fillcolor="black [3213]" stroked="f"/>
        </w:pict>
      </w:r>
    </w:p>
    <w:p w:rsidR="00CC012F" w:rsidRDefault="00CC012F" w:rsidP="00CC01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1389C" w:rsidRPr="002D4E22" w:rsidTr="00D50228">
        <w:trPr>
          <w:cantSplit/>
        </w:trPr>
        <w:tc>
          <w:tcPr>
            <w:tcW w:w="1458" w:type="dxa"/>
          </w:tcPr>
          <w:p w:rsidR="00D1389C" w:rsidRPr="002D4E22" w:rsidRDefault="00D1389C" w:rsidP="00D50228">
            <w:pPr>
              <w:rPr>
                <w:sz w:val="20"/>
                <w:szCs w:val="20"/>
              </w:rPr>
            </w:pPr>
            <w:r w:rsidRPr="002D4E22">
              <w:rPr>
                <w:rStyle w:val="SCCFileNumberChar"/>
                <w:sz w:val="20"/>
                <w:szCs w:val="20"/>
              </w:rPr>
              <w:t>34539</w:t>
            </w:r>
          </w:p>
          <w:p w:rsidR="00D1389C" w:rsidRPr="002D4E22" w:rsidRDefault="00D1389C" w:rsidP="00D50228">
            <w:pPr>
              <w:rPr>
                <w:b/>
                <w:sz w:val="20"/>
                <w:szCs w:val="20"/>
                <w:lang w:val="fr-CA"/>
              </w:rPr>
            </w:pPr>
          </w:p>
        </w:tc>
        <w:tc>
          <w:tcPr>
            <w:tcW w:w="8118" w:type="dxa"/>
          </w:tcPr>
          <w:p w:rsidR="00D1389C" w:rsidRPr="002D4E22" w:rsidRDefault="00D1389C" w:rsidP="00D50228">
            <w:pPr>
              <w:rPr>
                <w:sz w:val="20"/>
                <w:szCs w:val="20"/>
              </w:rPr>
            </w:pPr>
            <w:r w:rsidRPr="00D1389C">
              <w:rPr>
                <w:rStyle w:val="SCCLsocChar"/>
                <w:sz w:val="20"/>
                <w:szCs w:val="20"/>
                <w:lang w:val="en-CA"/>
              </w:rPr>
              <w:t>Raymond Edward Yorke v. Georgina M.E. Yorke</w:t>
            </w:r>
            <w:r w:rsidRPr="002D4E22">
              <w:rPr>
                <w:sz w:val="20"/>
                <w:szCs w:val="20"/>
              </w:rPr>
              <w:t xml:space="preserve"> (N.B.) (Civil) (By Leave)</w:t>
            </w:r>
          </w:p>
          <w:p w:rsidR="00D1389C" w:rsidRPr="002D4E22" w:rsidRDefault="00D1389C" w:rsidP="00D50228">
            <w:pPr>
              <w:rPr>
                <w:sz w:val="20"/>
                <w:szCs w:val="20"/>
              </w:rPr>
            </w:pPr>
          </w:p>
        </w:tc>
      </w:tr>
      <w:tr w:rsidR="00D1389C" w:rsidRPr="002D4E22" w:rsidTr="00D50228">
        <w:trPr>
          <w:cantSplit/>
        </w:trPr>
        <w:tc>
          <w:tcPr>
            <w:tcW w:w="1458" w:type="dxa"/>
          </w:tcPr>
          <w:p w:rsidR="00D1389C" w:rsidRPr="002D4E22" w:rsidRDefault="00D1389C" w:rsidP="00D50228">
            <w:pPr>
              <w:rPr>
                <w:sz w:val="20"/>
                <w:szCs w:val="20"/>
              </w:rPr>
            </w:pPr>
            <w:r w:rsidRPr="002D4E22">
              <w:rPr>
                <w:sz w:val="20"/>
                <w:szCs w:val="20"/>
              </w:rPr>
              <w:t>Coram :</w:t>
            </w:r>
          </w:p>
        </w:tc>
        <w:tc>
          <w:tcPr>
            <w:tcW w:w="8118" w:type="dxa"/>
          </w:tcPr>
          <w:p w:rsidR="00D1389C" w:rsidRPr="002D4E22" w:rsidRDefault="00D1389C" w:rsidP="00D50228">
            <w:pPr>
              <w:rPr>
                <w:sz w:val="20"/>
                <w:szCs w:val="20"/>
              </w:rPr>
            </w:pPr>
            <w:r w:rsidRPr="00D1389C">
              <w:rPr>
                <w:rStyle w:val="SCCCoramChar"/>
                <w:sz w:val="20"/>
                <w:szCs w:val="20"/>
                <w:lang w:val="en-CA"/>
              </w:rPr>
              <w:t>LeBel, Abella and Cromwell JJ.</w:t>
            </w:r>
          </w:p>
          <w:p w:rsidR="00D1389C" w:rsidRPr="002D4E22" w:rsidRDefault="00D1389C" w:rsidP="00D50228">
            <w:pPr>
              <w:rPr>
                <w:sz w:val="20"/>
                <w:szCs w:val="20"/>
                <w:u w:val="single"/>
              </w:rPr>
            </w:pPr>
          </w:p>
        </w:tc>
      </w:tr>
      <w:tr w:rsidR="00D1389C" w:rsidRPr="007D5BF8" w:rsidTr="00D50228">
        <w:trPr>
          <w:cantSplit/>
        </w:trPr>
        <w:tc>
          <w:tcPr>
            <w:tcW w:w="9576" w:type="dxa"/>
            <w:gridSpan w:val="2"/>
          </w:tcPr>
          <w:p w:rsidR="00D1389C" w:rsidRPr="002D4E22" w:rsidRDefault="00D1389C" w:rsidP="00D50228">
            <w:pPr>
              <w:pStyle w:val="SCCShortJudgment"/>
              <w:rPr>
                <w:szCs w:val="20"/>
              </w:rPr>
            </w:pPr>
            <w:r w:rsidRPr="002D4E22">
              <w:rPr>
                <w:szCs w:val="20"/>
              </w:rPr>
              <w:t>The motion for an extension of time to serve and file the application for leave to appeal is granted. The application for leave to appeal from the judgment of the Court of Appeal of New Brunswick, Number 95-10-CA, 2011 NBCA 79, dated September 22, 2011, is dismissed with costs.</w:t>
            </w:r>
          </w:p>
          <w:p w:rsidR="00D1389C" w:rsidRPr="002D4E22" w:rsidRDefault="00D1389C" w:rsidP="00D50228">
            <w:pPr>
              <w:pStyle w:val="SCCShortJudgment"/>
              <w:ind w:firstLine="0"/>
              <w:rPr>
                <w:szCs w:val="20"/>
              </w:rPr>
            </w:pPr>
          </w:p>
          <w:p w:rsidR="00D1389C" w:rsidRPr="002D4E22" w:rsidRDefault="00D1389C" w:rsidP="00D50228">
            <w:pPr>
              <w:pStyle w:val="SCCShortJudgment"/>
              <w:rPr>
                <w:szCs w:val="20"/>
                <w:lang w:val="fr-CA"/>
              </w:rPr>
            </w:pPr>
            <w:r w:rsidRPr="002D4E22">
              <w:rPr>
                <w:szCs w:val="20"/>
                <w:lang w:val="fr-CA"/>
              </w:rPr>
              <w:t>La requête en prorogation du délai de signification et de dépôt de la demande d’autorisation d’appel est accordée. La demande d’autorisation d’appel de l’arrêt de la Cour d’appel du Nouveau-Brunswick, numéro 95-10-CA, 2011 NBCA 79, daté du 22 septembre 2011, est rejetée avec dépens.</w:t>
            </w:r>
          </w:p>
        </w:tc>
      </w:tr>
    </w:tbl>
    <w:p w:rsidR="00CC012F" w:rsidRPr="00CC012F" w:rsidRDefault="00CC012F" w:rsidP="00CC012F">
      <w:pPr>
        <w:rPr>
          <w:sz w:val="20"/>
          <w:szCs w:val="20"/>
          <w:lang w:val="fr-CA"/>
        </w:rPr>
      </w:pPr>
    </w:p>
    <w:p w:rsidR="00CC012F" w:rsidRPr="001B157C" w:rsidRDefault="00CC012F" w:rsidP="00CC012F">
      <w:pPr>
        <w:rPr>
          <w:sz w:val="20"/>
          <w:szCs w:val="20"/>
          <w:u w:val="single"/>
        </w:rPr>
      </w:pPr>
      <w:r w:rsidRPr="001B157C">
        <w:rPr>
          <w:sz w:val="20"/>
          <w:szCs w:val="20"/>
          <w:u w:val="single"/>
        </w:rPr>
        <w:t>CASE SUMMARY</w:t>
      </w:r>
    </w:p>
    <w:p w:rsidR="00CC012F" w:rsidRDefault="00CC012F" w:rsidP="00CC01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94AE2" w:rsidRPr="0079002B" w:rsidTr="00D50228">
        <w:tc>
          <w:tcPr>
            <w:tcW w:w="5000" w:type="pct"/>
            <w:gridSpan w:val="3"/>
          </w:tcPr>
          <w:p w:rsidR="00694AE2" w:rsidRPr="0079002B" w:rsidRDefault="00694AE2" w:rsidP="00D50228">
            <w:pPr>
              <w:jc w:val="both"/>
              <w:rPr>
                <w:rFonts w:eastAsia="Calibri"/>
                <w:sz w:val="20"/>
              </w:rPr>
            </w:pPr>
            <w:r w:rsidRPr="0079002B">
              <w:rPr>
                <w:rFonts w:eastAsia="Calibri"/>
                <w:sz w:val="20"/>
              </w:rPr>
              <w:t xml:space="preserve">Family law – Family assets – Unequal division – Husband bringing almost all assets into marriage – Parties separating after 16 years of cohabitation and 12 years of marriage – Husband petitioning for unequal division of assets in his favour – Whether appellate court erred in overturning decision of court of first instance where there was no error of law, principle or misapprehension of evidence – Whether appellate court erred in reversing the evidentiary onus to the owner of pre-marital asset to establish that pre-marital asset not a “family asset” and that RRSP acquired prior to the marriage was a “family asset” within the meaning of the </w:t>
            </w:r>
            <w:r w:rsidRPr="0079002B">
              <w:rPr>
                <w:rFonts w:eastAsia="Calibri"/>
                <w:i/>
                <w:sz w:val="20"/>
              </w:rPr>
              <w:t>Marital Property Act</w:t>
            </w:r>
            <w:r w:rsidRPr="0079002B">
              <w:rPr>
                <w:rFonts w:eastAsia="Calibri"/>
                <w:sz w:val="20"/>
              </w:rPr>
              <w:t>, S.N.B. 1980, c. M1.1 – Whether appellate court erred in is assessment of costs</w:t>
            </w:r>
          </w:p>
          <w:p w:rsidR="00694AE2" w:rsidRPr="0079002B" w:rsidRDefault="00694AE2" w:rsidP="00D50228">
            <w:pPr>
              <w:jc w:val="both"/>
              <w:rPr>
                <w:rFonts w:eastAsia="Calibri"/>
                <w:sz w:val="20"/>
              </w:rPr>
            </w:pPr>
          </w:p>
        </w:tc>
      </w:tr>
      <w:tr w:rsidR="00694AE2" w:rsidRPr="0079002B" w:rsidTr="00D50228">
        <w:tc>
          <w:tcPr>
            <w:tcW w:w="5000" w:type="pct"/>
            <w:gridSpan w:val="3"/>
          </w:tcPr>
          <w:p w:rsidR="00694AE2" w:rsidRPr="0079002B" w:rsidRDefault="00694AE2" w:rsidP="00D50228">
            <w:pPr>
              <w:jc w:val="both"/>
              <w:rPr>
                <w:rFonts w:eastAsia="Calibri"/>
                <w:sz w:val="20"/>
              </w:rPr>
            </w:pPr>
            <w:r w:rsidRPr="0079002B">
              <w:rPr>
                <w:rFonts w:eastAsia="Calibri"/>
                <w:sz w:val="20"/>
              </w:rPr>
              <w:t>The husband is 82 years old and the wife is 75.  They began cohabiting with one another in 1981, when the wife moved into the home the husband had owned since 1966.  Their marriage in 1997 was a second one for the husband and a third one for the wife.  There were no children of the marriage.  The parties separated in 2009.  Most of the assets, including the marital home,  investments, RRSPs and personal savings accounts were owned by the husband prior to the commencement of their relationship.  The wife had a few thousand dollars that she had invested in an RRSP.  Throughout their cohabitation and marriage, the husband paid for virtually all of their living expenses, depositing money each month into a joint account which the wife could use for household expenses.  She did not work outside of the home.  The husband, who was retired, used his investments to pay for larger expenses such as vehicles and vacations.  Both were in receipt of Old Age Security and CPP, and the husband was also drawing down his RRIF at the rate of $2,000 per month.  The husband petitioned for divorce, seeking an unequal division of assets.  The wife sought an equal division of the assets and spousal support.</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June 24, 2010</w:t>
            </w:r>
          </w:p>
          <w:p w:rsidR="00694AE2" w:rsidRPr="0079002B" w:rsidRDefault="00694AE2" w:rsidP="00D50228">
            <w:pPr>
              <w:jc w:val="both"/>
              <w:rPr>
                <w:rFonts w:eastAsia="Calibri"/>
                <w:sz w:val="20"/>
              </w:rPr>
            </w:pPr>
            <w:r w:rsidRPr="0079002B">
              <w:rPr>
                <w:rFonts w:eastAsia="Calibri"/>
                <w:sz w:val="20"/>
              </w:rPr>
              <w:t>Court of Queen’s Bench of New Brunswick</w:t>
            </w:r>
          </w:p>
          <w:p w:rsidR="00694AE2" w:rsidRPr="0079002B" w:rsidRDefault="00694AE2" w:rsidP="00D50228">
            <w:pPr>
              <w:jc w:val="both"/>
              <w:rPr>
                <w:rFonts w:eastAsia="Calibri"/>
                <w:sz w:val="20"/>
              </w:rPr>
            </w:pPr>
            <w:r w:rsidRPr="0079002B">
              <w:rPr>
                <w:rFonts w:eastAsia="Calibri"/>
                <w:sz w:val="20"/>
              </w:rPr>
              <w:t>(Walsh J.)</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Unequal division of marital home ordered; Husband’s RRIF and personal bank accounts exempt from division; Wife to retain personal RRSP; lump sum spousal support for wife ordered.</w:t>
            </w:r>
          </w:p>
          <w:p w:rsidR="00694AE2" w:rsidRPr="0079002B" w:rsidRDefault="00694AE2" w:rsidP="00D50228">
            <w:pPr>
              <w:jc w:val="both"/>
              <w:rPr>
                <w:rFonts w:eastAsia="Calibri"/>
                <w:sz w:val="20"/>
              </w:rPr>
            </w:pPr>
          </w:p>
        </w:tc>
      </w:tr>
      <w:tr w:rsidR="00694AE2" w:rsidRPr="0079002B" w:rsidTr="00EC738C">
        <w:trPr>
          <w:cantSplit/>
        </w:trPr>
        <w:tc>
          <w:tcPr>
            <w:tcW w:w="2427" w:type="pct"/>
          </w:tcPr>
          <w:p w:rsidR="00694AE2" w:rsidRPr="0079002B" w:rsidRDefault="00694AE2" w:rsidP="00D50228">
            <w:pPr>
              <w:jc w:val="both"/>
              <w:rPr>
                <w:rFonts w:eastAsia="Calibri"/>
                <w:sz w:val="20"/>
              </w:rPr>
            </w:pPr>
            <w:r w:rsidRPr="0079002B">
              <w:rPr>
                <w:rFonts w:eastAsia="Calibri"/>
                <w:sz w:val="20"/>
              </w:rPr>
              <w:lastRenderedPageBreak/>
              <w:t>September 22, 2011</w:t>
            </w:r>
          </w:p>
          <w:p w:rsidR="00694AE2" w:rsidRPr="0079002B" w:rsidRDefault="00694AE2" w:rsidP="00D50228">
            <w:pPr>
              <w:jc w:val="both"/>
              <w:rPr>
                <w:rFonts w:eastAsia="Calibri"/>
                <w:sz w:val="20"/>
              </w:rPr>
            </w:pPr>
            <w:r w:rsidRPr="0079002B">
              <w:rPr>
                <w:rFonts w:eastAsia="Calibri"/>
                <w:sz w:val="20"/>
              </w:rPr>
              <w:t>Court of Appeal of New Brunswick</w:t>
            </w:r>
          </w:p>
          <w:p w:rsidR="00694AE2" w:rsidRPr="0079002B" w:rsidRDefault="00694AE2" w:rsidP="00D50228">
            <w:pPr>
              <w:jc w:val="both"/>
              <w:rPr>
                <w:rFonts w:eastAsia="Calibri"/>
                <w:sz w:val="20"/>
              </w:rPr>
            </w:pPr>
            <w:r w:rsidRPr="0079002B">
              <w:rPr>
                <w:rFonts w:eastAsia="Calibri"/>
                <w:sz w:val="20"/>
              </w:rPr>
              <w:t>(Larlee, Quigg and Richard [dissenting] JJ.A.)</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Wife’s appeal allowed; equal division of assets, including marital home, husband’s bank accounts and RRIF, ordered; no support for wife</w:t>
            </w:r>
          </w:p>
          <w:p w:rsidR="00694AE2" w:rsidRPr="0079002B" w:rsidRDefault="00694AE2" w:rsidP="00D50228">
            <w:pPr>
              <w:jc w:val="both"/>
              <w:rPr>
                <w:rFonts w:eastAsia="Calibri"/>
                <w:sz w:val="20"/>
              </w:rPr>
            </w:pPr>
          </w:p>
        </w:tc>
      </w:tr>
      <w:tr w:rsidR="00694AE2" w:rsidRPr="0079002B" w:rsidTr="00EC738C">
        <w:trPr>
          <w:cantSplit/>
        </w:trPr>
        <w:tc>
          <w:tcPr>
            <w:tcW w:w="2427" w:type="pct"/>
          </w:tcPr>
          <w:p w:rsidR="00694AE2" w:rsidRPr="0079002B" w:rsidRDefault="00694AE2" w:rsidP="00D50228">
            <w:pPr>
              <w:jc w:val="both"/>
              <w:rPr>
                <w:rFonts w:eastAsia="Calibri"/>
                <w:sz w:val="20"/>
              </w:rPr>
            </w:pPr>
            <w:r w:rsidRPr="0079002B">
              <w:rPr>
                <w:rFonts w:eastAsia="Calibri"/>
                <w:sz w:val="20"/>
              </w:rPr>
              <w:t>November 22, 2011</w:t>
            </w:r>
          </w:p>
          <w:p w:rsidR="00694AE2" w:rsidRPr="0079002B" w:rsidRDefault="00694AE2" w:rsidP="00D50228">
            <w:pPr>
              <w:jc w:val="both"/>
              <w:rPr>
                <w:rFonts w:eastAsia="Calibri"/>
                <w:sz w:val="20"/>
              </w:rPr>
            </w:pPr>
            <w:r w:rsidRPr="0079002B">
              <w:rPr>
                <w:rFonts w:eastAsia="Calibri"/>
                <w:sz w:val="20"/>
              </w:rPr>
              <w:t>Supreme Court of Canada</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Application for leave to appeal and motion for extension of time in which to file application for leave filed</w:t>
            </w:r>
          </w:p>
        </w:tc>
      </w:tr>
    </w:tbl>
    <w:p w:rsidR="00CC012F" w:rsidRDefault="00CC012F" w:rsidP="00CC012F">
      <w:pPr>
        <w:rPr>
          <w:sz w:val="20"/>
          <w:szCs w:val="20"/>
        </w:rPr>
      </w:pPr>
    </w:p>
    <w:p w:rsidR="00CC012F" w:rsidRPr="00C50A5C" w:rsidRDefault="0011031E" w:rsidP="00CC012F">
      <w:pPr>
        <w:rPr>
          <w:sz w:val="20"/>
          <w:szCs w:val="20"/>
        </w:rPr>
      </w:pPr>
      <w:r w:rsidRPr="0011031E">
        <w:rPr>
          <w:sz w:val="20"/>
          <w:szCs w:val="20"/>
          <w:lang w:val="fr-CA"/>
        </w:rPr>
        <w:pict>
          <v:rect id="_x0000_i1047" style="width:2in;height:1pt" o:hrpct="0" o:hralign="center" o:hrstd="t" o:hrnoshade="t" o:hr="t" fillcolor="black [3213]" stroked="f"/>
        </w:pict>
      </w:r>
    </w:p>
    <w:p w:rsidR="00CC012F" w:rsidRDefault="00CC012F" w:rsidP="00CC012F">
      <w:pPr>
        <w:rPr>
          <w:sz w:val="20"/>
          <w:szCs w:val="20"/>
        </w:rPr>
      </w:pPr>
    </w:p>
    <w:p w:rsidR="00CC012F" w:rsidRDefault="00CC012F" w:rsidP="00CC012F">
      <w:pPr>
        <w:rPr>
          <w:sz w:val="20"/>
          <w:szCs w:val="20"/>
          <w:u w:val="single"/>
          <w:lang w:val="fr-CA"/>
        </w:rPr>
      </w:pPr>
      <w:r w:rsidRPr="001B157C">
        <w:rPr>
          <w:sz w:val="20"/>
          <w:szCs w:val="20"/>
          <w:u w:val="single"/>
          <w:lang w:val="fr-CA"/>
        </w:rPr>
        <w:t>RÉSUMÉ DE L’AFFAIRE</w:t>
      </w:r>
    </w:p>
    <w:p w:rsidR="00694AE2" w:rsidRPr="00694AE2" w:rsidRDefault="00694AE2" w:rsidP="00CC012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694AE2" w:rsidRPr="007D5BF8" w:rsidTr="00D50228">
        <w:tc>
          <w:tcPr>
            <w:tcW w:w="5000" w:type="pct"/>
            <w:gridSpan w:val="3"/>
          </w:tcPr>
          <w:p w:rsidR="00694AE2" w:rsidRPr="0079002B" w:rsidRDefault="00694AE2" w:rsidP="00D50228">
            <w:pPr>
              <w:jc w:val="both"/>
              <w:rPr>
                <w:rFonts w:eastAsia="Calibri"/>
                <w:sz w:val="20"/>
                <w:lang w:val="fr-CA"/>
              </w:rPr>
            </w:pPr>
            <w:r w:rsidRPr="0079002B">
              <w:rPr>
                <w:rFonts w:eastAsia="Calibri"/>
                <w:sz w:val="20"/>
                <w:lang w:val="fr-CA"/>
              </w:rPr>
              <w:t xml:space="preserve">Droit de la famille – Biens matrimoniaux – Répartition en parts inégales – Contribution quasi-exclusive de l’époux aux biens matrimoniaux – Séparation des parties après 16 ans de cohabitation et 12 ans de mariage – Répartition des biens en parts inégales au profit de l’époux demandée par ce dernier – La Cour d’appel a-t-elle commis une erreur en infirmant la décision de première instance sans conclure à une erreur de droit ou de principe ou à une interprétation erronée de la preuve? La Cour d’appel a-t-elle commis une erreur en inversant la charge de preuve pour exiger du propriétaire des biens acquis avant le mariage qu’il établisse que ces éléments d’actif n’appartiennent pas à l’ « actif familial » et que les REÉR acquis avant le mariage font partie de l’ « actif familial » au sens de la </w:t>
            </w:r>
            <w:r w:rsidRPr="0079002B">
              <w:rPr>
                <w:rFonts w:eastAsia="Calibri"/>
                <w:i/>
                <w:sz w:val="20"/>
                <w:lang w:val="fr-CA"/>
              </w:rPr>
              <w:t>Loi sur les biens matrimoniaux</w:t>
            </w:r>
            <w:r w:rsidRPr="0079002B">
              <w:rPr>
                <w:rFonts w:eastAsia="Calibri"/>
                <w:sz w:val="20"/>
                <w:lang w:val="fr-CA"/>
              </w:rPr>
              <w:t>, L.N.-B. 1980, ch. M1.1? – La Cour d’appel a-t-elle commis une erreur dans l’évaluation des dépens?</w:t>
            </w:r>
          </w:p>
        </w:tc>
      </w:tr>
      <w:tr w:rsidR="00694AE2" w:rsidRPr="007D5BF8" w:rsidTr="00D50228">
        <w:tc>
          <w:tcPr>
            <w:tcW w:w="5000" w:type="pct"/>
            <w:gridSpan w:val="3"/>
          </w:tcPr>
          <w:p w:rsidR="00694AE2" w:rsidRPr="0079002B" w:rsidRDefault="00694AE2" w:rsidP="00D50228">
            <w:pPr>
              <w:jc w:val="both"/>
              <w:rPr>
                <w:rFonts w:eastAsia="Calibri"/>
                <w:sz w:val="20"/>
                <w:lang w:val="fr-CA"/>
              </w:rPr>
            </w:pPr>
          </w:p>
        </w:tc>
      </w:tr>
      <w:tr w:rsidR="00694AE2" w:rsidRPr="007D5BF8" w:rsidTr="00D50228">
        <w:tc>
          <w:tcPr>
            <w:tcW w:w="5000" w:type="pct"/>
            <w:gridSpan w:val="3"/>
          </w:tcPr>
          <w:p w:rsidR="00694AE2" w:rsidRPr="0079002B" w:rsidRDefault="00694AE2" w:rsidP="00D50228">
            <w:pPr>
              <w:jc w:val="both"/>
              <w:rPr>
                <w:rFonts w:eastAsia="Calibri"/>
                <w:sz w:val="20"/>
                <w:lang w:val="fr-CA"/>
              </w:rPr>
            </w:pPr>
            <w:r w:rsidRPr="0079002B">
              <w:rPr>
                <w:rFonts w:eastAsia="Calibri"/>
                <w:sz w:val="20"/>
                <w:lang w:val="fr-CA"/>
              </w:rPr>
              <w:t xml:space="preserve">L’époux est âgé de 82 ans, et l’épouse de 75 ans.  Leur cohabitation a débuté en 1981, lorsque l’épouse a emménagé dans la maison qui appartenait à l’époux depuis 1966.  Leur mariage, en 1997, constituait une seconde union pour l’époux et une troisième pour son épouse.  Aucun enfant n’est issue de leur union.  Les parties se sont séparées en 2009.  La majorité des biens, y compris le foyer matrimonial, les placements, les REÉR et les comptes d’épargne personnels, avaient été acquis par l’époux avant la relation.  L’épouse possédait quelques milliers de dollars, qu’elle avait placés dans un REÉR.  Pendant la cohabitation et le mariage, l’époux acquittait presque tous les frais de subsistance en déposant chaque mois dans un compte conjoint une somme permettant à l’épouse de payer les dépenses du ménage.  L’épouse ne travaillait pas à l’extérieur du foyer.  L’époux, un retraité, finançait les achats importants, comme les voitures et les voyages, à même ses placements.  Les deux parties recevaient des prestations de Sécurité de la vieillesse et du RPC, et l’époux déduisait 2000 $ par mois de son FERR.  L’époux a intenté une action en divorce et demandé la répartition des biens en parts inégales.  Pour sa part, l’épouse a demandé la répartition égale des biens et une ordonnance alimentaire au profit d’un époux. </w:t>
            </w:r>
          </w:p>
          <w:p w:rsidR="00694AE2" w:rsidRPr="0079002B" w:rsidRDefault="00694AE2" w:rsidP="00D50228">
            <w:pPr>
              <w:jc w:val="both"/>
              <w:rPr>
                <w:rFonts w:eastAsia="Calibri"/>
                <w:sz w:val="20"/>
                <w:lang w:val="fr-CA"/>
              </w:rPr>
            </w:pPr>
          </w:p>
        </w:tc>
      </w:tr>
      <w:tr w:rsidR="00694AE2" w:rsidRPr="007D5BF8"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t>Le 24 juin 2010</w:t>
            </w:r>
          </w:p>
          <w:p w:rsidR="00694AE2" w:rsidRPr="0079002B" w:rsidRDefault="00694AE2" w:rsidP="00D50228">
            <w:pPr>
              <w:jc w:val="both"/>
              <w:rPr>
                <w:rFonts w:eastAsia="Calibri"/>
                <w:sz w:val="20"/>
                <w:lang w:val="fr-CA"/>
              </w:rPr>
            </w:pPr>
            <w:r w:rsidRPr="0079002B">
              <w:rPr>
                <w:rFonts w:eastAsia="Calibri"/>
                <w:sz w:val="20"/>
                <w:lang w:val="fr-CA"/>
              </w:rPr>
              <w:t>Cour du Banc de la Reine du Nouveau-Brunswick</w:t>
            </w:r>
          </w:p>
          <w:p w:rsidR="00694AE2" w:rsidRPr="0079002B" w:rsidRDefault="00694AE2" w:rsidP="00D50228">
            <w:pPr>
              <w:jc w:val="both"/>
              <w:rPr>
                <w:rFonts w:eastAsia="Calibri"/>
                <w:sz w:val="20"/>
                <w:lang w:val="fr-CA"/>
              </w:rPr>
            </w:pPr>
            <w:r w:rsidRPr="0079002B">
              <w:rPr>
                <w:rFonts w:eastAsia="Calibri"/>
                <w:sz w:val="20"/>
                <w:lang w:val="fr-CA"/>
              </w:rPr>
              <w:t>(Juge Walsh)</w:t>
            </w:r>
          </w:p>
          <w:p w:rsidR="00694AE2" w:rsidRPr="0079002B" w:rsidRDefault="00694AE2" w:rsidP="00D50228">
            <w:pPr>
              <w:jc w:val="both"/>
              <w:rPr>
                <w:rFonts w:eastAsia="Calibri"/>
                <w:sz w:val="20"/>
                <w:lang w:val="fr-CA"/>
              </w:rPr>
            </w:pPr>
          </w:p>
        </w:tc>
        <w:tc>
          <w:tcPr>
            <w:tcW w:w="243" w:type="pct"/>
          </w:tcPr>
          <w:p w:rsidR="00694AE2" w:rsidRPr="0079002B" w:rsidRDefault="00694AE2" w:rsidP="00D50228">
            <w:pPr>
              <w:jc w:val="both"/>
              <w:rPr>
                <w:rFonts w:eastAsia="Calibri"/>
                <w:sz w:val="20"/>
                <w:lang w:val="fr-CA"/>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Répartition du foyer matrimonial en parts inégales ordonnée; le FERR et les comptes bancaires personnels de l’époux soustraits à la répartition des biens; l’épouse conserve son REÉR personnel; le versement d’aliments sous forme de capital est ordonné au profit de l’épouse.</w:t>
            </w:r>
          </w:p>
          <w:p w:rsidR="00694AE2" w:rsidRPr="0079002B" w:rsidRDefault="00694AE2" w:rsidP="00D50228">
            <w:pPr>
              <w:jc w:val="both"/>
              <w:rPr>
                <w:rFonts w:eastAsia="Calibri"/>
                <w:sz w:val="20"/>
                <w:lang w:val="fr-CA"/>
              </w:rPr>
            </w:pPr>
          </w:p>
        </w:tc>
      </w:tr>
      <w:tr w:rsidR="00694AE2" w:rsidRPr="007D5BF8"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t>Le 22 septembre 2011</w:t>
            </w:r>
          </w:p>
          <w:p w:rsidR="00694AE2" w:rsidRPr="0079002B" w:rsidRDefault="00694AE2" w:rsidP="00D50228">
            <w:pPr>
              <w:jc w:val="both"/>
              <w:rPr>
                <w:rFonts w:eastAsia="Calibri"/>
                <w:sz w:val="20"/>
                <w:lang w:val="fr-CA"/>
              </w:rPr>
            </w:pPr>
            <w:r w:rsidRPr="0079002B">
              <w:rPr>
                <w:rFonts w:eastAsia="Calibri"/>
                <w:sz w:val="20"/>
                <w:lang w:val="fr-CA"/>
              </w:rPr>
              <w:t>Cour d’appel du Nouveau-Brunswick</w:t>
            </w:r>
          </w:p>
          <w:p w:rsidR="00694AE2" w:rsidRPr="0079002B" w:rsidRDefault="00694AE2" w:rsidP="00D50228">
            <w:pPr>
              <w:jc w:val="both"/>
              <w:rPr>
                <w:rFonts w:eastAsia="Calibri"/>
                <w:sz w:val="20"/>
                <w:lang w:val="fr-CA"/>
              </w:rPr>
            </w:pPr>
            <w:r w:rsidRPr="0079002B">
              <w:rPr>
                <w:rFonts w:eastAsia="Calibri"/>
                <w:sz w:val="20"/>
                <w:lang w:val="fr-CA"/>
              </w:rPr>
              <w:t>(Juges Larlee, Quigg et Richard [dissident])</w:t>
            </w:r>
          </w:p>
          <w:p w:rsidR="00694AE2" w:rsidRPr="0079002B" w:rsidRDefault="00694AE2" w:rsidP="00D50228">
            <w:pPr>
              <w:jc w:val="both"/>
              <w:rPr>
                <w:rFonts w:eastAsia="Calibri"/>
                <w:sz w:val="20"/>
                <w:lang w:val="fr-CA"/>
              </w:rPr>
            </w:pPr>
          </w:p>
        </w:tc>
        <w:tc>
          <w:tcPr>
            <w:tcW w:w="243" w:type="pct"/>
          </w:tcPr>
          <w:p w:rsidR="00694AE2" w:rsidRPr="0079002B" w:rsidRDefault="00694AE2" w:rsidP="00D50228">
            <w:pPr>
              <w:jc w:val="both"/>
              <w:rPr>
                <w:rFonts w:eastAsia="Calibri"/>
                <w:sz w:val="20"/>
                <w:lang w:val="fr-CA"/>
              </w:rPr>
            </w:pPr>
          </w:p>
        </w:tc>
        <w:tc>
          <w:tcPr>
            <w:tcW w:w="2330" w:type="pct"/>
          </w:tcPr>
          <w:p w:rsidR="00694AE2" w:rsidRPr="0079002B" w:rsidRDefault="00694AE2" w:rsidP="00EC738C">
            <w:pPr>
              <w:jc w:val="both"/>
              <w:rPr>
                <w:rFonts w:eastAsia="Calibri"/>
                <w:sz w:val="20"/>
                <w:lang w:val="fr-CA"/>
              </w:rPr>
            </w:pPr>
            <w:r w:rsidRPr="0079002B">
              <w:rPr>
                <w:rFonts w:eastAsia="Calibri"/>
                <w:sz w:val="20"/>
                <w:lang w:val="fr-CA"/>
              </w:rPr>
              <w:t>Appel interjeté par l’épouse accueilli; répartition en parts égales des biens, y compris le foyer matrimonial, les comptes bancaires et le FERR de l’époux, ordonnée; aucune ordonnance alimentaire n’est rendue au profit de l’épouse</w:t>
            </w:r>
          </w:p>
        </w:tc>
      </w:tr>
    </w:tbl>
    <w:p w:rsidR="00EC738C" w:rsidRPr="00121545" w:rsidRDefault="00EC738C">
      <w:pPr>
        <w:rPr>
          <w:lang w:val="fr-CA"/>
        </w:rPr>
      </w:pPr>
    </w:p>
    <w:p w:rsidR="00EC738C" w:rsidRPr="00121545" w:rsidRDefault="00EC738C">
      <w:pPr>
        <w:rPr>
          <w:lang w:val="fr-CA"/>
        </w:rPr>
      </w:pPr>
      <w:r w:rsidRPr="00121545">
        <w:rPr>
          <w:lang w:val="fr-CA"/>
        </w:rPr>
        <w:br w:type="page"/>
      </w:r>
    </w:p>
    <w:tbl>
      <w:tblPr>
        <w:tblW w:w="4952" w:type="pct"/>
        <w:tblLayout w:type="fixed"/>
        <w:tblCellMar>
          <w:left w:w="0" w:type="dxa"/>
          <w:bottom w:w="99" w:type="dxa"/>
          <w:right w:w="0" w:type="dxa"/>
        </w:tblCellMar>
        <w:tblLook w:val="04A0"/>
      </w:tblPr>
      <w:tblGrid>
        <w:gridCol w:w="4624"/>
        <w:gridCol w:w="463"/>
        <w:gridCol w:w="4440"/>
      </w:tblGrid>
      <w:tr w:rsidR="00694AE2" w:rsidRPr="007D5BF8" w:rsidTr="00D50228">
        <w:tc>
          <w:tcPr>
            <w:tcW w:w="2427" w:type="pct"/>
          </w:tcPr>
          <w:p w:rsidR="00694AE2" w:rsidRPr="0079002B" w:rsidRDefault="00694AE2" w:rsidP="00D50228">
            <w:pPr>
              <w:jc w:val="both"/>
              <w:rPr>
                <w:rFonts w:eastAsia="Calibri"/>
                <w:sz w:val="20"/>
                <w:lang w:val="fr-CA"/>
              </w:rPr>
            </w:pPr>
            <w:r w:rsidRPr="0079002B">
              <w:rPr>
                <w:rFonts w:eastAsia="Calibri"/>
                <w:sz w:val="20"/>
                <w:lang w:val="fr-CA"/>
              </w:rPr>
              <w:lastRenderedPageBreak/>
              <w:t>Le 22 novembre 2011</w:t>
            </w:r>
          </w:p>
          <w:p w:rsidR="00694AE2" w:rsidRPr="0079002B" w:rsidRDefault="00694AE2" w:rsidP="00D50228">
            <w:pPr>
              <w:jc w:val="both"/>
              <w:rPr>
                <w:rFonts w:eastAsia="Calibri"/>
                <w:sz w:val="20"/>
                <w:lang w:val="fr-CA"/>
              </w:rPr>
            </w:pPr>
            <w:r w:rsidRPr="0079002B">
              <w:rPr>
                <w:rFonts w:eastAsia="Calibri"/>
                <w:sz w:val="20"/>
                <w:lang w:val="fr-CA"/>
              </w:rPr>
              <w:t>Cour suprême du Canada</w:t>
            </w:r>
          </w:p>
          <w:p w:rsidR="00694AE2" w:rsidRPr="0079002B" w:rsidRDefault="00694AE2" w:rsidP="00D50228">
            <w:pPr>
              <w:jc w:val="both"/>
              <w:rPr>
                <w:rFonts w:eastAsia="Calibri"/>
                <w:sz w:val="20"/>
                <w:lang w:val="fr-CA"/>
              </w:rPr>
            </w:pPr>
          </w:p>
        </w:tc>
        <w:tc>
          <w:tcPr>
            <w:tcW w:w="243" w:type="pct"/>
          </w:tcPr>
          <w:p w:rsidR="00694AE2" w:rsidRPr="0079002B" w:rsidRDefault="00694AE2" w:rsidP="00D50228">
            <w:pPr>
              <w:jc w:val="both"/>
              <w:rPr>
                <w:rFonts w:eastAsia="Calibri"/>
                <w:sz w:val="20"/>
                <w:lang w:val="fr-CA"/>
              </w:rPr>
            </w:pPr>
          </w:p>
        </w:tc>
        <w:tc>
          <w:tcPr>
            <w:tcW w:w="2330" w:type="pct"/>
          </w:tcPr>
          <w:p w:rsidR="00694AE2" w:rsidRPr="0079002B" w:rsidRDefault="00694AE2" w:rsidP="00D50228">
            <w:pPr>
              <w:jc w:val="both"/>
              <w:rPr>
                <w:rFonts w:eastAsia="Calibri"/>
                <w:sz w:val="20"/>
                <w:lang w:val="fr-CA"/>
              </w:rPr>
            </w:pPr>
            <w:r w:rsidRPr="0079002B">
              <w:rPr>
                <w:rFonts w:eastAsia="Calibri"/>
                <w:sz w:val="20"/>
                <w:lang w:val="fr-CA"/>
              </w:rPr>
              <w:t>Demande d’autorisation d’appel et requête en prorogation du délai de dépôt de la demande d’autorisation déposées</w:t>
            </w:r>
          </w:p>
        </w:tc>
      </w:tr>
    </w:tbl>
    <w:p w:rsidR="00CC012F" w:rsidRPr="00694AE2" w:rsidRDefault="00CC012F" w:rsidP="00CC012F">
      <w:pPr>
        <w:rPr>
          <w:sz w:val="20"/>
          <w:szCs w:val="20"/>
          <w:lang w:val="fr-CA"/>
        </w:rPr>
      </w:pPr>
    </w:p>
    <w:p w:rsidR="00CC012F" w:rsidRPr="00C50A5C" w:rsidRDefault="0011031E" w:rsidP="00CC012F">
      <w:pPr>
        <w:rPr>
          <w:sz w:val="20"/>
          <w:szCs w:val="20"/>
        </w:rPr>
      </w:pPr>
      <w:r w:rsidRPr="0011031E">
        <w:rPr>
          <w:sz w:val="20"/>
          <w:szCs w:val="20"/>
          <w:lang w:val="fr-CA"/>
        </w:rPr>
        <w:pict>
          <v:rect id="_x0000_i1048" style="width:2in;height:1pt" o:hrpct="0" o:hralign="center" o:hrstd="t" o:hrnoshade="t" o:hr="t" fillcolor="black [3213]" stroked="f"/>
        </w:pict>
      </w:r>
    </w:p>
    <w:p w:rsidR="00CC012F" w:rsidRDefault="00CC012F" w:rsidP="00CC01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20747" w:rsidRPr="002D4E22" w:rsidTr="00D50228">
        <w:trPr>
          <w:cantSplit/>
        </w:trPr>
        <w:tc>
          <w:tcPr>
            <w:tcW w:w="1458" w:type="dxa"/>
          </w:tcPr>
          <w:p w:rsidR="00920747" w:rsidRPr="002D4E22" w:rsidRDefault="00920747" w:rsidP="00D50228">
            <w:pPr>
              <w:rPr>
                <w:sz w:val="20"/>
                <w:szCs w:val="20"/>
              </w:rPr>
            </w:pPr>
            <w:r w:rsidRPr="002D4E22">
              <w:rPr>
                <w:rStyle w:val="SCCFileNumberChar"/>
                <w:sz w:val="20"/>
                <w:szCs w:val="20"/>
              </w:rPr>
              <w:t>34574</w:t>
            </w:r>
          </w:p>
          <w:p w:rsidR="00920747" w:rsidRPr="002D4E22" w:rsidRDefault="00920747" w:rsidP="00D50228">
            <w:pPr>
              <w:rPr>
                <w:b/>
                <w:sz w:val="20"/>
                <w:szCs w:val="20"/>
                <w:lang w:val="fr-CA"/>
              </w:rPr>
            </w:pPr>
          </w:p>
        </w:tc>
        <w:tc>
          <w:tcPr>
            <w:tcW w:w="8118" w:type="dxa"/>
          </w:tcPr>
          <w:p w:rsidR="00920747" w:rsidRPr="002D4E22" w:rsidRDefault="00920747" w:rsidP="00D50228">
            <w:pPr>
              <w:rPr>
                <w:sz w:val="20"/>
                <w:szCs w:val="20"/>
              </w:rPr>
            </w:pPr>
            <w:r w:rsidRPr="00920747">
              <w:rPr>
                <w:rStyle w:val="SCCLsocChar"/>
                <w:sz w:val="20"/>
                <w:szCs w:val="20"/>
                <w:lang w:val="en-CA"/>
              </w:rPr>
              <w:t>Mark Bodenstein v. Her Majesty the Queen</w:t>
            </w:r>
            <w:r w:rsidRPr="002D4E22">
              <w:rPr>
                <w:sz w:val="20"/>
                <w:szCs w:val="20"/>
              </w:rPr>
              <w:t xml:space="preserve"> (Ont.) (Criminal) (By Leave)</w:t>
            </w:r>
          </w:p>
          <w:p w:rsidR="00920747" w:rsidRPr="002D4E22" w:rsidRDefault="00920747" w:rsidP="00D50228">
            <w:pPr>
              <w:rPr>
                <w:sz w:val="20"/>
                <w:szCs w:val="20"/>
              </w:rPr>
            </w:pPr>
          </w:p>
        </w:tc>
      </w:tr>
      <w:tr w:rsidR="00920747" w:rsidRPr="002D4E22" w:rsidTr="00D50228">
        <w:trPr>
          <w:cantSplit/>
        </w:trPr>
        <w:tc>
          <w:tcPr>
            <w:tcW w:w="1458" w:type="dxa"/>
          </w:tcPr>
          <w:p w:rsidR="00920747" w:rsidRPr="002D4E22" w:rsidRDefault="00920747" w:rsidP="00D50228">
            <w:pPr>
              <w:rPr>
                <w:sz w:val="20"/>
                <w:szCs w:val="20"/>
              </w:rPr>
            </w:pPr>
            <w:r w:rsidRPr="002D4E22">
              <w:rPr>
                <w:sz w:val="20"/>
                <w:szCs w:val="20"/>
              </w:rPr>
              <w:t>Coram :</w:t>
            </w:r>
          </w:p>
        </w:tc>
        <w:tc>
          <w:tcPr>
            <w:tcW w:w="8118" w:type="dxa"/>
          </w:tcPr>
          <w:p w:rsidR="00920747" w:rsidRPr="002D4E22" w:rsidRDefault="00920747" w:rsidP="00D50228">
            <w:pPr>
              <w:rPr>
                <w:sz w:val="20"/>
                <w:szCs w:val="20"/>
              </w:rPr>
            </w:pPr>
            <w:r w:rsidRPr="00920747">
              <w:rPr>
                <w:rStyle w:val="SCCCoramChar"/>
                <w:sz w:val="20"/>
                <w:szCs w:val="20"/>
                <w:lang w:val="en-CA"/>
              </w:rPr>
              <w:t>LeBel, Abella and Cromwell JJ.</w:t>
            </w:r>
          </w:p>
          <w:p w:rsidR="00920747" w:rsidRPr="002D4E22" w:rsidRDefault="00920747" w:rsidP="00D50228">
            <w:pPr>
              <w:rPr>
                <w:sz w:val="20"/>
                <w:szCs w:val="20"/>
                <w:u w:val="single"/>
              </w:rPr>
            </w:pPr>
          </w:p>
        </w:tc>
      </w:tr>
      <w:tr w:rsidR="00920747" w:rsidRPr="007D5BF8" w:rsidTr="00D50228">
        <w:trPr>
          <w:cantSplit/>
        </w:trPr>
        <w:tc>
          <w:tcPr>
            <w:tcW w:w="9576" w:type="dxa"/>
            <w:gridSpan w:val="2"/>
          </w:tcPr>
          <w:p w:rsidR="00920747" w:rsidRPr="002D4E22" w:rsidRDefault="00920747" w:rsidP="00D50228">
            <w:pPr>
              <w:pStyle w:val="SCCShortJudgment"/>
              <w:rPr>
                <w:szCs w:val="20"/>
              </w:rPr>
            </w:pPr>
            <w:r w:rsidRPr="002D4E22">
              <w:rPr>
                <w:szCs w:val="20"/>
              </w:rPr>
              <w:t>The motion for bail is dismissed. The application for leave to appeal from the judgment of the Court of Appeal for Ontario, Number C53989, 2011 ONCA 737, dated November 15, 2011, is dismissed without costs.</w:t>
            </w:r>
          </w:p>
          <w:p w:rsidR="00920747" w:rsidRPr="002D4E22" w:rsidRDefault="00920747" w:rsidP="00D50228">
            <w:pPr>
              <w:pStyle w:val="SCCShortJudgment"/>
              <w:ind w:firstLine="0"/>
              <w:rPr>
                <w:szCs w:val="20"/>
              </w:rPr>
            </w:pPr>
          </w:p>
          <w:p w:rsidR="00920747" w:rsidRPr="002D4E22" w:rsidRDefault="00920747" w:rsidP="00D50228">
            <w:pPr>
              <w:pStyle w:val="SCCShortJudgment"/>
              <w:rPr>
                <w:szCs w:val="20"/>
                <w:lang w:val="fr-CA"/>
              </w:rPr>
            </w:pPr>
            <w:r w:rsidRPr="002D4E22">
              <w:rPr>
                <w:szCs w:val="20"/>
                <w:lang w:val="fr-CA"/>
              </w:rPr>
              <w:t>La requête pour mise en liberté provisoire est rejetée. La demande d’autorisation d’appel de l’arrêt de la Cour d’appel de l’Ontario, numéro C53989, 2011 ONCA 737, daté du 15 novembre 2011, est rejetée sans dépens.</w:t>
            </w:r>
          </w:p>
        </w:tc>
      </w:tr>
    </w:tbl>
    <w:p w:rsidR="00CC012F" w:rsidRPr="00CC012F" w:rsidRDefault="00CC012F" w:rsidP="00CC012F">
      <w:pPr>
        <w:rPr>
          <w:sz w:val="20"/>
          <w:szCs w:val="20"/>
          <w:lang w:val="fr-CA"/>
        </w:rPr>
      </w:pPr>
    </w:p>
    <w:p w:rsidR="00CC012F" w:rsidRPr="001B157C" w:rsidRDefault="00CC012F" w:rsidP="00CC012F">
      <w:pPr>
        <w:rPr>
          <w:sz w:val="20"/>
          <w:szCs w:val="20"/>
          <w:u w:val="single"/>
        </w:rPr>
      </w:pPr>
      <w:r w:rsidRPr="001B157C">
        <w:rPr>
          <w:sz w:val="20"/>
          <w:szCs w:val="20"/>
          <w:u w:val="single"/>
        </w:rPr>
        <w:t>CASE SUMMARY</w:t>
      </w:r>
    </w:p>
    <w:p w:rsidR="00CC012F" w:rsidRDefault="00CC012F" w:rsidP="00CC01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94AE2" w:rsidRPr="0079002B" w:rsidTr="00D50228">
        <w:tc>
          <w:tcPr>
            <w:tcW w:w="5000" w:type="pct"/>
            <w:gridSpan w:val="3"/>
          </w:tcPr>
          <w:p w:rsidR="00694AE2" w:rsidRPr="0079002B" w:rsidRDefault="00694AE2" w:rsidP="00D50228">
            <w:pPr>
              <w:jc w:val="both"/>
              <w:rPr>
                <w:rFonts w:eastAsia="Calibri"/>
                <w:sz w:val="20"/>
              </w:rPr>
            </w:pPr>
            <w:r w:rsidRPr="0079002B">
              <w:rPr>
                <w:rFonts w:eastAsia="Calibri"/>
                <w:sz w:val="20"/>
              </w:rPr>
              <w:t>Criminal law – Offences – Trafficking in association with a criminal organization – Whether the Crown failed to prove beyond a reasonable doubt that the Applicant committed the offence in association with a criminal organization</w:t>
            </w:r>
          </w:p>
        </w:tc>
      </w:tr>
      <w:tr w:rsidR="00694AE2" w:rsidRPr="0079002B" w:rsidTr="00D50228">
        <w:tc>
          <w:tcPr>
            <w:tcW w:w="5000" w:type="pct"/>
            <w:gridSpan w:val="3"/>
          </w:tcPr>
          <w:p w:rsidR="00694AE2" w:rsidRPr="0079002B" w:rsidRDefault="00694AE2" w:rsidP="00D50228">
            <w:pPr>
              <w:jc w:val="both"/>
              <w:rPr>
                <w:rFonts w:eastAsia="Calibri"/>
                <w:sz w:val="20"/>
              </w:rPr>
            </w:pPr>
          </w:p>
        </w:tc>
      </w:tr>
      <w:tr w:rsidR="00694AE2" w:rsidRPr="0079002B" w:rsidTr="00D50228">
        <w:tc>
          <w:tcPr>
            <w:tcW w:w="5000" w:type="pct"/>
            <w:gridSpan w:val="3"/>
          </w:tcPr>
          <w:p w:rsidR="00694AE2" w:rsidRPr="0079002B" w:rsidRDefault="00694AE2" w:rsidP="00D50228">
            <w:pPr>
              <w:jc w:val="both"/>
              <w:rPr>
                <w:rFonts w:eastAsia="Calibri"/>
                <w:sz w:val="20"/>
              </w:rPr>
            </w:pPr>
            <w:r w:rsidRPr="0079002B">
              <w:rPr>
                <w:rFonts w:eastAsia="Calibri"/>
                <w:sz w:val="20"/>
              </w:rPr>
              <w:t>Bodenstein pleaded guilty to trafficking in cocaine and possession of a prohibited weapon.  He pleaded not guilty to trafficking in cocaine in association with the Hells Angels Motorcycle Club, an alleged criminal organization.  Bodenstein appeals his conviction for trafficking in cocaine in association with a criminal organization.  He argues that the transaction in question was a one-time occurrence and that it had nothing to do with his and the other participant’s membership in the Hells Angels.  His appeal was dismissed.</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July 13, 2010</w:t>
            </w:r>
          </w:p>
          <w:p w:rsidR="00694AE2" w:rsidRPr="0079002B" w:rsidRDefault="00694AE2" w:rsidP="00D50228">
            <w:pPr>
              <w:jc w:val="both"/>
              <w:rPr>
                <w:rFonts w:eastAsia="Calibri"/>
                <w:sz w:val="20"/>
              </w:rPr>
            </w:pPr>
            <w:r w:rsidRPr="0079002B">
              <w:rPr>
                <w:rFonts w:eastAsia="Calibri"/>
                <w:sz w:val="20"/>
              </w:rPr>
              <w:t>Ontario Superior Court of Justice</w:t>
            </w:r>
          </w:p>
          <w:p w:rsidR="00694AE2" w:rsidRPr="0079002B" w:rsidRDefault="00694AE2" w:rsidP="00D50228">
            <w:pPr>
              <w:jc w:val="both"/>
              <w:rPr>
                <w:rFonts w:eastAsia="Calibri"/>
                <w:sz w:val="20"/>
                <w:lang w:val="fr-CA"/>
              </w:rPr>
            </w:pPr>
            <w:r w:rsidRPr="0079002B">
              <w:rPr>
                <w:rFonts w:eastAsia="Calibri"/>
                <w:sz w:val="20"/>
                <w:lang w:val="fr-CA"/>
              </w:rPr>
              <w:t>(Nordheimer J.)</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Applicant convicted of trafficking in drugs in association with a criminal organization</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November 15, 2011</w:t>
            </w:r>
          </w:p>
          <w:p w:rsidR="00694AE2" w:rsidRPr="0079002B" w:rsidRDefault="00694AE2" w:rsidP="00D50228">
            <w:pPr>
              <w:jc w:val="both"/>
              <w:rPr>
                <w:rFonts w:eastAsia="Calibri"/>
                <w:sz w:val="20"/>
              </w:rPr>
            </w:pPr>
            <w:r w:rsidRPr="0079002B">
              <w:rPr>
                <w:rFonts w:eastAsia="Calibri"/>
                <w:sz w:val="20"/>
              </w:rPr>
              <w:t>Court of Appeal for Ontario</w:t>
            </w:r>
          </w:p>
          <w:p w:rsidR="00694AE2" w:rsidRPr="0079002B" w:rsidRDefault="00694AE2" w:rsidP="00D50228">
            <w:pPr>
              <w:jc w:val="both"/>
              <w:rPr>
                <w:rFonts w:eastAsia="Calibri"/>
                <w:sz w:val="20"/>
              </w:rPr>
            </w:pPr>
            <w:r w:rsidRPr="0079002B">
              <w:rPr>
                <w:rFonts w:eastAsia="Calibri"/>
                <w:sz w:val="20"/>
              </w:rPr>
              <w:t>(Feldman, Simmons and Watt JJ.A.)</w:t>
            </w:r>
          </w:p>
          <w:p w:rsidR="00694AE2" w:rsidRPr="0079002B" w:rsidRDefault="00694AE2" w:rsidP="00D50228">
            <w:pPr>
              <w:jc w:val="both"/>
              <w:rPr>
                <w:rFonts w:eastAsia="Calibri"/>
                <w:sz w:val="20"/>
              </w:rPr>
            </w:pPr>
            <w:r w:rsidRPr="0079002B">
              <w:rPr>
                <w:rFonts w:eastAsia="Calibri"/>
                <w:sz w:val="20"/>
              </w:rPr>
              <w:t>2011 ONCA 737; C53989</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Appeal dismissed</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December 9, 2011</w:t>
            </w:r>
          </w:p>
          <w:p w:rsidR="00694AE2" w:rsidRPr="0079002B" w:rsidRDefault="00694AE2" w:rsidP="00D50228">
            <w:pPr>
              <w:jc w:val="both"/>
              <w:rPr>
                <w:rFonts w:eastAsia="Calibri"/>
                <w:sz w:val="20"/>
              </w:rPr>
            </w:pPr>
            <w:r w:rsidRPr="0079002B">
              <w:rPr>
                <w:rFonts w:eastAsia="Calibri"/>
                <w:sz w:val="20"/>
              </w:rPr>
              <w:t>Supreme Court of Canada</w:t>
            </w: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Motion for bail and Application for leave to appeal filed</w:t>
            </w:r>
          </w:p>
        </w:tc>
      </w:tr>
    </w:tbl>
    <w:p w:rsidR="00CC012F" w:rsidRDefault="00CC012F" w:rsidP="00CC012F">
      <w:pPr>
        <w:rPr>
          <w:sz w:val="20"/>
          <w:szCs w:val="20"/>
        </w:rPr>
      </w:pPr>
    </w:p>
    <w:p w:rsidR="00CC012F" w:rsidRPr="00C50A5C" w:rsidRDefault="0011031E" w:rsidP="00CC012F">
      <w:pPr>
        <w:rPr>
          <w:sz w:val="20"/>
          <w:szCs w:val="20"/>
        </w:rPr>
      </w:pPr>
      <w:r w:rsidRPr="0011031E">
        <w:rPr>
          <w:sz w:val="20"/>
          <w:szCs w:val="20"/>
          <w:lang w:val="fr-CA"/>
        </w:rPr>
        <w:pict>
          <v:rect id="_x0000_i1049" style="width:2in;height:1pt" o:hrpct="0" o:hralign="center" o:hrstd="t" o:hrnoshade="t" o:hr="t" fillcolor="black [3213]" stroked="f"/>
        </w:pict>
      </w:r>
    </w:p>
    <w:p w:rsidR="00CC012F" w:rsidRDefault="00CC012F" w:rsidP="00CC012F">
      <w:pPr>
        <w:rPr>
          <w:sz w:val="20"/>
          <w:szCs w:val="20"/>
        </w:rPr>
      </w:pPr>
    </w:p>
    <w:p w:rsidR="00CC012F" w:rsidRPr="001B157C" w:rsidRDefault="00CC012F" w:rsidP="00CC012F">
      <w:pPr>
        <w:rPr>
          <w:sz w:val="20"/>
          <w:szCs w:val="20"/>
          <w:u w:val="single"/>
          <w:lang w:val="fr-CA"/>
        </w:rPr>
      </w:pPr>
      <w:r w:rsidRPr="001B157C">
        <w:rPr>
          <w:sz w:val="20"/>
          <w:szCs w:val="20"/>
          <w:u w:val="single"/>
          <w:lang w:val="fr-CA"/>
        </w:rPr>
        <w:t>RÉSUMÉ DE L’AFFAIRE</w:t>
      </w:r>
    </w:p>
    <w:p w:rsidR="00CC012F" w:rsidRDefault="00CC012F" w:rsidP="00CC01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94AE2" w:rsidRPr="007D5BF8" w:rsidTr="00D50228">
        <w:tc>
          <w:tcPr>
            <w:tcW w:w="5000" w:type="pct"/>
            <w:gridSpan w:val="3"/>
          </w:tcPr>
          <w:p w:rsidR="00694AE2" w:rsidRPr="0079002B" w:rsidRDefault="00694AE2" w:rsidP="00D50228">
            <w:pPr>
              <w:jc w:val="both"/>
              <w:rPr>
                <w:rFonts w:eastAsia="Calibri"/>
                <w:sz w:val="20"/>
                <w:lang w:val="fr-FR"/>
              </w:rPr>
            </w:pPr>
            <w:r w:rsidRPr="0079002B">
              <w:rPr>
                <w:rFonts w:eastAsia="Calibri"/>
                <w:sz w:val="20"/>
                <w:lang w:val="fr-FR"/>
              </w:rPr>
              <w:t>Droit criminel – Infractions – Trafic en association avec une organisation criminelle – Le ministère public a-t-il omis de prouver hors de tout doute raisonnable que le demandeur avait commis l’infraction en association avec une organisation criminelle?</w:t>
            </w:r>
          </w:p>
        </w:tc>
      </w:tr>
      <w:tr w:rsidR="00694AE2" w:rsidRPr="007D5BF8" w:rsidTr="00D50228">
        <w:tc>
          <w:tcPr>
            <w:tcW w:w="5000" w:type="pct"/>
            <w:gridSpan w:val="3"/>
          </w:tcPr>
          <w:p w:rsidR="00694AE2" w:rsidRPr="0079002B" w:rsidRDefault="00694AE2" w:rsidP="00D50228">
            <w:pPr>
              <w:jc w:val="both"/>
              <w:rPr>
                <w:rFonts w:eastAsia="Calibri"/>
                <w:sz w:val="20"/>
                <w:lang w:val="fr-FR"/>
              </w:rPr>
            </w:pPr>
          </w:p>
        </w:tc>
      </w:tr>
      <w:tr w:rsidR="00694AE2" w:rsidRPr="0079002B" w:rsidTr="00D50228">
        <w:tc>
          <w:tcPr>
            <w:tcW w:w="5000" w:type="pct"/>
            <w:gridSpan w:val="3"/>
          </w:tcPr>
          <w:p w:rsidR="00694AE2" w:rsidRPr="0079002B" w:rsidRDefault="00694AE2" w:rsidP="00D50228">
            <w:pPr>
              <w:jc w:val="both"/>
              <w:rPr>
                <w:rFonts w:eastAsia="Calibri"/>
                <w:sz w:val="20"/>
              </w:rPr>
            </w:pPr>
            <w:r w:rsidRPr="0079002B">
              <w:rPr>
                <w:rFonts w:eastAsia="Calibri"/>
                <w:sz w:val="20"/>
                <w:lang w:val="fr-FR"/>
              </w:rPr>
              <w:t xml:space="preserve">M. Bodenstein a plaidé coupable à des accusations de trafic de cocaïne et de possession d’une arme prohibée.  Il a plaidé non coupable à l’accusation de trafic de cocaïne en association avec le Hells Angels Motorcycle Club, une </w:t>
            </w:r>
            <w:r w:rsidRPr="0079002B">
              <w:rPr>
                <w:rFonts w:eastAsia="Calibri"/>
                <w:sz w:val="20"/>
                <w:lang w:val="fr-FR"/>
              </w:rPr>
              <w:lastRenderedPageBreak/>
              <w:t xml:space="preserve">organisation criminelle présumée.  M. Bodenstein fait appel de sa déclaration de culpabilité pour trafic de cocaïne en association avec une organisation criminelle.  Il prétend que la transaction en question était un acte isolé et qu’elle n’avait rien à voir avec l’appartenance de l’autre partie aux Hells Angels.  </w:t>
            </w:r>
            <w:r w:rsidRPr="0079002B">
              <w:rPr>
                <w:rFonts w:eastAsia="Calibri"/>
                <w:sz w:val="20"/>
              </w:rPr>
              <w:t>Son appel a été rejeté.</w:t>
            </w:r>
          </w:p>
          <w:p w:rsidR="00694AE2" w:rsidRPr="0079002B" w:rsidRDefault="00694AE2" w:rsidP="00D50228">
            <w:pPr>
              <w:jc w:val="both"/>
              <w:rPr>
                <w:rFonts w:eastAsia="Calibri"/>
                <w:sz w:val="20"/>
              </w:rPr>
            </w:pPr>
          </w:p>
        </w:tc>
      </w:tr>
      <w:tr w:rsidR="00694AE2" w:rsidRPr="007D5BF8" w:rsidTr="00571353">
        <w:trPr>
          <w:cantSplit/>
        </w:trPr>
        <w:tc>
          <w:tcPr>
            <w:tcW w:w="2427" w:type="pct"/>
          </w:tcPr>
          <w:p w:rsidR="00694AE2" w:rsidRPr="0079002B" w:rsidRDefault="00694AE2" w:rsidP="00D50228">
            <w:pPr>
              <w:jc w:val="both"/>
              <w:rPr>
                <w:rFonts w:eastAsia="Calibri"/>
                <w:sz w:val="20"/>
                <w:lang w:val="fr-FR"/>
              </w:rPr>
            </w:pPr>
            <w:r w:rsidRPr="0079002B">
              <w:rPr>
                <w:rFonts w:eastAsia="Calibri"/>
                <w:sz w:val="20"/>
                <w:lang w:val="fr-FR"/>
              </w:rPr>
              <w:lastRenderedPageBreak/>
              <w:t>13 juillet 2010</w:t>
            </w:r>
          </w:p>
          <w:p w:rsidR="00694AE2" w:rsidRPr="0079002B" w:rsidRDefault="00694AE2" w:rsidP="00D50228">
            <w:pPr>
              <w:jc w:val="both"/>
              <w:rPr>
                <w:rFonts w:eastAsia="Calibri"/>
                <w:sz w:val="20"/>
                <w:lang w:val="fr-FR"/>
              </w:rPr>
            </w:pPr>
            <w:r w:rsidRPr="0079002B">
              <w:rPr>
                <w:rFonts w:eastAsia="Calibri"/>
                <w:sz w:val="20"/>
                <w:lang w:val="fr-FR"/>
              </w:rPr>
              <w:t xml:space="preserve">Cour supérieure de justice de l’Ontario </w:t>
            </w:r>
          </w:p>
          <w:p w:rsidR="00694AE2" w:rsidRPr="0079002B" w:rsidRDefault="00694AE2" w:rsidP="00D50228">
            <w:pPr>
              <w:jc w:val="both"/>
              <w:rPr>
                <w:rFonts w:eastAsia="Calibri"/>
                <w:sz w:val="20"/>
                <w:lang w:val="fr-CA"/>
              </w:rPr>
            </w:pPr>
            <w:r w:rsidRPr="0079002B">
              <w:rPr>
                <w:rFonts w:eastAsia="Calibri"/>
                <w:sz w:val="20"/>
                <w:lang w:val="fr-CA"/>
              </w:rPr>
              <w:t>(Juge Nordheimer)</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lang w:val="fr-FR"/>
              </w:rPr>
            </w:pPr>
            <w:r w:rsidRPr="0079002B">
              <w:rPr>
                <w:rFonts w:eastAsia="Calibri"/>
                <w:sz w:val="20"/>
                <w:lang w:val="fr-FR"/>
              </w:rPr>
              <w:t xml:space="preserve">Demandeur reconnu coupable de trafic de drogue en association avec une organisation criminelle </w:t>
            </w:r>
          </w:p>
          <w:p w:rsidR="00694AE2" w:rsidRPr="0079002B" w:rsidRDefault="00694AE2" w:rsidP="00D50228">
            <w:pPr>
              <w:jc w:val="both"/>
              <w:rPr>
                <w:rFonts w:eastAsia="Calibri"/>
                <w:sz w:val="20"/>
                <w:lang w:val="fr-FR"/>
              </w:rPr>
            </w:pPr>
          </w:p>
        </w:tc>
      </w:tr>
      <w:tr w:rsidR="00694AE2" w:rsidRPr="0079002B" w:rsidTr="00571353">
        <w:trPr>
          <w:cantSplit/>
        </w:trPr>
        <w:tc>
          <w:tcPr>
            <w:tcW w:w="2427" w:type="pct"/>
          </w:tcPr>
          <w:p w:rsidR="00694AE2" w:rsidRPr="0079002B" w:rsidRDefault="00694AE2" w:rsidP="00D50228">
            <w:pPr>
              <w:jc w:val="both"/>
              <w:rPr>
                <w:rFonts w:eastAsia="Calibri"/>
                <w:sz w:val="20"/>
                <w:lang w:val="fr-FR"/>
              </w:rPr>
            </w:pPr>
            <w:r w:rsidRPr="0079002B">
              <w:rPr>
                <w:rFonts w:eastAsia="Calibri"/>
                <w:sz w:val="20"/>
                <w:lang w:val="fr-FR"/>
              </w:rPr>
              <w:t>15 novembre 2011</w:t>
            </w:r>
          </w:p>
          <w:p w:rsidR="00694AE2" w:rsidRPr="0079002B" w:rsidRDefault="00694AE2" w:rsidP="00D50228">
            <w:pPr>
              <w:jc w:val="both"/>
              <w:rPr>
                <w:rFonts w:eastAsia="Calibri"/>
                <w:sz w:val="20"/>
                <w:lang w:val="fr-FR"/>
              </w:rPr>
            </w:pPr>
            <w:r w:rsidRPr="0079002B">
              <w:rPr>
                <w:rFonts w:eastAsia="Calibri"/>
                <w:sz w:val="20"/>
                <w:lang w:val="fr-FR"/>
              </w:rPr>
              <w:t>Cour d’appel de l’Ontario</w:t>
            </w:r>
          </w:p>
          <w:p w:rsidR="00694AE2" w:rsidRPr="0079002B" w:rsidRDefault="00694AE2" w:rsidP="00D50228">
            <w:pPr>
              <w:jc w:val="both"/>
              <w:rPr>
                <w:rFonts w:eastAsia="Calibri"/>
                <w:sz w:val="20"/>
                <w:lang w:val="fr-FR"/>
              </w:rPr>
            </w:pPr>
            <w:r w:rsidRPr="0079002B">
              <w:rPr>
                <w:rFonts w:eastAsia="Calibri"/>
                <w:sz w:val="20"/>
                <w:lang w:val="fr-FR"/>
              </w:rPr>
              <w:t>(Juges Feldman, Simmons et Watt)</w:t>
            </w:r>
          </w:p>
          <w:p w:rsidR="00694AE2" w:rsidRPr="0079002B" w:rsidRDefault="00694AE2" w:rsidP="00D50228">
            <w:pPr>
              <w:jc w:val="both"/>
              <w:rPr>
                <w:rFonts w:eastAsia="Calibri"/>
                <w:sz w:val="20"/>
              </w:rPr>
            </w:pPr>
            <w:r w:rsidRPr="0079002B">
              <w:rPr>
                <w:rFonts w:eastAsia="Calibri"/>
                <w:sz w:val="20"/>
              </w:rPr>
              <w:t>2011 ONCA 737; C53989</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Appel rejeté</w:t>
            </w:r>
          </w:p>
          <w:p w:rsidR="00694AE2" w:rsidRPr="0079002B" w:rsidRDefault="00694AE2" w:rsidP="00D50228">
            <w:pPr>
              <w:jc w:val="both"/>
              <w:rPr>
                <w:rFonts w:eastAsia="Calibri"/>
                <w:sz w:val="20"/>
              </w:rPr>
            </w:pPr>
          </w:p>
        </w:tc>
      </w:tr>
      <w:tr w:rsidR="00694AE2" w:rsidRPr="007D5BF8" w:rsidTr="00571353">
        <w:trPr>
          <w:cantSplit/>
        </w:trPr>
        <w:tc>
          <w:tcPr>
            <w:tcW w:w="2427" w:type="pct"/>
          </w:tcPr>
          <w:p w:rsidR="00694AE2" w:rsidRPr="00320877" w:rsidRDefault="00694AE2" w:rsidP="00D50228">
            <w:pPr>
              <w:jc w:val="both"/>
              <w:rPr>
                <w:rFonts w:eastAsia="Calibri"/>
                <w:sz w:val="20"/>
                <w:lang w:val="fr-CA"/>
              </w:rPr>
            </w:pPr>
            <w:r w:rsidRPr="00320877">
              <w:rPr>
                <w:rFonts w:eastAsia="Calibri"/>
                <w:sz w:val="20"/>
                <w:lang w:val="fr-CA"/>
              </w:rPr>
              <w:t>9 décembre 2011</w:t>
            </w:r>
          </w:p>
          <w:p w:rsidR="00694AE2" w:rsidRPr="00320877" w:rsidRDefault="00694AE2" w:rsidP="00D50228">
            <w:pPr>
              <w:jc w:val="both"/>
              <w:rPr>
                <w:rFonts w:eastAsia="Calibri"/>
                <w:sz w:val="20"/>
                <w:lang w:val="fr-CA"/>
              </w:rPr>
            </w:pPr>
            <w:r w:rsidRPr="00320877">
              <w:rPr>
                <w:rFonts w:eastAsia="Calibri"/>
                <w:sz w:val="20"/>
                <w:lang w:val="fr-CA"/>
              </w:rPr>
              <w:t>Cour suprême du Canada</w:t>
            </w:r>
          </w:p>
        </w:tc>
        <w:tc>
          <w:tcPr>
            <w:tcW w:w="243" w:type="pct"/>
          </w:tcPr>
          <w:p w:rsidR="00694AE2" w:rsidRPr="00320877" w:rsidRDefault="00694AE2" w:rsidP="00D50228">
            <w:pPr>
              <w:jc w:val="both"/>
              <w:rPr>
                <w:rFonts w:eastAsia="Calibri"/>
                <w:sz w:val="20"/>
                <w:lang w:val="fr-CA"/>
              </w:rPr>
            </w:pPr>
          </w:p>
        </w:tc>
        <w:tc>
          <w:tcPr>
            <w:tcW w:w="2330" w:type="pct"/>
          </w:tcPr>
          <w:p w:rsidR="00694AE2" w:rsidRPr="0079002B" w:rsidRDefault="00694AE2" w:rsidP="00D50228">
            <w:pPr>
              <w:jc w:val="both"/>
              <w:rPr>
                <w:rFonts w:eastAsia="Calibri"/>
                <w:sz w:val="20"/>
                <w:lang w:val="fr-FR"/>
              </w:rPr>
            </w:pPr>
            <w:r w:rsidRPr="0079002B">
              <w:rPr>
                <w:rFonts w:eastAsia="Calibri"/>
                <w:sz w:val="20"/>
                <w:lang w:val="fr-FR"/>
              </w:rPr>
              <w:t xml:space="preserve">Requête en cautionnement et demande d’autorisation d’appel déposées </w:t>
            </w:r>
          </w:p>
        </w:tc>
      </w:tr>
    </w:tbl>
    <w:p w:rsidR="00CC012F" w:rsidRPr="00694AE2" w:rsidRDefault="00CC012F" w:rsidP="00CC012F">
      <w:pPr>
        <w:rPr>
          <w:sz w:val="20"/>
          <w:szCs w:val="20"/>
          <w:lang w:val="fr-CA"/>
        </w:rPr>
      </w:pPr>
    </w:p>
    <w:p w:rsidR="00CC012F" w:rsidRPr="00C50A5C" w:rsidRDefault="0011031E" w:rsidP="00CC012F">
      <w:pPr>
        <w:rPr>
          <w:sz w:val="20"/>
          <w:szCs w:val="20"/>
        </w:rPr>
      </w:pPr>
      <w:r w:rsidRPr="0011031E">
        <w:rPr>
          <w:sz w:val="20"/>
          <w:szCs w:val="20"/>
          <w:lang w:val="fr-CA"/>
        </w:rPr>
        <w:pict>
          <v:rect id="_x0000_i1050" style="width:2in;height:1pt" o:hrpct="0" o:hralign="center" o:hrstd="t" o:hrnoshade="t" o:hr="t" fillcolor="black [3213]" stroked="f"/>
        </w:pict>
      </w:r>
    </w:p>
    <w:p w:rsidR="00694AE2" w:rsidRDefault="00694AE2" w:rsidP="00694AE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94AE2" w:rsidRPr="002D4E22" w:rsidTr="00D50228">
        <w:trPr>
          <w:cantSplit/>
        </w:trPr>
        <w:tc>
          <w:tcPr>
            <w:tcW w:w="1458" w:type="dxa"/>
          </w:tcPr>
          <w:p w:rsidR="00694AE2" w:rsidRPr="002D4E22" w:rsidRDefault="00694AE2" w:rsidP="00D50228">
            <w:pPr>
              <w:rPr>
                <w:sz w:val="20"/>
                <w:szCs w:val="20"/>
              </w:rPr>
            </w:pPr>
            <w:r w:rsidRPr="002D4E22">
              <w:rPr>
                <w:rStyle w:val="SCCFileNumberChar"/>
                <w:sz w:val="20"/>
                <w:szCs w:val="20"/>
              </w:rPr>
              <w:t>34580</w:t>
            </w:r>
          </w:p>
          <w:p w:rsidR="00694AE2" w:rsidRPr="002D4E22" w:rsidRDefault="00694AE2" w:rsidP="00D50228">
            <w:pPr>
              <w:rPr>
                <w:b/>
                <w:sz w:val="20"/>
                <w:szCs w:val="20"/>
                <w:lang w:val="fr-CA"/>
              </w:rPr>
            </w:pPr>
          </w:p>
        </w:tc>
        <w:tc>
          <w:tcPr>
            <w:tcW w:w="8118" w:type="dxa"/>
          </w:tcPr>
          <w:p w:rsidR="00694AE2" w:rsidRPr="002D4E22" w:rsidRDefault="00694AE2" w:rsidP="00D50228">
            <w:pPr>
              <w:rPr>
                <w:sz w:val="20"/>
                <w:szCs w:val="20"/>
              </w:rPr>
            </w:pPr>
            <w:r w:rsidRPr="00920747">
              <w:rPr>
                <w:rStyle w:val="SCCLsocChar"/>
                <w:sz w:val="20"/>
                <w:szCs w:val="20"/>
                <w:lang w:val="en-CA"/>
              </w:rPr>
              <w:t>Mark Bodenstein v. Her Majesty the Queen</w:t>
            </w:r>
            <w:r w:rsidRPr="002D4E22">
              <w:rPr>
                <w:sz w:val="20"/>
                <w:szCs w:val="20"/>
              </w:rPr>
              <w:t xml:space="preserve"> (Ont.) (Criminal) (By Leave)</w:t>
            </w:r>
          </w:p>
          <w:p w:rsidR="00694AE2" w:rsidRPr="002D4E22" w:rsidRDefault="00694AE2" w:rsidP="00D50228">
            <w:pPr>
              <w:rPr>
                <w:sz w:val="20"/>
                <w:szCs w:val="20"/>
              </w:rPr>
            </w:pPr>
          </w:p>
        </w:tc>
      </w:tr>
      <w:tr w:rsidR="00694AE2" w:rsidRPr="002D4E22" w:rsidTr="00D50228">
        <w:trPr>
          <w:cantSplit/>
        </w:trPr>
        <w:tc>
          <w:tcPr>
            <w:tcW w:w="1458" w:type="dxa"/>
          </w:tcPr>
          <w:p w:rsidR="00694AE2" w:rsidRPr="002D4E22" w:rsidRDefault="00694AE2" w:rsidP="00D50228">
            <w:pPr>
              <w:rPr>
                <w:sz w:val="20"/>
                <w:szCs w:val="20"/>
              </w:rPr>
            </w:pPr>
            <w:r w:rsidRPr="002D4E22">
              <w:rPr>
                <w:sz w:val="20"/>
                <w:szCs w:val="20"/>
              </w:rPr>
              <w:t>Coram :</w:t>
            </w:r>
          </w:p>
        </w:tc>
        <w:tc>
          <w:tcPr>
            <w:tcW w:w="8118" w:type="dxa"/>
          </w:tcPr>
          <w:p w:rsidR="00694AE2" w:rsidRPr="002D4E22" w:rsidRDefault="00694AE2" w:rsidP="00D50228">
            <w:pPr>
              <w:rPr>
                <w:sz w:val="20"/>
                <w:szCs w:val="20"/>
              </w:rPr>
            </w:pPr>
            <w:r w:rsidRPr="00920747">
              <w:rPr>
                <w:rStyle w:val="SCCCoramChar"/>
                <w:sz w:val="20"/>
                <w:szCs w:val="20"/>
                <w:lang w:val="en-CA"/>
              </w:rPr>
              <w:t>LeBel, Abella and Cromwell JJ.</w:t>
            </w:r>
          </w:p>
          <w:p w:rsidR="00694AE2" w:rsidRPr="002D4E22" w:rsidRDefault="00694AE2" w:rsidP="00D50228">
            <w:pPr>
              <w:rPr>
                <w:sz w:val="20"/>
                <w:szCs w:val="20"/>
                <w:u w:val="single"/>
              </w:rPr>
            </w:pPr>
          </w:p>
        </w:tc>
      </w:tr>
      <w:tr w:rsidR="00694AE2" w:rsidRPr="007D5BF8" w:rsidTr="00D50228">
        <w:trPr>
          <w:cantSplit/>
        </w:trPr>
        <w:tc>
          <w:tcPr>
            <w:tcW w:w="9576" w:type="dxa"/>
            <w:gridSpan w:val="2"/>
          </w:tcPr>
          <w:p w:rsidR="00694AE2" w:rsidRPr="002D4E22" w:rsidRDefault="00694AE2" w:rsidP="00D50228">
            <w:pPr>
              <w:pStyle w:val="SCCShortJudgment"/>
              <w:rPr>
                <w:szCs w:val="20"/>
              </w:rPr>
            </w:pPr>
            <w:r w:rsidRPr="002D4E22">
              <w:rPr>
                <w:szCs w:val="20"/>
              </w:rPr>
              <w:t>The motion for an extension of time to serve and file the application for leave to appeal is granted. The motion to appoint counsel is dismissed. The application for leave to appeal from the judgment of the Court of Appeal for Ontario, Number C52350, dated July 27, 2011, is dismissed without costs.</w:t>
            </w:r>
          </w:p>
          <w:p w:rsidR="00694AE2" w:rsidRPr="002D4E22" w:rsidRDefault="00694AE2" w:rsidP="00D50228">
            <w:pPr>
              <w:pStyle w:val="SCCShortJudgment"/>
              <w:ind w:firstLine="0"/>
              <w:rPr>
                <w:szCs w:val="20"/>
              </w:rPr>
            </w:pPr>
          </w:p>
          <w:p w:rsidR="00694AE2" w:rsidRPr="002D4E22" w:rsidRDefault="00694AE2" w:rsidP="00D50228">
            <w:pPr>
              <w:pStyle w:val="SCCShortJudgment"/>
              <w:rPr>
                <w:szCs w:val="20"/>
                <w:lang w:val="fr-CA"/>
              </w:rPr>
            </w:pPr>
            <w:r w:rsidRPr="002D4E22">
              <w:rPr>
                <w:szCs w:val="20"/>
                <w:lang w:val="fr-CA"/>
              </w:rPr>
              <w:t>La requête en prorogation du délai de signification et de dépôt de la demande d’autorisation d’appel est accordée. La requête en nomination d’un avocat est rejetée. La demande d’autorisation d’appel de l’arrêt de la Cour d’appel de l’Ontario, numéro C52350, daté du 27 juillet 2011, est rejetée sans dépens.</w:t>
            </w:r>
          </w:p>
        </w:tc>
      </w:tr>
    </w:tbl>
    <w:p w:rsidR="00694AE2" w:rsidRPr="00CC012F" w:rsidRDefault="00694AE2" w:rsidP="00694AE2">
      <w:pPr>
        <w:rPr>
          <w:sz w:val="20"/>
          <w:szCs w:val="20"/>
          <w:lang w:val="fr-CA"/>
        </w:rPr>
      </w:pPr>
    </w:p>
    <w:p w:rsidR="00694AE2" w:rsidRPr="001B157C" w:rsidRDefault="00694AE2" w:rsidP="00694AE2">
      <w:pPr>
        <w:rPr>
          <w:sz w:val="20"/>
          <w:szCs w:val="20"/>
          <w:u w:val="single"/>
        </w:rPr>
      </w:pPr>
      <w:r w:rsidRPr="001B157C">
        <w:rPr>
          <w:sz w:val="20"/>
          <w:szCs w:val="20"/>
          <w:u w:val="single"/>
        </w:rPr>
        <w:t>CASE SUMMARY</w:t>
      </w:r>
    </w:p>
    <w:p w:rsidR="00694AE2" w:rsidRDefault="00694AE2" w:rsidP="00CC01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94AE2" w:rsidRPr="0079002B" w:rsidTr="00D50228">
        <w:tc>
          <w:tcPr>
            <w:tcW w:w="5000" w:type="pct"/>
            <w:gridSpan w:val="3"/>
          </w:tcPr>
          <w:p w:rsidR="00694AE2" w:rsidRPr="0079002B" w:rsidRDefault="00694AE2" w:rsidP="00D50228">
            <w:pPr>
              <w:jc w:val="both"/>
              <w:rPr>
                <w:rFonts w:eastAsia="Calibri"/>
                <w:sz w:val="20"/>
                <w:lang w:eastAsia="en-CA"/>
              </w:rPr>
            </w:pPr>
            <w:r w:rsidRPr="0079002B">
              <w:rPr>
                <w:rFonts w:eastAsia="Calibri"/>
                <w:sz w:val="20"/>
              </w:rPr>
              <w:t>Criminal law – Offences – Drug possession – Whether the evidence supported the Applicant’s conviction – Whether the Applicant was fit to stand trial.</w:t>
            </w:r>
          </w:p>
        </w:tc>
      </w:tr>
      <w:tr w:rsidR="00694AE2" w:rsidRPr="0079002B" w:rsidTr="00D50228">
        <w:tc>
          <w:tcPr>
            <w:tcW w:w="5000" w:type="pct"/>
            <w:gridSpan w:val="3"/>
          </w:tcPr>
          <w:p w:rsidR="00694AE2" w:rsidRPr="0079002B" w:rsidRDefault="00694AE2" w:rsidP="00D50228">
            <w:pPr>
              <w:jc w:val="both"/>
              <w:rPr>
                <w:rFonts w:eastAsia="Calibri"/>
                <w:sz w:val="20"/>
              </w:rPr>
            </w:pPr>
          </w:p>
        </w:tc>
      </w:tr>
      <w:tr w:rsidR="00694AE2" w:rsidRPr="0079002B" w:rsidTr="00D50228">
        <w:tc>
          <w:tcPr>
            <w:tcW w:w="5000" w:type="pct"/>
            <w:gridSpan w:val="3"/>
          </w:tcPr>
          <w:p w:rsidR="00694AE2" w:rsidRPr="0079002B" w:rsidRDefault="00694AE2" w:rsidP="00D50228">
            <w:pPr>
              <w:jc w:val="both"/>
              <w:rPr>
                <w:rFonts w:eastAsia="Calibri"/>
                <w:sz w:val="20"/>
              </w:rPr>
            </w:pPr>
            <w:r w:rsidRPr="0079002B">
              <w:rPr>
                <w:rFonts w:eastAsia="Calibri"/>
                <w:sz w:val="20"/>
              </w:rPr>
              <w:t xml:space="preserve">Bodenstein was convicted on one count of possession of cannabis, contrary to s. 4(5) of the </w:t>
            </w:r>
            <w:r w:rsidRPr="0079002B">
              <w:rPr>
                <w:rFonts w:eastAsia="Calibri"/>
                <w:i/>
                <w:sz w:val="20"/>
              </w:rPr>
              <w:t>Controlled Drugs and Substances Act</w:t>
            </w:r>
            <w:r w:rsidRPr="0079002B">
              <w:rPr>
                <w:rFonts w:eastAsia="Calibri"/>
                <w:sz w:val="20"/>
              </w:rPr>
              <w:t>.  At the time of the offence, Bodenstein was an inmate at the West Detention Centre in Toronto.  On appeal, Bodenstein submitted that the verdict was unreasonable because the Crown did not prove all the essential elements of possession; the government breached its fiduciary duty and is guilty of psychological abuse; and there were certain procedural irregularities concerning witnesses at trial.  The Court of Appeal dismissed the appeal.</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May 19, 2010</w:t>
            </w:r>
          </w:p>
          <w:p w:rsidR="00694AE2" w:rsidRPr="0079002B" w:rsidRDefault="00694AE2" w:rsidP="00D50228">
            <w:pPr>
              <w:jc w:val="both"/>
              <w:rPr>
                <w:rFonts w:eastAsia="Calibri"/>
                <w:sz w:val="20"/>
              </w:rPr>
            </w:pPr>
            <w:r w:rsidRPr="0079002B">
              <w:rPr>
                <w:rFonts w:eastAsia="Calibri"/>
                <w:sz w:val="20"/>
              </w:rPr>
              <w:t>Ontario Court of Justice (General Division)</w:t>
            </w:r>
          </w:p>
          <w:p w:rsidR="00694AE2" w:rsidRPr="0079002B" w:rsidRDefault="00694AE2" w:rsidP="00D50228">
            <w:pPr>
              <w:jc w:val="both"/>
              <w:rPr>
                <w:rFonts w:eastAsia="Calibri"/>
                <w:sz w:val="20"/>
              </w:rPr>
            </w:pPr>
            <w:r w:rsidRPr="0079002B">
              <w:rPr>
                <w:rFonts w:eastAsia="Calibri"/>
                <w:sz w:val="20"/>
              </w:rPr>
              <w:t>(Khawly J.)</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 xml:space="preserve">Applicant convicted of possession of cannabis contrary to s. 4(5) of the </w:t>
            </w:r>
            <w:r w:rsidRPr="0079002B">
              <w:rPr>
                <w:rFonts w:eastAsia="Calibri"/>
                <w:i/>
                <w:sz w:val="20"/>
              </w:rPr>
              <w:t>Controlled Drugs and Substances Act</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t>July 27, 2011</w:t>
            </w:r>
          </w:p>
          <w:p w:rsidR="00694AE2" w:rsidRPr="0079002B" w:rsidRDefault="00694AE2" w:rsidP="00D50228">
            <w:pPr>
              <w:jc w:val="both"/>
              <w:rPr>
                <w:rFonts w:eastAsia="Calibri"/>
                <w:sz w:val="20"/>
              </w:rPr>
            </w:pPr>
            <w:r w:rsidRPr="0079002B">
              <w:rPr>
                <w:rFonts w:eastAsia="Calibri"/>
                <w:sz w:val="20"/>
              </w:rPr>
              <w:t>Court of Appeal for Ontario</w:t>
            </w:r>
          </w:p>
          <w:p w:rsidR="00694AE2" w:rsidRPr="0079002B" w:rsidRDefault="00694AE2" w:rsidP="00D50228">
            <w:pPr>
              <w:jc w:val="both"/>
              <w:rPr>
                <w:rFonts w:eastAsia="Calibri"/>
                <w:sz w:val="20"/>
              </w:rPr>
            </w:pPr>
            <w:r w:rsidRPr="0079002B">
              <w:rPr>
                <w:rFonts w:eastAsia="Calibri"/>
                <w:sz w:val="20"/>
              </w:rPr>
              <w:t>(Rosenberg, Blair and Watt JJ.A.)</w:t>
            </w:r>
          </w:p>
          <w:p w:rsidR="00694AE2" w:rsidRPr="0079002B" w:rsidRDefault="00694AE2" w:rsidP="00571353">
            <w:pPr>
              <w:jc w:val="both"/>
              <w:rPr>
                <w:rFonts w:eastAsia="Calibri"/>
                <w:sz w:val="20"/>
              </w:rPr>
            </w:pPr>
            <w:r w:rsidRPr="0079002B">
              <w:rPr>
                <w:rFonts w:eastAsia="Calibri"/>
                <w:sz w:val="20"/>
              </w:rPr>
              <w:t>C52350</w:t>
            </w: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Appeal dismissed</w:t>
            </w:r>
          </w:p>
          <w:p w:rsidR="00694AE2" w:rsidRPr="0079002B" w:rsidRDefault="00694AE2" w:rsidP="00D50228">
            <w:pPr>
              <w:jc w:val="both"/>
              <w:rPr>
                <w:rFonts w:eastAsia="Calibri"/>
                <w:sz w:val="20"/>
              </w:rPr>
            </w:pPr>
          </w:p>
        </w:tc>
      </w:tr>
      <w:tr w:rsidR="00694AE2" w:rsidRPr="0079002B" w:rsidTr="00D50228">
        <w:tc>
          <w:tcPr>
            <w:tcW w:w="2427" w:type="pct"/>
          </w:tcPr>
          <w:p w:rsidR="00694AE2" w:rsidRPr="0079002B" w:rsidRDefault="00694AE2" w:rsidP="00D50228">
            <w:pPr>
              <w:jc w:val="both"/>
              <w:rPr>
                <w:rFonts w:eastAsia="Calibri"/>
                <w:sz w:val="20"/>
              </w:rPr>
            </w:pPr>
            <w:r w:rsidRPr="0079002B">
              <w:rPr>
                <w:rFonts w:eastAsia="Calibri"/>
                <w:sz w:val="20"/>
              </w:rPr>
              <w:lastRenderedPageBreak/>
              <w:t>August 30, 2011</w:t>
            </w:r>
          </w:p>
          <w:p w:rsidR="00694AE2" w:rsidRPr="0079002B" w:rsidRDefault="00694AE2" w:rsidP="00D50228">
            <w:pPr>
              <w:jc w:val="both"/>
              <w:rPr>
                <w:rFonts w:eastAsia="Calibri"/>
                <w:sz w:val="20"/>
              </w:rPr>
            </w:pPr>
            <w:r w:rsidRPr="0079002B">
              <w:rPr>
                <w:rFonts w:eastAsia="Calibri"/>
                <w:sz w:val="20"/>
              </w:rPr>
              <w:t>Supreme Court of Canada</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rPr>
            </w:pPr>
            <w:r w:rsidRPr="0079002B">
              <w:rPr>
                <w:rFonts w:eastAsia="Calibri"/>
                <w:sz w:val="20"/>
              </w:rPr>
              <w:t>Motions for extension of time to serve the application for leave to appeal and appointment of counsel and Application for leave to appeal filed</w:t>
            </w:r>
          </w:p>
        </w:tc>
      </w:tr>
    </w:tbl>
    <w:p w:rsidR="00694AE2" w:rsidRDefault="00694AE2" w:rsidP="00CC012F">
      <w:pPr>
        <w:rPr>
          <w:sz w:val="20"/>
          <w:szCs w:val="20"/>
        </w:rPr>
      </w:pPr>
    </w:p>
    <w:p w:rsidR="00694AE2" w:rsidRDefault="0011031E" w:rsidP="00CC012F">
      <w:pPr>
        <w:rPr>
          <w:sz w:val="20"/>
          <w:szCs w:val="20"/>
        </w:rPr>
      </w:pPr>
      <w:r w:rsidRPr="0011031E">
        <w:rPr>
          <w:sz w:val="20"/>
          <w:szCs w:val="20"/>
          <w:lang w:val="fr-CA"/>
        </w:rPr>
        <w:pict>
          <v:rect id="_x0000_i1051" style="width:2in;height:1pt" o:hrpct="0" o:hralign="center" o:hrstd="t" o:hrnoshade="t" o:hr="t" fillcolor="black [3213]" stroked="f"/>
        </w:pict>
      </w:r>
    </w:p>
    <w:p w:rsidR="00694AE2" w:rsidRDefault="00694AE2" w:rsidP="00CC012F">
      <w:pPr>
        <w:rPr>
          <w:sz w:val="20"/>
          <w:szCs w:val="20"/>
        </w:rPr>
      </w:pPr>
    </w:p>
    <w:p w:rsidR="00CC012F" w:rsidRPr="001B157C" w:rsidRDefault="00CC012F" w:rsidP="00CC012F">
      <w:pPr>
        <w:rPr>
          <w:sz w:val="20"/>
          <w:szCs w:val="20"/>
          <w:u w:val="single"/>
          <w:lang w:val="fr-CA"/>
        </w:rPr>
      </w:pPr>
      <w:r w:rsidRPr="001B157C">
        <w:rPr>
          <w:sz w:val="20"/>
          <w:szCs w:val="20"/>
          <w:u w:val="single"/>
          <w:lang w:val="fr-CA"/>
        </w:rPr>
        <w:t>RÉSUMÉ DE L’AFFAIRE</w:t>
      </w:r>
    </w:p>
    <w:p w:rsidR="00CC012F" w:rsidRDefault="00CC012F" w:rsidP="00CC01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94AE2" w:rsidRPr="007D5BF8" w:rsidTr="00D50228">
        <w:tc>
          <w:tcPr>
            <w:tcW w:w="5000" w:type="pct"/>
            <w:gridSpan w:val="3"/>
          </w:tcPr>
          <w:p w:rsidR="00694AE2" w:rsidRPr="0079002B" w:rsidRDefault="00694AE2" w:rsidP="00D50228">
            <w:pPr>
              <w:jc w:val="both"/>
              <w:rPr>
                <w:rFonts w:eastAsia="Calibri"/>
                <w:sz w:val="20"/>
                <w:lang w:val="fr-FR" w:eastAsia="en-CA"/>
              </w:rPr>
            </w:pPr>
            <w:r w:rsidRPr="0079002B">
              <w:rPr>
                <w:rFonts w:eastAsia="Calibri"/>
                <w:sz w:val="20"/>
                <w:lang w:val="fr-FR"/>
              </w:rPr>
              <w:t xml:space="preserve">Droit criminel – Infractions – Possession de drogue – La preuve étayait-elle la déclaration de culpabilité du demandeur? – L’accusé était-il apte à subir son procès? </w:t>
            </w:r>
          </w:p>
        </w:tc>
      </w:tr>
      <w:tr w:rsidR="00694AE2" w:rsidRPr="007D5BF8" w:rsidTr="00D50228">
        <w:tc>
          <w:tcPr>
            <w:tcW w:w="5000" w:type="pct"/>
            <w:gridSpan w:val="3"/>
          </w:tcPr>
          <w:p w:rsidR="00694AE2" w:rsidRPr="0079002B" w:rsidRDefault="00694AE2" w:rsidP="00D50228">
            <w:pPr>
              <w:jc w:val="both"/>
              <w:rPr>
                <w:rFonts w:eastAsia="Calibri"/>
                <w:sz w:val="20"/>
                <w:lang w:val="fr-FR"/>
              </w:rPr>
            </w:pPr>
          </w:p>
        </w:tc>
      </w:tr>
      <w:tr w:rsidR="00694AE2" w:rsidRPr="0079002B" w:rsidTr="00D50228">
        <w:tc>
          <w:tcPr>
            <w:tcW w:w="5000" w:type="pct"/>
            <w:gridSpan w:val="3"/>
          </w:tcPr>
          <w:p w:rsidR="00694AE2" w:rsidRPr="0079002B" w:rsidRDefault="00694AE2" w:rsidP="00D50228">
            <w:pPr>
              <w:jc w:val="both"/>
              <w:rPr>
                <w:rFonts w:eastAsia="Calibri"/>
                <w:sz w:val="20"/>
              </w:rPr>
            </w:pPr>
            <w:r w:rsidRPr="0079002B">
              <w:rPr>
                <w:rFonts w:eastAsia="Calibri"/>
                <w:sz w:val="20"/>
                <w:lang w:val="fr-FR"/>
              </w:rPr>
              <w:t xml:space="preserve">M. Bodenstein a été reconnu coupable d’un chef de possession de cannabis, en violation du par. 4(5) de la </w:t>
            </w:r>
            <w:r w:rsidRPr="0079002B">
              <w:rPr>
                <w:rFonts w:eastAsia="Calibri"/>
                <w:i/>
                <w:sz w:val="20"/>
                <w:lang w:val="fr-FR"/>
              </w:rPr>
              <w:t>Loi réglementant certaines drogues et autres substances</w:t>
            </w:r>
            <w:r w:rsidRPr="0079002B">
              <w:rPr>
                <w:rFonts w:eastAsia="Calibri"/>
                <w:sz w:val="20"/>
                <w:lang w:val="fr-FR"/>
              </w:rPr>
              <w:t xml:space="preserve">.  Au moment de l’infraction, M. Bodenstein était incarcéré au Centre de détention ouest de Toronto.  Il a soutenu en appel que le verdict était déraisonnable parce que le ministère public n’avait pas établi tous les éléments essentiels de la possession; le gouvernement a manqué à son obligation fiduciaire et a infligé des mauvais traitements psychologiques; il y avait aussi des irrégularités procédurales touchant des témoins au procès.  La </w:t>
            </w:r>
            <w:r w:rsidRPr="0079002B">
              <w:rPr>
                <w:rFonts w:eastAsia="Calibri"/>
                <w:sz w:val="20"/>
              </w:rPr>
              <w:t>Cour d’appel a rejeté l’appel.</w:t>
            </w:r>
          </w:p>
          <w:p w:rsidR="00694AE2" w:rsidRPr="0079002B" w:rsidRDefault="00694AE2" w:rsidP="00D50228">
            <w:pPr>
              <w:jc w:val="both"/>
              <w:rPr>
                <w:rFonts w:eastAsia="Calibri"/>
                <w:sz w:val="20"/>
              </w:rPr>
            </w:pPr>
          </w:p>
        </w:tc>
      </w:tr>
      <w:tr w:rsidR="00694AE2" w:rsidRPr="007D5BF8" w:rsidTr="00D50228">
        <w:tc>
          <w:tcPr>
            <w:tcW w:w="2427" w:type="pct"/>
          </w:tcPr>
          <w:p w:rsidR="00694AE2" w:rsidRPr="0079002B" w:rsidRDefault="00694AE2" w:rsidP="00D50228">
            <w:pPr>
              <w:jc w:val="both"/>
              <w:rPr>
                <w:rFonts w:eastAsia="Calibri"/>
                <w:sz w:val="20"/>
                <w:lang w:val="fr-FR"/>
              </w:rPr>
            </w:pPr>
            <w:r w:rsidRPr="0079002B">
              <w:rPr>
                <w:rFonts w:eastAsia="Calibri"/>
                <w:sz w:val="20"/>
                <w:lang w:val="fr-FR"/>
              </w:rPr>
              <w:t>19 mai 2010</w:t>
            </w:r>
          </w:p>
          <w:p w:rsidR="00694AE2" w:rsidRPr="0079002B" w:rsidRDefault="00694AE2" w:rsidP="00D50228">
            <w:pPr>
              <w:jc w:val="both"/>
              <w:rPr>
                <w:rFonts w:eastAsia="Calibri"/>
                <w:sz w:val="20"/>
                <w:lang w:val="fr-FR"/>
              </w:rPr>
            </w:pPr>
            <w:r w:rsidRPr="0079002B">
              <w:rPr>
                <w:rFonts w:eastAsia="Calibri"/>
                <w:sz w:val="20"/>
                <w:lang w:val="fr-FR"/>
              </w:rPr>
              <w:t xml:space="preserve">Cour de justice de l’Ontario </w:t>
            </w:r>
          </w:p>
          <w:p w:rsidR="00694AE2" w:rsidRPr="0079002B" w:rsidRDefault="00694AE2" w:rsidP="00D50228">
            <w:pPr>
              <w:jc w:val="both"/>
              <w:rPr>
                <w:rFonts w:eastAsia="Calibri"/>
                <w:sz w:val="20"/>
              </w:rPr>
            </w:pPr>
            <w:r w:rsidRPr="0079002B">
              <w:rPr>
                <w:rFonts w:eastAsia="Calibri"/>
                <w:sz w:val="20"/>
              </w:rPr>
              <w:t>(Division générale)</w:t>
            </w:r>
          </w:p>
          <w:p w:rsidR="00694AE2" w:rsidRPr="0079002B" w:rsidRDefault="00694AE2" w:rsidP="00D50228">
            <w:pPr>
              <w:jc w:val="both"/>
              <w:rPr>
                <w:rFonts w:eastAsia="Calibri"/>
                <w:sz w:val="20"/>
              </w:rPr>
            </w:pPr>
            <w:r w:rsidRPr="0079002B">
              <w:rPr>
                <w:rFonts w:eastAsia="Calibri"/>
                <w:sz w:val="20"/>
              </w:rPr>
              <w:t>(Juge Khawly)</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lang w:val="fr-FR"/>
              </w:rPr>
            </w:pPr>
            <w:r w:rsidRPr="0079002B">
              <w:rPr>
                <w:rFonts w:eastAsia="Calibri"/>
                <w:sz w:val="20"/>
                <w:lang w:val="fr-FR"/>
              </w:rPr>
              <w:t xml:space="preserve">Demandeur reconnu coupable de possession de cannabis en violation du par. 4(5) de la </w:t>
            </w:r>
            <w:r w:rsidRPr="0079002B">
              <w:rPr>
                <w:rFonts w:eastAsia="Calibri"/>
                <w:i/>
                <w:sz w:val="20"/>
                <w:lang w:val="fr-FR"/>
              </w:rPr>
              <w:t>Loi réglementant certaines drogues et autres substances</w:t>
            </w:r>
          </w:p>
          <w:p w:rsidR="00694AE2" w:rsidRPr="0079002B" w:rsidRDefault="00694AE2" w:rsidP="00D50228">
            <w:pPr>
              <w:jc w:val="both"/>
              <w:rPr>
                <w:rFonts w:eastAsia="Calibri"/>
                <w:sz w:val="20"/>
                <w:lang w:val="fr-FR"/>
              </w:rPr>
            </w:pPr>
          </w:p>
        </w:tc>
      </w:tr>
      <w:tr w:rsidR="00694AE2" w:rsidRPr="0079002B" w:rsidTr="00D50228">
        <w:tc>
          <w:tcPr>
            <w:tcW w:w="2427" w:type="pct"/>
          </w:tcPr>
          <w:p w:rsidR="00694AE2" w:rsidRPr="0079002B" w:rsidRDefault="00694AE2" w:rsidP="00D50228">
            <w:pPr>
              <w:jc w:val="both"/>
              <w:rPr>
                <w:rFonts w:eastAsia="Calibri"/>
                <w:sz w:val="20"/>
                <w:lang w:val="fr-FR"/>
              </w:rPr>
            </w:pPr>
            <w:r w:rsidRPr="0079002B">
              <w:rPr>
                <w:rFonts w:eastAsia="Calibri"/>
                <w:sz w:val="20"/>
                <w:lang w:val="fr-FR"/>
              </w:rPr>
              <w:t>27 juillet 2011</w:t>
            </w:r>
          </w:p>
          <w:p w:rsidR="00694AE2" w:rsidRPr="0079002B" w:rsidRDefault="00694AE2" w:rsidP="00D50228">
            <w:pPr>
              <w:jc w:val="both"/>
              <w:rPr>
                <w:rFonts w:eastAsia="Calibri"/>
                <w:sz w:val="20"/>
                <w:lang w:val="fr-FR"/>
              </w:rPr>
            </w:pPr>
            <w:r w:rsidRPr="0079002B">
              <w:rPr>
                <w:rFonts w:eastAsia="Calibri"/>
                <w:sz w:val="20"/>
                <w:lang w:val="fr-FR"/>
              </w:rPr>
              <w:t>Cour d’appel de l’Ontario</w:t>
            </w:r>
          </w:p>
          <w:p w:rsidR="00694AE2" w:rsidRPr="0079002B" w:rsidRDefault="00694AE2" w:rsidP="00D50228">
            <w:pPr>
              <w:jc w:val="both"/>
              <w:rPr>
                <w:rFonts w:eastAsia="Calibri"/>
                <w:sz w:val="20"/>
                <w:lang w:val="fr-FR"/>
              </w:rPr>
            </w:pPr>
            <w:r w:rsidRPr="0079002B">
              <w:rPr>
                <w:rFonts w:eastAsia="Calibri"/>
                <w:sz w:val="20"/>
                <w:lang w:val="fr-FR"/>
              </w:rPr>
              <w:t>(Juges Rosenberg, Blair et Watt)</w:t>
            </w:r>
          </w:p>
          <w:p w:rsidR="00694AE2" w:rsidRPr="0079002B" w:rsidRDefault="00694AE2" w:rsidP="00D50228">
            <w:pPr>
              <w:jc w:val="both"/>
              <w:rPr>
                <w:rFonts w:eastAsia="Calibri"/>
                <w:sz w:val="20"/>
                <w:lang w:val="fr-FR"/>
              </w:rPr>
            </w:pPr>
            <w:r w:rsidRPr="0079002B">
              <w:rPr>
                <w:rFonts w:eastAsia="Calibri"/>
                <w:sz w:val="20"/>
                <w:lang w:val="fr-FR"/>
              </w:rPr>
              <w:t>C52350</w:t>
            </w:r>
          </w:p>
          <w:p w:rsidR="00694AE2" w:rsidRPr="0079002B" w:rsidRDefault="00694AE2" w:rsidP="00D50228">
            <w:pPr>
              <w:jc w:val="both"/>
              <w:rPr>
                <w:rFonts w:eastAsia="Calibri"/>
                <w:sz w:val="20"/>
                <w:lang w:val="fr-FR"/>
              </w:rPr>
            </w:pPr>
          </w:p>
        </w:tc>
        <w:tc>
          <w:tcPr>
            <w:tcW w:w="243" w:type="pct"/>
          </w:tcPr>
          <w:p w:rsidR="00694AE2" w:rsidRPr="0079002B" w:rsidRDefault="00694AE2" w:rsidP="00D50228">
            <w:pPr>
              <w:jc w:val="both"/>
              <w:rPr>
                <w:rFonts w:eastAsia="Calibri"/>
                <w:sz w:val="20"/>
                <w:lang w:val="fr-FR"/>
              </w:rPr>
            </w:pPr>
          </w:p>
        </w:tc>
        <w:tc>
          <w:tcPr>
            <w:tcW w:w="2330" w:type="pct"/>
          </w:tcPr>
          <w:p w:rsidR="00694AE2" w:rsidRPr="0079002B" w:rsidRDefault="00694AE2" w:rsidP="00D50228">
            <w:pPr>
              <w:jc w:val="both"/>
              <w:rPr>
                <w:rFonts w:eastAsia="Calibri"/>
                <w:sz w:val="20"/>
                <w:lang w:val="fr-FR"/>
              </w:rPr>
            </w:pPr>
            <w:r w:rsidRPr="0079002B">
              <w:rPr>
                <w:rFonts w:eastAsia="Calibri"/>
                <w:sz w:val="20"/>
                <w:lang w:val="fr-FR"/>
              </w:rPr>
              <w:t>Appel rejeté</w:t>
            </w:r>
          </w:p>
          <w:p w:rsidR="00694AE2" w:rsidRPr="0079002B" w:rsidRDefault="00694AE2" w:rsidP="00D50228">
            <w:pPr>
              <w:jc w:val="both"/>
              <w:rPr>
                <w:rFonts w:eastAsia="Calibri"/>
                <w:sz w:val="20"/>
                <w:lang w:val="fr-FR"/>
              </w:rPr>
            </w:pPr>
          </w:p>
        </w:tc>
      </w:tr>
      <w:tr w:rsidR="00694AE2" w:rsidRPr="007D5BF8" w:rsidTr="00D50228">
        <w:tc>
          <w:tcPr>
            <w:tcW w:w="2427" w:type="pct"/>
          </w:tcPr>
          <w:p w:rsidR="00694AE2" w:rsidRPr="0079002B" w:rsidRDefault="00694AE2" w:rsidP="00D50228">
            <w:pPr>
              <w:jc w:val="both"/>
              <w:rPr>
                <w:rFonts w:eastAsia="Calibri"/>
                <w:sz w:val="20"/>
              </w:rPr>
            </w:pPr>
            <w:r w:rsidRPr="0079002B">
              <w:rPr>
                <w:rFonts w:eastAsia="Calibri"/>
                <w:sz w:val="20"/>
                <w:lang w:val="fr-FR"/>
              </w:rPr>
              <w:t>30 août 2</w:t>
            </w:r>
            <w:r w:rsidRPr="0079002B">
              <w:rPr>
                <w:rFonts w:eastAsia="Calibri"/>
                <w:sz w:val="20"/>
              </w:rPr>
              <w:t>011</w:t>
            </w:r>
          </w:p>
          <w:p w:rsidR="00694AE2" w:rsidRPr="0079002B" w:rsidRDefault="00694AE2" w:rsidP="00D50228">
            <w:pPr>
              <w:jc w:val="both"/>
              <w:rPr>
                <w:rFonts w:eastAsia="Calibri"/>
                <w:sz w:val="20"/>
              </w:rPr>
            </w:pPr>
            <w:r w:rsidRPr="0079002B">
              <w:rPr>
                <w:rFonts w:eastAsia="Calibri"/>
                <w:sz w:val="20"/>
              </w:rPr>
              <w:t>Cour suprême du Canada</w:t>
            </w:r>
          </w:p>
          <w:p w:rsidR="00694AE2" w:rsidRPr="0079002B" w:rsidRDefault="00694AE2" w:rsidP="00D50228">
            <w:pPr>
              <w:jc w:val="both"/>
              <w:rPr>
                <w:rFonts w:eastAsia="Calibri"/>
                <w:sz w:val="20"/>
              </w:rPr>
            </w:pPr>
          </w:p>
        </w:tc>
        <w:tc>
          <w:tcPr>
            <w:tcW w:w="243" w:type="pct"/>
          </w:tcPr>
          <w:p w:rsidR="00694AE2" w:rsidRPr="0079002B" w:rsidRDefault="00694AE2" w:rsidP="00D50228">
            <w:pPr>
              <w:jc w:val="both"/>
              <w:rPr>
                <w:rFonts w:eastAsia="Calibri"/>
                <w:sz w:val="20"/>
              </w:rPr>
            </w:pPr>
          </w:p>
        </w:tc>
        <w:tc>
          <w:tcPr>
            <w:tcW w:w="2330" w:type="pct"/>
          </w:tcPr>
          <w:p w:rsidR="00694AE2" w:rsidRPr="0079002B" w:rsidRDefault="00694AE2" w:rsidP="00D50228">
            <w:pPr>
              <w:jc w:val="both"/>
              <w:rPr>
                <w:rFonts w:eastAsia="Calibri"/>
                <w:sz w:val="20"/>
                <w:lang w:val="fr-FR"/>
              </w:rPr>
            </w:pPr>
            <w:r w:rsidRPr="0079002B">
              <w:rPr>
                <w:rFonts w:eastAsia="Calibri"/>
                <w:sz w:val="20"/>
                <w:lang w:val="fr-FR"/>
              </w:rPr>
              <w:t>Requêtes en prorogation de délai pour signifier la demande d’autorisation d’appel et en nomination d’un avocat et demande d’autorisation d’appel déposées</w:t>
            </w:r>
          </w:p>
        </w:tc>
      </w:tr>
    </w:tbl>
    <w:p w:rsidR="00CC012F" w:rsidRPr="00694AE2" w:rsidRDefault="00CC012F" w:rsidP="00CC012F">
      <w:pPr>
        <w:rPr>
          <w:sz w:val="20"/>
          <w:szCs w:val="20"/>
          <w:lang w:val="fr-CA"/>
        </w:rPr>
      </w:pPr>
    </w:p>
    <w:p w:rsidR="00CC012F" w:rsidRPr="00C50A5C" w:rsidRDefault="0011031E" w:rsidP="00CC012F">
      <w:pPr>
        <w:rPr>
          <w:sz w:val="20"/>
          <w:szCs w:val="20"/>
        </w:rPr>
      </w:pPr>
      <w:r w:rsidRPr="0011031E">
        <w:rPr>
          <w:sz w:val="20"/>
          <w:szCs w:val="20"/>
          <w:lang w:val="fr-CA"/>
        </w:rPr>
        <w:pict>
          <v:rect id="_x0000_i1052" style="width:2in;height:1pt" o:hrpct="0" o:hralign="center" o:hrstd="t" o:hrnoshade="t" o:hr="t" fillcolor="black [3213]" stroked="f"/>
        </w:pict>
      </w:r>
    </w:p>
    <w:p w:rsidR="00CC012F" w:rsidRDefault="00CC012F" w:rsidP="00CC012F">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322900" w:rsidRPr="00F55CA5" w:rsidRDefault="00322900" w:rsidP="00322900">
      <w:pPr>
        <w:tabs>
          <w:tab w:val="left" w:pos="-1440"/>
          <w:tab w:val="left" w:pos="-720"/>
        </w:tabs>
        <w:jc w:val="both"/>
        <w:rPr>
          <w:sz w:val="20"/>
          <w:szCs w:val="20"/>
          <w:lang w:val="fr-CA"/>
        </w:rPr>
      </w:pPr>
      <w:r w:rsidRPr="00F55CA5">
        <w:rPr>
          <w:sz w:val="20"/>
          <w:szCs w:val="20"/>
          <w:lang w:val="fr-CA"/>
        </w:rPr>
        <w:t>08.03.2012</w:t>
      </w:r>
    </w:p>
    <w:p w:rsidR="00322900" w:rsidRPr="00F55CA5" w:rsidRDefault="00322900" w:rsidP="00322900">
      <w:pPr>
        <w:tabs>
          <w:tab w:val="left" w:pos="-1440"/>
          <w:tab w:val="left" w:pos="-720"/>
        </w:tabs>
        <w:jc w:val="both"/>
        <w:rPr>
          <w:sz w:val="20"/>
          <w:szCs w:val="20"/>
          <w:lang w:val="fr-CA"/>
        </w:rPr>
      </w:pPr>
    </w:p>
    <w:p w:rsidR="00322900" w:rsidRPr="00F55CA5" w:rsidRDefault="00322900" w:rsidP="00322900">
      <w:pPr>
        <w:jc w:val="both"/>
        <w:rPr>
          <w:sz w:val="20"/>
          <w:szCs w:val="20"/>
          <w:lang w:val="fr-CA"/>
        </w:rPr>
      </w:pPr>
      <w:r w:rsidRPr="00F55CA5">
        <w:rPr>
          <w:sz w:val="20"/>
          <w:szCs w:val="20"/>
          <w:lang w:val="fr-CA"/>
        </w:rPr>
        <w:t>Before / Devant:   THE REGISTRAR / LE REGISTRAIRE</w:t>
      </w:r>
    </w:p>
    <w:p w:rsidR="00322900" w:rsidRPr="00F55CA5" w:rsidRDefault="00322900" w:rsidP="00322900">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22900" w:rsidRPr="00F55CA5" w:rsidTr="006F4141">
        <w:trPr>
          <w:trHeight w:val="151"/>
        </w:trPr>
        <w:tc>
          <w:tcPr>
            <w:tcW w:w="4338" w:type="dxa"/>
          </w:tcPr>
          <w:p w:rsidR="00322900" w:rsidRPr="00F55CA5" w:rsidRDefault="0011031E" w:rsidP="006F4141">
            <w:pPr>
              <w:tabs>
                <w:tab w:val="left" w:pos="-1440"/>
                <w:tab w:val="left" w:pos="-720"/>
              </w:tabs>
              <w:jc w:val="both"/>
              <w:rPr>
                <w:sz w:val="20"/>
                <w:szCs w:val="20"/>
                <w:lang w:val="fr-CA"/>
              </w:rPr>
            </w:pP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r w:rsidR="00322900" w:rsidRPr="00F55CA5">
              <w:rPr>
                <w:b/>
                <w:bCs/>
                <w:sz w:val="20"/>
                <w:szCs w:val="20"/>
                <w:lang w:val="fr-CA"/>
              </w:rPr>
              <w:t>Miscellaneous motion</w:t>
            </w:r>
          </w:p>
          <w:p w:rsidR="00322900" w:rsidRPr="00F55CA5" w:rsidRDefault="0011031E" w:rsidP="006F4141">
            <w:pPr>
              <w:tabs>
                <w:tab w:val="left" w:pos="-1440"/>
                <w:tab w:val="left" w:pos="-720"/>
              </w:tabs>
              <w:jc w:val="both"/>
              <w:rPr>
                <w:sz w:val="20"/>
                <w:szCs w:val="20"/>
                <w:lang w:val="fr-CA"/>
              </w:rPr>
            </w:pP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p>
        </w:tc>
        <w:tc>
          <w:tcPr>
            <w:tcW w:w="1170" w:type="dxa"/>
          </w:tcPr>
          <w:p w:rsidR="00322900" w:rsidRPr="00F55CA5" w:rsidRDefault="00322900" w:rsidP="006F4141">
            <w:pPr>
              <w:jc w:val="both"/>
              <w:rPr>
                <w:sz w:val="20"/>
                <w:szCs w:val="20"/>
                <w:lang w:val="fr-CA"/>
              </w:rPr>
            </w:pPr>
          </w:p>
          <w:p w:rsidR="00322900" w:rsidRPr="00F55CA5" w:rsidRDefault="00322900" w:rsidP="006F4141">
            <w:pPr>
              <w:jc w:val="both"/>
              <w:rPr>
                <w:sz w:val="20"/>
                <w:szCs w:val="20"/>
                <w:lang w:val="fr-CA"/>
              </w:rPr>
            </w:pPr>
          </w:p>
        </w:tc>
        <w:tc>
          <w:tcPr>
            <w:tcW w:w="4327" w:type="dxa"/>
          </w:tcPr>
          <w:p w:rsidR="00322900" w:rsidRPr="00F55CA5" w:rsidRDefault="0011031E" w:rsidP="006F4141">
            <w:pPr>
              <w:jc w:val="both"/>
              <w:rPr>
                <w:b/>
                <w:sz w:val="20"/>
                <w:szCs w:val="20"/>
                <w:lang w:val="fr-CA"/>
              </w:rPr>
            </w:pP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r w:rsidR="00322900" w:rsidRPr="00F55CA5">
              <w:rPr>
                <w:b/>
                <w:bCs/>
                <w:sz w:val="20"/>
                <w:szCs w:val="20"/>
                <w:lang w:val="fr-CA"/>
              </w:rPr>
              <w:t>Requête diverse</w:t>
            </w:r>
          </w:p>
          <w:p w:rsidR="00322900" w:rsidRPr="00F55CA5" w:rsidRDefault="0011031E" w:rsidP="006F4141">
            <w:pPr>
              <w:jc w:val="both"/>
              <w:rPr>
                <w:b/>
                <w:sz w:val="20"/>
                <w:szCs w:val="20"/>
                <w:lang w:val="fr-CA"/>
              </w:rPr>
            </w:pPr>
            <w:r w:rsidRPr="00F55CA5">
              <w:rPr>
                <w:b/>
                <w:sz w:val="20"/>
                <w:szCs w:val="20"/>
              </w:rPr>
              <w:fldChar w:fldCharType="begin"/>
            </w:r>
            <w:r w:rsidR="00322900" w:rsidRPr="00F55CA5">
              <w:rPr>
                <w:b/>
                <w:sz w:val="20"/>
                <w:szCs w:val="20"/>
                <w:lang w:val="fr-CA"/>
              </w:rPr>
              <w:instrText xml:space="preserve"> SEQ CHAPTER \h \r 1</w:instrText>
            </w:r>
            <w:r w:rsidRPr="00F55CA5">
              <w:rPr>
                <w:b/>
                <w:sz w:val="20"/>
                <w:szCs w:val="20"/>
              </w:rPr>
              <w:fldChar w:fldCharType="end"/>
            </w:r>
            <w:r w:rsidRPr="00F55CA5">
              <w:rPr>
                <w:b/>
                <w:sz w:val="20"/>
                <w:szCs w:val="20"/>
              </w:rPr>
              <w:fldChar w:fldCharType="begin"/>
            </w:r>
            <w:r w:rsidR="00322900" w:rsidRPr="00F55CA5">
              <w:rPr>
                <w:b/>
                <w:sz w:val="20"/>
                <w:szCs w:val="20"/>
                <w:lang w:val="fr-CA"/>
              </w:rPr>
              <w:instrText xml:space="preserve"> SEQ CHAPTER \h \r 1</w:instrText>
            </w:r>
            <w:r w:rsidRPr="00F55CA5">
              <w:rPr>
                <w:b/>
                <w:sz w:val="20"/>
                <w:szCs w:val="20"/>
              </w:rPr>
              <w:fldChar w:fldCharType="end"/>
            </w:r>
          </w:p>
        </w:tc>
      </w:tr>
      <w:tr w:rsidR="00322900" w:rsidRPr="00F55CA5" w:rsidTr="006F4141">
        <w:trPr>
          <w:trHeight w:val="150"/>
        </w:trPr>
        <w:tc>
          <w:tcPr>
            <w:tcW w:w="4338" w:type="dxa"/>
          </w:tcPr>
          <w:p w:rsidR="00322900" w:rsidRPr="00F55CA5" w:rsidRDefault="00322900" w:rsidP="006F4141">
            <w:pPr>
              <w:tabs>
                <w:tab w:val="left" w:pos="-1440"/>
                <w:tab w:val="left" w:pos="-720"/>
              </w:tabs>
              <w:jc w:val="both"/>
              <w:rPr>
                <w:sz w:val="20"/>
                <w:szCs w:val="20"/>
              </w:rPr>
            </w:pPr>
            <w:r w:rsidRPr="00F55CA5">
              <w:rPr>
                <w:sz w:val="20"/>
                <w:szCs w:val="20"/>
              </w:rPr>
              <w:t>Her Majesty the Queen</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ab/>
              <w:t>v. (33751)</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Yat Fung Albert Tse et al. (Crim.) (B.C.)</w:t>
            </w:r>
          </w:p>
        </w:tc>
        <w:tc>
          <w:tcPr>
            <w:tcW w:w="1170" w:type="dxa"/>
          </w:tcPr>
          <w:p w:rsidR="00322900" w:rsidRPr="00F55CA5" w:rsidRDefault="00322900" w:rsidP="006F4141">
            <w:pPr>
              <w:jc w:val="both"/>
              <w:rPr>
                <w:sz w:val="20"/>
                <w:szCs w:val="20"/>
              </w:rPr>
            </w:pPr>
          </w:p>
        </w:tc>
        <w:tc>
          <w:tcPr>
            <w:tcW w:w="4327" w:type="dxa"/>
          </w:tcPr>
          <w:p w:rsidR="00322900" w:rsidRPr="00F55CA5" w:rsidRDefault="00322900" w:rsidP="006F4141">
            <w:pPr>
              <w:jc w:val="both"/>
              <w:rPr>
                <w:sz w:val="20"/>
                <w:szCs w:val="20"/>
              </w:rPr>
            </w:pPr>
          </w:p>
        </w:tc>
      </w:tr>
    </w:tbl>
    <w:p w:rsidR="00322900" w:rsidRPr="00F55CA5" w:rsidRDefault="00322900" w:rsidP="00322900">
      <w:pPr>
        <w:tabs>
          <w:tab w:val="left" w:pos="-1440"/>
          <w:tab w:val="left" w:pos="-720"/>
        </w:tabs>
        <w:jc w:val="both"/>
        <w:rPr>
          <w:sz w:val="20"/>
          <w:szCs w:val="20"/>
        </w:rPr>
      </w:pPr>
    </w:p>
    <w:p w:rsidR="00322900" w:rsidRPr="00F55CA5" w:rsidRDefault="00322900" w:rsidP="00322900">
      <w:pPr>
        <w:tabs>
          <w:tab w:val="left" w:pos="-1440"/>
          <w:tab w:val="left" w:pos="-720"/>
        </w:tabs>
        <w:jc w:val="both"/>
        <w:rPr>
          <w:sz w:val="20"/>
          <w:szCs w:val="20"/>
        </w:rPr>
      </w:pPr>
      <w:r w:rsidRPr="00F55CA5">
        <w:rPr>
          <w:b/>
          <w:sz w:val="20"/>
          <w:szCs w:val="20"/>
        </w:rPr>
        <w:t>GRANTED / ACCORDÉE</w:t>
      </w:r>
    </w:p>
    <w:p w:rsidR="00322900" w:rsidRPr="00F55CA5" w:rsidRDefault="00322900" w:rsidP="00322900">
      <w:pPr>
        <w:tabs>
          <w:tab w:val="left" w:pos="-1440"/>
          <w:tab w:val="left" w:pos="-720"/>
        </w:tabs>
        <w:jc w:val="both"/>
        <w:rPr>
          <w:sz w:val="20"/>
          <w:szCs w:val="20"/>
        </w:rPr>
      </w:pPr>
    </w:p>
    <w:p w:rsidR="00322900" w:rsidRPr="00F55CA5" w:rsidRDefault="00322900" w:rsidP="00322900">
      <w:pPr>
        <w:spacing w:line="233" w:lineRule="auto"/>
        <w:jc w:val="both"/>
        <w:rPr>
          <w:sz w:val="20"/>
          <w:szCs w:val="20"/>
        </w:rPr>
      </w:pPr>
      <w:r w:rsidRPr="00F55CA5">
        <w:rPr>
          <w:b/>
          <w:bCs/>
          <w:sz w:val="20"/>
          <w:szCs w:val="20"/>
        </w:rPr>
        <w:t xml:space="preserve">UPON APPLICATION </w:t>
      </w:r>
      <w:r w:rsidRPr="00F55CA5">
        <w:rPr>
          <w:sz w:val="20"/>
          <w:szCs w:val="20"/>
        </w:rPr>
        <w:t>by the the appellant, for an order directing that the Court receive a copy of Bill C-30 (</w:t>
      </w:r>
      <w:r w:rsidRPr="00F55CA5">
        <w:rPr>
          <w:i/>
          <w:sz w:val="20"/>
          <w:szCs w:val="20"/>
        </w:rPr>
        <w:t>An Act to enact the Investigating and Preventing Criminal Electronic Communications Act and to amend the Criminal Code and other Acts</w:t>
      </w:r>
      <w:r w:rsidRPr="00F55CA5">
        <w:rPr>
          <w:sz w:val="20"/>
          <w:szCs w:val="20"/>
        </w:rPr>
        <w:t>), tabled for First Reading in the House of Commons on February 14, 2012;</w:t>
      </w:r>
    </w:p>
    <w:p w:rsidR="00322900" w:rsidRPr="00F55CA5" w:rsidRDefault="00322900" w:rsidP="00322900">
      <w:pPr>
        <w:spacing w:line="233" w:lineRule="auto"/>
        <w:rPr>
          <w:sz w:val="20"/>
          <w:szCs w:val="20"/>
        </w:rPr>
      </w:pPr>
    </w:p>
    <w:p w:rsidR="00322900" w:rsidRPr="00F55CA5" w:rsidRDefault="00322900" w:rsidP="00322900">
      <w:pPr>
        <w:spacing w:line="233" w:lineRule="auto"/>
        <w:rPr>
          <w:sz w:val="20"/>
          <w:szCs w:val="20"/>
        </w:rPr>
      </w:pPr>
      <w:r w:rsidRPr="00F55CA5">
        <w:rPr>
          <w:b/>
          <w:bCs/>
          <w:sz w:val="20"/>
          <w:szCs w:val="20"/>
        </w:rPr>
        <w:t>AND THE MATERIAL FILED</w:t>
      </w:r>
      <w:r w:rsidRPr="00F55CA5">
        <w:rPr>
          <w:sz w:val="20"/>
          <w:szCs w:val="20"/>
        </w:rPr>
        <w:t xml:space="preserve"> having been read;</w:t>
      </w:r>
    </w:p>
    <w:p w:rsidR="00322900" w:rsidRPr="00F55CA5" w:rsidRDefault="00322900" w:rsidP="00322900">
      <w:pPr>
        <w:spacing w:line="233" w:lineRule="auto"/>
        <w:rPr>
          <w:sz w:val="20"/>
          <w:szCs w:val="20"/>
        </w:rPr>
      </w:pPr>
    </w:p>
    <w:p w:rsidR="00322900" w:rsidRPr="00F55CA5" w:rsidRDefault="00322900" w:rsidP="00322900">
      <w:pPr>
        <w:spacing w:line="233" w:lineRule="auto"/>
        <w:rPr>
          <w:sz w:val="20"/>
          <w:szCs w:val="20"/>
        </w:rPr>
      </w:pPr>
      <w:r w:rsidRPr="00F55CA5">
        <w:rPr>
          <w:b/>
          <w:bCs/>
          <w:sz w:val="20"/>
          <w:szCs w:val="20"/>
        </w:rPr>
        <w:t>IT IS HEREBY ORDERED THAT:</w:t>
      </w:r>
    </w:p>
    <w:p w:rsidR="00322900" w:rsidRPr="00F55CA5" w:rsidRDefault="00322900" w:rsidP="00322900">
      <w:pPr>
        <w:spacing w:line="233" w:lineRule="auto"/>
        <w:rPr>
          <w:sz w:val="20"/>
          <w:szCs w:val="20"/>
        </w:rPr>
      </w:pPr>
    </w:p>
    <w:p w:rsidR="00322900" w:rsidRPr="00322900" w:rsidRDefault="00322900" w:rsidP="00322900">
      <w:pPr>
        <w:spacing w:line="233" w:lineRule="auto"/>
        <w:jc w:val="both"/>
        <w:rPr>
          <w:sz w:val="20"/>
          <w:szCs w:val="20"/>
          <w:lang w:val="fr-CA"/>
        </w:rPr>
      </w:pPr>
      <w:r w:rsidRPr="00F55CA5">
        <w:rPr>
          <w:sz w:val="20"/>
          <w:szCs w:val="20"/>
        </w:rPr>
        <w:tab/>
      </w:r>
      <w:r w:rsidRPr="00322900">
        <w:rPr>
          <w:sz w:val="20"/>
          <w:szCs w:val="20"/>
          <w:lang w:val="fr-CA"/>
        </w:rPr>
        <w:t xml:space="preserve">The motion is granted. </w:t>
      </w:r>
    </w:p>
    <w:p w:rsidR="00322900" w:rsidRPr="00F55CA5" w:rsidRDefault="00322900" w:rsidP="00322900">
      <w:pPr>
        <w:tabs>
          <w:tab w:val="left" w:pos="-1440"/>
          <w:tab w:val="left" w:pos="-720"/>
        </w:tabs>
        <w:jc w:val="both"/>
        <w:rPr>
          <w:sz w:val="20"/>
          <w:szCs w:val="20"/>
          <w:lang w:val="fr-CA"/>
        </w:rPr>
      </w:pPr>
    </w:p>
    <w:p w:rsidR="00322900" w:rsidRPr="00F55CA5" w:rsidRDefault="00322900" w:rsidP="00322900">
      <w:pPr>
        <w:tabs>
          <w:tab w:val="left" w:pos="-1440"/>
          <w:tab w:val="left" w:pos="-720"/>
        </w:tabs>
        <w:jc w:val="both"/>
        <w:rPr>
          <w:sz w:val="20"/>
          <w:szCs w:val="20"/>
          <w:lang w:val="fr-CA"/>
        </w:rPr>
      </w:pPr>
    </w:p>
    <w:p w:rsidR="00322900" w:rsidRPr="00F55CA5" w:rsidRDefault="00322900" w:rsidP="00322900">
      <w:pPr>
        <w:tabs>
          <w:tab w:val="left" w:pos="-1440"/>
          <w:tab w:val="left" w:pos="-720"/>
        </w:tabs>
        <w:jc w:val="both"/>
        <w:rPr>
          <w:sz w:val="20"/>
          <w:szCs w:val="20"/>
          <w:lang w:val="fr-CA"/>
        </w:rPr>
      </w:pPr>
    </w:p>
    <w:p w:rsidR="00322900" w:rsidRPr="00F55CA5" w:rsidRDefault="00322900" w:rsidP="00322900">
      <w:pPr>
        <w:spacing w:line="233" w:lineRule="auto"/>
        <w:jc w:val="both"/>
        <w:rPr>
          <w:sz w:val="20"/>
          <w:szCs w:val="20"/>
          <w:lang w:val="fr-CA"/>
        </w:rPr>
      </w:pPr>
      <w:r w:rsidRPr="00F55CA5">
        <w:rPr>
          <w:b/>
          <w:bCs/>
          <w:sz w:val="20"/>
          <w:szCs w:val="20"/>
          <w:lang w:val="fr-CA"/>
        </w:rPr>
        <w:t xml:space="preserve">À LA SUITE DE LA DEMANDE </w:t>
      </w:r>
      <w:r w:rsidRPr="00F55CA5">
        <w:rPr>
          <w:sz w:val="20"/>
          <w:szCs w:val="20"/>
          <w:lang w:val="fr-CA"/>
        </w:rPr>
        <w:t>présentée par l’appellante sollicitant une ordonnance prévoyant la remise à la Cour d’un exemplaire du projet de loi C-30 (</w:t>
      </w:r>
      <w:r w:rsidRPr="00F55CA5">
        <w:rPr>
          <w:i/>
          <w:sz w:val="20"/>
          <w:szCs w:val="20"/>
          <w:lang w:val="fr-CA"/>
        </w:rPr>
        <w:t>Loi édictant la Loi sur les enquêtes visant les communications électroniques criminelles et leur prévention et modifiant le Code criminel et d’autres lois</w:t>
      </w:r>
      <w:r w:rsidRPr="00F55CA5">
        <w:rPr>
          <w:sz w:val="20"/>
          <w:szCs w:val="20"/>
          <w:lang w:val="fr-CA"/>
        </w:rPr>
        <w:t>), déposé en première lecture à la Chambre des communes le 14 février 2012.</w:t>
      </w:r>
    </w:p>
    <w:p w:rsidR="00322900" w:rsidRPr="00F55CA5" w:rsidRDefault="00322900" w:rsidP="00322900">
      <w:pPr>
        <w:spacing w:line="233" w:lineRule="auto"/>
        <w:rPr>
          <w:sz w:val="20"/>
          <w:szCs w:val="20"/>
          <w:lang w:val="fr-CA"/>
        </w:rPr>
      </w:pPr>
    </w:p>
    <w:p w:rsidR="00322900" w:rsidRPr="00F55CA5" w:rsidRDefault="00322900" w:rsidP="00322900">
      <w:pPr>
        <w:spacing w:line="233" w:lineRule="auto"/>
        <w:rPr>
          <w:sz w:val="20"/>
          <w:szCs w:val="20"/>
          <w:lang w:val="fr-CA"/>
        </w:rPr>
      </w:pPr>
      <w:r w:rsidRPr="00F55CA5">
        <w:rPr>
          <w:b/>
          <w:bCs/>
          <w:sz w:val="20"/>
          <w:szCs w:val="20"/>
          <w:lang w:val="fr-CA"/>
        </w:rPr>
        <w:t>ET APRÈS EXAMEN</w:t>
      </w:r>
      <w:r w:rsidRPr="00F55CA5">
        <w:rPr>
          <w:sz w:val="20"/>
          <w:szCs w:val="20"/>
          <w:lang w:val="fr-CA"/>
        </w:rPr>
        <w:t xml:space="preserve"> des documents déposés;</w:t>
      </w:r>
    </w:p>
    <w:p w:rsidR="00322900" w:rsidRPr="00F55CA5" w:rsidRDefault="00322900" w:rsidP="00322900">
      <w:pPr>
        <w:spacing w:line="233" w:lineRule="auto"/>
        <w:rPr>
          <w:sz w:val="20"/>
          <w:szCs w:val="20"/>
          <w:lang w:val="fr-CA"/>
        </w:rPr>
      </w:pPr>
    </w:p>
    <w:p w:rsidR="00322900" w:rsidRPr="00F55CA5" w:rsidRDefault="00322900" w:rsidP="00322900">
      <w:pPr>
        <w:spacing w:line="233" w:lineRule="auto"/>
        <w:rPr>
          <w:sz w:val="20"/>
          <w:szCs w:val="20"/>
          <w:lang w:val="fr-CA"/>
        </w:rPr>
      </w:pPr>
      <w:r w:rsidRPr="00F55CA5">
        <w:rPr>
          <w:b/>
          <w:bCs/>
          <w:sz w:val="20"/>
          <w:szCs w:val="20"/>
          <w:lang w:val="fr-CA"/>
        </w:rPr>
        <w:t>IL EST ORDONNÉ CE QUI SUIT :</w:t>
      </w:r>
    </w:p>
    <w:p w:rsidR="00322900" w:rsidRPr="00F55CA5" w:rsidRDefault="00322900" w:rsidP="00322900">
      <w:pPr>
        <w:spacing w:line="233" w:lineRule="auto"/>
        <w:rPr>
          <w:sz w:val="20"/>
          <w:szCs w:val="20"/>
          <w:lang w:val="fr-CA"/>
        </w:rPr>
      </w:pPr>
    </w:p>
    <w:p w:rsidR="00322900" w:rsidRPr="00F55CA5" w:rsidRDefault="00322900" w:rsidP="00322900">
      <w:pPr>
        <w:spacing w:line="233" w:lineRule="auto"/>
        <w:jc w:val="both"/>
        <w:rPr>
          <w:sz w:val="20"/>
          <w:szCs w:val="20"/>
          <w:lang w:val="fr-CA"/>
        </w:rPr>
      </w:pPr>
      <w:r w:rsidRPr="00F55CA5">
        <w:rPr>
          <w:sz w:val="20"/>
          <w:szCs w:val="20"/>
          <w:lang w:val="fr-CA"/>
        </w:rPr>
        <w:tab/>
        <w:t xml:space="preserve">La requête est accordée. </w:t>
      </w:r>
    </w:p>
    <w:p w:rsidR="00322900" w:rsidRPr="00F55CA5" w:rsidRDefault="00322900" w:rsidP="00322900">
      <w:pPr>
        <w:tabs>
          <w:tab w:val="left" w:pos="-1440"/>
          <w:tab w:val="left" w:pos="-720"/>
        </w:tabs>
        <w:jc w:val="both"/>
        <w:rPr>
          <w:sz w:val="20"/>
          <w:szCs w:val="20"/>
          <w:lang w:val="fr-CA"/>
        </w:rPr>
      </w:pPr>
    </w:p>
    <w:p w:rsidR="00322900" w:rsidRPr="00F55CA5" w:rsidRDefault="00322900" w:rsidP="00322900">
      <w:pPr>
        <w:tabs>
          <w:tab w:val="left" w:pos="-1440"/>
          <w:tab w:val="left" w:pos="-720"/>
        </w:tabs>
        <w:spacing w:line="-19" w:lineRule="auto"/>
        <w:jc w:val="both"/>
        <w:rPr>
          <w:sz w:val="20"/>
          <w:szCs w:val="20"/>
          <w:lang w:val="fr-CA"/>
        </w:rPr>
      </w:pPr>
    </w:p>
    <w:p w:rsidR="00322900" w:rsidRPr="00F55CA5" w:rsidRDefault="0011031E" w:rsidP="00322900">
      <w:pPr>
        <w:tabs>
          <w:tab w:val="left" w:pos="-1440"/>
          <w:tab w:val="left" w:pos="-720"/>
        </w:tabs>
        <w:jc w:val="both"/>
        <w:rPr>
          <w:sz w:val="20"/>
          <w:szCs w:val="20"/>
        </w:rPr>
      </w:pPr>
      <w:r w:rsidRPr="0011031E">
        <w:rPr>
          <w:sz w:val="20"/>
          <w:szCs w:val="20"/>
          <w:lang w:val="fr-CA"/>
        </w:rPr>
        <w:pict>
          <v:rect id="_x0000_i1055" style="width:2in;height:1pt" o:hrpct="0" o:hralign="center" o:hrstd="t" o:hrnoshade="t" o:hr="t" fillcolor="black [3213]" stroked="f"/>
        </w:pict>
      </w:r>
    </w:p>
    <w:p w:rsidR="00322900" w:rsidRPr="00F55CA5" w:rsidRDefault="00322900" w:rsidP="00322900">
      <w:pPr>
        <w:rPr>
          <w:sz w:val="20"/>
          <w:szCs w:val="20"/>
        </w:rPr>
      </w:pPr>
    </w:p>
    <w:p w:rsidR="00322900" w:rsidRPr="00F55CA5" w:rsidRDefault="00322900" w:rsidP="00322900">
      <w:pPr>
        <w:tabs>
          <w:tab w:val="left" w:pos="-1440"/>
          <w:tab w:val="left" w:pos="-720"/>
        </w:tabs>
        <w:jc w:val="both"/>
        <w:rPr>
          <w:sz w:val="20"/>
          <w:szCs w:val="20"/>
        </w:rPr>
      </w:pPr>
      <w:r w:rsidRPr="00F55CA5">
        <w:rPr>
          <w:sz w:val="20"/>
          <w:szCs w:val="20"/>
        </w:rPr>
        <w:t>09.03.2012</w:t>
      </w:r>
    </w:p>
    <w:p w:rsidR="00322900" w:rsidRPr="00F55CA5" w:rsidRDefault="00322900" w:rsidP="00322900">
      <w:pPr>
        <w:tabs>
          <w:tab w:val="left" w:pos="-1440"/>
          <w:tab w:val="left" w:pos="-720"/>
        </w:tabs>
        <w:jc w:val="both"/>
        <w:rPr>
          <w:sz w:val="20"/>
          <w:szCs w:val="20"/>
        </w:rPr>
      </w:pPr>
    </w:p>
    <w:p w:rsidR="00322900" w:rsidRPr="00F55CA5" w:rsidRDefault="00322900" w:rsidP="00322900">
      <w:pPr>
        <w:tabs>
          <w:tab w:val="left" w:pos="-1440"/>
          <w:tab w:val="left" w:pos="-720"/>
        </w:tabs>
        <w:jc w:val="both"/>
        <w:rPr>
          <w:sz w:val="20"/>
          <w:szCs w:val="20"/>
          <w:lang w:val="fr-CA"/>
        </w:rPr>
      </w:pPr>
      <w:r w:rsidRPr="00F55CA5">
        <w:rPr>
          <w:sz w:val="20"/>
          <w:szCs w:val="20"/>
          <w:lang w:val="fr-CA"/>
        </w:rPr>
        <w:t>Before / Devant :   THE REGISTRAR / LE REGISTRAIRE</w:t>
      </w:r>
    </w:p>
    <w:p w:rsidR="00322900" w:rsidRPr="00F55CA5" w:rsidRDefault="00322900" w:rsidP="00322900">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22900" w:rsidRPr="007D5BF8" w:rsidTr="006F4141">
        <w:tc>
          <w:tcPr>
            <w:tcW w:w="4338" w:type="dxa"/>
          </w:tcPr>
          <w:p w:rsidR="00322900" w:rsidRPr="00F55CA5" w:rsidRDefault="0011031E" w:rsidP="006F4141">
            <w:pPr>
              <w:tabs>
                <w:tab w:val="left" w:pos="-1440"/>
                <w:tab w:val="left" w:pos="-720"/>
              </w:tabs>
              <w:jc w:val="both"/>
              <w:rPr>
                <w:b/>
                <w:sz w:val="20"/>
                <w:szCs w:val="20"/>
              </w:rPr>
            </w:pPr>
            <w:r w:rsidRPr="00F55CA5">
              <w:rPr>
                <w:sz w:val="20"/>
                <w:szCs w:val="20"/>
              </w:rPr>
              <w:fldChar w:fldCharType="begin"/>
            </w:r>
            <w:r w:rsidR="00322900" w:rsidRPr="00F55CA5">
              <w:rPr>
                <w:sz w:val="20"/>
                <w:szCs w:val="20"/>
              </w:rPr>
              <w:instrText xml:space="preserve"> SEQ CHAPTER \h \r 1</w:instrText>
            </w:r>
            <w:r w:rsidRPr="00F55CA5">
              <w:rPr>
                <w:sz w:val="20"/>
                <w:szCs w:val="20"/>
              </w:rPr>
              <w:fldChar w:fldCharType="end"/>
            </w:r>
            <w:r w:rsidR="00322900" w:rsidRPr="00F55CA5">
              <w:rPr>
                <w:b/>
                <w:bCs/>
                <w:sz w:val="20"/>
                <w:szCs w:val="20"/>
              </w:rPr>
              <w:t xml:space="preserve">Motion for an extension of time </w:t>
            </w:r>
          </w:p>
        </w:tc>
        <w:tc>
          <w:tcPr>
            <w:tcW w:w="1170" w:type="dxa"/>
          </w:tcPr>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p>
        </w:tc>
        <w:tc>
          <w:tcPr>
            <w:tcW w:w="4327" w:type="dxa"/>
          </w:tcPr>
          <w:p w:rsidR="00322900" w:rsidRPr="00F55CA5" w:rsidRDefault="0011031E" w:rsidP="006F4141">
            <w:pPr>
              <w:tabs>
                <w:tab w:val="left" w:pos="-1440"/>
                <w:tab w:val="left" w:pos="-720"/>
              </w:tabs>
              <w:jc w:val="both"/>
              <w:rPr>
                <w:sz w:val="20"/>
                <w:szCs w:val="20"/>
                <w:lang w:val="fr-CA"/>
              </w:rPr>
            </w:pP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r w:rsidR="00322900" w:rsidRPr="00F55CA5">
              <w:rPr>
                <w:b/>
                <w:bCs/>
                <w:sz w:val="20"/>
                <w:szCs w:val="20"/>
                <w:lang w:val="fr-CA"/>
              </w:rPr>
              <w:t xml:space="preserve">Requête en prorogation de délai </w:t>
            </w: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p>
        </w:tc>
      </w:tr>
      <w:tr w:rsidR="00322900" w:rsidRPr="00F55CA5" w:rsidTr="006F4141">
        <w:tc>
          <w:tcPr>
            <w:tcW w:w="4338" w:type="dxa"/>
          </w:tcPr>
          <w:p w:rsidR="00322900" w:rsidRPr="00F55CA5" w:rsidRDefault="00322900" w:rsidP="006F4141">
            <w:pPr>
              <w:tabs>
                <w:tab w:val="left" w:pos="-1440"/>
                <w:tab w:val="left" w:pos="-720"/>
              </w:tabs>
              <w:jc w:val="both"/>
              <w:rPr>
                <w:sz w:val="20"/>
                <w:szCs w:val="20"/>
              </w:rPr>
            </w:pPr>
            <w:proofErr w:type="spellStart"/>
            <w:r w:rsidRPr="00F55CA5">
              <w:rPr>
                <w:sz w:val="20"/>
                <w:szCs w:val="20"/>
              </w:rPr>
              <w:t>Piratheepan</w:t>
            </w:r>
            <w:proofErr w:type="spellEnd"/>
            <w:r w:rsidRPr="00F55CA5">
              <w:rPr>
                <w:sz w:val="20"/>
                <w:szCs w:val="20"/>
              </w:rPr>
              <w:t xml:space="preserve"> </w:t>
            </w:r>
            <w:proofErr w:type="spellStart"/>
            <w:r w:rsidRPr="00F55CA5">
              <w:rPr>
                <w:sz w:val="20"/>
                <w:szCs w:val="20"/>
              </w:rPr>
              <w:t>Nadarajah</w:t>
            </w:r>
            <w:proofErr w:type="spellEnd"/>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ab/>
              <w:t>v. (34013)</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United States of America et al. (Crim.) (Ont.)</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 and between -</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Suresh Sriskandarajah</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ab/>
              <w:t>v. (34009)</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United States of America et al. (Crim.) (Ont.)</w:t>
            </w:r>
          </w:p>
        </w:tc>
        <w:tc>
          <w:tcPr>
            <w:tcW w:w="1170" w:type="dxa"/>
          </w:tcPr>
          <w:p w:rsidR="00322900" w:rsidRPr="00F55CA5" w:rsidRDefault="00322900" w:rsidP="006F4141">
            <w:pPr>
              <w:tabs>
                <w:tab w:val="left" w:pos="-1440"/>
                <w:tab w:val="left" w:pos="-720"/>
              </w:tabs>
              <w:jc w:val="both"/>
              <w:rPr>
                <w:sz w:val="20"/>
                <w:szCs w:val="20"/>
              </w:rPr>
            </w:pPr>
          </w:p>
        </w:tc>
        <w:tc>
          <w:tcPr>
            <w:tcW w:w="4327" w:type="dxa"/>
          </w:tcPr>
          <w:p w:rsidR="00322900" w:rsidRPr="00F55CA5" w:rsidRDefault="00322900" w:rsidP="006F4141">
            <w:pPr>
              <w:tabs>
                <w:tab w:val="left" w:pos="-1440"/>
                <w:tab w:val="left" w:pos="-720"/>
              </w:tabs>
              <w:jc w:val="both"/>
              <w:rPr>
                <w:sz w:val="20"/>
                <w:szCs w:val="20"/>
              </w:rPr>
            </w:pPr>
          </w:p>
        </w:tc>
      </w:tr>
    </w:tbl>
    <w:p w:rsidR="00322900" w:rsidRPr="00F55CA5" w:rsidRDefault="00322900" w:rsidP="00322900">
      <w:pPr>
        <w:tabs>
          <w:tab w:val="left" w:pos="-1440"/>
          <w:tab w:val="left" w:pos="-720"/>
        </w:tabs>
        <w:jc w:val="both"/>
        <w:rPr>
          <w:sz w:val="20"/>
          <w:szCs w:val="20"/>
        </w:rPr>
      </w:pPr>
    </w:p>
    <w:p w:rsidR="00322900" w:rsidRPr="00F55CA5" w:rsidRDefault="00322900" w:rsidP="00322900">
      <w:pPr>
        <w:tabs>
          <w:tab w:val="left" w:pos="-1440"/>
          <w:tab w:val="left" w:pos="-720"/>
        </w:tabs>
        <w:jc w:val="both"/>
        <w:rPr>
          <w:b/>
          <w:sz w:val="20"/>
          <w:szCs w:val="20"/>
        </w:rPr>
      </w:pPr>
      <w:r w:rsidRPr="00F55CA5">
        <w:rPr>
          <w:b/>
          <w:sz w:val="20"/>
          <w:szCs w:val="20"/>
        </w:rPr>
        <w:t>GRANTED / ACCORDÉE</w:t>
      </w:r>
    </w:p>
    <w:p w:rsidR="00322900" w:rsidRPr="00F55CA5" w:rsidRDefault="00322900" w:rsidP="00322900">
      <w:pPr>
        <w:tabs>
          <w:tab w:val="left" w:pos="-1440"/>
          <w:tab w:val="left" w:pos="-720"/>
        </w:tabs>
        <w:jc w:val="both"/>
        <w:rPr>
          <w:sz w:val="20"/>
          <w:szCs w:val="20"/>
        </w:rPr>
      </w:pPr>
    </w:p>
    <w:p w:rsidR="00322900" w:rsidRPr="00F55CA5" w:rsidRDefault="00322900" w:rsidP="00322900">
      <w:pPr>
        <w:pStyle w:val="BodyText"/>
        <w:spacing w:after="0"/>
        <w:jc w:val="both"/>
        <w:rPr>
          <w:sz w:val="20"/>
          <w:szCs w:val="20"/>
          <w:lang w:val="en-US"/>
        </w:rPr>
      </w:pPr>
      <w:r w:rsidRPr="00F55CA5">
        <w:rPr>
          <w:b/>
          <w:sz w:val="20"/>
          <w:szCs w:val="20"/>
          <w:lang w:val="en-US"/>
        </w:rPr>
        <w:t>UPON APPLICATION</w:t>
      </w:r>
      <w:r w:rsidRPr="00F55CA5">
        <w:rPr>
          <w:sz w:val="20"/>
          <w:szCs w:val="20"/>
          <w:lang w:val="en-US"/>
        </w:rPr>
        <w:t xml:space="preserve"> by counsel on behalf of the Appellants for an order extending the time within which to serve and file their Factums and Book of Authorities to February 22, 2012.</w:t>
      </w:r>
    </w:p>
    <w:p w:rsidR="00322900" w:rsidRPr="00F55CA5" w:rsidRDefault="00322900" w:rsidP="00322900">
      <w:pPr>
        <w:pStyle w:val="BodyText"/>
        <w:spacing w:after="0"/>
        <w:jc w:val="both"/>
        <w:rPr>
          <w:b/>
          <w:sz w:val="20"/>
          <w:szCs w:val="20"/>
          <w:lang w:val="en-US"/>
        </w:rPr>
      </w:pPr>
    </w:p>
    <w:p w:rsidR="00322900" w:rsidRPr="00F55CA5" w:rsidRDefault="00322900" w:rsidP="00322900">
      <w:pPr>
        <w:pStyle w:val="BodyText"/>
        <w:spacing w:after="0"/>
        <w:jc w:val="both"/>
        <w:rPr>
          <w:sz w:val="20"/>
          <w:szCs w:val="20"/>
          <w:lang w:val="en-US"/>
        </w:rPr>
      </w:pPr>
      <w:r w:rsidRPr="00F55CA5">
        <w:rPr>
          <w:b/>
          <w:sz w:val="20"/>
          <w:szCs w:val="20"/>
          <w:lang w:val="en-US"/>
        </w:rPr>
        <w:t>IT IS ORDERED</w:t>
      </w:r>
      <w:r w:rsidRPr="00F55CA5">
        <w:rPr>
          <w:sz w:val="20"/>
          <w:szCs w:val="20"/>
          <w:lang w:val="en-US"/>
        </w:rPr>
        <w:t xml:space="preserve"> that the motion is granted.</w:t>
      </w:r>
    </w:p>
    <w:p w:rsidR="00322900" w:rsidRPr="00F55CA5" w:rsidRDefault="00322900" w:rsidP="00322900">
      <w:pPr>
        <w:pStyle w:val="BodyText"/>
        <w:spacing w:after="0"/>
        <w:jc w:val="both"/>
        <w:rPr>
          <w:sz w:val="20"/>
          <w:szCs w:val="20"/>
          <w:lang w:val="en-US"/>
        </w:rPr>
      </w:pPr>
    </w:p>
    <w:p w:rsidR="00322900" w:rsidRPr="00F55CA5" w:rsidRDefault="00322900" w:rsidP="00322900">
      <w:pPr>
        <w:pStyle w:val="BodyText"/>
        <w:spacing w:after="0"/>
        <w:jc w:val="both"/>
        <w:rPr>
          <w:sz w:val="20"/>
          <w:szCs w:val="20"/>
          <w:lang w:val="en-US"/>
        </w:rPr>
      </w:pPr>
    </w:p>
    <w:p w:rsidR="00322900" w:rsidRPr="00F55CA5" w:rsidRDefault="00322900" w:rsidP="00322900">
      <w:pPr>
        <w:pStyle w:val="BodyText"/>
        <w:spacing w:after="0"/>
        <w:jc w:val="both"/>
        <w:rPr>
          <w:sz w:val="20"/>
          <w:szCs w:val="20"/>
          <w:lang w:val="en-US"/>
        </w:rPr>
      </w:pPr>
    </w:p>
    <w:p w:rsidR="00322900" w:rsidRPr="00F55CA5" w:rsidRDefault="00322900" w:rsidP="00322900">
      <w:pPr>
        <w:pStyle w:val="BodyText"/>
        <w:spacing w:after="0"/>
        <w:jc w:val="both"/>
        <w:rPr>
          <w:sz w:val="20"/>
          <w:szCs w:val="20"/>
          <w:lang w:val="fr-CA"/>
        </w:rPr>
      </w:pPr>
      <w:r w:rsidRPr="00F55CA5">
        <w:rPr>
          <w:b/>
          <w:sz w:val="20"/>
          <w:szCs w:val="20"/>
          <w:lang w:val="fr-CA"/>
        </w:rPr>
        <w:t xml:space="preserve">À LA SUITE DE LA DEMANDE </w:t>
      </w:r>
      <w:r w:rsidRPr="00F55CA5">
        <w:rPr>
          <w:sz w:val="20"/>
          <w:szCs w:val="20"/>
          <w:lang w:val="fr-CA"/>
        </w:rPr>
        <w:t xml:space="preserve">présentée par les avocats représentant les appelants en vue de signifier et déposer les mémoires et recueil de sources au plus tard le 22 février 2012.   </w:t>
      </w:r>
    </w:p>
    <w:p w:rsidR="00322900" w:rsidRPr="00F55CA5" w:rsidRDefault="00322900" w:rsidP="00322900">
      <w:pPr>
        <w:pStyle w:val="BodyText"/>
        <w:spacing w:after="0"/>
        <w:jc w:val="both"/>
        <w:rPr>
          <w:b/>
          <w:sz w:val="20"/>
          <w:szCs w:val="20"/>
          <w:lang w:val="fr-CA"/>
        </w:rPr>
      </w:pPr>
    </w:p>
    <w:p w:rsidR="00322900" w:rsidRPr="00F55CA5" w:rsidRDefault="00322900" w:rsidP="00322900">
      <w:pPr>
        <w:pStyle w:val="BodyText"/>
        <w:spacing w:after="0"/>
        <w:jc w:val="both"/>
        <w:rPr>
          <w:sz w:val="20"/>
          <w:szCs w:val="20"/>
          <w:lang w:val="fr-CA"/>
        </w:rPr>
      </w:pPr>
      <w:r w:rsidRPr="00F55CA5">
        <w:rPr>
          <w:b/>
          <w:sz w:val="20"/>
          <w:szCs w:val="20"/>
          <w:lang w:val="fr-CA"/>
        </w:rPr>
        <w:t xml:space="preserve">IL EST ORDONNÉ CE QUI SUIT </w:t>
      </w:r>
      <w:r w:rsidRPr="00F55CA5">
        <w:rPr>
          <w:sz w:val="20"/>
          <w:szCs w:val="20"/>
          <w:lang w:val="fr-CA"/>
        </w:rPr>
        <w:t>la requête est accordée.</w:t>
      </w:r>
    </w:p>
    <w:p w:rsidR="00322900" w:rsidRPr="00F55CA5" w:rsidRDefault="00322900" w:rsidP="00322900">
      <w:pPr>
        <w:pStyle w:val="BodyText"/>
        <w:spacing w:after="0"/>
        <w:jc w:val="both"/>
        <w:rPr>
          <w:sz w:val="20"/>
          <w:szCs w:val="20"/>
          <w:lang w:val="fr-CA"/>
        </w:rPr>
      </w:pPr>
    </w:p>
    <w:p w:rsidR="00322900" w:rsidRPr="00F55CA5" w:rsidRDefault="0011031E" w:rsidP="00322900">
      <w:pPr>
        <w:tabs>
          <w:tab w:val="left" w:pos="-1440"/>
          <w:tab w:val="left" w:pos="-720"/>
        </w:tabs>
        <w:jc w:val="both"/>
        <w:rPr>
          <w:sz w:val="20"/>
          <w:szCs w:val="20"/>
        </w:rPr>
      </w:pPr>
      <w:r w:rsidRPr="0011031E">
        <w:rPr>
          <w:sz w:val="20"/>
          <w:szCs w:val="20"/>
          <w:lang w:val="fr-CA"/>
        </w:rPr>
        <w:pict>
          <v:rect id="_x0000_i1056" style="width:2in;height:1pt" o:hrpct="0" o:hralign="center" o:hrstd="t" o:hrnoshade="t" o:hr="t" fillcolor="black [3213]" stroked="f"/>
        </w:pict>
      </w:r>
    </w:p>
    <w:p w:rsidR="00322900" w:rsidRPr="00F55CA5" w:rsidRDefault="00322900" w:rsidP="00322900">
      <w:pPr>
        <w:tabs>
          <w:tab w:val="left" w:pos="-1440"/>
          <w:tab w:val="left" w:pos="-720"/>
        </w:tabs>
        <w:jc w:val="both"/>
        <w:rPr>
          <w:sz w:val="20"/>
          <w:szCs w:val="20"/>
        </w:rPr>
      </w:pPr>
    </w:p>
    <w:p w:rsidR="00322900" w:rsidRPr="00F55CA5" w:rsidRDefault="00322900" w:rsidP="00322900">
      <w:pPr>
        <w:tabs>
          <w:tab w:val="left" w:pos="-1440"/>
          <w:tab w:val="left" w:pos="-720"/>
        </w:tabs>
        <w:jc w:val="both"/>
        <w:rPr>
          <w:sz w:val="20"/>
          <w:szCs w:val="20"/>
        </w:rPr>
      </w:pPr>
      <w:r w:rsidRPr="00F55CA5">
        <w:rPr>
          <w:sz w:val="20"/>
          <w:szCs w:val="20"/>
        </w:rPr>
        <w:t>09.03.2012</w:t>
      </w:r>
    </w:p>
    <w:p w:rsidR="00322900" w:rsidRPr="00F55CA5" w:rsidRDefault="00322900" w:rsidP="00322900">
      <w:pPr>
        <w:tabs>
          <w:tab w:val="left" w:pos="-1440"/>
          <w:tab w:val="left" w:pos="-720"/>
        </w:tabs>
        <w:jc w:val="both"/>
        <w:rPr>
          <w:sz w:val="20"/>
          <w:szCs w:val="20"/>
        </w:rPr>
      </w:pPr>
    </w:p>
    <w:p w:rsidR="00322900" w:rsidRPr="00F55CA5" w:rsidRDefault="00322900" w:rsidP="00322900">
      <w:pPr>
        <w:tabs>
          <w:tab w:val="left" w:pos="-1440"/>
          <w:tab w:val="left" w:pos="-720"/>
        </w:tabs>
        <w:jc w:val="both"/>
        <w:rPr>
          <w:sz w:val="20"/>
          <w:szCs w:val="20"/>
          <w:lang w:val="fr-CA"/>
        </w:rPr>
      </w:pPr>
      <w:r w:rsidRPr="00F55CA5">
        <w:rPr>
          <w:sz w:val="20"/>
          <w:szCs w:val="20"/>
          <w:lang w:val="fr-CA"/>
        </w:rPr>
        <w:t>Before / Devant :   THE REGISTRAR / LE REGISTRAIRE</w:t>
      </w:r>
    </w:p>
    <w:p w:rsidR="00322900" w:rsidRPr="00F55CA5" w:rsidRDefault="00322900" w:rsidP="00322900">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22900" w:rsidRPr="007D5BF8" w:rsidTr="006F4141">
        <w:tc>
          <w:tcPr>
            <w:tcW w:w="4338" w:type="dxa"/>
          </w:tcPr>
          <w:p w:rsidR="00322900" w:rsidRPr="00F55CA5" w:rsidRDefault="0011031E" w:rsidP="006F4141">
            <w:pPr>
              <w:tabs>
                <w:tab w:val="left" w:pos="-1440"/>
                <w:tab w:val="left" w:pos="-720"/>
              </w:tabs>
              <w:jc w:val="both"/>
              <w:rPr>
                <w:b/>
                <w:sz w:val="20"/>
                <w:szCs w:val="20"/>
              </w:rPr>
            </w:pPr>
            <w:r w:rsidRPr="00F55CA5">
              <w:rPr>
                <w:sz w:val="20"/>
                <w:szCs w:val="20"/>
              </w:rPr>
              <w:fldChar w:fldCharType="begin"/>
            </w:r>
            <w:r w:rsidR="00322900" w:rsidRPr="00F55CA5">
              <w:rPr>
                <w:sz w:val="20"/>
                <w:szCs w:val="20"/>
              </w:rPr>
              <w:instrText xml:space="preserve"> SEQ CHAPTER \h \r 1</w:instrText>
            </w:r>
            <w:r w:rsidRPr="00F55CA5">
              <w:rPr>
                <w:sz w:val="20"/>
                <w:szCs w:val="20"/>
              </w:rPr>
              <w:fldChar w:fldCharType="end"/>
            </w:r>
            <w:r w:rsidR="00322900" w:rsidRPr="00F55CA5">
              <w:rPr>
                <w:b/>
                <w:bCs/>
                <w:sz w:val="20"/>
                <w:szCs w:val="20"/>
              </w:rPr>
              <w:t>Motion</w:t>
            </w:r>
            <w:r w:rsidRPr="00F55CA5">
              <w:rPr>
                <w:sz w:val="20"/>
                <w:szCs w:val="20"/>
              </w:rPr>
              <w:fldChar w:fldCharType="begin"/>
            </w:r>
            <w:r w:rsidR="00322900" w:rsidRPr="00F55CA5">
              <w:rPr>
                <w:sz w:val="20"/>
                <w:szCs w:val="20"/>
              </w:rPr>
              <w:instrText xml:space="preserve"> SEQ CHAPTER \h \r 1</w:instrText>
            </w:r>
            <w:r w:rsidRPr="00F55CA5">
              <w:rPr>
                <w:sz w:val="20"/>
                <w:szCs w:val="20"/>
              </w:rPr>
              <w:fldChar w:fldCharType="end"/>
            </w:r>
            <w:r w:rsidR="00322900" w:rsidRPr="00F55CA5">
              <w:rPr>
                <w:b/>
                <w:bCs/>
                <w:sz w:val="20"/>
                <w:szCs w:val="20"/>
              </w:rPr>
              <w:t xml:space="preserve"> for an extension of time</w:t>
            </w:r>
          </w:p>
        </w:tc>
        <w:tc>
          <w:tcPr>
            <w:tcW w:w="1170" w:type="dxa"/>
          </w:tcPr>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p>
        </w:tc>
        <w:tc>
          <w:tcPr>
            <w:tcW w:w="4327" w:type="dxa"/>
          </w:tcPr>
          <w:p w:rsidR="00322900" w:rsidRPr="00F55CA5" w:rsidRDefault="0011031E" w:rsidP="006F4141">
            <w:pPr>
              <w:jc w:val="both"/>
              <w:rPr>
                <w:sz w:val="20"/>
                <w:szCs w:val="20"/>
                <w:lang w:val="fr-CA"/>
              </w:rPr>
            </w:pP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r w:rsidR="00322900" w:rsidRPr="00F55CA5">
              <w:rPr>
                <w:b/>
                <w:bCs/>
                <w:sz w:val="20"/>
                <w:szCs w:val="20"/>
                <w:lang w:val="fr-CA"/>
              </w:rPr>
              <w:t>Requête en prorogation de délai</w:t>
            </w:r>
          </w:p>
        </w:tc>
      </w:tr>
      <w:tr w:rsidR="00322900" w:rsidRPr="00F55CA5" w:rsidTr="006F4141">
        <w:tc>
          <w:tcPr>
            <w:tcW w:w="4338" w:type="dxa"/>
          </w:tcPr>
          <w:p w:rsidR="00322900" w:rsidRPr="00F55CA5" w:rsidRDefault="00322900" w:rsidP="006F4141">
            <w:pPr>
              <w:tabs>
                <w:tab w:val="left" w:pos="-1440"/>
                <w:tab w:val="left" w:pos="-720"/>
              </w:tabs>
              <w:jc w:val="both"/>
              <w:rPr>
                <w:sz w:val="20"/>
                <w:szCs w:val="20"/>
              </w:rPr>
            </w:pPr>
            <w:r w:rsidRPr="00F55CA5">
              <w:rPr>
                <w:sz w:val="20"/>
                <w:szCs w:val="20"/>
              </w:rPr>
              <w:t>Diane Knopf, Warden of Mission Institution et al.</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ab/>
              <w:t>v. (34609)</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Gurkirpal Singh Khela (Crim.) (B.C.)</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 and between -</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Diane Knopf, Warden of Mission Institution et al.</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ab/>
              <w:t>v. (34607)</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Jonathan Zuria (Crim.) (B.C.)</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 and between -</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Diane Knopf, Warden of Mission Institution et al.</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ab/>
              <w:t>v. (34608)</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Glen Phillip Foster (Crim.) (B.C.)</w:t>
            </w:r>
          </w:p>
        </w:tc>
        <w:tc>
          <w:tcPr>
            <w:tcW w:w="1170" w:type="dxa"/>
          </w:tcPr>
          <w:p w:rsidR="00322900" w:rsidRPr="00F55CA5" w:rsidRDefault="00322900" w:rsidP="006F4141">
            <w:pPr>
              <w:tabs>
                <w:tab w:val="left" w:pos="-1440"/>
                <w:tab w:val="left" w:pos="-720"/>
              </w:tabs>
              <w:jc w:val="both"/>
              <w:rPr>
                <w:sz w:val="20"/>
                <w:szCs w:val="20"/>
              </w:rPr>
            </w:pPr>
          </w:p>
        </w:tc>
        <w:tc>
          <w:tcPr>
            <w:tcW w:w="4327" w:type="dxa"/>
          </w:tcPr>
          <w:p w:rsidR="00322900" w:rsidRPr="00F55CA5" w:rsidRDefault="00322900" w:rsidP="006F4141">
            <w:pPr>
              <w:tabs>
                <w:tab w:val="left" w:pos="-1440"/>
                <w:tab w:val="left" w:pos="-720"/>
              </w:tabs>
              <w:jc w:val="both"/>
              <w:rPr>
                <w:sz w:val="20"/>
                <w:szCs w:val="20"/>
              </w:rPr>
            </w:pPr>
          </w:p>
        </w:tc>
      </w:tr>
    </w:tbl>
    <w:p w:rsidR="00322900" w:rsidRPr="00F55CA5" w:rsidRDefault="00322900" w:rsidP="00322900">
      <w:pPr>
        <w:tabs>
          <w:tab w:val="left" w:pos="-1440"/>
          <w:tab w:val="left" w:pos="-720"/>
        </w:tabs>
        <w:jc w:val="both"/>
        <w:rPr>
          <w:sz w:val="20"/>
          <w:szCs w:val="20"/>
        </w:rPr>
      </w:pPr>
    </w:p>
    <w:p w:rsidR="00322900" w:rsidRPr="00F55CA5" w:rsidRDefault="00322900" w:rsidP="00322900">
      <w:pPr>
        <w:tabs>
          <w:tab w:val="left" w:pos="-1440"/>
          <w:tab w:val="left" w:pos="-720"/>
        </w:tabs>
        <w:jc w:val="both"/>
        <w:rPr>
          <w:b/>
          <w:sz w:val="20"/>
          <w:szCs w:val="20"/>
        </w:rPr>
      </w:pPr>
      <w:r w:rsidRPr="00F55CA5">
        <w:rPr>
          <w:b/>
          <w:sz w:val="20"/>
          <w:szCs w:val="20"/>
        </w:rPr>
        <w:t>GRANTED / ACCORDÉE</w:t>
      </w:r>
    </w:p>
    <w:p w:rsidR="00322900" w:rsidRPr="00F55CA5" w:rsidRDefault="00322900" w:rsidP="00322900">
      <w:pPr>
        <w:tabs>
          <w:tab w:val="left" w:pos="-1440"/>
          <w:tab w:val="left" w:pos="-720"/>
        </w:tabs>
        <w:jc w:val="both"/>
        <w:rPr>
          <w:sz w:val="20"/>
          <w:szCs w:val="20"/>
        </w:rPr>
      </w:pPr>
    </w:p>
    <w:p w:rsidR="00322900" w:rsidRPr="00F55CA5" w:rsidRDefault="00322900" w:rsidP="00322900">
      <w:pPr>
        <w:pStyle w:val="BodyText"/>
        <w:spacing w:after="0"/>
        <w:jc w:val="both"/>
        <w:rPr>
          <w:sz w:val="20"/>
          <w:szCs w:val="20"/>
          <w:lang w:val="en-US"/>
        </w:rPr>
      </w:pPr>
      <w:r w:rsidRPr="00F55CA5">
        <w:rPr>
          <w:b/>
          <w:sz w:val="20"/>
          <w:szCs w:val="20"/>
          <w:lang w:val="en-US"/>
        </w:rPr>
        <w:t>UPON APPLICATION</w:t>
      </w:r>
      <w:r w:rsidRPr="00F55CA5">
        <w:rPr>
          <w:sz w:val="20"/>
          <w:szCs w:val="20"/>
          <w:lang w:val="en-US"/>
        </w:rPr>
        <w:t xml:space="preserve"> by counsel on behalf of the respondents for an order extending the time within which to serve and file a joint response to the three applications for leave to appeal to February 8, 2012.</w:t>
      </w:r>
    </w:p>
    <w:p w:rsidR="00322900" w:rsidRPr="00F55CA5" w:rsidRDefault="00322900" w:rsidP="00322900">
      <w:pPr>
        <w:pStyle w:val="BodyText"/>
        <w:spacing w:after="0"/>
        <w:jc w:val="both"/>
        <w:rPr>
          <w:b/>
          <w:sz w:val="20"/>
          <w:szCs w:val="20"/>
          <w:lang w:val="en-US"/>
        </w:rPr>
      </w:pPr>
    </w:p>
    <w:p w:rsidR="007E261F" w:rsidRDefault="007E261F">
      <w:pPr>
        <w:rPr>
          <w:rFonts w:eastAsia="Times New Roman" w:cs="Times New Roman"/>
          <w:b/>
          <w:sz w:val="20"/>
          <w:szCs w:val="20"/>
          <w:lang w:val="en-US"/>
        </w:rPr>
      </w:pPr>
      <w:r>
        <w:rPr>
          <w:b/>
          <w:sz w:val="20"/>
          <w:szCs w:val="20"/>
          <w:lang w:val="en-US"/>
        </w:rPr>
        <w:br w:type="page"/>
      </w:r>
    </w:p>
    <w:p w:rsidR="00322900" w:rsidRPr="00F55CA5" w:rsidRDefault="00322900" w:rsidP="00322900">
      <w:pPr>
        <w:pStyle w:val="BodyText"/>
        <w:spacing w:after="0"/>
        <w:jc w:val="both"/>
        <w:rPr>
          <w:sz w:val="20"/>
          <w:szCs w:val="20"/>
          <w:lang w:val="en-US"/>
        </w:rPr>
      </w:pPr>
      <w:r w:rsidRPr="00F55CA5">
        <w:rPr>
          <w:b/>
          <w:sz w:val="20"/>
          <w:szCs w:val="20"/>
          <w:lang w:val="en-US"/>
        </w:rPr>
        <w:lastRenderedPageBreak/>
        <w:t>IT IS ORDERED</w:t>
      </w:r>
      <w:r w:rsidRPr="00F55CA5">
        <w:rPr>
          <w:sz w:val="20"/>
          <w:szCs w:val="20"/>
          <w:lang w:val="en-US"/>
        </w:rPr>
        <w:t xml:space="preserve"> that the motion is granted.</w:t>
      </w:r>
    </w:p>
    <w:p w:rsidR="00322900" w:rsidRDefault="00322900" w:rsidP="00322900">
      <w:pPr>
        <w:tabs>
          <w:tab w:val="left" w:pos="-1440"/>
          <w:tab w:val="left" w:pos="-720"/>
        </w:tabs>
        <w:jc w:val="both"/>
        <w:rPr>
          <w:sz w:val="20"/>
          <w:szCs w:val="20"/>
          <w:lang w:val="en-US"/>
        </w:rPr>
      </w:pPr>
    </w:p>
    <w:p w:rsidR="007E261F" w:rsidRPr="007E261F" w:rsidRDefault="007E261F" w:rsidP="00322900">
      <w:pPr>
        <w:tabs>
          <w:tab w:val="left" w:pos="-1440"/>
          <w:tab w:val="left" w:pos="-720"/>
        </w:tabs>
        <w:jc w:val="both"/>
        <w:rPr>
          <w:sz w:val="20"/>
          <w:szCs w:val="20"/>
          <w:lang w:val="en-US"/>
        </w:rPr>
      </w:pPr>
    </w:p>
    <w:p w:rsidR="00322900" w:rsidRPr="00F55CA5" w:rsidRDefault="00322900" w:rsidP="00322900">
      <w:pPr>
        <w:tabs>
          <w:tab w:val="left" w:pos="-1440"/>
          <w:tab w:val="left" w:pos="-720"/>
        </w:tabs>
        <w:jc w:val="both"/>
        <w:rPr>
          <w:sz w:val="20"/>
          <w:szCs w:val="20"/>
        </w:rPr>
      </w:pPr>
    </w:p>
    <w:p w:rsidR="00322900" w:rsidRPr="00F55CA5" w:rsidRDefault="00322900" w:rsidP="00322900">
      <w:pPr>
        <w:pStyle w:val="BodyText"/>
        <w:spacing w:after="0"/>
        <w:jc w:val="both"/>
        <w:rPr>
          <w:sz w:val="20"/>
          <w:szCs w:val="20"/>
          <w:lang w:val="fr-CA"/>
        </w:rPr>
      </w:pPr>
      <w:r w:rsidRPr="00F55CA5">
        <w:rPr>
          <w:b/>
          <w:sz w:val="20"/>
          <w:szCs w:val="20"/>
          <w:lang w:val="fr-CA"/>
        </w:rPr>
        <w:t xml:space="preserve">À LA SUITE DE LA DEMANDE </w:t>
      </w:r>
      <w:r w:rsidRPr="00F55CA5">
        <w:rPr>
          <w:sz w:val="20"/>
          <w:szCs w:val="20"/>
          <w:lang w:val="fr-CA"/>
        </w:rPr>
        <w:t xml:space="preserve">présentée au nom des intimés en prorogation du délai de signification et de dépôt d’une réponse conjointe aux trois demandes d’autorisation d’appel jusqu’au 8 février 2012. </w:t>
      </w:r>
    </w:p>
    <w:p w:rsidR="00322900" w:rsidRPr="00F55CA5" w:rsidRDefault="00322900" w:rsidP="00322900">
      <w:pPr>
        <w:pStyle w:val="BodyText"/>
        <w:spacing w:after="0"/>
        <w:jc w:val="both"/>
        <w:rPr>
          <w:b/>
          <w:sz w:val="20"/>
          <w:szCs w:val="20"/>
          <w:lang w:val="fr-CA"/>
        </w:rPr>
      </w:pPr>
    </w:p>
    <w:p w:rsidR="00322900" w:rsidRPr="00F55CA5" w:rsidRDefault="00322900" w:rsidP="00322900">
      <w:pPr>
        <w:pStyle w:val="BodyText"/>
        <w:spacing w:after="0"/>
        <w:jc w:val="both"/>
        <w:rPr>
          <w:sz w:val="20"/>
          <w:szCs w:val="20"/>
          <w:lang w:val="fr-CA"/>
        </w:rPr>
      </w:pPr>
      <w:r w:rsidRPr="00F55CA5">
        <w:rPr>
          <w:b/>
          <w:sz w:val="20"/>
          <w:szCs w:val="20"/>
          <w:lang w:val="fr-CA"/>
        </w:rPr>
        <w:t xml:space="preserve">IL EST ORDONNÉ </w:t>
      </w:r>
      <w:r w:rsidRPr="00F55CA5">
        <w:rPr>
          <w:sz w:val="20"/>
          <w:szCs w:val="20"/>
          <w:lang w:val="fr-CA"/>
        </w:rPr>
        <w:t>que la requête est accueillie.</w:t>
      </w:r>
    </w:p>
    <w:p w:rsidR="00322900" w:rsidRPr="00F55CA5" w:rsidRDefault="00322900" w:rsidP="00322900">
      <w:pPr>
        <w:tabs>
          <w:tab w:val="left" w:pos="-1440"/>
          <w:tab w:val="left" w:pos="-720"/>
        </w:tabs>
        <w:jc w:val="both"/>
        <w:rPr>
          <w:sz w:val="20"/>
          <w:szCs w:val="20"/>
          <w:lang w:val="fr-CA"/>
        </w:rPr>
      </w:pPr>
    </w:p>
    <w:p w:rsidR="00322900" w:rsidRPr="00F55CA5" w:rsidRDefault="0011031E" w:rsidP="00322900">
      <w:pPr>
        <w:tabs>
          <w:tab w:val="left" w:pos="-1440"/>
          <w:tab w:val="left" w:pos="-720"/>
        </w:tabs>
        <w:jc w:val="both"/>
        <w:rPr>
          <w:sz w:val="20"/>
          <w:szCs w:val="20"/>
        </w:rPr>
      </w:pPr>
      <w:r w:rsidRPr="0011031E">
        <w:rPr>
          <w:sz w:val="20"/>
          <w:szCs w:val="20"/>
          <w:lang w:val="fr-CA"/>
        </w:rPr>
        <w:pict>
          <v:rect id="_x0000_i1057" style="width:2in;height:1pt" o:hrpct="0" o:hralign="center" o:hrstd="t" o:hrnoshade="t" o:hr="t" fillcolor="black [3213]" stroked="f"/>
        </w:pict>
      </w:r>
    </w:p>
    <w:p w:rsidR="00322900" w:rsidRPr="00F55CA5" w:rsidRDefault="00322900" w:rsidP="00322900">
      <w:pPr>
        <w:rPr>
          <w:sz w:val="20"/>
          <w:szCs w:val="20"/>
        </w:rPr>
      </w:pPr>
    </w:p>
    <w:p w:rsidR="00322900" w:rsidRPr="00F55CA5" w:rsidRDefault="00322900" w:rsidP="00322900">
      <w:pPr>
        <w:tabs>
          <w:tab w:val="left" w:pos="-1440"/>
          <w:tab w:val="left" w:pos="-720"/>
        </w:tabs>
        <w:jc w:val="both"/>
        <w:rPr>
          <w:sz w:val="20"/>
          <w:szCs w:val="20"/>
        </w:rPr>
      </w:pPr>
      <w:r w:rsidRPr="00F55CA5">
        <w:rPr>
          <w:sz w:val="20"/>
          <w:szCs w:val="20"/>
        </w:rPr>
        <w:t>12.03.2012</w:t>
      </w:r>
    </w:p>
    <w:p w:rsidR="00322900" w:rsidRPr="00F55CA5" w:rsidRDefault="00322900" w:rsidP="00322900">
      <w:pPr>
        <w:tabs>
          <w:tab w:val="left" w:pos="-1440"/>
          <w:tab w:val="left" w:pos="-720"/>
        </w:tabs>
        <w:jc w:val="both"/>
        <w:rPr>
          <w:sz w:val="20"/>
          <w:szCs w:val="20"/>
        </w:rPr>
      </w:pPr>
    </w:p>
    <w:p w:rsidR="00322900" w:rsidRPr="00F55CA5" w:rsidRDefault="00322900" w:rsidP="00322900">
      <w:pPr>
        <w:tabs>
          <w:tab w:val="left" w:pos="-1440"/>
          <w:tab w:val="left" w:pos="-720"/>
        </w:tabs>
        <w:jc w:val="both"/>
        <w:rPr>
          <w:sz w:val="20"/>
          <w:szCs w:val="20"/>
        </w:rPr>
      </w:pPr>
      <w:r w:rsidRPr="00F55CA5">
        <w:rPr>
          <w:sz w:val="20"/>
          <w:szCs w:val="20"/>
        </w:rPr>
        <w:t xml:space="preserve">Before / Devant :   </w:t>
      </w:r>
      <w:r w:rsidRPr="00F55CA5">
        <w:rPr>
          <w:sz w:val="20"/>
          <w:szCs w:val="20"/>
          <w:lang w:val="fr-CA"/>
        </w:rPr>
        <w:t>THE REGISTRAR / LE REGISTRAIRE</w:t>
      </w:r>
    </w:p>
    <w:p w:rsidR="00322900" w:rsidRPr="00F55CA5" w:rsidRDefault="00322900" w:rsidP="00322900">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22900" w:rsidRPr="007D5BF8" w:rsidTr="006F4141">
        <w:tc>
          <w:tcPr>
            <w:tcW w:w="4338" w:type="dxa"/>
          </w:tcPr>
          <w:p w:rsidR="00322900" w:rsidRPr="00F55CA5" w:rsidRDefault="0011031E" w:rsidP="006F4141">
            <w:pPr>
              <w:tabs>
                <w:tab w:val="left" w:pos="-1440"/>
                <w:tab w:val="left" w:pos="-720"/>
              </w:tabs>
              <w:jc w:val="both"/>
              <w:rPr>
                <w:sz w:val="20"/>
                <w:szCs w:val="20"/>
              </w:rPr>
            </w:pPr>
            <w:r w:rsidRPr="00F55CA5">
              <w:rPr>
                <w:sz w:val="20"/>
                <w:szCs w:val="20"/>
              </w:rPr>
              <w:fldChar w:fldCharType="begin"/>
            </w:r>
            <w:r w:rsidR="00322900" w:rsidRPr="00F55CA5">
              <w:rPr>
                <w:sz w:val="20"/>
                <w:szCs w:val="20"/>
              </w:rPr>
              <w:instrText xml:space="preserve"> SEQ CHAPTER \h \r 1</w:instrText>
            </w:r>
            <w:r w:rsidRPr="00F55CA5">
              <w:rPr>
                <w:sz w:val="20"/>
                <w:szCs w:val="20"/>
              </w:rPr>
              <w:fldChar w:fldCharType="end"/>
            </w:r>
            <w:r w:rsidR="00322900" w:rsidRPr="00F55CA5">
              <w:rPr>
                <w:b/>
                <w:bCs/>
                <w:sz w:val="20"/>
                <w:szCs w:val="20"/>
              </w:rPr>
              <w:t>Motion to extend the time to serve and file the appellant’s record, factum and book of authorities to February 27, 2012</w:t>
            </w:r>
            <w:r w:rsidRPr="00F55CA5">
              <w:rPr>
                <w:sz w:val="20"/>
                <w:szCs w:val="20"/>
              </w:rPr>
              <w:fldChar w:fldCharType="begin"/>
            </w:r>
            <w:r w:rsidR="00322900" w:rsidRPr="00F55CA5">
              <w:rPr>
                <w:sz w:val="20"/>
                <w:szCs w:val="20"/>
              </w:rPr>
              <w:instrText xml:space="preserve"> SEQ CHAPTER \h \r 1</w:instrText>
            </w:r>
            <w:r w:rsidRPr="00F55CA5">
              <w:rPr>
                <w:sz w:val="20"/>
                <w:szCs w:val="20"/>
              </w:rPr>
              <w:fldChar w:fldCharType="end"/>
            </w:r>
            <w:r w:rsidR="00322900" w:rsidRPr="00F55CA5">
              <w:rPr>
                <w:b/>
                <w:bCs/>
                <w:sz w:val="20"/>
                <w:szCs w:val="20"/>
              </w:rPr>
              <w:t xml:space="preserve"> </w:t>
            </w:r>
          </w:p>
        </w:tc>
        <w:tc>
          <w:tcPr>
            <w:tcW w:w="1170" w:type="dxa"/>
          </w:tcPr>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p>
        </w:tc>
        <w:tc>
          <w:tcPr>
            <w:tcW w:w="4327" w:type="dxa"/>
          </w:tcPr>
          <w:p w:rsidR="00322900" w:rsidRPr="00F55CA5" w:rsidRDefault="0011031E" w:rsidP="006F4141">
            <w:pPr>
              <w:tabs>
                <w:tab w:val="left" w:pos="-1440"/>
                <w:tab w:val="left" w:pos="-720"/>
              </w:tabs>
              <w:jc w:val="both"/>
              <w:rPr>
                <w:sz w:val="20"/>
                <w:szCs w:val="20"/>
                <w:lang w:val="fr-CA"/>
              </w:rPr>
            </w:pP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r w:rsidR="00322900" w:rsidRPr="00F55CA5">
              <w:rPr>
                <w:b/>
                <w:bCs/>
                <w:sz w:val="20"/>
                <w:szCs w:val="20"/>
                <w:lang w:val="fr-CA"/>
              </w:rPr>
              <w:t>Requête en prorogation du délai de signification et de dépôt des dossier, mémoire et recueil de sources de l’appelant jusqu’au 27 février 2012</w:t>
            </w: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p>
        </w:tc>
      </w:tr>
      <w:tr w:rsidR="00322900" w:rsidRPr="00F55CA5" w:rsidTr="006F4141">
        <w:tc>
          <w:tcPr>
            <w:tcW w:w="4338" w:type="dxa"/>
          </w:tcPr>
          <w:p w:rsidR="00322900" w:rsidRPr="00F55CA5" w:rsidRDefault="00322900" w:rsidP="006F4141">
            <w:pPr>
              <w:tabs>
                <w:tab w:val="left" w:pos="-1440"/>
                <w:tab w:val="left" w:pos="-720"/>
              </w:tabs>
              <w:jc w:val="both"/>
              <w:rPr>
                <w:sz w:val="20"/>
                <w:szCs w:val="20"/>
              </w:rPr>
            </w:pPr>
            <w:r w:rsidRPr="00F55CA5">
              <w:rPr>
                <w:sz w:val="20"/>
                <w:szCs w:val="20"/>
              </w:rPr>
              <w:t xml:space="preserve">Mohammad </w:t>
            </w:r>
            <w:proofErr w:type="spellStart"/>
            <w:r w:rsidRPr="00F55CA5">
              <w:rPr>
                <w:sz w:val="20"/>
                <w:szCs w:val="20"/>
              </w:rPr>
              <w:t>Momin</w:t>
            </w:r>
            <w:proofErr w:type="spellEnd"/>
            <w:r w:rsidRPr="00F55CA5">
              <w:rPr>
                <w:sz w:val="20"/>
                <w:szCs w:val="20"/>
              </w:rPr>
              <w:t xml:space="preserve"> </w:t>
            </w:r>
            <w:proofErr w:type="spellStart"/>
            <w:r w:rsidRPr="00F55CA5">
              <w:rPr>
                <w:sz w:val="20"/>
                <w:szCs w:val="20"/>
              </w:rPr>
              <w:t>Khawaja</w:t>
            </w:r>
            <w:proofErr w:type="spellEnd"/>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ab/>
              <w:t>v. (34103)</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Her Majesty the Queen (Crim.) (Ont.)</w:t>
            </w:r>
          </w:p>
        </w:tc>
        <w:tc>
          <w:tcPr>
            <w:tcW w:w="1170" w:type="dxa"/>
          </w:tcPr>
          <w:p w:rsidR="00322900" w:rsidRPr="00F55CA5" w:rsidRDefault="00322900" w:rsidP="006F4141">
            <w:pPr>
              <w:tabs>
                <w:tab w:val="left" w:pos="-1440"/>
                <w:tab w:val="left" w:pos="-720"/>
              </w:tabs>
              <w:jc w:val="both"/>
              <w:rPr>
                <w:sz w:val="20"/>
                <w:szCs w:val="20"/>
              </w:rPr>
            </w:pPr>
          </w:p>
        </w:tc>
        <w:tc>
          <w:tcPr>
            <w:tcW w:w="4327" w:type="dxa"/>
          </w:tcPr>
          <w:p w:rsidR="00322900" w:rsidRPr="00F55CA5" w:rsidRDefault="00322900" w:rsidP="006F4141">
            <w:pPr>
              <w:tabs>
                <w:tab w:val="left" w:pos="-1440"/>
                <w:tab w:val="left" w:pos="-720"/>
              </w:tabs>
              <w:jc w:val="both"/>
              <w:rPr>
                <w:sz w:val="20"/>
                <w:szCs w:val="20"/>
              </w:rPr>
            </w:pPr>
          </w:p>
        </w:tc>
      </w:tr>
    </w:tbl>
    <w:p w:rsidR="00322900" w:rsidRPr="00F55CA5" w:rsidRDefault="00322900" w:rsidP="00322900">
      <w:pPr>
        <w:tabs>
          <w:tab w:val="left" w:pos="-1440"/>
          <w:tab w:val="left" w:pos="-720"/>
        </w:tabs>
        <w:jc w:val="both"/>
        <w:rPr>
          <w:b/>
          <w:sz w:val="20"/>
          <w:szCs w:val="20"/>
        </w:rPr>
      </w:pPr>
    </w:p>
    <w:p w:rsidR="00322900" w:rsidRPr="00F55CA5" w:rsidRDefault="00322900" w:rsidP="00322900">
      <w:pPr>
        <w:tabs>
          <w:tab w:val="left" w:pos="-1440"/>
          <w:tab w:val="left" w:pos="-720"/>
        </w:tabs>
        <w:jc w:val="both"/>
        <w:rPr>
          <w:sz w:val="20"/>
          <w:szCs w:val="20"/>
        </w:rPr>
      </w:pPr>
      <w:r w:rsidRPr="00F55CA5">
        <w:rPr>
          <w:b/>
          <w:sz w:val="20"/>
          <w:szCs w:val="20"/>
        </w:rPr>
        <w:t>GRANTED / ACCORDÉE</w:t>
      </w:r>
    </w:p>
    <w:p w:rsidR="00322900" w:rsidRPr="00F55CA5" w:rsidRDefault="00322900" w:rsidP="00322900">
      <w:pPr>
        <w:tabs>
          <w:tab w:val="left" w:pos="-1440"/>
          <w:tab w:val="left" w:pos="-720"/>
        </w:tabs>
        <w:jc w:val="both"/>
        <w:rPr>
          <w:sz w:val="20"/>
          <w:szCs w:val="20"/>
        </w:rPr>
      </w:pPr>
    </w:p>
    <w:p w:rsidR="00322900" w:rsidRPr="00F55CA5" w:rsidRDefault="00322900" w:rsidP="00322900">
      <w:pPr>
        <w:tabs>
          <w:tab w:val="left" w:pos="-1440"/>
          <w:tab w:val="left" w:pos="-720"/>
        </w:tabs>
        <w:spacing w:line="-19" w:lineRule="auto"/>
        <w:jc w:val="both"/>
        <w:rPr>
          <w:sz w:val="20"/>
          <w:szCs w:val="20"/>
          <w:lang w:val="fr-CA"/>
        </w:rPr>
      </w:pPr>
    </w:p>
    <w:p w:rsidR="00322900" w:rsidRPr="00F55CA5" w:rsidRDefault="0011031E" w:rsidP="00322900">
      <w:pPr>
        <w:tabs>
          <w:tab w:val="left" w:pos="-1440"/>
          <w:tab w:val="left" w:pos="-720"/>
        </w:tabs>
        <w:jc w:val="both"/>
        <w:rPr>
          <w:sz w:val="20"/>
          <w:szCs w:val="20"/>
        </w:rPr>
      </w:pPr>
      <w:r w:rsidRPr="0011031E">
        <w:rPr>
          <w:sz w:val="20"/>
          <w:szCs w:val="20"/>
          <w:lang w:val="fr-CA"/>
        </w:rPr>
        <w:pict>
          <v:rect id="_x0000_i1058" style="width:2in;height:1pt" o:hrpct="0" o:hralign="center" o:hrstd="t" o:hrnoshade="t" o:hr="t" fillcolor="black [3213]" stroked="f"/>
        </w:pict>
      </w:r>
    </w:p>
    <w:p w:rsidR="00322900" w:rsidRPr="00F55CA5" w:rsidRDefault="00322900" w:rsidP="00322900">
      <w:pPr>
        <w:tabs>
          <w:tab w:val="left" w:pos="-1440"/>
          <w:tab w:val="left" w:pos="-720"/>
        </w:tabs>
        <w:jc w:val="both"/>
        <w:rPr>
          <w:sz w:val="20"/>
          <w:szCs w:val="20"/>
          <w:lang w:val="fr-CA"/>
        </w:rPr>
      </w:pPr>
    </w:p>
    <w:p w:rsidR="00322900" w:rsidRPr="00F55CA5" w:rsidRDefault="00322900" w:rsidP="00322900">
      <w:pPr>
        <w:tabs>
          <w:tab w:val="left" w:pos="-1440"/>
          <w:tab w:val="left" w:pos="-720"/>
        </w:tabs>
        <w:jc w:val="both"/>
        <w:rPr>
          <w:sz w:val="20"/>
          <w:szCs w:val="20"/>
        </w:rPr>
      </w:pPr>
      <w:r w:rsidRPr="00F55CA5">
        <w:rPr>
          <w:sz w:val="20"/>
          <w:szCs w:val="20"/>
        </w:rPr>
        <w:t>13.03.2012</w:t>
      </w:r>
    </w:p>
    <w:p w:rsidR="00322900" w:rsidRPr="00F55CA5" w:rsidRDefault="00322900" w:rsidP="00322900">
      <w:pPr>
        <w:tabs>
          <w:tab w:val="left" w:pos="-1440"/>
          <w:tab w:val="left" w:pos="-720"/>
        </w:tabs>
        <w:jc w:val="both"/>
        <w:rPr>
          <w:sz w:val="20"/>
          <w:szCs w:val="20"/>
        </w:rPr>
      </w:pPr>
    </w:p>
    <w:p w:rsidR="00322900" w:rsidRPr="00F55CA5" w:rsidRDefault="00322900" w:rsidP="00322900">
      <w:pPr>
        <w:tabs>
          <w:tab w:val="left" w:pos="-1440"/>
          <w:tab w:val="left" w:pos="-720"/>
        </w:tabs>
        <w:jc w:val="both"/>
        <w:rPr>
          <w:sz w:val="20"/>
          <w:szCs w:val="20"/>
        </w:rPr>
      </w:pPr>
      <w:r w:rsidRPr="00F55CA5">
        <w:rPr>
          <w:sz w:val="20"/>
          <w:szCs w:val="20"/>
        </w:rPr>
        <w:t xml:space="preserve">Before / Devant :   </w:t>
      </w:r>
      <w:r w:rsidRPr="00F55CA5">
        <w:rPr>
          <w:sz w:val="20"/>
          <w:szCs w:val="20"/>
          <w:lang w:val="fr-CA"/>
        </w:rPr>
        <w:t>THE REGISTRAR / LE REGISTRAIRE</w:t>
      </w:r>
    </w:p>
    <w:p w:rsidR="00322900" w:rsidRPr="00F55CA5" w:rsidRDefault="00322900" w:rsidP="00322900">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22900" w:rsidRPr="007D5BF8" w:rsidTr="006F4141">
        <w:tc>
          <w:tcPr>
            <w:tcW w:w="4338" w:type="dxa"/>
          </w:tcPr>
          <w:p w:rsidR="00322900" w:rsidRPr="00F55CA5" w:rsidRDefault="0011031E" w:rsidP="006F4141">
            <w:pPr>
              <w:tabs>
                <w:tab w:val="left" w:pos="-1440"/>
                <w:tab w:val="left" w:pos="-720"/>
              </w:tabs>
              <w:jc w:val="both"/>
              <w:rPr>
                <w:sz w:val="20"/>
                <w:szCs w:val="20"/>
              </w:rPr>
            </w:pPr>
            <w:r w:rsidRPr="00F55CA5">
              <w:rPr>
                <w:sz w:val="20"/>
                <w:szCs w:val="20"/>
              </w:rPr>
              <w:fldChar w:fldCharType="begin"/>
            </w:r>
            <w:r w:rsidR="00322900" w:rsidRPr="00F55CA5">
              <w:rPr>
                <w:sz w:val="20"/>
                <w:szCs w:val="20"/>
              </w:rPr>
              <w:instrText xml:space="preserve"> SEQ CHAPTER \h \r 1</w:instrText>
            </w:r>
            <w:r w:rsidRPr="00F55CA5">
              <w:rPr>
                <w:sz w:val="20"/>
                <w:szCs w:val="20"/>
              </w:rPr>
              <w:fldChar w:fldCharType="end"/>
            </w:r>
            <w:r w:rsidR="00322900" w:rsidRPr="00F55CA5">
              <w:rPr>
                <w:b/>
                <w:bCs/>
                <w:sz w:val="20"/>
                <w:szCs w:val="20"/>
              </w:rPr>
              <w:t>Motion to extend the time to serve and file the respondent’s response to March 19, 2012</w:t>
            </w:r>
            <w:r w:rsidRPr="00F55CA5">
              <w:rPr>
                <w:sz w:val="20"/>
                <w:szCs w:val="20"/>
              </w:rPr>
              <w:fldChar w:fldCharType="begin"/>
            </w:r>
            <w:r w:rsidR="00322900" w:rsidRPr="00F55CA5">
              <w:rPr>
                <w:sz w:val="20"/>
                <w:szCs w:val="20"/>
              </w:rPr>
              <w:instrText xml:space="preserve"> SEQ CHAPTER \h \r 1</w:instrText>
            </w:r>
            <w:r w:rsidRPr="00F55CA5">
              <w:rPr>
                <w:sz w:val="20"/>
                <w:szCs w:val="20"/>
              </w:rPr>
              <w:fldChar w:fldCharType="end"/>
            </w:r>
            <w:r w:rsidR="00322900" w:rsidRPr="00F55CA5">
              <w:rPr>
                <w:b/>
                <w:bCs/>
                <w:sz w:val="20"/>
                <w:szCs w:val="20"/>
              </w:rPr>
              <w:t xml:space="preserve"> </w:t>
            </w:r>
          </w:p>
        </w:tc>
        <w:tc>
          <w:tcPr>
            <w:tcW w:w="1170" w:type="dxa"/>
          </w:tcPr>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p>
        </w:tc>
        <w:tc>
          <w:tcPr>
            <w:tcW w:w="4327" w:type="dxa"/>
          </w:tcPr>
          <w:p w:rsidR="00322900" w:rsidRPr="00F55CA5" w:rsidRDefault="0011031E" w:rsidP="006F4141">
            <w:pPr>
              <w:tabs>
                <w:tab w:val="left" w:pos="-1440"/>
                <w:tab w:val="left" w:pos="-720"/>
              </w:tabs>
              <w:jc w:val="both"/>
              <w:rPr>
                <w:sz w:val="20"/>
                <w:szCs w:val="20"/>
                <w:lang w:val="fr-CA"/>
              </w:rPr>
            </w:pP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r w:rsidR="00322900" w:rsidRPr="00F55CA5">
              <w:rPr>
                <w:b/>
                <w:bCs/>
                <w:sz w:val="20"/>
                <w:szCs w:val="20"/>
                <w:lang w:val="fr-CA"/>
              </w:rPr>
              <w:t xml:space="preserve">Requête en prorogation du délai de signification et de dépôt de la réponse de l’intimée jusqu’au 19 mars 2012 </w:t>
            </w: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p>
        </w:tc>
      </w:tr>
      <w:tr w:rsidR="00322900" w:rsidRPr="00F55CA5" w:rsidTr="006F4141">
        <w:tc>
          <w:tcPr>
            <w:tcW w:w="4338" w:type="dxa"/>
          </w:tcPr>
          <w:p w:rsidR="00322900" w:rsidRPr="00F55CA5" w:rsidRDefault="00322900" w:rsidP="006F4141">
            <w:pPr>
              <w:tabs>
                <w:tab w:val="left" w:pos="-1440"/>
                <w:tab w:val="left" w:pos="-720"/>
              </w:tabs>
              <w:jc w:val="both"/>
              <w:rPr>
                <w:sz w:val="20"/>
                <w:szCs w:val="20"/>
                <w:lang w:val="fr-CA"/>
              </w:rPr>
            </w:pPr>
            <w:r w:rsidRPr="00F55CA5">
              <w:rPr>
                <w:sz w:val="20"/>
                <w:szCs w:val="20"/>
                <w:lang w:val="fr-CA"/>
              </w:rPr>
              <w:t>Shawn Denver-Lambert</w:t>
            </w:r>
          </w:p>
          <w:p w:rsidR="00322900" w:rsidRPr="00F55CA5" w:rsidRDefault="00322900" w:rsidP="006F4141">
            <w:pPr>
              <w:tabs>
                <w:tab w:val="left" w:pos="-1440"/>
                <w:tab w:val="left" w:pos="-720"/>
              </w:tabs>
              <w:jc w:val="both"/>
              <w:rPr>
                <w:sz w:val="20"/>
                <w:szCs w:val="20"/>
                <w:lang w:val="fr-CA"/>
              </w:rPr>
            </w:pPr>
          </w:p>
          <w:p w:rsidR="00322900" w:rsidRPr="00F55CA5" w:rsidRDefault="00322900" w:rsidP="006F4141">
            <w:pPr>
              <w:tabs>
                <w:tab w:val="left" w:pos="-1440"/>
                <w:tab w:val="left" w:pos="-720"/>
              </w:tabs>
              <w:jc w:val="both"/>
              <w:rPr>
                <w:sz w:val="20"/>
                <w:szCs w:val="20"/>
                <w:lang w:val="fr-CA"/>
              </w:rPr>
            </w:pPr>
            <w:r w:rsidRPr="00F55CA5">
              <w:rPr>
                <w:sz w:val="20"/>
                <w:szCs w:val="20"/>
                <w:lang w:val="fr-CA"/>
              </w:rPr>
              <w:tab/>
              <w:t>c. (34626)</w:t>
            </w:r>
          </w:p>
          <w:p w:rsidR="00322900" w:rsidRPr="00F55CA5" w:rsidRDefault="00322900" w:rsidP="006F4141">
            <w:pPr>
              <w:tabs>
                <w:tab w:val="left" w:pos="-1440"/>
                <w:tab w:val="left" w:pos="-720"/>
              </w:tabs>
              <w:jc w:val="both"/>
              <w:rPr>
                <w:sz w:val="20"/>
                <w:szCs w:val="20"/>
                <w:lang w:val="fr-CA"/>
              </w:rPr>
            </w:pPr>
          </w:p>
          <w:p w:rsidR="00322900" w:rsidRPr="00F55CA5" w:rsidRDefault="00322900" w:rsidP="006F4141">
            <w:pPr>
              <w:tabs>
                <w:tab w:val="left" w:pos="-1440"/>
                <w:tab w:val="left" w:pos="-720"/>
              </w:tabs>
              <w:jc w:val="both"/>
              <w:rPr>
                <w:sz w:val="20"/>
                <w:szCs w:val="20"/>
                <w:lang w:val="fr-CA"/>
              </w:rPr>
            </w:pPr>
            <w:r w:rsidRPr="00F55CA5">
              <w:rPr>
                <w:sz w:val="20"/>
                <w:szCs w:val="20"/>
                <w:lang w:val="fr-CA"/>
              </w:rPr>
              <w:t>Sa Majesté la Reine (Crim.) (Qc)</w:t>
            </w:r>
          </w:p>
        </w:tc>
        <w:tc>
          <w:tcPr>
            <w:tcW w:w="1170" w:type="dxa"/>
          </w:tcPr>
          <w:p w:rsidR="00322900" w:rsidRPr="00F55CA5" w:rsidRDefault="00322900" w:rsidP="006F4141">
            <w:pPr>
              <w:tabs>
                <w:tab w:val="left" w:pos="-1440"/>
                <w:tab w:val="left" w:pos="-720"/>
              </w:tabs>
              <w:jc w:val="both"/>
              <w:rPr>
                <w:sz w:val="20"/>
                <w:szCs w:val="20"/>
                <w:lang w:val="fr-CA"/>
              </w:rPr>
            </w:pPr>
          </w:p>
        </w:tc>
        <w:tc>
          <w:tcPr>
            <w:tcW w:w="4327" w:type="dxa"/>
          </w:tcPr>
          <w:p w:rsidR="00322900" w:rsidRPr="00F55CA5" w:rsidRDefault="00322900" w:rsidP="006F4141">
            <w:pPr>
              <w:tabs>
                <w:tab w:val="left" w:pos="-1440"/>
                <w:tab w:val="left" w:pos="-720"/>
              </w:tabs>
              <w:jc w:val="both"/>
              <w:rPr>
                <w:sz w:val="20"/>
                <w:szCs w:val="20"/>
                <w:lang w:val="fr-CA"/>
              </w:rPr>
            </w:pPr>
          </w:p>
        </w:tc>
      </w:tr>
    </w:tbl>
    <w:p w:rsidR="00322900" w:rsidRPr="00F55CA5" w:rsidRDefault="00322900" w:rsidP="00322900">
      <w:pPr>
        <w:tabs>
          <w:tab w:val="left" w:pos="-1440"/>
          <w:tab w:val="left" w:pos="-720"/>
        </w:tabs>
        <w:jc w:val="both"/>
        <w:rPr>
          <w:b/>
          <w:sz w:val="20"/>
          <w:szCs w:val="20"/>
          <w:lang w:val="fr-CA"/>
        </w:rPr>
      </w:pPr>
    </w:p>
    <w:p w:rsidR="00322900" w:rsidRPr="00F55CA5" w:rsidRDefault="00322900" w:rsidP="00322900">
      <w:pPr>
        <w:tabs>
          <w:tab w:val="left" w:pos="-1440"/>
          <w:tab w:val="left" w:pos="-720"/>
        </w:tabs>
        <w:jc w:val="both"/>
        <w:rPr>
          <w:sz w:val="20"/>
          <w:szCs w:val="20"/>
        </w:rPr>
      </w:pPr>
      <w:r w:rsidRPr="00F55CA5">
        <w:rPr>
          <w:b/>
          <w:sz w:val="20"/>
          <w:szCs w:val="20"/>
        </w:rPr>
        <w:t>GRANTED / ACCORDÉE</w:t>
      </w:r>
    </w:p>
    <w:p w:rsidR="00322900" w:rsidRPr="00F55CA5" w:rsidRDefault="00322900" w:rsidP="00322900">
      <w:pPr>
        <w:tabs>
          <w:tab w:val="left" w:pos="-1440"/>
          <w:tab w:val="left" w:pos="-720"/>
        </w:tabs>
        <w:jc w:val="both"/>
        <w:rPr>
          <w:sz w:val="20"/>
          <w:szCs w:val="20"/>
        </w:rPr>
      </w:pPr>
    </w:p>
    <w:p w:rsidR="00322900" w:rsidRPr="00F55CA5" w:rsidRDefault="00322900" w:rsidP="00322900">
      <w:pPr>
        <w:tabs>
          <w:tab w:val="left" w:pos="-1440"/>
          <w:tab w:val="left" w:pos="-720"/>
        </w:tabs>
        <w:spacing w:line="-19" w:lineRule="auto"/>
        <w:jc w:val="both"/>
        <w:rPr>
          <w:sz w:val="20"/>
          <w:szCs w:val="20"/>
          <w:lang w:val="fr-CA"/>
        </w:rPr>
      </w:pPr>
    </w:p>
    <w:p w:rsidR="00322900" w:rsidRPr="00F55CA5" w:rsidRDefault="0011031E" w:rsidP="00322900">
      <w:pPr>
        <w:tabs>
          <w:tab w:val="left" w:pos="-1440"/>
          <w:tab w:val="left" w:pos="-720"/>
        </w:tabs>
        <w:jc w:val="both"/>
        <w:rPr>
          <w:sz w:val="20"/>
          <w:szCs w:val="20"/>
        </w:rPr>
      </w:pPr>
      <w:r w:rsidRPr="0011031E">
        <w:rPr>
          <w:sz w:val="20"/>
          <w:szCs w:val="20"/>
          <w:lang w:val="fr-CA"/>
        </w:rPr>
        <w:pict>
          <v:rect id="_x0000_i1059" style="width:2in;height:1pt" o:hrpct="0" o:hralign="center" o:hrstd="t" o:hrnoshade="t" o:hr="t" fillcolor="black [3213]" stroked="f"/>
        </w:pict>
      </w:r>
    </w:p>
    <w:p w:rsidR="00322900" w:rsidRPr="00F55CA5" w:rsidRDefault="00322900" w:rsidP="00322900">
      <w:pPr>
        <w:tabs>
          <w:tab w:val="left" w:pos="-1440"/>
          <w:tab w:val="left" w:pos="-720"/>
        </w:tabs>
        <w:jc w:val="both"/>
        <w:rPr>
          <w:sz w:val="20"/>
          <w:szCs w:val="20"/>
          <w:lang w:val="fr-CA"/>
        </w:rPr>
      </w:pPr>
    </w:p>
    <w:p w:rsidR="007E261F" w:rsidRDefault="007E261F">
      <w:pPr>
        <w:rPr>
          <w:sz w:val="20"/>
          <w:szCs w:val="20"/>
          <w:lang w:val="fr-CA"/>
        </w:rPr>
      </w:pPr>
      <w:r>
        <w:rPr>
          <w:sz w:val="20"/>
          <w:szCs w:val="20"/>
          <w:lang w:val="fr-CA"/>
        </w:rPr>
        <w:br w:type="page"/>
      </w:r>
    </w:p>
    <w:p w:rsidR="00322900" w:rsidRPr="00F55CA5" w:rsidRDefault="00322900" w:rsidP="00322900">
      <w:pPr>
        <w:tabs>
          <w:tab w:val="left" w:pos="-1440"/>
          <w:tab w:val="left" w:pos="-720"/>
        </w:tabs>
        <w:jc w:val="both"/>
        <w:rPr>
          <w:sz w:val="20"/>
          <w:szCs w:val="20"/>
          <w:lang w:val="fr-CA"/>
        </w:rPr>
      </w:pPr>
      <w:r w:rsidRPr="00F55CA5">
        <w:rPr>
          <w:sz w:val="20"/>
          <w:szCs w:val="20"/>
          <w:lang w:val="fr-CA"/>
        </w:rPr>
        <w:lastRenderedPageBreak/>
        <w:t>13.03.2012</w:t>
      </w:r>
    </w:p>
    <w:p w:rsidR="00322900" w:rsidRPr="00F55CA5" w:rsidRDefault="00322900" w:rsidP="00322900">
      <w:pPr>
        <w:tabs>
          <w:tab w:val="left" w:pos="-1440"/>
          <w:tab w:val="left" w:pos="-720"/>
        </w:tabs>
        <w:jc w:val="both"/>
        <w:rPr>
          <w:sz w:val="20"/>
          <w:szCs w:val="20"/>
          <w:lang w:val="fr-CA"/>
        </w:rPr>
      </w:pPr>
    </w:p>
    <w:p w:rsidR="00322900" w:rsidRPr="00F55CA5" w:rsidRDefault="00322900" w:rsidP="00322900">
      <w:pPr>
        <w:tabs>
          <w:tab w:val="left" w:pos="-1440"/>
          <w:tab w:val="left" w:pos="-720"/>
        </w:tabs>
        <w:jc w:val="both"/>
        <w:rPr>
          <w:sz w:val="20"/>
          <w:szCs w:val="20"/>
          <w:lang w:val="fr-CA"/>
        </w:rPr>
      </w:pPr>
      <w:r w:rsidRPr="00F55CA5">
        <w:rPr>
          <w:sz w:val="20"/>
          <w:szCs w:val="20"/>
          <w:lang w:val="fr-CA"/>
        </w:rPr>
        <w:t>Before / Devant :   THE CHIEF JUSTICE / LA JUGE EN CHEF</w:t>
      </w:r>
    </w:p>
    <w:p w:rsidR="00322900" w:rsidRPr="00F55CA5" w:rsidRDefault="00322900" w:rsidP="00322900">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22900" w:rsidRPr="007D5BF8" w:rsidTr="006F4141">
        <w:tc>
          <w:tcPr>
            <w:tcW w:w="4338" w:type="dxa"/>
          </w:tcPr>
          <w:p w:rsidR="00322900" w:rsidRPr="00F55CA5" w:rsidRDefault="0011031E" w:rsidP="006F4141">
            <w:pPr>
              <w:tabs>
                <w:tab w:val="left" w:pos="-1440"/>
                <w:tab w:val="left" w:pos="-720"/>
              </w:tabs>
              <w:jc w:val="both"/>
              <w:rPr>
                <w:sz w:val="20"/>
                <w:szCs w:val="20"/>
              </w:rPr>
            </w:pPr>
            <w:r w:rsidRPr="00F55CA5">
              <w:rPr>
                <w:sz w:val="20"/>
                <w:szCs w:val="20"/>
              </w:rPr>
              <w:fldChar w:fldCharType="begin"/>
            </w:r>
            <w:r w:rsidR="00322900" w:rsidRPr="00F55CA5">
              <w:rPr>
                <w:sz w:val="20"/>
                <w:szCs w:val="20"/>
              </w:rPr>
              <w:instrText xml:space="preserve"> SEQ CHAPTER \h \r 1</w:instrText>
            </w:r>
            <w:r w:rsidRPr="00F55CA5">
              <w:rPr>
                <w:sz w:val="20"/>
                <w:szCs w:val="20"/>
              </w:rPr>
              <w:fldChar w:fldCharType="end"/>
            </w:r>
            <w:r w:rsidR="00322900" w:rsidRPr="00F55CA5">
              <w:rPr>
                <w:b/>
                <w:bCs/>
                <w:sz w:val="20"/>
                <w:szCs w:val="20"/>
              </w:rPr>
              <w:t>Motion to adduce new evidence</w:t>
            </w:r>
            <w:r w:rsidRPr="00F55CA5">
              <w:rPr>
                <w:sz w:val="20"/>
                <w:szCs w:val="20"/>
              </w:rPr>
              <w:fldChar w:fldCharType="begin"/>
            </w:r>
            <w:r w:rsidR="00322900" w:rsidRPr="00F55CA5">
              <w:rPr>
                <w:sz w:val="20"/>
                <w:szCs w:val="20"/>
              </w:rPr>
              <w:instrText xml:space="preserve"> SEQ CHAPTER \h \r 1</w:instrText>
            </w:r>
            <w:r w:rsidRPr="00F55CA5">
              <w:rPr>
                <w:sz w:val="20"/>
                <w:szCs w:val="20"/>
              </w:rPr>
              <w:fldChar w:fldCharType="end"/>
            </w:r>
            <w:r w:rsidRPr="00F55CA5">
              <w:rPr>
                <w:sz w:val="20"/>
                <w:szCs w:val="20"/>
              </w:rPr>
              <w:fldChar w:fldCharType="begin"/>
            </w:r>
            <w:r w:rsidR="00322900" w:rsidRPr="00F55CA5">
              <w:rPr>
                <w:sz w:val="20"/>
                <w:szCs w:val="20"/>
              </w:rPr>
              <w:instrText xml:space="preserve"> SEQ CHAPTER \h \r 1</w:instrText>
            </w:r>
            <w:r w:rsidRPr="00F55CA5">
              <w:rPr>
                <w:sz w:val="20"/>
                <w:szCs w:val="20"/>
              </w:rPr>
              <w:fldChar w:fldCharType="end"/>
            </w:r>
            <w:r w:rsidR="00322900" w:rsidRPr="00F55CA5">
              <w:rPr>
                <w:b/>
                <w:bCs/>
                <w:sz w:val="20"/>
                <w:szCs w:val="20"/>
              </w:rPr>
              <w:t xml:space="preserve"> </w:t>
            </w:r>
          </w:p>
        </w:tc>
        <w:tc>
          <w:tcPr>
            <w:tcW w:w="1170" w:type="dxa"/>
          </w:tcPr>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p>
        </w:tc>
        <w:tc>
          <w:tcPr>
            <w:tcW w:w="4327" w:type="dxa"/>
          </w:tcPr>
          <w:p w:rsidR="00322900" w:rsidRPr="00F55CA5" w:rsidRDefault="0011031E" w:rsidP="006F4141">
            <w:pPr>
              <w:tabs>
                <w:tab w:val="left" w:pos="-1440"/>
                <w:tab w:val="left" w:pos="-720"/>
              </w:tabs>
              <w:jc w:val="both"/>
              <w:rPr>
                <w:sz w:val="20"/>
                <w:szCs w:val="20"/>
                <w:lang w:val="fr-CA"/>
              </w:rPr>
            </w:pP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r w:rsidR="00322900" w:rsidRPr="00F55CA5">
              <w:rPr>
                <w:b/>
                <w:bCs/>
                <w:sz w:val="20"/>
                <w:szCs w:val="20"/>
                <w:lang w:val="fr-CA"/>
              </w:rPr>
              <w:t xml:space="preserve">Requête en vue de produire une nouvelle preuve </w:t>
            </w: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r w:rsidRPr="00F55CA5">
              <w:rPr>
                <w:sz w:val="20"/>
                <w:szCs w:val="20"/>
              </w:rPr>
              <w:fldChar w:fldCharType="begin"/>
            </w:r>
            <w:r w:rsidR="00322900" w:rsidRPr="00F55CA5">
              <w:rPr>
                <w:sz w:val="20"/>
                <w:szCs w:val="20"/>
                <w:lang w:val="fr-CA"/>
              </w:rPr>
              <w:instrText xml:space="preserve"> SEQ CHAPTER \h \r 1</w:instrText>
            </w:r>
            <w:r w:rsidRPr="00F55CA5">
              <w:rPr>
                <w:sz w:val="20"/>
                <w:szCs w:val="20"/>
              </w:rPr>
              <w:fldChar w:fldCharType="end"/>
            </w:r>
          </w:p>
        </w:tc>
      </w:tr>
      <w:tr w:rsidR="00322900" w:rsidRPr="00F55CA5" w:rsidTr="006F4141">
        <w:tc>
          <w:tcPr>
            <w:tcW w:w="4338" w:type="dxa"/>
          </w:tcPr>
          <w:p w:rsidR="00322900" w:rsidRPr="00F55CA5" w:rsidRDefault="00322900" w:rsidP="006F4141">
            <w:pPr>
              <w:tabs>
                <w:tab w:val="left" w:pos="-1440"/>
                <w:tab w:val="left" w:pos="-720"/>
              </w:tabs>
              <w:jc w:val="both"/>
              <w:rPr>
                <w:sz w:val="20"/>
                <w:szCs w:val="20"/>
              </w:rPr>
            </w:pPr>
            <w:r w:rsidRPr="00F55CA5">
              <w:rPr>
                <w:sz w:val="20"/>
                <w:szCs w:val="20"/>
              </w:rPr>
              <w:t>Her Majesty the Queen</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rPr>
            </w:pPr>
            <w:r w:rsidRPr="00F55CA5">
              <w:rPr>
                <w:sz w:val="20"/>
                <w:szCs w:val="20"/>
              </w:rPr>
              <w:tab/>
              <w:t>v. (34228)</w:t>
            </w:r>
          </w:p>
          <w:p w:rsidR="00322900" w:rsidRPr="00F55CA5" w:rsidRDefault="00322900" w:rsidP="006F4141">
            <w:pPr>
              <w:tabs>
                <w:tab w:val="left" w:pos="-1440"/>
                <w:tab w:val="left" w:pos="-720"/>
              </w:tabs>
              <w:jc w:val="both"/>
              <w:rPr>
                <w:sz w:val="20"/>
                <w:szCs w:val="20"/>
              </w:rPr>
            </w:pPr>
          </w:p>
          <w:p w:rsidR="00322900" w:rsidRPr="00F55CA5" w:rsidRDefault="00322900" w:rsidP="006F4141">
            <w:pPr>
              <w:tabs>
                <w:tab w:val="left" w:pos="-1440"/>
                <w:tab w:val="left" w:pos="-720"/>
              </w:tabs>
              <w:jc w:val="both"/>
              <w:rPr>
                <w:sz w:val="20"/>
                <w:szCs w:val="20"/>
                <w:lang w:val="fr-CA"/>
              </w:rPr>
            </w:pPr>
            <w:r w:rsidRPr="00F55CA5">
              <w:rPr>
                <w:sz w:val="20"/>
                <w:szCs w:val="20"/>
                <w:lang w:val="fr-CA"/>
              </w:rPr>
              <w:t>Marius Nedelcu (Crim.) (Ont.)</w:t>
            </w:r>
          </w:p>
        </w:tc>
        <w:tc>
          <w:tcPr>
            <w:tcW w:w="1170" w:type="dxa"/>
          </w:tcPr>
          <w:p w:rsidR="00322900" w:rsidRPr="00F55CA5" w:rsidRDefault="00322900" w:rsidP="006F4141">
            <w:pPr>
              <w:tabs>
                <w:tab w:val="left" w:pos="-1440"/>
                <w:tab w:val="left" w:pos="-720"/>
              </w:tabs>
              <w:jc w:val="both"/>
              <w:rPr>
                <w:sz w:val="20"/>
                <w:szCs w:val="20"/>
                <w:lang w:val="fr-CA"/>
              </w:rPr>
            </w:pPr>
          </w:p>
        </w:tc>
        <w:tc>
          <w:tcPr>
            <w:tcW w:w="4327" w:type="dxa"/>
          </w:tcPr>
          <w:p w:rsidR="00322900" w:rsidRPr="00F55CA5" w:rsidRDefault="00322900" w:rsidP="006F4141">
            <w:pPr>
              <w:tabs>
                <w:tab w:val="left" w:pos="-1440"/>
                <w:tab w:val="left" w:pos="-720"/>
              </w:tabs>
              <w:jc w:val="both"/>
              <w:rPr>
                <w:sz w:val="20"/>
                <w:szCs w:val="20"/>
                <w:lang w:val="fr-CA"/>
              </w:rPr>
            </w:pPr>
          </w:p>
        </w:tc>
      </w:tr>
    </w:tbl>
    <w:p w:rsidR="00322900" w:rsidRPr="00F55CA5" w:rsidRDefault="00322900" w:rsidP="00322900">
      <w:pPr>
        <w:tabs>
          <w:tab w:val="left" w:pos="-1440"/>
          <w:tab w:val="left" w:pos="-720"/>
        </w:tabs>
        <w:jc w:val="both"/>
        <w:rPr>
          <w:b/>
          <w:sz w:val="20"/>
          <w:szCs w:val="20"/>
          <w:lang w:val="fr-CA"/>
        </w:rPr>
      </w:pPr>
    </w:p>
    <w:p w:rsidR="00322900" w:rsidRPr="00F55CA5" w:rsidRDefault="00322900" w:rsidP="00322900">
      <w:pPr>
        <w:tabs>
          <w:tab w:val="left" w:pos="-1440"/>
          <w:tab w:val="left" w:pos="-720"/>
        </w:tabs>
        <w:jc w:val="both"/>
        <w:rPr>
          <w:b/>
          <w:sz w:val="20"/>
          <w:szCs w:val="20"/>
        </w:rPr>
      </w:pPr>
      <w:r w:rsidRPr="00F55CA5">
        <w:rPr>
          <w:b/>
          <w:sz w:val="20"/>
          <w:szCs w:val="20"/>
        </w:rPr>
        <w:t>GRANTED / ACCORDÉE</w:t>
      </w:r>
    </w:p>
    <w:p w:rsidR="00322900" w:rsidRPr="00F55CA5" w:rsidRDefault="00322900" w:rsidP="00322900">
      <w:pPr>
        <w:tabs>
          <w:tab w:val="left" w:pos="-1440"/>
          <w:tab w:val="left" w:pos="-720"/>
        </w:tabs>
        <w:jc w:val="both"/>
        <w:rPr>
          <w:sz w:val="20"/>
          <w:szCs w:val="20"/>
        </w:rPr>
      </w:pPr>
    </w:p>
    <w:p w:rsidR="00322900" w:rsidRPr="00F55CA5" w:rsidRDefault="00322900" w:rsidP="00322900">
      <w:pPr>
        <w:jc w:val="both"/>
        <w:rPr>
          <w:b/>
          <w:bCs/>
          <w:sz w:val="20"/>
          <w:szCs w:val="20"/>
        </w:rPr>
      </w:pPr>
      <w:r w:rsidRPr="00F55CA5">
        <w:rPr>
          <w:b/>
          <w:bCs/>
          <w:sz w:val="20"/>
          <w:szCs w:val="20"/>
        </w:rPr>
        <w:t xml:space="preserve">UPON APPLICATION </w:t>
      </w:r>
      <w:r w:rsidRPr="00F55CA5">
        <w:rPr>
          <w:sz w:val="20"/>
          <w:szCs w:val="20"/>
        </w:rPr>
        <w:t>by the respondent for an order admitting as fresh evidence the affidavit of Penny Georgoudis, affirmed February 13, 2012;</w:t>
      </w:r>
    </w:p>
    <w:p w:rsidR="00322900" w:rsidRPr="00F55CA5" w:rsidRDefault="00322900" w:rsidP="00322900">
      <w:pPr>
        <w:spacing w:line="233" w:lineRule="auto"/>
        <w:rPr>
          <w:sz w:val="20"/>
          <w:szCs w:val="20"/>
        </w:rPr>
      </w:pPr>
    </w:p>
    <w:p w:rsidR="00322900" w:rsidRPr="00F55CA5" w:rsidRDefault="00322900" w:rsidP="00322900">
      <w:pPr>
        <w:spacing w:line="233" w:lineRule="auto"/>
        <w:jc w:val="both"/>
        <w:rPr>
          <w:sz w:val="20"/>
          <w:szCs w:val="20"/>
        </w:rPr>
      </w:pPr>
      <w:r w:rsidRPr="00F55CA5">
        <w:rPr>
          <w:b/>
          <w:bCs/>
          <w:sz w:val="20"/>
          <w:szCs w:val="20"/>
        </w:rPr>
        <w:t>AND THE MATERIAL FILED</w:t>
      </w:r>
      <w:r w:rsidRPr="00F55CA5">
        <w:rPr>
          <w:sz w:val="20"/>
          <w:szCs w:val="20"/>
        </w:rPr>
        <w:t xml:space="preserve"> having been read;</w:t>
      </w:r>
    </w:p>
    <w:p w:rsidR="00322900" w:rsidRPr="00F55CA5" w:rsidRDefault="00322900" w:rsidP="00322900">
      <w:pPr>
        <w:spacing w:line="233" w:lineRule="auto"/>
        <w:rPr>
          <w:sz w:val="20"/>
          <w:szCs w:val="20"/>
        </w:rPr>
      </w:pPr>
    </w:p>
    <w:p w:rsidR="00322900" w:rsidRPr="00F55CA5" w:rsidRDefault="00322900" w:rsidP="00322900">
      <w:pPr>
        <w:spacing w:line="233" w:lineRule="auto"/>
        <w:rPr>
          <w:sz w:val="20"/>
          <w:szCs w:val="20"/>
        </w:rPr>
      </w:pPr>
      <w:r w:rsidRPr="00F55CA5">
        <w:rPr>
          <w:b/>
          <w:bCs/>
          <w:sz w:val="20"/>
          <w:szCs w:val="20"/>
        </w:rPr>
        <w:t>IT IS HEREBY ORDERED THAT:</w:t>
      </w:r>
    </w:p>
    <w:p w:rsidR="00322900" w:rsidRPr="00F55CA5" w:rsidRDefault="00322900" w:rsidP="00322900">
      <w:pPr>
        <w:spacing w:line="233" w:lineRule="auto"/>
        <w:rPr>
          <w:sz w:val="20"/>
          <w:szCs w:val="20"/>
        </w:rPr>
      </w:pPr>
    </w:p>
    <w:p w:rsidR="00322900" w:rsidRPr="00322900" w:rsidRDefault="00322900" w:rsidP="00322900">
      <w:pPr>
        <w:spacing w:line="233" w:lineRule="auto"/>
        <w:ind w:left="360"/>
        <w:jc w:val="both"/>
        <w:rPr>
          <w:sz w:val="20"/>
          <w:szCs w:val="20"/>
          <w:lang w:val="fr-CA"/>
        </w:rPr>
      </w:pPr>
      <w:r w:rsidRPr="00322900">
        <w:rPr>
          <w:sz w:val="20"/>
          <w:szCs w:val="20"/>
          <w:lang w:val="fr-CA"/>
        </w:rPr>
        <w:t>The motion is granted.</w:t>
      </w:r>
    </w:p>
    <w:p w:rsidR="00322900" w:rsidRPr="00322900" w:rsidRDefault="00322900" w:rsidP="00322900">
      <w:pPr>
        <w:tabs>
          <w:tab w:val="left" w:pos="-1440"/>
          <w:tab w:val="left" w:pos="-720"/>
        </w:tabs>
        <w:jc w:val="both"/>
        <w:rPr>
          <w:sz w:val="20"/>
          <w:szCs w:val="20"/>
          <w:lang w:val="fr-CA"/>
        </w:rPr>
      </w:pPr>
    </w:p>
    <w:p w:rsidR="00322900" w:rsidRPr="00322900" w:rsidRDefault="00322900" w:rsidP="00322900">
      <w:pPr>
        <w:tabs>
          <w:tab w:val="left" w:pos="-1440"/>
          <w:tab w:val="left" w:pos="-720"/>
        </w:tabs>
        <w:jc w:val="both"/>
        <w:rPr>
          <w:sz w:val="20"/>
          <w:szCs w:val="20"/>
          <w:lang w:val="fr-CA"/>
        </w:rPr>
      </w:pPr>
    </w:p>
    <w:p w:rsidR="00322900" w:rsidRPr="00322900" w:rsidRDefault="00322900" w:rsidP="00322900">
      <w:pPr>
        <w:tabs>
          <w:tab w:val="left" w:pos="-1440"/>
          <w:tab w:val="left" w:pos="-720"/>
        </w:tabs>
        <w:jc w:val="both"/>
        <w:rPr>
          <w:sz w:val="20"/>
          <w:szCs w:val="20"/>
          <w:lang w:val="fr-CA"/>
        </w:rPr>
      </w:pPr>
    </w:p>
    <w:p w:rsidR="00322900" w:rsidRPr="00F55CA5" w:rsidRDefault="00322900" w:rsidP="00322900">
      <w:pPr>
        <w:jc w:val="both"/>
        <w:rPr>
          <w:b/>
          <w:bCs/>
          <w:sz w:val="20"/>
          <w:szCs w:val="20"/>
          <w:lang w:val="fr-CA"/>
        </w:rPr>
      </w:pPr>
      <w:r w:rsidRPr="00F55CA5">
        <w:rPr>
          <w:b/>
          <w:bCs/>
          <w:sz w:val="20"/>
          <w:szCs w:val="20"/>
          <w:lang w:val="fr-CA"/>
        </w:rPr>
        <w:t xml:space="preserve">À LA SUITE DE LA DEMANDE </w:t>
      </w:r>
      <w:r w:rsidRPr="00F55CA5">
        <w:rPr>
          <w:bCs/>
          <w:sz w:val="20"/>
          <w:szCs w:val="20"/>
          <w:lang w:val="fr-CA"/>
        </w:rPr>
        <w:t>présentée par l’intimé en vue de déposer à titre de nouvelle preuve l’affidavit de Penny Georgoudis, signé le 13 février 2012</w:t>
      </w:r>
      <w:r w:rsidRPr="00F55CA5">
        <w:rPr>
          <w:sz w:val="20"/>
          <w:szCs w:val="20"/>
          <w:lang w:val="fr-CA"/>
        </w:rPr>
        <w:t>.</w:t>
      </w:r>
    </w:p>
    <w:p w:rsidR="00322900" w:rsidRPr="00F55CA5" w:rsidRDefault="00322900" w:rsidP="00322900">
      <w:pPr>
        <w:spacing w:line="233" w:lineRule="auto"/>
        <w:rPr>
          <w:sz w:val="20"/>
          <w:szCs w:val="20"/>
          <w:lang w:val="fr-CA"/>
        </w:rPr>
      </w:pPr>
    </w:p>
    <w:p w:rsidR="00322900" w:rsidRPr="00F55CA5" w:rsidRDefault="00322900" w:rsidP="00322900">
      <w:pPr>
        <w:spacing w:line="233" w:lineRule="auto"/>
        <w:jc w:val="both"/>
        <w:rPr>
          <w:sz w:val="20"/>
          <w:szCs w:val="20"/>
          <w:lang w:val="fr-CA"/>
        </w:rPr>
      </w:pPr>
      <w:r w:rsidRPr="00F55CA5">
        <w:rPr>
          <w:b/>
          <w:bCs/>
          <w:sz w:val="20"/>
          <w:szCs w:val="20"/>
          <w:lang w:val="fr-CA"/>
        </w:rPr>
        <w:t>ET APRÈS EXAMEN</w:t>
      </w:r>
      <w:r w:rsidRPr="00F55CA5">
        <w:rPr>
          <w:sz w:val="20"/>
          <w:szCs w:val="20"/>
          <w:lang w:val="fr-CA"/>
        </w:rPr>
        <w:t xml:space="preserve"> des documents déposés;</w:t>
      </w:r>
    </w:p>
    <w:p w:rsidR="00322900" w:rsidRPr="00F55CA5" w:rsidRDefault="00322900" w:rsidP="00322900">
      <w:pPr>
        <w:spacing w:line="233" w:lineRule="auto"/>
        <w:rPr>
          <w:sz w:val="20"/>
          <w:szCs w:val="20"/>
          <w:lang w:val="fr-CA"/>
        </w:rPr>
      </w:pPr>
    </w:p>
    <w:p w:rsidR="00322900" w:rsidRPr="00F55CA5" w:rsidRDefault="00322900" w:rsidP="00322900">
      <w:pPr>
        <w:spacing w:line="233" w:lineRule="auto"/>
        <w:rPr>
          <w:sz w:val="20"/>
          <w:szCs w:val="20"/>
          <w:lang w:val="fr-CA"/>
        </w:rPr>
      </w:pPr>
      <w:r w:rsidRPr="00F55CA5">
        <w:rPr>
          <w:b/>
          <w:bCs/>
          <w:sz w:val="20"/>
          <w:szCs w:val="20"/>
          <w:lang w:val="fr-CA"/>
        </w:rPr>
        <w:t>IL EST ORDONNÉ CE QUI SUIT :</w:t>
      </w:r>
    </w:p>
    <w:p w:rsidR="00322900" w:rsidRPr="00F55CA5" w:rsidRDefault="00322900" w:rsidP="00322900">
      <w:pPr>
        <w:spacing w:line="233" w:lineRule="auto"/>
        <w:rPr>
          <w:sz w:val="20"/>
          <w:szCs w:val="20"/>
          <w:lang w:val="fr-CA"/>
        </w:rPr>
      </w:pPr>
    </w:p>
    <w:p w:rsidR="00322900" w:rsidRPr="00F55CA5" w:rsidRDefault="00322900" w:rsidP="00322900">
      <w:pPr>
        <w:spacing w:line="233" w:lineRule="auto"/>
        <w:ind w:left="360"/>
        <w:jc w:val="both"/>
        <w:rPr>
          <w:sz w:val="20"/>
          <w:szCs w:val="20"/>
          <w:lang w:val="fr-CA"/>
        </w:rPr>
      </w:pPr>
      <w:r w:rsidRPr="00F55CA5">
        <w:rPr>
          <w:sz w:val="20"/>
          <w:szCs w:val="20"/>
          <w:lang w:val="fr-CA"/>
        </w:rPr>
        <w:t>La requête est accordée.</w:t>
      </w:r>
    </w:p>
    <w:p w:rsidR="00322900" w:rsidRPr="00F55CA5" w:rsidRDefault="00322900" w:rsidP="00322900">
      <w:pPr>
        <w:tabs>
          <w:tab w:val="left" w:pos="-1440"/>
          <w:tab w:val="left" w:pos="-720"/>
        </w:tabs>
        <w:jc w:val="both"/>
        <w:rPr>
          <w:sz w:val="20"/>
          <w:szCs w:val="20"/>
        </w:rPr>
      </w:pPr>
    </w:p>
    <w:p w:rsidR="00322900" w:rsidRPr="00F55CA5" w:rsidRDefault="00322900" w:rsidP="00322900">
      <w:pPr>
        <w:tabs>
          <w:tab w:val="left" w:pos="-1440"/>
          <w:tab w:val="left" w:pos="-720"/>
        </w:tabs>
        <w:spacing w:line="-19" w:lineRule="auto"/>
        <w:jc w:val="both"/>
        <w:rPr>
          <w:sz w:val="20"/>
          <w:szCs w:val="20"/>
          <w:lang w:val="fr-CA"/>
        </w:rPr>
      </w:pPr>
    </w:p>
    <w:p w:rsidR="00322900" w:rsidRPr="00F55CA5" w:rsidRDefault="0011031E" w:rsidP="00322900">
      <w:pPr>
        <w:tabs>
          <w:tab w:val="left" w:pos="-1440"/>
          <w:tab w:val="left" w:pos="-720"/>
        </w:tabs>
        <w:jc w:val="both"/>
        <w:rPr>
          <w:sz w:val="20"/>
          <w:szCs w:val="20"/>
        </w:rPr>
      </w:pPr>
      <w:r w:rsidRPr="0011031E">
        <w:rPr>
          <w:sz w:val="20"/>
          <w:szCs w:val="20"/>
          <w:lang w:val="fr-CA"/>
        </w:rPr>
        <w:pict>
          <v:rect id="_x0000_i1060" style="width:2in;height:1pt" o:hrpct="0" o:hralign="center" o:hrstd="t" o:hrnoshade="t" o:hr="t" fillcolor="black [3213]" stroked="f"/>
        </w:pict>
      </w:r>
    </w:p>
    <w:p w:rsidR="00322900" w:rsidRPr="00F55CA5" w:rsidRDefault="00322900" w:rsidP="00322900">
      <w:pPr>
        <w:tabs>
          <w:tab w:val="left" w:pos="-1440"/>
          <w:tab w:val="left" w:pos="-720"/>
        </w:tabs>
        <w:jc w:val="both"/>
        <w:rPr>
          <w:sz w:val="20"/>
          <w:szCs w:val="20"/>
        </w:rPr>
      </w:pPr>
    </w:p>
    <w:p w:rsidR="00322900" w:rsidRPr="00F55CA5" w:rsidRDefault="00322900" w:rsidP="00322900">
      <w:pPr>
        <w:tabs>
          <w:tab w:val="left" w:pos="-1440"/>
          <w:tab w:val="left" w:pos="-720"/>
        </w:tabs>
        <w:jc w:val="both"/>
        <w:rPr>
          <w:sz w:val="20"/>
          <w:szCs w:val="20"/>
          <w:lang w:val="fr-CA"/>
        </w:rPr>
      </w:pPr>
      <w:r w:rsidRPr="00F55CA5">
        <w:rPr>
          <w:sz w:val="20"/>
          <w:szCs w:val="20"/>
          <w:lang w:val="fr-CA"/>
        </w:rPr>
        <w:t>14.03.2012</w:t>
      </w:r>
    </w:p>
    <w:p w:rsidR="00322900" w:rsidRPr="00F55CA5" w:rsidRDefault="00322900" w:rsidP="00322900">
      <w:pPr>
        <w:tabs>
          <w:tab w:val="left" w:pos="-1440"/>
          <w:tab w:val="left" w:pos="-720"/>
        </w:tabs>
        <w:jc w:val="both"/>
        <w:rPr>
          <w:sz w:val="20"/>
          <w:szCs w:val="20"/>
          <w:lang w:val="fr-CA"/>
        </w:rPr>
      </w:pPr>
    </w:p>
    <w:p w:rsidR="00322900" w:rsidRPr="00F55CA5" w:rsidRDefault="00322900" w:rsidP="00322900">
      <w:pPr>
        <w:tabs>
          <w:tab w:val="left" w:pos="-1440"/>
          <w:tab w:val="left" w:pos="-720"/>
        </w:tabs>
        <w:jc w:val="both"/>
        <w:rPr>
          <w:sz w:val="20"/>
          <w:szCs w:val="20"/>
          <w:lang w:val="fr-CA"/>
        </w:rPr>
      </w:pPr>
      <w:r w:rsidRPr="00F55CA5">
        <w:rPr>
          <w:sz w:val="20"/>
          <w:szCs w:val="20"/>
          <w:lang w:val="fr-CA"/>
        </w:rPr>
        <w:t>Before / Devant :   ROTHSTEIN J. / LE JUGE ROTHSTEIN</w:t>
      </w:r>
    </w:p>
    <w:p w:rsidR="00322900" w:rsidRPr="00F55CA5" w:rsidRDefault="00322900" w:rsidP="00322900">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22900" w:rsidRPr="00F55CA5" w:rsidTr="006F4141">
        <w:tc>
          <w:tcPr>
            <w:tcW w:w="4338" w:type="dxa"/>
            <w:gridSpan w:val="2"/>
          </w:tcPr>
          <w:p w:rsidR="00322900" w:rsidRPr="00F55CA5" w:rsidRDefault="00322900" w:rsidP="006F4141">
            <w:pPr>
              <w:rPr>
                <w:b/>
                <w:sz w:val="20"/>
                <w:szCs w:val="20"/>
              </w:rPr>
            </w:pPr>
            <w:r w:rsidRPr="00F55CA5">
              <w:rPr>
                <w:b/>
                <w:sz w:val="20"/>
                <w:szCs w:val="20"/>
              </w:rPr>
              <w:t>Motions for leave to intervene</w:t>
            </w:r>
            <w:r w:rsidRPr="00F55CA5">
              <w:rPr>
                <w:sz w:val="20"/>
                <w:szCs w:val="20"/>
              </w:rPr>
              <w:t xml:space="preserve"> </w:t>
            </w:r>
            <w:r w:rsidR="0011031E" w:rsidRPr="00F55CA5">
              <w:rPr>
                <w:sz w:val="20"/>
                <w:szCs w:val="20"/>
              </w:rPr>
              <w:fldChar w:fldCharType="begin"/>
            </w:r>
            <w:r w:rsidRPr="00F55CA5">
              <w:rPr>
                <w:sz w:val="20"/>
                <w:szCs w:val="20"/>
              </w:rPr>
              <w:instrText xml:space="preserve"> SEQ CHAPTER \h \r 1</w:instrText>
            </w:r>
            <w:r w:rsidR="0011031E" w:rsidRPr="00F55CA5">
              <w:rPr>
                <w:sz w:val="20"/>
                <w:szCs w:val="20"/>
              </w:rPr>
              <w:fldChar w:fldCharType="end"/>
            </w:r>
          </w:p>
        </w:tc>
        <w:tc>
          <w:tcPr>
            <w:tcW w:w="1170" w:type="dxa"/>
          </w:tcPr>
          <w:p w:rsidR="00322900" w:rsidRPr="00F55CA5" w:rsidRDefault="00322900" w:rsidP="006F4141">
            <w:pPr>
              <w:rPr>
                <w:sz w:val="20"/>
                <w:szCs w:val="20"/>
              </w:rPr>
            </w:pPr>
          </w:p>
          <w:p w:rsidR="00322900" w:rsidRPr="00F55CA5" w:rsidRDefault="00322900" w:rsidP="006F4141">
            <w:pPr>
              <w:rPr>
                <w:sz w:val="20"/>
                <w:szCs w:val="20"/>
              </w:rPr>
            </w:pPr>
          </w:p>
        </w:tc>
        <w:tc>
          <w:tcPr>
            <w:tcW w:w="4327" w:type="dxa"/>
          </w:tcPr>
          <w:p w:rsidR="00322900" w:rsidRPr="00F55CA5" w:rsidRDefault="00322900" w:rsidP="006F4141">
            <w:pPr>
              <w:rPr>
                <w:b/>
                <w:sz w:val="20"/>
                <w:szCs w:val="20"/>
              </w:rPr>
            </w:pPr>
            <w:r w:rsidRPr="00F55CA5">
              <w:rPr>
                <w:b/>
                <w:bCs/>
                <w:sz w:val="20"/>
                <w:szCs w:val="20"/>
                <w:lang w:val="fr-CA"/>
              </w:rPr>
              <w:t>Requêtes en autorisation d’intervenir</w:t>
            </w:r>
            <w:r w:rsidRPr="00F55CA5">
              <w:rPr>
                <w:sz w:val="20"/>
                <w:szCs w:val="20"/>
              </w:rPr>
              <w:t xml:space="preserve"> </w:t>
            </w:r>
            <w:r w:rsidR="0011031E" w:rsidRPr="00F55CA5">
              <w:rPr>
                <w:sz w:val="20"/>
                <w:szCs w:val="20"/>
              </w:rPr>
              <w:fldChar w:fldCharType="begin"/>
            </w:r>
            <w:r w:rsidRPr="00F55CA5">
              <w:rPr>
                <w:sz w:val="20"/>
                <w:szCs w:val="20"/>
              </w:rPr>
              <w:instrText xml:space="preserve"> SEQ CHAPTER \h \r 1</w:instrText>
            </w:r>
            <w:r w:rsidR="0011031E" w:rsidRPr="00F55CA5">
              <w:rPr>
                <w:sz w:val="20"/>
                <w:szCs w:val="20"/>
              </w:rPr>
              <w:fldChar w:fldCharType="end"/>
            </w:r>
          </w:p>
        </w:tc>
      </w:tr>
      <w:tr w:rsidR="00322900" w:rsidRPr="00F55CA5" w:rsidTr="006F4141">
        <w:tc>
          <w:tcPr>
            <w:tcW w:w="1368" w:type="dxa"/>
          </w:tcPr>
          <w:p w:rsidR="00322900" w:rsidRPr="00F55CA5" w:rsidRDefault="00322900" w:rsidP="006F4141">
            <w:pPr>
              <w:rPr>
                <w:sz w:val="20"/>
                <w:szCs w:val="20"/>
              </w:rPr>
            </w:pPr>
            <w:r w:rsidRPr="00F55CA5">
              <w:rPr>
                <w:sz w:val="20"/>
                <w:szCs w:val="20"/>
              </w:rPr>
              <w:t>BY / PAR</w:t>
            </w:r>
          </w:p>
        </w:tc>
        <w:tc>
          <w:tcPr>
            <w:tcW w:w="2970" w:type="dxa"/>
          </w:tcPr>
          <w:p w:rsidR="00322900" w:rsidRPr="00F55CA5" w:rsidRDefault="00322900" w:rsidP="006F4141">
            <w:pPr>
              <w:rPr>
                <w:sz w:val="20"/>
                <w:szCs w:val="20"/>
              </w:rPr>
            </w:pPr>
            <w:r w:rsidRPr="00F55CA5">
              <w:rPr>
                <w:sz w:val="20"/>
                <w:szCs w:val="20"/>
              </w:rPr>
              <w:t>Superintendent of Financial Services;</w:t>
            </w:r>
          </w:p>
        </w:tc>
        <w:tc>
          <w:tcPr>
            <w:tcW w:w="1170" w:type="dxa"/>
          </w:tcPr>
          <w:p w:rsidR="00322900" w:rsidRPr="00F55CA5" w:rsidRDefault="00322900" w:rsidP="006F4141">
            <w:pPr>
              <w:rPr>
                <w:sz w:val="20"/>
                <w:szCs w:val="20"/>
              </w:rPr>
            </w:pPr>
          </w:p>
        </w:tc>
        <w:tc>
          <w:tcPr>
            <w:tcW w:w="4327" w:type="dxa"/>
          </w:tcPr>
          <w:p w:rsidR="00322900" w:rsidRPr="00F55CA5" w:rsidRDefault="00322900" w:rsidP="006F4141">
            <w:pPr>
              <w:rPr>
                <w:sz w:val="20"/>
                <w:szCs w:val="20"/>
              </w:rPr>
            </w:pPr>
          </w:p>
        </w:tc>
      </w:tr>
      <w:tr w:rsidR="00322900" w:rsidRPr="00F55CA5" w:rsidTr="006F4141">
        <w:tc>
          <w:tcPr>
            <w:tcW w:w="1368" w:type="dxa"/>
          </w:tcPr>
          <w:p w:rsidR="00322900" w:rsidRPr="00F55CA5" w:rsidRDefault="00322900" w:rsidP="006F4141">
            <w:pPr>
              <w:rPr>
                <w:sz w:val="20"/>
                <w:szCs w:val="20"/>
              </w:rPr>
            </w:pPr>
          </w:p>
        </w:tc>
        <w:tc>
          <w:tcPr>
            <w:tcW w:w="2970" w:type="dxa"/>
          </w:tcPr>
          <w:p w:rsidR="00322900" w:rsidRPr="00F55CA5" w:rsidRDefault="00322900" w:rsidP="006F4141">
            <w:pPr>
              <w:rPr>
                <w:sz w:val="20"/>
                <w:szCs w:val="20"/>
              </w:rPr>
            </w:pPr>
            <w:r w:rsidRPr="00F55CA5">
              <w:rPr>
                <w:sz w:val="20"/>
                <w:szCs w:val="20"/>
              </w:rPr>
              <w:t>Insolvency Institute of Canada;</w:t>
            </w:r>
          </w:p>
        </w:tc>
        <w:tc>
          <w:tcPr>
            <w:tcW w:w="1170" w:type="dxa"/>
          </w:tcPr>
          <w:p w:rsidR="00322900" w:rsidRPr="00F55CA5" w:rsidRDefault="00322900" w:rsidP="006F4141">
            <w:pPr>
              <w:rPr>
                <w:sz w:val="20"/>
                <w:szCs w:val="20"/>
              </w:rPr>
            </w:pPr>
          </w:p>
        </w:tc>
        <w:tc>
          <w:tcPr>
            <w:tcW w:w="4327" w:type="dxa"/>
          </w:tcPr>
          <w:p w:rsidR="00322900" w:rsidRPr="00F55CA5" w:rsidRDefault="00322900" w:rsidP="006F4141">
            <w:pPr>
              <w:rPr>
                <w:sz w:val="20"/>
                <w:szCs w:val="20"/>
              </w:rPr>
            </w:pPr>
          </w:p>
        </w:tc>
      </w:tr>
      <w:tr w:rsidR="00322900" w:rsidRPr="00F55CA5" w:rsidTr="006F4141">
        <w:tc>
          <w:tcPr>
            <w:tcW w:w="1368" w:type="dxa"/>
          </w:tcPr>
          <w:p w:rsidR="00322900" w:rsidRPr="00F55CA5" w:rsidRDefault="00322900" w:rsidP="006F4141">
            <w:pPr>
              <w:rPr>
                <w:sz w:val="20"/>
                <w:szCs w:val="20"/>
              </w:rPr>
            </w:pPr>
          </w:p>
        </w:tc>
        <w:tc>
          <w:tcPr>
            <w:tcW w:w="2970" w:type="dxa"/>
          </w:tcPr>
          <w:p w:rsidR="00322900" w:rsidRPr="00F55CA5" w:rsidRDefault="00322900" w:rsidP="006F4141">
            <w:pPr>
              <w:rPr>
                <w:sz w:val="20"/>
                <w:szCs w:val="20"/>
              </w:rPr>
            </w:pPr>
            <w:r w:rsidRPr="00F55CA5">
              <w:rPr>
                <w:sz w:val="20"/>
                <w:szCs w:val="20"/>
              </w:rPr>
              <w:t>Canadian Labour Congress;</w:t>
            </w:r>
          </w:p>
        </w:tc>
        <w:tc>
          <w:tcPr>
            <w:tcW w:w="1170" w:type="dxa"/>
          </w:tcPr>
          <w:p w:rsidR="00322900" w:rsidRPr="00F55CA5" w:rsidRDefault="00322900" w:rsidP="006F4141">
            <w:pPr>
              <w:rPr>
                <w:sz w:val="20"/>
                <w:szCs w:val="20"/>
              </w:rPr>
            </w:pPr>
          </w:p>
        </w:tc>
        <w:tc>
          <w:tcPr>
            <w:tcW w:w="4327" w:type="dxa"/>
          </w:tcPr>
          <w:p w:rsidR="00322900" w:rsidRPr="00F55CA5" w:rsidRDefault="00322900" w:rsidP="006F4141">
            <w:pPr>
              <w:rPr>
                <w:sz w:val="20"/>
                <w:szCs w:val="20"/>
              </w:rPr>
            </w:pPr>
          </w:p>
        </w:tc>
      </w:tr>
      <w:tr w:rsidR="00322900" w:rsidRPr="00F55CA5" w:rsidTr="006F4141">
        <w:tc>
          <w:tcPr>
            <w:tcW w:w="1368" w:type="dxa"/>
          </w:tcPr>
          <w:p w:rsidR="00322900" w:rsidRPr="00F55CA5" w:rsidRDefault="00322900" w:rsidP="006F4141">
            <w:pPr>
              <w:rPr>
                <w:sz w:val="20"/>
                <w:szCs w:val="20"/>
              </w:rPr>
            </w:pPr>
          </w:p>
        </w:tc>
        <w:tc>
          <w:tcPr>
            <w:tcW w:w="2970" w:type="dxa"/>
          </w:tcPr>
          <w:p w:rsidR="00322900" w:rsidRPr="00F55CA5" w:rsidRDefault="00322900" w:rsidP="006F4141">
            <w:pPr>
              <w:rPr>
                <w:sz w:val="20"/>
                <w:szCs w:val="20"/>
              </w:rPr>
            </w:pPr>
            <w:r w:rsidRPr="00F55CA5">
              <w:rPr>
                <w:sz w:val="20"/>
                <w:szCs w:val="20"/>
              </w:rPr>
              <w:t>Canadian Federation of Pensioners;</w:t>
            </w:r>
          </w:p>
        </w:tc>
        <w:tc>
          <w:tcPr>
            <w:tcW w:w="1170" w:type="dxa"/>
          </w:tcPr>
          <w:p w:rsidR="00322900" w:rsidRPr="00F55CA5" w:rsidRDefault="00322900" w:rsidP="006F4141">
            <w:pPr>
              <w:rPr>
                <w:sz w:val="20"/>
                <w:szCs w:val="20"/>
              </w:rPr>
            </w:pPr>
          </w:p>
        </w:tc>
        <w:tc>
          <w:tcPr>
            <w:tcW w:w="4327" w:type="dxa"/>
          </w:tcPr>
          <w:p w:rsidR="00322900" w:rsidRPr="00F55CA5" w:rsidRDefault="00322900" w:rsidP="006F4141">
            <w:pPr>
              <w:rPr>
                <w:sz w:val="20"/>
                <w:szCs w:val="20"/>
              </w:rPr>
            </w:pPr>
          </w:p>
        </w:tc>
      </w:tr>
      <w:tr w:rsidR="00322900" w:rsidRPr="00F55CA5" w:rsidTr="006F4141">
        <w:tc>
          <w:tcPr>
            <w:tcW w:w="1368" w:type="dxa"/>
          </w:tcPr>
          <w:p w:rsidR="00322900" w:rsidRPr="00F55CA5" w:rsidRDefault="00322900" w:rsidP="006F4141">
            <w:pPr>
              <w:rPr>
                <w:sz w:val="20"/>
                <w:szCs w:val="20"/>
              </w:rPr>
            </w:pPr>
          </w:p>
        </w:tc>
        <w:tc>
          <w:tcPr>
            <w:tcW w:w="2970" w:type="dxa"/>
          </w:tcPr>
          <w:p w:rsidR="00322900" w:rsidRPr="00F55CA5" w:rsidRDefault="00322900" w:rsidP="006F4141">
            <w:pPr>
              <w:rPr>
                <w:sz w:val="20"/>
                <w:szCs w:val="20"/>
              </w:rPr>
            </w:pPr>
            <w:r w:rsidRPr="00F55CA5">
              <w:rPr>
                <w:sz w:val="20"/>
                <w:szCs w:val="20"/>
              </w:rPr>
              <w:t>Canadian Association of Insolvency and Restructuring Professionals;</w:t>
            </w:r>
          </w:p>
        </w:tc>
        <w:tc>
          <w:tcPr>
            <w:tcW w:w="1170" w:type="dxa"/>
          </w:tcPr>
          <w:p w:rsidR="00322900" w:rsidRPr="00F55CA5" w:rsidRDefault="00322900" w:rsidP="006F4141">
            <w:pPr>
              <w:rPr>
                <w:sz w:val="20"/>
                <w:szCs w:val="20"/>
              </w:rPr>
            </w:pPr>
          </w:p>
        </w:tc>
        <w:tc>
          <w:tcPr>
            <w:tcW w:w="4327" w:type="dxa"/>
          </w:tcPr>
          <w:p w:rsidR="00322900" w:rsidRPr="00F55CA5" w:rsidRDefault="00322900" w:rsidP="006F4141">
            <w:pPr>
              <w:rPr>
                <w:sz w:val="20"/>
                <w:szCs w:val="20"/>
              </w:rPr>
            </w:pPr>
          </w:p>
        </w:tc>
      </w:tr>
      <w:tr w:rsidR="00322900" w:rsidRPr="00F55CA5" w:rsidTr="006F4141">
        <w:tc>
          <w:tcPr>
            <w:tcW w:w="1368" w:type="dxa"/>
          </w:tcPr>
          <w:p w:rsidR="00322900" w:rsidRPr="00F55CA5" w:rsidRDefault="00322900" w:rsidP="006F4141">
            <w:pPr>
              <w:rPr>
                <w:sz w:val="20"/>
                <w:szCs w:val="20"/>
              </w:rPr>
            </w:pPr>
          </w:p>
        </w:tc>
        <w:tc>
          <w:tcPr>
            <w:tcW w:w="2970" w:type="dxa"/>
          </w:tcPr>
          <w:p w:rsidR="00322900" w:rsidRPr="00F55CA5" w:rsidRDefault="00322900" w:rsidP="006F4141">
            <w:pPr>
              <w:rPr>
                <w:sz w:val="20"/>
                <w:szCs w:val="20"/>
              </w:rPr>
            </w:pPr>
            <w:r w:rsidRPr="00F55CA5">
              <w:rPr>
                <w:sz w:val="20"/>
                <w:szCs w:val="20"/>
              </w:rPr>
              <w:t>Canadian Bankers Association</w:t>
            </w:r>
          </w:p>
        </w:tc>
        <w:tc>
          <w:tcPr>
            <w:tcW w:w="1170" w:type="dxa"/>
          </w:tcPr>
          <w:p w:rsidR="00322900" w:rsidRPr="00F55CA5" w:rsidRDefault="00322900" w:rsidP="006F4141">
            <w:pPr>
              <w:rPr>
                <w:sz w:val="20"/>
                <w:szCs w:val="20"/>
              </w:rPr>
            </w:pPr>
          </w:p>
        </w:tc>
        <w:tc>
          <w:tcPr>
            <w:tcW w:w="4327" w:type="dxa"/>
          </w:tcPr>
          <w:p w:rsidR="00322900" w:rsidRPr="00F55CA5" w:rsidRDefault="00322900" w:rsidP="006F4141">
            <w:pPr>
              <w:rPr>
                <w:sz w:val="20"/>
                <w:szCs w:val="20"/>
              </w:rPr>
            </w:pPr>
          </w:p>
        </w:tc>
      </w:tr>
      <w:tr w:rsidR="00322900" w:rsidRPr="00F55CA5" w:rsidTr="006F4141">
        <w:tc>
          <w:tcPr>
            <w:tcW w:w="1368" w:type="dxa"/>
          </w:tcPr>
          <w:p w:rsidR="00322900" w:rsidRPr="00F55CA5" w:rsidRDefault="00322900" w:rsidP="006F4141">
            <w:pPr>
              <w:rPr>
                <w:sz w:val="20"/>
                <w:szCs w:val="20"/>
              </w:rPr>
            </w:pPr>
          </w:p>
        </w:tc>
        <w:tc>
          <w:tcPr>
            <w:tcW w:w="2970" w:type="dxa"/>
          </w:tcPr>
          <w:p w:rsidR="00322900" w:rsidRPr="00F55CA5" w:rsidRDefault="00322900" w:rsidP="006F4141">
            <w:pPr>
              <w:rPr>
                <w:sz w:val="20"/>
                <w:szCs w:val="20"/>
              </w:rPr>
            </w:pPr>
          </w:p>
        </w:tc>
        <w:tc>
          <w:tcPr>
            <w:tcW w:w="1170" w:type="dxa"/>
          </w:tcPr>
          <w:p w:rsidR="00322900" w:rsidRPr="00F55CA5" w:rsidRDefault="00322900" w:rsidP="006F4141">
            <w:pPr>
              <w:rPr>
                <w:sz w:val="20"/>
                <w:szCs w:val="20"/>
              </w:rPr>
            </w:pPr>
          </w:p>
        </w:tc>
        <w:tc>
          <w:tcPr>
            <w:tcW w:w="4327" w:type="dxa"/>
          </w:tcPr>
          <w:p w:rsidR="00322900" w:rsidRPr="00F55CA5" w:rsidRDefault="00322900" w:rsidP="006F4141">
            <w:pPr>
              <w:rPr>
                <w:sz w:val="20"/>
                <w:szCs w:val="20"/>
              </w:rPr>
            </w:pPr>
          </w:p>
        </w:tc>
      </w:tr>
      <w:tr w:rsidR="00322900" w:rsidRPr="007D5BF8" w:rsidTr="006F4141">
        <w:tc>
          <w:tcPr>
            <w:tcW w:w="1368" w:type="dxa"/>
          </w:tcPr>
          <w:p w:rsidR="00322900" w:rsidRPr="00F55CA5" w:rsidRDefault="00322900" w:rsidP="006F4141">
            <w:pPr>
              <w:rPr>
                <w:sz w:val="20"/>
                <w:szCs w:val="20"/>
              </w:rPr>
            </w:pPr>
            <w:r w:rsidRPr="00F55CA5">
              <w:rPr>
                <w:sz w:val="20"/>
                <w:szCs w:val="20"/>
              </w:rPr>
              <w:t>IN / DANS :</w:t>
            </w:r>
          </w:p>
        </w:tc>
        <w:tc>
          <w:tcPr>
            <w:tcW w:w="2970" w:type="dxa"/>
          </w:tcPr>
          <w:p w:rsidR="00322900" w:rsidRPr="00F55CA5" w:rsidRDefault="00322900" w:rsidP="006F4141">
            <w:pPr>
              <w:rPr>
                <w:sz w:val="20"/>
                <w:szCs w:val="20"/>
                <w:lang w:val="fr-CA"/>
              </w:rPr>
            </w:pPr>
            <w:r w:rsidRPr="00F55CA5">
              <w:rPr>
                <w:sz w:val="20"/>
                <w:szCs w:val="20"/>
                <w:lang w:val="fr-CA"/>
              </w:rPr>
              <w:t>Sun Indalex Finance, LLC et al.</w:t>
            </w:r>
          </w:p>
          <w:p w:rsidR="00322900" w:rsidRPr="00F55CA5" w:rsidRDefault="00322900" w:rsidP="006F4141">
            <w:pPr>
              <w:rPr>
                <w:sz w:val="20"/>
                <w:szCs w:val="20"/>
                <w:lang w:val="fr-CA"/>
              </w:rPr>
            </w:pPr>
          </w:p>
        </w:tc>
        <w:tc>
          <w:tcPr>
            <w:tcW w:w="1170" w:type="dxa"/>
          </w:tcPr>
          <w:p w:rsidR="00322900" w:rsidRPr="00F55CA5" w:rsidRDefault="00322900" w:rsidP="006F4141">
            <w:pPr>
              <w:rPr>
                <w:sz w:val="20"/>
                <w:szCs w:val="20"/>
                <w:lang w:val="fr-CA"/>
              </w:rPr>
            </w:pPr>
          </w:p>
        </w:tc>
        <w:tc>
          <w:tcPr>
            <w:tcW w:w="4327" w:type="dxa"/>
          </w:tcPr>
          <w:p w:rsidR="00322900" w:rsidRPr="00F55CA5" w:rsidRDefault="00322900" w:rsidP="006F4141">
            <w:pPr>
              <w:rPr>
                <w:sz w:val="20"/>
                <w:szCs w:val="20"/>
                <w:lang w:val="fr-CA"/>
              </w:rPr>
            </w:pPr>
          </w:p>
        </w:tc>
      </w:tr>
      <w:tr w:rsidR="00322900" w:rsidRPr="00F55CA5" w:rsidTr="006F4141">
        <w:tc>
          <w:tcPr>
            <w:tcW w:w="1368" w:type="dxa"/>
          </w:tcPr>
          <w:p w:rsidR="00322900" w:rsidRPr="00F55CA5" w:rsidRDefault="00322900" w:rsidP="006F4141">
            <w:pPr>
              <w:rPr>
                <w:sz w:val="20"/>
                <w:szCs w:val="20"/>
                <w:lang w:val="fr-CA"/>
              </w:rPr>
            </w:pPr>
          </w:p>
        </w:tc>
        <w:tc>
          <w:tcPr>
            <w:tcW w:w="2970" w:type="dxa"/>
          </w:tcPr>
          <w:p w:rsidR="00322900" w:rsidRPr="00F55CA5" w:rsidRDefault="00322900" w:rsidP="006F4141">
            <w:pPr>
              <w:rPr>
                <w:sz w:val="20"/>
                <w:szCs w:val="20"/>
              </w:rPr>
            </w:pPr>
            <w:r w:rsidRPr="00F55CA5">
              <w:rPr>
                <w:sz w:val="20"/>
                <w:szCs w:val="20"/>
                <w:lang w:val="fr-CA"/>
              </w:rPr>
              <w:tab/>
            </w:r>
            <w:r w:rsidRPr="00F55CA5">
              <w:rPr>
                <w:sz w:val="20"/>
                <w:szCs w:val="20"/>
              </w:rPr>
              <w:t>v. (34308)</w:t>
            </w:r>
          </w:p>
          <w:p w:rsidR="00322900" w:rsidRPr="00F55CA5" w:rsidRDefault="00322900" w:rsidP="006F4141">
            <w:pPr>
              <w:rPr>
                <w:sz w:val="20"/>
                <w:szCs w:val="20"/>
              </w:rPr>
            </w:pPr>
          </w:p>
        </w:tc>
        <w:tc>
          <w:tcPr>
            <w:tcW w:w="1170" w:type="dxa"/>
          </w:tcPr>
          <w:p w:rsidR="00322900" w:rsidRPr="00F55CA5" w:rsidRDefault="00322900" w:rsidP="006F4141">
            <w:pPr>
              <w:rPr>
                <w:sz w:val="20"/>
                <w:szCs w:val="20"/>
              </w:rPr>
            </w:pPr>
          </w:p>
        </w:tc>
        <w:tc>
          <w:tcPr>
            <w:tcW w:w="4327" w:type="dxa"/>
          </w:tcPr>
          <w:p w:rsidR="00322900" w:rsidRPr="00F55CA5" w:rsidRDefault="00322900" w:rsidP="006F4141">
            <w:pPr>
              <w:rPr>
                <w:sz w:val="20"/>
                <w:szCs w:val="20"/>
              </w:rPr>
            </w:pPr>
          </w:p>
        </w:tc>
      </w:tr>
      <w:tr w:rsidR="00322900" w:rsidRPr="00F55CA5" w:rsidTr="006F4141">
        <w:tc>
          <w:tcPr>
            <w:tcW w:w="1368" w:type="dxa"/>
          </w:tcPr>
          <w:p w:rsidR="00322900" w:rsidRPr="00F55CA5" w:rsidRDefault="00322900" w:rsidP="006F4141">
            <w:pPr>
              <w:rPr>
                <w:sz w:val="20"/>
                <w:szCs w:val="20"/>
              </w:rPr>
            </w:pPr>
          </w:p>
        </w:tc>
        <w:tc>
          <w:tcPr>
            <w:tcW w:w="2970" w:type="dxa"/>
          </w:tcPr>
          <w:p w:rsidR="00322900" w:rsidRPr="00F55CA5" w:rsidRDefault="00322900" w:rsidP="006F4141">
            <w:pPr>
              <w:jc w:val="both"/>
              <w:rPr>
                <w:sz w:val="20"/>
                <w:szCs w:val="20"/>
              </w:rPr>
            </w:pPr>
            <w:r w:rsidRPr="00F55CA5">
              <w:rPr>
                <w:sz w:val="20"/>
                <w:szCs w:val="20"/>
              </w:rPr>
              <w:t>United Steelworkers et al. (Ont.)</w:t>
            </w:r>
          </w:p>
        </w:tc>
        <w:tc>
          <w:tcPr>
            <w:tcW w:w="1170" w:type="dxa"/>
          </w:tcPr>
          <w:p w:rsidR="00322900" w:rsidRPr="00F55CA5" w:rsidRDefault="00322900" w:rsidP="006F4141">
            <w:pPr>
              <w:rPr>
                <w:sz w:val="20"/>
                <w:szCs w:val="20"/>
              </w:rPr>
            </w:pPr>
          </w:p>
        </w:tc>
        <w:tc>
          <w:tcPr>
            <w:tcW w:w="4327" w:type="dxa"/>
          </w:tcPr>
          <w:p w:rsidR="00322900" w:rsidRPr="00F55CA5" w:rsidRDefault="00322900" w:rsidP="006F4141">
            <w:pPr>
              <w:rPr>
                <w:sz w:val="20"/>
                <w:szCs w:val="20"/>
              </w:rPr>
            </w:pPr>
          </w:p>
        </w:tc>
      </w:tr>
    </w:tbl>
    <w:p w:rsidR="00322900" w:rsidRPr="00F55CA5" w:rsidRDefault="00322900" w:rsidP="00322900">
      <w:pPr>
        <w:tabs>
          <w:tab w:val="left" w:pos="-1440"/>
          <w:tab w:val="left" w:pos="-720"/>
        </w:tabs>
        <w:jc w:val="both"/>
        <w:rPr>
          <w:sz w:val="20"/>
          <w:szCs w:val="20"/>
        </w:rPr>
      </w:pPr>
    </w:p>
    <w:p w:rsidR="00322900" w:rsidRPr="00F55CA5" w:rsidRDefault="00322900" w:rsidP="00322900">
      <w:pPr>
        <w:tabs>
          <w:tab w:val="left" w:pos="-1440"/>
          <w:tab w:val="left" w:pos="-720"/>
        </w:tabs>
        <w:jc w:val="both"/>
        <w:rPr>
          <w:sz w:val="20"/>
          <w:szCs w:val="20"/>
        </w:rPr>
      </w:pPr>
      <w:r w:rsidRPr="00F55CA5">
        <w:rPr>
          <w:b/>
          <w:sz w:val="20"/>
          <w:szCs w:val="20"/>
        </w:rPr>
        <w:t>GRANTED / ACCORDÉES</w:t>
      </w:r>
    </w:p>
    <w:p w:rsidR="00322900" w:rsidRPr="00F55CA5" w:rsidRDefault="00322900" w:rsidP="00322900">
      <w:pPr>
        <w:tabs>
          <w:tab w:val="left" w:pos="-1440"/>
          <w:tab w:val="left" w:pos="-720"/>
        </w:tabs>
        <w:jc w:val="both"/>
        <w:rPr>
          <w:sz w:val="20"/>
          <w:szCs w:val="20"/>
        </w:rPr>
      </w:pPr>
    </w:p>
    <w:p w:rsidR="00322900" w:rsidRPr="00F55CA5" w:rsidRDefault="00322900" w:rsidP="00322900">
      <w:pPr>
        <w:spacing w:line="233" w:lineRule="auto"/>
        <w:jc w:val="both"/>
        <w:rPr>
          <w:sz w:val="20"/>
          <w:szCs w:val="20"/>
        </w:rPr>
      </w:pPr>
      <w:r w:rsidRPr="00F55CA5">
        <w:rPr>
          <w:b/>
          <w:bCs/>
          <w:sz w:val="20"/>
          <w:szCs w:val="20"/>
        </w:rPr>
        <w:t xml:space="preserve">UPON APPLICATIONS </w:t>
      </w:r>
      <w:r w:rsidRPr="00F55CA5">
        <w:rPr>
          <w:sz w:val="20"/>
          <w:szCs w:val="20"/>
        </w:rPr>
        <w:t xml:space="preserve">by </w:t>
      </w:r>
      <w:r w:rsidR="0011031E" w:rsidRPr="00F55CA5">
        <w:rPr>
          <w:sz w:val="20"/>
          <w:szCs w:val="20"/>
        </w:rPr>
        <w:fldChar w:fldCharType="begin"/>
      </w:r>
      <w:r w:rsidRPr="00F55CA5">
        <w:rPr>
          <w:sz w:val="20"/>
          <w:szCs w:val="20"/>
        </w:rPr>
        <w:instrText xml:space="preserve"> SEQ CHAPTER \h \r 1</w:instrText>
      </w:r>
      <w:r w:rsidR="0011031E" w:rsidRPr="00F55CA5">
        <w:rPr>
          <w:sz w:val="20"/>
          <w:szCs w:val="20"/>
        </w:rPr>
        <w:fldChar w:fldCharType="end"/>
      </w:r>
      <w:r w:rsidRPr="00F55CA5">
        <w:rPr>
          <w:sz w:val="20"/>
          <w:szCs w:val="20"/>
        </w:rPr>
        <w:t>the Superintendent of Financial Services, the Insolvency Institute of Canada, the Canadian Labour Congress, the Canadian Federation of Pensioners, the Canadian Association of Insolvency and Restructuring Professionals and the Canadian Bankers Association for leave to intervene in the above appeal;</w:t>
      </w:r>
    </w:p>
    <w:p w:rsidR="00322900" w:rsidRPr="00F55CA5" w:rsidRDefault="00322900" w:rsidP="00322900">
      <w:pPr>
        <w:spacing w:line="233" w:lineRule="auto"/>
        <w:jc w:val="both"/>
        <w:rPr>
          <w:sz w:val="20"/>
          <w:szCs w:val="20"/>
        </w:rPr>
      </w:pPr>
    </w:p>
    <w:p w:rsidR="00322900" w:rsidRPr="00F55CA5" w:rsidRDefault="00322900" w:rsidP="00322900">
      <w:pPr>
        <w:spacing w:line="233" w:lineRule="auto"/>
        <w:jc w:val="both"/>
        <w:rPr>
          <w:sz w:val="20"/>
          <w:szCs w:val="20"/>
        </w:rPr>
      </w:pPr>
      <w:r w:rsidRPr="00F55CA5">
        <w:rPr>
          <w:b/>
          <w:bCs/>
          <w:sz w:val="20"/>
          <w:szCs w:val="20"/>
        </w:rPr>
        <w:t>AND THE MATERIAL FILED</w:t>
      </w:r>
      <w:r w:rsidRPr="00F55CA5">
        <w:rPr>
          <w:sz w:val="20"/>
          <w:szCs w:val="20"/>
        </w:rPr>
        <w:t xml:space="preserve"> having been read;</w:t>
      </w:r>
    </w:p>
    <w:p w:rsidR="00322900" w:rsidRPr="00F55CA5" w:rsidRDefault="00322900" w:rsidP="00322900">
      <w:pPr>
        <w:spacing w:line="233" w:lineRule="auto"/>
        <w:jc w:val="both"/>
        <w:rPr>
          <w:sz w:val="20"/>
          <w:szCs w:val="20"/>
        </w:rPr>
      </w:pPr>
    </w:p>
    <w:p w:rsidR="00322900" w:rsidRPr="00F55CA5" w:rsidRDefault="00322900" w:rsidP="00322900">
      <w:pPr>
        <w:spacing w:line="233" w:lineRule="auto"/>
        <w:jc w:val="both"/>
        <w:rPr>
          <w:sz w:val="20"/>
          <w:szCs w:val="20"/>
        </w:rPr>
      </w:pPr>
      <w:r w:rsidRPr="00F55CA5">
        <w:rPr>
          <w:b/>
          <w:bCs/>
          <w:sz w:val="20"/>
          <w:szCs w:val="20"/>
        </w:rPr>
        <w:t>IT IS HEREBY ORDERED THAT:</w:t>
      </w:r>
    </w:p>
    <w:p w:rsidR="00322900" w:rsidRPr="00F55CA5" w:rsidRDefault="00322900" w:rsidP="00322900">
      <w:pPr>
        <w:spacing w:line="233" w:lineRule="auto"/>
        <w:jc w:val="both"/>
        <w:rPr>
          <w:sz w:val="20"/>
          <w:szCs w:val="20"/>
        </w:rPr>
      </w:pPr>
    </w:p>
    <w:p w:rsidR="00322900" w:rsidRPr="00F55CA5" w:rsidRDefault="00322900" w:rsidP="00322900">
      <w:pPr>
        <w:spacing w:line="233" w:lineRule="auto"/>
        <w:jc w:val="both"/>
        <w:rPr>
          <w:sz w:val="20"/>
          <w:szCs w:val="20"/>
        </w:rPr>
      </w:pPr>
      <w:r w:rsidRPr="00F55CA5">
        <w:rPr>
          <w:sz w:val="20"/>
          <w:szCs w:val="20"/>
        </w:rPr>
        <w:t>The motions for leave to intervene of the Superintendent of Financial Services, the Insolvency Institute of Canada, the Canadian Labour Congress, the Canadian Federation of Pensioners, the Canadian Association of Insolvency and Restructuring Professionals and the Canadian Bankers Association are granted and the said six interveners shall be entitled to each serve and file a factum not to exceed 10 pages in length on or before May 9, 2012.</w:t>
      </w:r>
    </w:p>
    <w:p w:rsidR="00322900" w:rsidRPr="00F55CA5" w:rsidRDefault="00322900" w:rsidP="00322900">
      <w:pPr>
        <w:spacing w:line="233" w:lineRule="auto"/>
        <w:jc w:val="both"/>
        <w:rPr>
          <w:sz w:val="20"/>
          <w:szCs w:val="20"/>
        </w:rPr>
      </w:pPr>
    </w:p>
    <w:p w:rsidR="00322900" w:rsidRPr="00F55CA5" w:rsidRDefault="0011031E" w:rsidP="00322900">
      <w:pPr>
        <w:spacing w:line="233" w:lineRule="auto"/>
        <w:jc w:val="both"/>
        <w:rPr>
          <w:sz w:val="20"/>
          <w:szCs w:val="20"/>
        </w:rPr>
      </w:pPr>
      <w:r w:rsidRPr="00F55CA5">
        <w:rPr>
          <w:sz w:val="20"/>
          <w:szCs w:val="20"/>
        </w:rPr>
        <w:fldChar w:fldCharType="begin"/>
      </w:r>
      <w:r w:rsidR="00322900" w:rsidRPr="00F55CA5">
        <w:rPr>
          <w:sz w:val="20"/>
          <w:szCs w:val="20"/>
        </w:rPr>
        <w:instrText xml:space="preserve"> SEQ CHAPTER \h \r 1</w:instrText>
      </w:r>
      <w:r w:rsidRPr="00F55CA5">
        <w:rPr>
          <w:sz w:val="20"/>
          <w:szCs w:val="20"/>
        </w:rPr>
        <w:fldChar w:fldCharType="end"/>
      </w:r>
      <w:r w:rsidR="00322900" w:rsidRPr="00F55CA5">
        <w:rPr>
          <w:sz w:val="20"/>
          <w:szCs w:val="20"/>
        </w:rPr>
        <w:t>To the extent that the interests are similar, interveners shall consult to avoid repetition.</w:t>
      </w:r>
    </w:p>
    <w:p w:rsidR="00322900" w:rsidRPr="00F55CA5" w:rsidRDefault="00322900" w:rsidP="00322900">
      <w:pPr>
        <w:spacing w:line="233" w:lineRule="auto"/>
        <w:jc w:val="both"/>
        <w:rPr>
          <w:sz w:val="20"/>
          <w:szCs w:val="20"/>
        </w:rPr>
      </w:pPr>
    </w:p>
    <w:p w:rsidR="00322900" w:rsidRPr="00F55CA5" w:rsidRDefault="00322900" w:rsidP="00322900">
      <w:pPr>
        <w:spacing w:line="233" w:lineRule="auto"/>
        <w:jc w:val="both"/>
        <w:rPr>
          <w:sz w:val="20"/>
          <w:szCs w:val="20"/>
        </w:rPr>
      </w:pPr>
      <w:r w:rsidRPr="00F55CA5">
        <w:rPr>
          <w:sz w:val="20"/>
          <w:szCs w:val="20"/>
        </w:rPr>
        <w:t>The requests to present oral argument are deferred to a date following receipt and consideration of the written arguments of the parties and the interveners.</w:t>
      </w:r>
    </w:p>
    <w:p w:rsidR="00322900" w:rsidRPr="00F55CA5" w:rsidRDefault="00322900" w:rsidP="00322900">
      <w:pPr>
        <w:spacing w:line="233" w:lineRule="auto"/>
        <w:jc w:val="both"/>
        <w:rPr>
          <w:sz w:val="20"/>
          <w:szCs w:val="20"/>
        </w:rPr>
      </w:pPr>
    </w:p>
    <w:p w:rsidR="00322900" w:rsidRPr="00F55CA5" w:rsidRDefault="00322900" w:rsidP="00322900">
      <w:pPr>
        <w:spacing w:line="233" w:lineRule="auto"/>
        <w:jc w:val="both"/>
        <w:rPr>
          <w:sz w:val="20"/>
          <w:szCs w:val="20"/>
        </w:rPr>
      </w:pPr>
      <w:r w:rsidRPr="00F55CA5">
        <w:rPr>
          <w:sz w:val="20"/>
          <w:szCs w:val="20"/>
        </w:rPr>
        <w:t>The interveners shall not be entitled to raise new issues or to adduce further evidence or otherwise to supplement the record of the parties.</w:t>
      </w:r>
    </w:p>
    <w:p w:rsidR="00322900" w:rsidRPr="00F55CA5" w:rsidRDefault="00322900" w:rsidP="00322900">
      <w:pPr>
        <w:spacing w:line="233" w:lineRule="auto"/>
        <w:jc w:val="both"/>
        <w:rPr>
          <w:sz w:val="20"/>
          <w:szCs w:val="20"/>
        </w:rPr>
      </w:pPr>
    </w:p>
    <w:p w:rsidR="00322900" w:rsidRPr="00F55CA5" w:rsidRDefault="00322900" w:rsidP="00322900">
      <w:pPr>
        <w:spacing w:line="233" w:lineRule="auto"/>
        <w:jc w:val="both"/>
        <w:rPr>
          <w:sz w:val="20"/>
          <w:szCs w:val="20"/>
        </w:rPr>
      </w:pPr>
      <w:r w:rsidRPr="00F55CA5">
        <w:rPr>
          <w:sz w:val="20"/>
          <w:szCs w:val="20"/>
        </w:rPr>
        <w:t>Pursuant to Rule 59(1)(</w:t>
      </w:r>
      <w:r w:rsidRPr="00F55CA5">
        <w:rPr>
          <w:i/>
          <w:iCs/>
          <w:sz w:val="20"/>
          <w:szCs w:val="20"/>
        </w:rPr>
        <w:t>a</w:t>
      </w:r>
      <w:r w:rsidRPr="00F55CA5">
        <w:rPr>
          <w:sz w:val="20"/>
          <w:szCs w:val="20"/>
        </w:rPr>
        <w:t xml:space="preserve">) of the </w:t>
      </w:r>
      <w:r w:rsidRPr="00F55CA5">
        <w:rPr>
          <w:i/>
          <w:iCs/>
          <w:sz w:val="20"/>
          <w:szCs w:val="20"/>
        </w:rPr>
        <w:t>Rules of the Supreme Court of Canada</w:t>
      </w:r>
      <w:r w:rsidRPr="00F55CA5">
        <w:rPr>
          <w:sz w:val="20"/>
          <w:szCs w:val="20"/>
        </w:rPr>
        <w:t>, the interveners shall pay to the appellants and respondents any additional disbursements occasioned to the appellants and respondents by their intervention.</w:t>
      </w:r>
    </w:p>
    <w:p w:rsidR="00322900" w:rsidRPr="00F55CA5" w:rsidRDefault="00322900" w:rsidP="00322900">
      <w:pPr>
        <w:tabs>
          <w:tab w:val="left" w:pos="-1440"/>
          <w:tab w:val="left" w:pos="-720"/>
        </w:tabs>
        <w:jc w:val="both"/>
        <w:rPr>
          <w:sz w:val="20"/>
          <w:szCs w:val="20"/>
        </w:rPr>
      </w:pPr>
    </w:p>
    <w:p w:rsidR="00322900" w:rsidRPr="00F55CA5" w:rsidRDefault="00322900" w:rsidP="00322900">
      <w:pPr>
        <w:tabs>
          <w:tab w:val="left" w:pos="-1440"/>
          <w:tab w:val="left" w:pos="-720"/>
        </w:tabs>
        <w:jc w:val="both"/>
        <w:rPr>
          <w:sz w:val="20"/>
          <w:szCs w:val="20"/>
        </w:rPr>
      </w:pPr>
    </w:p>
    <w:p w:rsidR="00322900" w:rsidRPr="00F55CA5" w:rsidRDefault="00322900" w:rsidP="00322900">
      <w:pPr>
        <w:tabs>
          <w:tab w:val="left" w:pos="-1440"/>
          <w:tab w:val="left" w:pos="-720"/>
        </w:tabs>
        <w:jc w:val="both"/>
        <w:rPr>
          <w:sz w:val="20"/>
          <w:szCs w:val="20"/>
        </w:rPr>
      </w:pPr>
    </w:p>
    <w:p w:rsidR="00322900" w:rsidRPr="00F55CA5" w:rsidRDefault="00322900" w:rsidP="00322900">
      <w:pPr>
        <w:spacing w:line="233" w:lineRule="auto"/>
        <w:jc w:val="both"/>
        <w:rPr>
          <w:sz w:val="20"/>
          <w:szCs w:val="20"/>
          <w:lang w:val="fr-CA"/>
        </w:rPr>
      </w:pPr>
      <w:r w:rsidRPr="00F55CA5">
        <w:rPr>
          <w:b/>
          <w:bCs/>
          <w:sz w:val="20"/>
          <w:szCs w:val="20"/>
          <w:lang w:val="fr-CA"/>
        </w:rPr>
        <w:t xml:space="preserve">À LA SUITE DES DEMANDES </w:t>
      </w:r>
      <w:r w:rsidRPr="00F55CA5">
        <w:rPr>
          <w:bCs/>
          <w:sz w:val="20"/>
          <w:szCs w:val="20"/>
          <w:lang w:val="fr-CA"/>
        </w:rPr>
        <w:t>présentées par le Surintendant des services financiers, l’Institut d’insolvabilité du Canada, le Congrès du travail du Canada, la Fédération canadienne des retraités, l’Association canadienne des professionnels de l’insolvabilité et de la réorganisation et l’Association des banquiers canadiens en vue d’intervenir dans l’appel;</w:t>
      </w:r>
    </w:p>
    <w:p w:rsidR="00322900" w:rsidRPr="00F55CA5" w:rsidRDefault="00322900" w:rsidP="00322900">
      <w:pPr>
        <w:spacing w:line="233" w:lineRule="auto"/>
        <w:jc w:val="both"/>
        <w:rPr>
          <w:sz w:val="20"/>
          <w:szCs w:val="20"/>
          <w:lang w:val="fr-CA"/>
        </w:rPr>
      </w:pPr>
    </w:p>
    <w:p w:rsidR="00322900" w:rsidRPr="00F55CA5" w:rsidRDefault="00322900" w:rsidP="00322900">
      <w:pPr>
        <w:spacing w:line="233" w:lineRule="auto"/>
        <w:jc w:val="both"/>
        <w:rPr>
          <w:sz w:val="20"/>
          <w:szCs w:val="20"/>
          <w:lang w:val="fr-CA"/>
        </w:rPr>
      </w:pPr>
      <w:r w:rsidRPr="00F55CA5">
        <w:rPr>
          <w:b/>
          <w:bCs/>
          <w:sz w:val="20"/>
          <w:szCs w:val="20"/>
          <w:lang w:val="fr-CA"/>
        </w:rPr>
        <w:t xml:space="preserve">ET APRÈS EXAMEN </w:t>
      </w:r>
      <w:r w:rsidRPr="00F55CA5">
        <w:rPr>
          <w:bCs/>
          <w:sz w:val="20"/>
          <w:szCs w:val="20"/>
          <w:lang w:val="fr-CA"/>
        </w:rPr>
        <w:t>des documents déposés</w:t>
      </w:r>
      <w:r w:rsidRPr="00F55CA5">
        <w:rPr>
          <w:sz w:val="20"/>
          <w:szCs w:val="20"/>
          <w:lang w:val="fr-CA"/>
        </w:rPr>
        <w:t>;</w:t>
      </w:r>
    </w:p>
    <w:p w:rsidR="00322900" w:rsidRPr="00F55CA5" w:rsidRDefault="00322900" w:rsidP="00322900">
      <w:pPr>
        <w:spacing w:line="233" w:lineRule="auto"/>
        <w:jc w:val="both"/>
        <w:rPr>
          <w:sz w:val="20"/>
          <w:szCs w:val="20"/>
          <w:lang w:val="fr-CA"/>
        </w:rPr>
      </w:pPr>
    </w:p>
    <w:p w:rsidR="00322900" w:rsidRPr="00F55CA5" w:rsidRDefault="00322900" w:rsidP="00322900">
      <w:pPr>
        <w:spacing w:line="233" w:lineRule="auto"/>
        <w:jc w:val="both"/>
        <w:rPr>
          <w:sz w:val="20"/>
          <w:szCs w:val="20"/>
          <w:lang w:val="fr-CA"/>
        </w:rPr>
      </w:pPr>
      <w:r w:rsidRPr="00F55CA5">
        <w:rPr>
          <w:b/>
          <w:bCs/>
          <w:sz w:val="20"/>
          <w:szCs w:val="20"/>
          <w:lang w:val="fr-CA"/>
        </w:rPr>
        <w:t>IL EST ORDONNÉ CE QUI SUIT :</w:t>
      </w:r>
    </w:p>
    <w:p w:rsidR="00322900" w:rsidRPr="00F55CA5" w:rsidRDefault="00322900" w:rsidP="00322900">
      <w:pPr>
        <w:spacing w:line="233" w:lineRule="auto"/>
        <w:jc w:val="both"/>
        <w:rPr>
          <w:sz w:val="20"/>
          <w:szCs w:val="20"/>
          <w:lang w:val="fr-CA"/>
        </w:rPr>
      </w:pPr>
    </w:p>
    <w:p w:rsidR="00322900" w:rsidRPr="00F55CA5" w:rsidRDefault="00322900" w:rsidP="00322900">
      <w:pPr>
        <w:spacing w:line="233" w:lineRule="auto"/>
        <w:jc w:val="both"/>
        <w:rPr>
          <w:sz w:val="20"/>
          <w:szCs w:val="20"/>
          <w:lang w:val="fr-CA"/>
        </w:rPr>
      </w:pPr>
      <w:r w:rsidRPr="00F55CA5">
        <w:rPr>
          <w:sz w:val="20"/>
          <w:szCs w:val="20"/>
          <w:lang w:val="fr-CA"/>
        </w:rPr>
        <w:t xml:space="preserve">Les requêtes en autorisation d’appel du </w:t>
      </w:r>
      <w:r w:rsidRPr="00F55CA5">
        <w:rPr>
          <w:bCs/>
          <w:sz w:val="20"/>
          <w:szCs w:val="20"/>
          <w:lang w:val="fr-CA"/>
        </w:rPr>
        <w:t xml:space="preserve">Surintendant des services financiers, de l’Institut d’insolvabilité du Canada, du Congrès du travail du Canada, de la Fédération canadienne des retraités, de l’Association canadienne des professionnels de l’insolvabilité et de la réorganisation et de l’Association des banquiers canadiens </w:t>
      </w:r>
      <w:r w:rsidRPr="00F55CA5">
        <w:rPr>
          <w:sz w:val="20"/>
          <w:szCs w:val="20"/>
          <w:lang w:val="fr-CA"/>
        </w:rPr>
        <w:t>sont accueillies et ces six intervenants pourront signifier et déposer chacun un mémoire d’au plus 10 pages au plus tard le 9 mai 2012.</w:t>
      </w:r>
    </w:p>
    <w:p w:rsidR="00322900" w:rsidRPr="00F55CA5" w:rsidRDefault="00322900" w:rsidP="00322900">
      <w:pPr>
        <w:spacing w:line="233" w:lineRule="auto"/>
        <w:jc w:val="both"/>
        <w:rPr>
          <w:sz w:val="20"/>
          <w:szCs w:val="20"/>
          <w:lang w:val="fr-CA"/>
        </w:rPr>
      </w:pPr>
    </w:p>
    <w:p w:rsidR="00322900" w:rsidRPr="00F55CA5" w:rsidRDefault="00322900" w:rsidP="00322900">
      <w:pPr>
        <w:spacing w:line="233" w:lineRule="auto"/>
        <w:jc w:val="both"/>
        <w:rPr>
          <w:sz w:val="20"/>
          <w:szCs w:val="20"/>
          <w:lang w:val="fr-CA"/>
        </w:rPr>
      </w:pPr>
      <w:r w:rsidRPr="00F55CA5">
        <w:rPr>
          <w:sz w:val="20"/>
          <w:szCs w:val="20"/>
          <w:lang w:val="fr-CA"/>
        </w:rPr>
        <w:t>Dans la mesure où leurs intérêts sont similaires, les intervenants se consulteront pour éviter toute répétition.</w:t>
      </w:r>
    </w:p>
    <w:p w:rsidR="00322900" w:rsidRPr="00F55CA5" w:rsidRDefault="00322900" w:rsidP="00322900">
      <w:pPr>
        <w:spacing w:line="233" w:lineRule="auto"/>
        <w:jc w:val="both"/>
        <w:rPr>
          <w:sz w:val="20"/>
          <w:szCs w:val="20"/>
          <w:lang w:val="fr-CA"/>
        </w:rPr>
      </w:pPr>
    </w:p>
    <w:p w:rsidR="00322900" w:rsidRPr="00F55CA5" w:rsidRDefault="00322900" w:rsidP="00322900">
      <w:pPr>
        <w:spacing w:line="233" w:lineRule="auto"/>
        <w:jc w:val="both"/>
        <w:rPr>
          <w:sz w:val="20"/>
          <w:szCs w:val="20"/>
          <w:lang w:val="fr-CA"/>
        </w:rPr>
      </w:pPr>
      <w:r w:rsidRPr="00F55CA5">
        <w:rPr>
          <w:sz w:val="20"/>
          <w:szCs w:val="20"/>
          <w:lang w:val="fr-CA"/>
        </w:rPr>
        <w:t>La décision sur les demandes en vue de présenter une plaidoirie orale sera rendue après réception et examen des arguments écrits des parties et des intervenants.</w:t>
      </w:r>
    </w:p>
    <w:p w:rsidR="00322900" w:rsidRPr="00F55CA5" w:rsidRDefault="00322900" w:rsidP="00322900">
      <w:pPr>
        <w:spacing w:line="233" w:lineRule="auto"/>
        <w:jc w:val="both"/>
        <w:rPr>
          <w:sz w:val="20"/>
          <w:szCs w:val="20"/>
          <w:lang w:val="fr-CA"/>
        </w:rPr>
      </w:pPr>
    </w:p>
    <w:p w:rsidR="00322900" w:rsidRPr="00F55CA5" w:rsidRDefault="00322900" w:rsidP="00322900">
      <w:pPr>
        <w:spacing w:line="233" w:lineRule="auto"/>
        <w:jc w:val="both"/>
        <w:rPr>
          <w:sz w:val="20"/>
          <w:szCs w:val="20"/>
          <w:lang w:val="fr-CA"/>
        </w:rPr>
      </w:pPr>
      <w:r w:rsidRPr="00F55CA5">
        <w:rPr>
          <w:sz w:val="20"/>
          <w:szCs w:val="20"/>
          <w:lang w:val="fr-CA"/>
        </w:rPr>
        <w:t>Les intervenants n’auront pas le droit de produire d’autres éléments de preuve ni d’ajouter quoi que ce soit au dossier des parties.</w:t>
      </w:r>
    </w:p>
    <w:p w:rsidR="00322900" w:rsidRPr="00F55CA5" w:rsidRDefault="00322900" w:rsidP="00322900">
      <w:pPr>
        <w:spacing w:line="233" w:lineRule="auto"/>
        <w:jc w:val="both"/>
        <w:rPr>
          <w:sz w:val="20"/>
          <w:szCs w:val="20"/>
          <w:lang w:val="fr-CA"/>
        </w:rPr>
      </w:pPr>
    </w:p>
    <w:p w:rsidR="007E261F" w:rsidRDefault="007E261F">
      <w:pPr>
        <w:rPr>
          <w:sz w:val="20"/>
          <w:szCs w:val="20"/>
          <w:lang w:val="fr-CA"/>
        </w:rPr>
      </w:pPr>
      <w:r>
        <w:rPr>
          <w:sz w:val="20"/>
          <w:szCs w:val="20"/>
          <w:lang w:val="fr-CA"/>
        </w:rPr>
        <w:br w:type="page"/>
      </w:r>
    </w:p>
    <w:p w:rsidR="00322900" w:rsidRPr="00F55CA5" w:rsidRDefault="00322900" w:rsidP="00322900">
      <w:pPr>
        <w:spacing w:line="233" w:lineRule="auto"/>
        <w:jc w:val="both"/>
        <w:rPr>
          <w:sz w:val="20"/>
          <w:szCs w:val="20"/>
          <w:lang w:val="fr-CA"/>
        </w:rPr>
      </w:pPr>
      <w:r w:rsidRPr="00F55CA5">
        <w:rPr>
          <w:sz w:val="20"/>
          <w:szCs w:val="20"/>
          <w:lang w:val="fr-CA"/>
        </w:rPr>
        <w:lastRenderedPageBreak/>
        <w:t>Conformément à l’alinéa 59(1)</w:t>
      </w:r>
      <w:r w:rsidRPr="00F55CA5">
        <w:rPr>
          <w:i/>
          <w:sz w:val="20"/>
          <w:szCs w:val="20"/>
          <w:lang w:val="fr-CA"/>
        </w:rPr>
        <w:t>a</w:t>
      </w:r>
      <w:r w:rsidRPr="00F55CA5">
        <w:rPr>
          <w:sz w:val="20"/>
          <w:szCs w:val="20"/>
          <w:lang w:val="fr-CA"/>
        </w:rPr>
        <w:t xml:space="preserve">) des </w:t>
      </w:r>
      <w:r w:rsidRPr="00F55CA5">
        <w:rPr>
          <w:i/>
          <w:sz w:val="20"/>
          <w:szCs w:val="20"/>
          <w:lang w:val="fr-CA"/>
        </w:rPr>
        <w:t>Règles de la Cour suprême du Canada</w:t>
      </w:r>
      <w:r w:rsidRPr="00F55CA5">
        <w:rPr>
          <w:sz w:val="20"/>
          <w:szCs w:val="20"/>
          <w:lang w:val="fr-CA"/>
        </w:rPr>
        <w:t>, les intervenants paieront aux appelants et aux intimés tous débours supplémentaires résultant de leur intervention.</w:t>
      </w:r>
    </w:p>
    <w:p w:rsidR="00322900" w:rsidRPr="00F55CA5" w:rsidRDefault="00322900" w:rsidP="00322900">
      <w:pPr>
        <w:tabs>
          <w:tab w:val="left" w:pos="-1440"/>
          <w:tab w:val="left" w:pos="-720"/>
        </w:tabs>
        <w:jc w:val="both"/>
        <w:rPr>
          <w:sz w:val="20"/>
          <w:szCs w:val="20"/>
          <w:lang w:val="fr-CA"/>
        </w:rPr>
      </w:pPr>
    </w:p>
    <w:p w:rsidR="00322900" w:rsidRPr="00F55CA5" w:rsidRDefault="0011031E" w:rsidP="00322900">
      <w:pPr>
        <w:tabs>
          <w:tab w:val="left" w:pos="-1440"/>
          <w:tab w:val="left" w:pos="-720"/>
        </w:tabs>
        <w:jc w:val="both"/>
        <w:rPr>
          <w:sz w:val="20"/>
          <w:szCs w:val="20"/>
          <w:lang w:val="fr-CA"/>
        </w:rPr>
      </w:pPr>
      <w:r w:rsidRPr="0011031E">
        <w:rPr>
          <w:sz w:val="20"/>
          <w:szCs w:val="20"/>
          <w:lang w:val="fr-CA"/>
        </w:rPr>
        <w:pict>
          <v:rect id="_x0000_i1061" style="width:2in;height:1pt" o:hrpct="0" o:hralign="center" o:hrstd="t" o:hrnoshade="t" o:hr="t" fillcolor="black [3213]" stroked="f"/>
        </w:pict>
      </w:r>
    </w:p>
    <w:p w:rsidR="00322900" w:rsidRPr="00F55CA5" w:rsidRDefault="00322900" w:rsidP="00322900">
      <w:pPr>
        <w:tabs>
          <w:tab w:val="left" w:pos="-1440"/>
          <w:tab w:val="left" w:pos="-720"/>
        </w:tabs>
        <w:jc w:val="both"/>
        <w:rPr>
          <w:sz w:val="20"/>
          <w:szCs w:val="20"/>
          <w:lang w:val="fr-CA"/>
        </w:rPr>
      </w:pPr>
    </w:p>
    <w:p w:rsidR="00322900" w:rsidRPr="00F55CA5" w:rsidRDefault="00322900" w:rsidP="00322900">
      <w:pPr>
        <w:tabs>
          <w:tab w:val="left" w:pos="-1440"/>
          <w:tab w:val="left" w:pos="-720"/>
        </w:tabs>
        <w:jc w:val="both"/>
        <w:rPr>
          <w:sz w:val="20"/>
          <w:szCs w:val="20"/>
          <w:lang w:val="fr-CA"/>
        </w:rPr>
      </w:pPr>
      <w:r w:rsidRPr="00F55CA5">
        <w:rPr>
          <w:sz w:val="20"/>
          <w:szCs w:val="20"/>
          <w:lang w:val="fr-CA"/>
        </w:rPr>
        <w:t>15.03.2012</w:t>
      </w:r>
    </w:p>
    <w:p w:rsidR="00322900" w:rsidRPr="00F55CA5" w:rsidRDefault="00322900" w:rsidP="00322900">
      <w:pPr>
        <w:tabs>
          <w:tab w:val="left" w:pos="-1440"/>
          <w:tab w:val="left" w:pos="-720"/>
        </w:tabs>
        <w:jc w:val="both"/>
        <w:rPr>
          <w:sz w:val="20"/>
          <w:szCs w:val="20"/>
          <w:lang w:val="fr-CA"/>
        </w:rPr>
      </w:pPr>
    </w:p>
    <w:p w:rsidR="00322900" w:rsidRPr="00F55CA5" w:rsidRDefault="00322900" w:rsidP="00322900">
      <w:pPr>
        <w:tabs>
          <w:tab w:val="left" w:pos="-1440"/>
          <w:tab w:val="left" w:pos="-720"/>
        </w:tabs>
        <w:jc w:val="both"/>
        <w:rPr>
          <w:sz w:val="20"/>
          <w:szCs w:val="20"/>
          <w:lang w:val="fr-CA"/>
        </w:rPr>
      </w:pPr>
      <w:r w:rsidRPr="00F55CA5">
        <w:rPr>
          <w:sz w:val="20"/>
          <w:szCs w:val="20"/>
          <w:lang w:val="fr-CA"/>
        </w:rPr>
        <w:t>Before / Devant :   KARAKATSANIS J. / LA JUGE KARAKATSANIS</w:t>
      </w:r>
    </w:p>
    <w:p w:rsidR="00322900" w:rsidRPr="00F55CA5" w:rsidRDefault="00322900" w:rsidP="00322900">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3150"/>
        <w:gridCol w:w="900"/>
        <w:gridCol w:w="4507"/>
      </w:tblGrid>
      <w:tr w:rsidR="00322900" w:rsidRPr="007D5BF8" w:rsidTr="006F4141">
        <w:tc>
          <w:tcPr>
            <w:tcW w:w="4428" w:type="dxa"/>
            <w:gridSpan w:val="2"/>
          </w:tcPr>
          <w:p w:rsidR="00322900" w:rsidRPr="00F55CA5" w:rsidRDefault="00322900" w:rsidP="006F4141">
            <w:pPr>
              <w:jc w:val="both"/>
              <w:rPr>
                <w:b/>
                <w:sz w:val="20"/>
                <w:szCs w:val="20"/>
              </w:rPr>
            </w:pPr>
            <w:r w:rsidRPr="00F55CA5">
              <w:rPr>
                <w:b/>
                <w:sz w:val="20"/>
                <w:szCs w:val="20"/>
              </w:rPr>
              <w:t xml:space="preserve">Order on interventions with respect to oral argument </w:t>
            </w:r>
            <w:r w:rsidR="0011031E" w:rsidRPr="00F55CA5">
              <w:rPr>
                <w:sz w:val="20"/>
                <w:szCs w:val="20"/>
              </w:rPr>
              <w:fldChar w:fldCharType="begin"/>
            </w:r>
            <w:r w:rsidRPr="00F55CA5">
              <w:rPr>
                <w:sz w:val="20"/>
                <w:szCs w:val="20"/>
              </w:rPr>
              <w:instrText xml:space="preserve"> SEQ CHAPTER \h \r 1</w:instrText>
            </w:r>
            <w:r w:rsidR="0011031E" w:rsidRPr="00F55CA5">
              <w:rPr>
                <w:sz w:val="20"/>
                <w:szCs w:val="20"/>
              </w:rPr>
              <w:fldChar w:fldCharType="end"/>
            </w:r>
          </w:p>
        </w:tc>
        <w:tc>
          <w:tcPr>
            <w:tcW w:w="900" w:type="dxa"/>
          </w:tcPr>
          <w:p w:rsidR="00322900" w:rsidRPr="00F55CA5" w:rsidRDefault="00322900" w:rsidP="006F4141">
            <w:pPr>
              <w:rPr>
                <w:sz w:val="20"/>
                <w:szCs w:val="20"/>
              </w:rPr>
            </w:pPr>
          </w:p>
          <w:p w:rsidR="00322900" w:rsidRPr="00F55CA5" w:rsidRDefault="00322900" w:rsidP="006F4141">
            <w:pPr>
              <w:rPr>
                <w:sz w:val="20"/>
                <w:szCs w:val="20"/>
              </w:rPr>
            </w:pPr>
          </w:p>
          <w:p w:rsidR="00322900" w:rsidRPr="00F55CA5" w:rsidRDefault="00322900" w:rsidP="006F4141">
            <w:pPr>
              <w:rPr>
                <w:sz w:val="20"/>
                <w:szCs w:val="20"/>
              </w:rPr>
            </w:pPr>
          </w:p>
        </w:tc>
        <w:tc>
          <w:tcPr>
            <w:tcW w:w="4507" w:type="dxa"/>
          </w:tcPr>
          <w:p w:rsidR="00322900" w:rsidRPr="00F55CA5" w:rsidRDefault="00322900" w:rsidP="006F4141">
            <w:pPr>
              <w:jc w:val="both"/>
              <w:rPr>
                <w:b/>
                <w:sz w:val="20"/>
                <w:szCs w:val="20"/>
                <w:lang w:val="fr-CA"/>
              </w:rPr>
            </w:pPr>
            <w:r w:rsidRPr="00F55CA5">
              <w:rPr>
                <w:b/>
                <w:sz w:val="20"/>
                <w:szCs w:val="20"/>
                <w:lang w:val="fr-CA"/>
              </w:rPr>
              <w:t>Ordonnance relative à la présentation d’une plaidoirie orale par les intervenants</w:t>
            </w:r>
            <w:r w:rsidRPr="00F55CA5">
              <w:rPr>
                <w:sz w:val="20"/>
                <w:szCs w:val="20"/>
                <w:lang w:val="fr-CA"/>
              </w:rPr>
              <w:t xml:space="preserve"> </w:t>
            </w:r>
            <w:r w:rsidR="0011031E" w:rsidRPr="00F55CA5">
              <w:rPr>
                <w:sz w:val="20"/>
                <w:szCs w:val="20"/>
              </w:rPr>
              <w:fldChar w:fldCharType="begin"/>
            </w:r>
            <w:r w:rsidRPr="00F55CA5">
              <w:rPr>
                <w:sz w:val="20"/>
                <w:szCs w:val="20"/>
                <w:lang w:val="fr-CA"/>
              </w:rPr>
              <w:instrText xml:space="preserve"> SEQ CHAPTER \h \r 1</w:instrText>
            </w:r>
            <w:r w:rsidR="0011031E" w:rsidRPr="00F55CA5">
              <w:rPr>
                <w:sz w:val="20"/>
                <w:szCs w:val="20"/>
              </w:rPr>
              <w:fldChar w:fldCharType="end"/>
            </w:r>
          </w:p>
        </w:tc>
      </w:tr>
      <w:tr w:rsidR="00322900" w:rsidRPr="00F55CA5" w:rsidTr="006F4141">
        <w:tc>
          <w:tcPr>
            <w:tcW w:w="1278" w:type="dxa"/>
          </w:tcPr>
          <w:p w:rsidR="00322900" w:rsidRPr="00F55CA5" w:rsidRDefault="00322900" w:rsidP="006F4141">
            <w:pPr>
              <w:rPr>
                <w:sz w:val="20"/>
                <w:szCs w:val="20"/>
              </w:rPr>
            </w:pPr>
            <w:r w:rsidRPr="00F55CA5">
              <w:rPr>
                <w:sz w:val="20"/>
                <w:szCs w:val="20"/>
              </w:rPr>
              <w:t>RE:</w:t>
            </w:r>
          </w:p>
        </w:tc>
        <w:tc>
          <w:tcPr>
            <w:tcW w:w="3150" w:type="dxa"/>
          </w:tcPr>
          <w:p w:rsidR="00322900" w:rsidRPr="00F55CA5" w:rsidRDefault="00322900" w:rsidP="006F4141">
            <w:pPr>
              <w:rPr>
                <w:sz w:val="20"/>
                <w:szCs w:val="20"/>
              </w:rPr>
            </w:pPr>
            <w:r w:rsidRPr="00F55CA5">
              <w:rPr>
                <w:sz w:val="20"/>
                <w:szCs w:val="20"/>
              </w:rPr>
              <w:t>Attorney General of Ontario;</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r w:rsidRPr="00F55CA5">
              <w:rPr>
                <w:sz w:val="20"/>
                <w:szCs w:val="20"/>
              </w:rPr>
              <w:t>Justice for Children and Youth;</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r w:rsidRPr="00F55CA5">
              <w:rPr>
                <w:sz w:val="20"/>
                <w:szCs w:val="20"/>
              </w:rPr>
              <w:t>British Columbia Teachers’ Federation;</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r w:rsidRPr="00F55CA5">
              <w:rPr>
                <w:sz w:val="20"/>
                <w:szCs w:val="20"/>
              </w:rPr>
              <w:t>Council of Canadians with Disabilities;</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r w:rsidRPr="00F55CA5">
              <w:rPr>
                <w:sz w:val="20"/>
                <w:szCs w:val="20"/>
              </w:rPr>
              <w:t>Ontario Human Rights Commission;</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r w:rsidRPr="00F55CA5">
              <w:rPr>
                <w:sz w:val="20"/>
                <w:szCs w:val="20"/>
              </w:rPr>
              <w:t>Saskatchewan Human Rights Commission and Alberta Human Rights Commission;</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r w:rsidRPr="00F55CA5">
              <w:rPr>
                <w:sz w:val="20"/>
                <w:szCs w:val="20"/>
              </w:rPr>
              <w:t>International Dyslexia Association, Ontario Branch;</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r w:rsidRPr="00F55CA5">
              <w:rPr>
                <w:sz w:val="20"/>
                <w:szCs w:val="20"/>
              </w:rPr>
              <w:t>Manitoba Human Rights Commission;</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r w:rsidRPr="00F55CA5">
              <w:rPr>
                <w:sz w:val="20"/>
                <w:szCs w:val="20"/>
              </w:rPr>
              <w:t>Learning Disabilities Association of Canada;</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r w:rsidRPr="00F55CA5">
              <w:rPr>
                <w:sz w:val="20"/>
                <w:szCs w:val="20"/>
              </w:rPr>
              <w:t>Canadian Constitution Foundation;</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r w:rsidRPr="00F55CA5">
              <w:rPr>
                <w:sz w:val="20"/>
                <w:szCs w:val="20"/>
              </w:rPr>
              <w:t>Canadian Association for Community Living;</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r w:rsidRPr="00F55CA5">
              <w:rPr>
                <w:sz w:val="20"/>
                <w:szCs w:val="20"/>
              </w:rPr>
              <w:t>Canadian Human Rights Commission;</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7D5BF8"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lang w:val="fr-CA"/>
              </w:rPr>
            </w:pPr>
            <w:r w:rsidRPr="00F55CA5">
              <w:rPr>
                <w:sz w:val="20"/>
                <w:szCs w:val="20"/>
                <w:lang w:val="fr-CA"/>
              </w:rPr>
              <w:t>Commission des droits de la personne et des droits de la jeunesse;</w:t>
            </w:r>
          </w:p>
        </w:tc>
        <w:tc>
          <w:tcPr>
            <w:tcW w:w="900" w:type="dxa"/>
          </w:tcPr>
          <w:p w:rsidR="00322900" w:rsidRPr="00F55CA5" w:rsidRDefault="00322900" w:rsidP="006F4141">
            <w:pPr>
              <w:rPr>
                <w:sz w:val="20"/>
                <w:szCs w:val="20"/>
                <w:lang w:val="fr-CA"/>
              </w:rPr>
            </w:pPr>
          </w:p>
        </w:tc>
        <w:tc>
          <w:tcPr>
            <w:tcW w:w="4507" w:type="dxa"/>
          </w:tcPr>
          <w:p w:rsidR="00322900" w:rsidRPr="00F55CA5" w:rsidRDefault="00322900" w:rsidP="006F4141">
            <w:pPr>
              <w:rPr>
                <w:sz w:val="20"/>
                <w:szCs w:val="20"/>
                <w:lang w:val="fr-CA"/>
              </w:rPr>
            </w:pPr>
          </w:p>
        </w:tc>
      </w:tr>
      <w:tr w:rsidR="00322900" w:rsidRPr="00F55CA5" w:rsidTr="006F4141">
        <w:tc>
          <w:tcPr>
            <w:tcW w:w="1278" w:type="dxa"/>
          </w:tcPr>
          <w:p w:rsidR="00322900" w:rsidRPr="00F55CA5" w:rsidRDefault="00322900" w:rsidP="006F4141">
            <w:pPr>
              <w:rPr>
                <w:sz w:val="20"/>
                <w:szCs w:val="20"/>
                <w:lang w:val="fr-CA"/>
              </w:rPr>
            </w:pPr>
          </w:p>
        </w:tc>
        <w:tc>
          <w:tcPr>
            <w:tcW w:w="3150" w:type="dxa"/>
          </w:tcPr>
          <w:p w:rsidR="00322900" w:rsidRPr="00F55CA5" w:rsidRDefault="00322900" w:rsidP="006F4141">
            <w:pPr>
              <w:rPr>
                <w:sz w:val="20"/>
                <w:szCs w:val="20"/>
              </w:rPr>
            </w:pPr>
            <w:r w:rsidRPr="00F55CA5">
              <w:rPr>
                <w:sz w:val="20"/>
                <w:szCs w:val="20"/>
              </w:rPr>
              <w:t>West Coast Women’s Legal Education and Action Fund;</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r w:rsidRPr="00F55CA5">
              <w:rPr>
                <w:sz w:val="20"/>
                <w:szCs w:val="20"/>
              </w:rPr>
              <w:t>First Nations Child and Family Caring Society;</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r w:rsidRPr="00F55CA5">
              <w:rPr>
                <w:sz w:val="20"/>
                <w:szCs w:val="20"/>
              </w:rPr>
              <w:t>British Columbia Human Rights Tribunal</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r w:rsidRPr="00F55CA5">
              <w:rPr>
                <w:sz w:val="20"/>
                <w:szCs w:val="20"/>
              </w:rPr>
              <w:t>IN / DANS :</w:t>
            </w:r>
          </w:p>
        </w:tc>
        <w:tc>
          <w:tcPr>
            <w:tcW w:w="3150" w:type="dxa"/>
          </w:tcPr>
          <w:p w:rsidR="00322900" w:rsidRPr="00F55CA5" w:rsidRDefault="00322900" w:rsidP="006F4141">
            <w:pPr>
              <w:rPr>
                <w:sz w:val="20"/>
                <w:szCs w:val="20"/>
              </w:rPr>
            </w:pPr>
            <w:r w:rsidRPr="00F55CA5">
              <w:rPr>
                <w:sz w:val="20"/>
                <w:szCs w:val="20"/>
              </w:rPr>
              <w:t>Frederick Moore on behalf of Jeffrey P. Moore</w:t>
            </w:r>
          </w:p>
          <w:p w:rsidR="00322900" w:rsidRPr="00F55CA5" w:rsidRDefault="00322900" w:rsidP="006F4141">
            <w:pPr>
              <w:rPr>
                <w:sz w:val="20"/>
                <w:szCs w:val="20"/>
              </w:rPr>
            </w:pP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r w:rsidRPr="00F55CA5">
              <w:rPr>
                <w:sz w:val="20"/>
                <w:szCs w:val="20"/>
              </w:rPr>
              <w:tab/>
              <w:t>v. (34040)</w:t>
            </w:r>
          </w:p>
          <w:p w:rsidR="00322900" w:rsidRPr="00F55CA5" w:rsidRDefault="00322900" w:rsidP="006F4141">
            <w:pPr>
              <w:rPr>
                <w:sz w:val="20"/>
                <w:szCs w:val="20"/>
              </w:rPr>
            </w:pP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tabs>
                <w:tab w:val="left" w:pos="-1440"/>
                <w:tab w:val="left" w:pos="-720"/>
              </w:tabs>
              <w:jc w:val="both"/>
              <w:rPr>
                <w:sz w:val="20"/>
                <w:szCs w:val="20"/>
              </w:rPr>
            </w:pPr>
            <w:r w:rsidRPr="00F55CA5">
              <w:rPr>
                <w:sz w:val="20"/>
                <w:szCs w:val="20"/>
              </w:rPr>
              <w:t>Her Majesty the Queen in Right of the Province of British Columbia as represented by the Ministry of Education et al. (B.C.)</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jc w:val="both"/>
              <w:rPr>
                <w:sz w:val="20"/>
                <w:szCs w:val="20"/>
              </w:rPr>
            </w:pP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jc w:val="both"/>
              <w:rPr>
                <w:sz w:val="20"/>
                <w:szCs w:val="20"/>
              </w:rPr>
            </w:pPr>
            <w:r w:rsidRPr="00F55CA5">
              <w:rPr>
                <w:sz w:val="20"/>
                <w:szCs w:val="20"/>
              </w:rPr>
              <w:t>- and between -</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jc w:val="both"/>
              <w:rPr>
                <w:sz w:val="20"/>
                <w:szCs w:val="20"/>
              </w:rPr>
            </w:pP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rPr>
                <w:sz w:val="20"/>
                <w:szCs w:val="20"/>
              </w:rPr>
            </w:pPr>
            <w:r w:rsidRPr="00F55CA5">
              <w:rPr>
                <w:sz w:val="20"/>
                <w:szCs w:val="20"/>
              </w:rPr>
              <w:t>Frederick Moore on behalf of Jeffrey P. Moore</w:t>
            </w:r>
          </w:p>
          <w:p w:rsidR="00322900" w:rsidRPr="00F55CA5" w:rsidRDefault="00322900" w:rsidP="006F4141">
            <w:pPr>
              <w:rPr>
                <w:sz w:val="20"/>
                <w:szCs w:val="20"/>
              </w:rPr>
            </w:pP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jc w:val="both"/>
              <w:rPr>
                <w:sz w:val="20"/>
                <w:szCs w:val="20"/>
              </w:rPr>
            </w:pPr>
            <w:r w:rsidRPr="00F55CA5">
              <w:rPr>
                <w:sz w:val="20"/>
                <w:szCs w:val="20"/>
              </w:rPr>
              <w:tab/>
              <w:t>v. (34041)</w:t>
            </w:r>
          </w:p>
          <w:p w:rsidR="00322900" w:rsidRPr="00F55CA5" w:rsidRDefault="00322900" w:rsidP="006F4141">
            <w:pPr>
              <w:jc w:val="both"/>
              <w:rPr>
                <w:sz w:val="20"/>
                <w:szCs w:val="20"/>
              </w:rPr>
            </w:pP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r w:rsidR="00322900" w:rsidRPr="00F55CA5" w:rsidTr="006F4141">
        <w:tc>
          <w:tcPr>
            <w:tcW w:w="1278" w:type="dxa"/>
          </w:tcPr>
          <w:p w:rsidR="00322900" w:rsidRPr="00F55CA5" w:rsidRDefault="00322900" w:rsidP="006F4141">
            <w:pPr>
              <w:rPr>
                <w:sz w:val="20"/>
                <w:szCs w:val="20"/>
              </w:rPr>
            </w:pPr>
          </w:p>
        </w:tc>
        <w:tc>
          <w:tcPr>
            <w:tcW w:w="3150" w:type="dxa"/>
          </w:tcPr>
          <w:p w:rsidR="00322900" w:rsidRPr="00F55CA5" w:rsidRDefault="00322900" w:rsidP="006F4141">
            <w:pPr>
              <w:tabs>
                <w:tab w:val="left" w:pos="-1440"/>
                <w:tab w:val="left" w:pos="-720"/>
              </w:tabs>
              <w:jc w:val="both"/>
              <w:rPr>
                <w:sz w:val="20"/>
                <w:szCs w:val="20"/>
              </w:rPr>
            </w:pPr>
            <w:r w:rsidRPr="00F55CA5">
              <w:rPr>
                <w:sz w:val="20"/>
                <w:szCs w:val="20"/>
              </w:rPr>
              <w:t>Her Majesty the Queen in Right of the Province of British Columbia as represented by the Ministry of Education et al. (B.C.)</w:t>
            </w:r>
          </w:p>
        </w:tc>
        <w:tc>
          <w:tcPr>
            <w:tcW w:w="900" w:type="dxa"/>
          </w:tcPr>
          <w:p w:rsidR="00322900" w:rsidRPr="00F55CA5" w:rsidRDefault="00322900" w:rsidP="006F4141">
            <w:pPr>
              <w:rPr>
                <w:sz w:val="20"/>
                <w:szCs w:val="20"/>
              </w:rPr>
            </w:pPr>
          </w:p>
        </w:tc>
        <w:tc>
          <w:tcPr>
            <w:tcW w:w="4507" w:type="dxa"/>
          </w:tcPr>
          <w:p w:rsidR="00322900" w:rsidRPr="00F55CA5" w:rsidRDefault="00322900" w:rsidP="006F4141">
            <w:pPr>
              <w:rPr>
                <w:sz w:val="20"/>
                <w:szCs w:val="20"/>
              </w:rPr>
            </w:pPr>
          </w:p>
        </w:tc>
      </w:tr>
    </w:tbl>
    <w:p w:rsidR="00322900" w:rsidRPr="00F55CA5" w:rsidRDefault="00322900" w:rsidP="00322900">
      <w:pPr>
        <w:tabs>
          <w:tab w:val="left" w:pos="-1440"/>
          <w:tab w:val="left" w:pos="-720"/>
        </w:tabs>
        <w:jc w:val="both"/>
        <w:rPr>
          <w:sz w:val="20"/>
          <w:szCs w:val="20"/>
        </w:rPr>
      </w:pPr>
    </w:p>
    <w:p w:rsidR="00322900" w:rsidRPr="00F55CA5" w:rsidRDefault="00322900" w:rsidP="00322900">
      <w:pPr>
        <w:spacing w:line="230" w:lineRule="auto"/>
        <w:jc w:val="both"/>
        <w:rPr>
          <w:sz w:val="20"/>
          <w:szCs w:val="20"/>
        </w:rPr>
      </w:pPr>
      <w:r w:rsidRPr="00F55CA5">
        <w:rPr>
          <w:b/>
          <w:sz w:val="20"/>
          <w:szCs w:val="20"/>
        </w:rPr>
        <w:t>FURTHER TO THE ORDER</w:t>
      </w:r>
      <w:r w:rsidRPr="00F55CA5">
        <w:rPr>
          <w:sz w:val="20"/>
          <w:szCs w:val="20"/>
        </w:rPr>
        <w:t xml:space="preserve"> dated January 30, 2012, granting leave to intervene to the Attorney General of Ontario, Justice for Children and Youth, the British Columbia Teachers’ Federation, the Council of Canadians with Disabilities, the Ontario Human Rights Commission, Saskatchewan Human Rights Commission and Alberta Human Rights Commission, the International Dyslexia Association, Ontario Branch, the Manitoba Human Rights Commission, the Learning Disabilities Association of Canada, the Canadian Constitution Foundation, the Canadian Association for Community Living, the Canadian Human Rights Commission, the Commission des droits de la personne et des droits de la jeunesse, the West Coast Women’s Legal Education and Action Fund, the First Nations Child and Family Caring Society and the British Columbia Human Rights Tribunal;</w:t>
      </w:r>
    </w:p>
    <w:p w:rsidR="00322900" w:rsidRPr="00F55CA5" w:rsidRDefault="00322900" w:rsidP="00322900">
      <w:pPr>
        <w:spacing w:line="230" w:lineRule="auto"/>
        <w:jc w:val="both"/>
        <w:rPr>
          <w:sz w:val="20"/>
          <w:szCs w:val="20"/>
        </w:rPr>
      </w:pPr>
    </w:p>
    <w:p w:rsidR="00322900" w:rsidRPr="00F55CA5" w:rsidRDefault="00322900" w:rsidP="00322900">
      <w:pPr>
        <w:spacing w:line="230" w:lineRule="auto"/>
        <w:jc w:val="both"/>
        <w:rPr>
          <w:sz w:val="20"/>
          <w:szCs w:val="20"/>
        </w:rPr>
      </w:pPr>
      <w:r w:rsidRPr="00F55CA5">
        <w:rPr>
          <w:b/>
          <w:sz w:val="20"/>
          <w:szCs w:val="20"/>
        </w:rPr>
        <w:t>IT IS HEREBY FURTHER ORDERED THAT</w:t>
      </w:r>
      <w:r w:rsidRPr="00F55CA5">
        <w:rPr>
          <w:sz w:val="20"/>
          <w:szCs w:val="20"/>
        </w:rPr>
        <w:t xml:space="preserve"> only the Canadian Human Rights Commission, the International Dyslexia Association, the British Columbia Human Rights Tribunal, the Learning Disabilities Association of Canada, the Ontario Human Rights Commission, Saskatchewan Human Rights Commission and Alberta Human Rights Commission, the Canadian Constitution Foundation and the Attorney General of Ontario are each granted permission to present oral argument not exceeding ten (10) minutes at the hearing of these appeals.</w:t>
      </w:r>
    </w:p>
    <w:p w:rsidR="00322900" w:rsidRPr="00F55CA5" w:rsidRDefault="00322900" w:rsidP="00322900">
      <w:pPr>
        <w:spacing w:line="230" w:lineRule="auto"/>
        <w:jc w:val="both"/>
        <w:rPr>
          <w:sz w:val="20"/>
          <w:szCs w:val="20"/>
        </w:rPr>
      </w:pPr>
    </w:p>
    <w:p w:rsidR="00322900" w:rsidRPr="00F55CA5" w:rsidRDefault="00322900" w:rsidP="00322900">
      <w:pPr>
        <w:spacing w:line="233" w:lineRule="auto"/>
        <w:jc w:val="both"/>
        <w:rPr>
          <w:sz w:val="20"/>
          <w:szCs w:val="20"/>
        </w:rPr>
      </w:pPr>
    </w:p>
    <w:p w:rsidR="00322900" w:rsidRPr="00F55CA5" w:rsidRDefault="00322900" w:rsidP="00322900">
      <w:pPr>
        <w:spacing w:line="233" w:lineRule="auto"/>
        <w:jc w:val="both"/>
        <w:rPr>
          <w:sz w:val="20"/>
          <w:szCs w:val="20"/>
        </w:rPr>
      </w:pPr>
    </w:p>
    <w:p w:rsidR="00322900" w:rsidRPr="00F55CA5" w:rsidRDefault="00322900" w:rsidP="00322900">
      <w:pPr>
        <w:spacing w:line="230" w:lineRule="auto"/>
        <w:jc w:val="both"/>
        <w:rPr>
          <w:sz w:val="20"/>
          <w:szCs w:val="20"/>
          <w:lang w:val="fr-CA"/>
        </w:rPr>
      </w:pPr>
      <w:r w:rsidRPr="00F55CA5">
        <w:rPr>
          <w:b/>
          <w:sz w:val="20"/>
          <w:szCs w:val="20"/>
          <w:lang w:val="fr-CA"/>
        </w:rPr>
        <w:t>À LA SUITE DE L'ORDONNANCE</w:t>
      </w:r>
      <w:r w:rsidRPr="00F55CA5">
        <w:rPr>
          <w:sz w:val="20"/>
          <w:szCs w:val="20"/>
          <w:lang w:val="fr-CA"/>
        </w:rPr>
        <w:t xml:space="preserve"> datée du 30 janvier 2012 accordant l'autorisation d'intervenir au Procureur général de l'Ontario,</w:t>
      </w:r>
      <w:r w:rsidRPr="00F55CA5">
        <w:rPr>
          <w:sz w:val="20"/>
          <w:szCs w:val="20"/>
          <w:lang w:val="fr-FR"/>
        </w:rPr>
        <w:t xml:space="preserve"> Justice for</w:t>
      </w:r>
      <w:r w:rsidRPr="00F55CA5">
        <w:rPr>
          <w:sz w:val="20"/>
          <w:szCs w:val="20"/>
          <w:lang w:val="fr-CA"/>
        </w:rPr>
        <w:t xml:space="preserve"> Children</w:t>
      </w:r>
      <w:r w:rsidRPr="00F55CA5">
        <w:rPr>
          <w:sz w:val="20"/>
          <w:szCs w:val="20"/>
          <w:lang w:val="fr-FR"/>
        </w:rPr>
        <w:t xml:space="preserve"> and Youth,</w:t>
      </w:r>
      <w:r w:rsidRPr="00F55CA5">
        <w:rPr>
          <w:sz w:val="20"/>
          <w:szCs w:val="20"/>
          <w:lang w:val="fr-CA"/>
        </w:rPr>
        <w:t xml:space="preserve"> la British Columbia Teachers’ Federation, le </w:t>
      </w:r>
      <w:r w:rsidRPr="00F55CA5">
        <w:rPr>
          <w:bCs/>
          <w:sz w:val="20"/>
          <w:szCs w:val="20"/>
          <w:lang w:val="fr-CA"/>
        </w:rPr>
        <w:t>Conseil des Canadiens avec déficiences</w:t>
      </w:r>
      <w:r w:rsidRPr="00F55CA5">
        <w:rPr>
          <w:sz w:val="20"/>
          <w:szCs w:val="20"/>
          <w:lang w:val="fr-CA"/>
        </w:rPr>
        <w:t xml:space="preserve">, la </w:t>
      </w:r>
      <w:r w:rsidRPr="00F55CA5">
        <w:rPr>
          <w:bCs/>
          <w:sz w:val="20"/>
          <w:szCs w:val="20"/>
          <w:lang w:val="fr-CA"/>
        </w:rPr>
        <w:t>Commission ontarienne des droits de la personne</w:t>
      </w:r>
      <w:r w:rsidRPr="00F55CA5">
        <w:rPr>
          <w:sz w:val="20"/>
          <w:szCs w:val="20"/>
          <w:lang w:val="fr-CA"/>
        </w:rPr>
        <w:t xml:space="preserve">, Saskatchewan Human Rights Commission et Alberta Human Rights Commission, l’International Dyslexia Association, Ontario Branch, la </w:t>
      </w:r>
      <w:r w:rsidRPr="00F55CA5">
        <w:rPr>
          <w:bCs/>
          <w:sz w:val="20"/>
          <w:szCs w:val="20"/>
          <w:lang w:val="fr-FR"/>
        </w:rPr>
        <w:t>Commission des droits de la personne du Manitoba</w:t>
      </w:r>
      <w:r w:rsidRPr="00F55CA5">
        <w:rPr>
          <w:sz w:val="20"/>
          <w:szCs w:val="20"/>
          <w:lang w:val="fr-CA"/>
        </w:rPr>
        <w:t xml:space="preserve">, les </w:t>
      </w:r>
      <w:r w:rsidRPr="00F55CA5">
        <w:rPr>
          <w:bCs/>
          <w:sz w:val="20"/>
          <w:szCs w:val="20"/>
          <w:lang w:val="fr-FR"/>
        </w:rPr>
        <w:t>Troubles d'Apprentissage - Association canadienne</w:t>
      </w:r>
      <w:r w:rsidRPr="00F55CA5">
        <w:rPr>
          <w:sz w:val="20"/>
          <w:szCs w:val="20"/>
          <w:lang w:val="fr-CA"/>
        </w:rPr>
        <w:t>, la Canadian Constitution Foundation, l’</w:t>
      </w:r>
      <w:r w:rsidRPr="00F55CA5">
        <w:rPr>
          <w:bCs/>
          <w:sz w:val="20"/>
          <w:szCs w:val="20"/>
          <w:lang w:val="fr-FR"/>
        </w:rPr>
        <w:t>Association canadienne pour l'intégration communautaire</w:t>
      </w:r>
      <w:r w:rsidRPr="00F55CA5">
        <w:rPr>
          <w:sz w:val="20"/>
          <w:szCs w:val="20"/>
          <w:lang w:val="fr-CA"/>
        </w:rPr>
        <w:t xml:space="preserve">,  la </w:t>
      </w:r>
      <w:r w:rsidRPr="00F55CA5">
        <w:rPr>
          <w:bCs/>
          <w:sz w:val="20"/>
          <w:szCs w:val="20"/>
          <w:lang w:val="fr-FR"/>
        </w:rPr>
        <w:t>Commission canadienne des droits de la personne</w:t>
      </w:r>
      <w:r w:rsidRPr="00F55CA5">
        <w:rPr>
          <w:sz w:val="20"/>
          <w:szCs w:val="20"/>
          <w:lang w:val="fr-CA"/>
        </w:rPr>
        <w:t xml:space="preserve">, la Commission des droits de la personne et des droits de la jeunesse, le West Coast Women’s Legal Education and Action Fund, la First </w:t>
      </w:r>
      <w:r w:rsidRPr="00F55CA5">
        <w:rPr>
          <w:sz w:val="20"/>
          <w:szCs w:val="20"/>
          <w:lang w:val="fr-FR"/>
        </w:rPr>
        <w:t>Nations Child and Family Caring Society et le British Columbia Human Rights Tribunal</w:t>
      </w:r>
      <w:r w:rsidRPr="00F55CA5">
        <w:rPr>
          <w:sz w:val="20"/>
          <w:szCs w:val="20"/>
          <w:lang w:val="fr-CA"/>
        </w:rPr>
        <w:t>;</w:t>
      </w:r>
    </w:p>
    <w:p w:rsidR="00322900" w:rsidRPr="00F55CA5" w:rsidRDefault="00322900" w:rsidP="00322900">
      <w:pPr>
        <w:spacing w:line="230" w:lineRule="auto"/>
        <w:jc w:val="both"/>
        <w:rPr>
          <w:sz w:val="20"/>
          <w:szCs w:val="20"/>
          <w:lang w:val="fr-CA"/>
        </w:rPr>
      </w:pPr>
    </w:p>
    <w:p w:rsidR="00322900" w:rsidRPr="00F55CA5" w:rsidRDefault="00322900" w:rsidP="00322900">
      <w:pPr>
        <w:spacing w:line="230" w:lineRule="auto"/>
        <w:jc w:val="both"/>
        <w:rPr>
          <w:sz w:val="20"/>
          <w:szCs w:val="20"/>
          <w:lang w:val="fr-CA"/>
        </w:rPr>
      </w:pPr>
      <w:r w:rsidRPr="00F55CA5">
        <w:rPr>
          <w:b/>
          <w:sz w:val="20"/>
          <w:szCs w:val="20"/>
          <w:lang w:val="fr-CA"/>
        </w:rPr>
        <w:t>IL EST EN OUTRE ORDONNÉ QUE</w:t>
      </w:r>
      <w:r w:rsidRPr="00F55CA5">
        <w:rPr>
          <w:sz w:val="20"/>
          <w:szCs w:val="20"/>
          <w:lang w:val="fr-CA"/>
        </w:rPr>
        <w:t xml:space="preserve"> seulement la Commission canadienne des droits de la personne, l’International Dyslexia Association, le British Columbia Human Rights Tribunal, les </w:t>
      </w:r>
      <w:r w:rsidRPr="00F55CA5">
        <w:rPr>
          <w:bCs/>
          <w:sz w:val="20"/>
          <w:szCs w:val="20"/>
          <w:lang w:val="fr-FR"/>
        </w:rPr>
        <w:t>Troubles d'Apprentissage - Association canadienne,</w:t>
      </w:r>
      <w:r w:rsidRPr="00F55CA5">
        <w:rPr>
          <w:sz w:val="20"/>
          <w:szCs w:val="20"/>
          <w:lang w:val="fr-CA"/>
        </w:rPr>
        <w:t xml:space="preserve"> la </w:t>
      </w:r>
      <w:r w:rsidRPr="00F55CA5">
        <w:rPr>
          <w:bCs/>
          <w:sz w:val="20"/>
          <w:szCs w:val="20"/>
          <w:lang w:val="fr-CA"/>
        </w:rPr>
        <w:t>Commission ontarienne des droits de la personne</w:t>
      </w:r>
      <w:r w:rsidRPr="00F55CA5">
        <w:rPr>
          <w:sz w:val="20"/>
          <w:szCs w:val="20"/>
          <w:lang w:val="fr-CA"/>
        </w:rPr>
        <w:t>, Saskatchewan Human Rights Commission et Alberta Human Rights Commission, la Canadian Constitution Foundation et le Procureur général de l’Ontario pourront présenter chacun une plaidoirie orale d'au plus dix (10) minutes lors de l'audition des appels.</w:t>
      </w:r>
    </w:p>
    <w:p w:rsidR="00322900" w:rsidRPr="00F55CA5" w:rsidRDefault="00322900" w:rsidP="00322900">
      <w:pPr>
        <w:spacing w:line="233" w:lineRule="auto"/>
        <w:jc w:val="both"/>
        <w:rPr>
          <w:sz w:val="20"/>
          <w:szCs w:val="20"/>
          <w:lang w:val="fr-CA"/>
        </w:rPr>
      </w:pPr>
    </w:p>
    <w:p w:rsidR="00322900" w:rsidRPr="00F55CA5" w:rsidRDefault="0011031E" w:rsidP="00322900">
      <w:pPr>
        <w:tabs>
          <w:tab w:val="left" w:pos="-1440"/>
          <w:tab w:val="left" w:pos="-720"/>
        </w:tabs>
        <w:jc w:val="both"/>
        <w:rPr>
          <w:sz w:val="20"/>
          <w:szCs w:val="20"/>
          <w:lang w:val="fr-CA"/>
        </w:rPr>
      </w:pPr>
      <w:r w:rsidRPr="0011031E">
        <w:rPr>
          <w:sz w:val="20"/>
          <w:szCs w:val="20"/>
          <w:lang w:val="fr-CA"/>
        </w:rPr>
        <w:pict>
          <v:rect id="_x0000_i1062" style="width:2in;height:1pt" o:hrpct="0" o:hralign="center" o:hrstd="t" o:hrnoshade="t" o:hr="t" fillcolor="black [3213]" stroked="f"/>
        </w:pict>
      </w:r>
    </w:p>
    <w:p w:rsidR="00322900" w:rsidRPr="00F55CA5" w:rsidRDefault="00322900" w:rsidP="00322900">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7D5BF8"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CC012F" w:rsidRDefault="00CC012F" w:rsidP="00732DB7">
      <w:pPr>
        <w:widowControl w:val="0"/>
        <w:rPr>
          <w:sz w:val="20"/>
          <w:szCs w:val="20"/>
        </w:rPr>
      </w:pPr>
      <w:r>
        <w:rPr>
          <w:sz w:val="20"/>
          <w:szCs w:val="20"/>
        </w:rPr>
        <w:t>16.03.2012</w:t>
      </w:r>
    </w:p>
    <w:p w:rsidR="00CC012F" w:rsidRDefault="00CC012F" w:rsidP="00732DB7">
      <w:pPr>
        <w:widowControl w:val="0"/>
        <w:rPr>
          <w:sz w:val="20"/>
          <w:szCs w:val="20"/>
        </w:rPr>
      </w:pPr>
    </w:p>
    <w:p w:rsidR="008A744B" w:rsidRPr="000C2070" w:rsidRDefault="008A744B" w:rsidP="008A744B">
      <w:pPr>
        <w:widowControl w:val="0"/>
        <w:ind w:left="720" w:hanging="720"/>
        <w:rPr>
          <w:rFonts w:eastAsia="Calibri" w:cs="Times New Roman"/>
          <w:sz w:val="20"/>
          <w:szCs w:val="20"/>
          <w:u w:val="single"/>
        </w:rPr>
      </w:pPr>
      <w:r w:rsidRPr="000C2070">
        <w:rPr>
          <w:rFonts w:eastAsia="Calibri" w:cs="Times New Roman"/>
          <w:sz w:val="20"/>
          <w:szCs w:val="20"/>
        </w:rPr>
        <w:t xml:space="preserve">Coram: </w:t>
      </w:r>
      <w:r w:rsidRPr="000C2070">
        <w:rPr>
          <w:rFonts w:eastAsia="Calibri" w:cs="Times New Roman"/>
          <w:sz w:val="20"/>
          <w:szCs w:val="20"/>
        </w:rPr>
        <w:tab/>
      </w:r>
      <w:r w:rsidRPr="000C2070">
        <w:rPr>
          <w:rFonts w:eastAsia="Calibri" w:cs="Times New Roman"/>
          <w:sz w:val="20"/>
          <w:szCs w:val="20"/>
          <w:u w:val="single"/>
        </w:rPr>
        <w:t>McLachlin C.J. and LeBel, Deschamps, Fish, Abella, Rothstein, Cromwell, Moldaver and Karakatsanis JJ.</w:t>
      </w:r>
    </w:p>
    <w:p w:rsidR="00CC012F" w:rsidRDefault="00CC012F"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CC012F" w:rsidRPr="00C50A5C" w:rsidTr="00CC012F">
        <w:tc>
          <w:tcPr>
            <w:tcW w:w="4380" w:type="dxa"/>
            <w:tcMar>
              <w:left w:w="0" w:type="dxa"/>
              <w:right w:w="0" w:type="dxa"/>
            </w:tcMar>
          </w:tcPr>
          <w:p w:rsidR="00CC012F" w:rsidRPr="008A744B" w:rsidRDefault="008A744B" w:rsidP="00CC012F">
            <w:pPr>
              <w:widowControl w:val="0"/>
              <w:jc w:val="both"/>
              <w:rPr>
                <w:b/>
                <w:sz w:val="20"/>
                <w:szCs w:val="20"/>
              </w:rPr>
            </w:pPr>
            <w:r w:rsidRPr="008A744B">
              <w:rPr>
                <w:rStyle w:val="SCCSsocChar"/>
                <w:b/>
                <w:i w:val="0"/>
              </w:rPr>
              <w:t>Her Majesty the Queen</w:t>
            </w:r>
          </w:p>
          <w:p w:rsidR="00CC012F" w:rsidRPr="008A744B" w:rsidRDefault="00CC012F" w:rsidP="00CC012F">
            <w:pPr>
              <w:widowControl w:val="0"/>
              <w:jc w:val="both"/>
              <w:rPr>
                <w:b/>
                <w:sz w:val="20"/>
                <w:szCs w:val="20"/>
              </w:rPr>
            </w:pPr>
          </w:p>
          <w:p w:rsidR="00CC012F" w:rsidRPr="008A744B" w:rsidRDefault="00CC012F" w:rsidP="00CC012F">
            <w:pPr>
              <w:widowControl w:val="0"/>
              <w:tabs>
                <w:tab w:val="left" w:pos="736"/>
              </w:tabs>
              <w:jc w:val="both"/>
              <w:rPr>
                <w:b/>
                <w:sz w:val="20"/>
                <w:szCs w:val="20"/>
              </w:rPr>
            </w:pPr>
            <w:r w:rsidRPr="008A744B">
              <w:rPr>
                <w:b/>
                <w:sz w:val="20"/>
                <w:szCs w:val="20"/>
              </w:rPr>
              <w:tab/>
              <w:t>v. (34</w:t>
            </w:r>
            <w:r w:rsidR="008A744B" w:rsidRPr="008A744B">
              <w:rPr>
                <w:b/>
                <w:sz w:val="20"/>
                <w:szCs w:val="20"/>
              </w:rPr>
              <w:t>228</w:t>
            </w:r>
            <w:r w:rsidRPr="008A744B">
              <w:rPr>
                <w:b/>
                <w:sz w:val="20"/>
                <w:szCs w:val="20"/>
              </w:rPr>
              <w:t>)</w:t>
            </w:r>
          </w:p>
          <w:p w:rsidR="00CC012F" w:rsidRPr="008A744B" w:rsidRDefault="00CC012F" w:rsidP="00CC012F">
            <w:pPr>
              <w:widowControl w:val="0"/>
              <w:jc w:val="both"/>
              <w:rPr>
                <w:b/>
                <w:sz w:val="20"/>
                <w:szCs w:val="20"/>
              </w:rPr>
            </w:pPr>
          </w:p>
          <w:p w:rsidR="00CC012F" w:rsidRPr="00CC012F" w:rsidRDefault="008A744B" w:rsidP="008A744B">
            <w:pPr>
              <w:widowControl w:val="0"/>
              <w:jc w:val="both"/>
              <w:rPr>
                <w:sz w:val="20"/>
                <w:szCs w:val="20"/>
              </w:rPr>
            </w:pPr>
            <w:r w:rsidRPr="008A744B">
              <w:rPr>
                <w:rStyle w:val="SCCSsocChar"/>
                <w:b/>
                <w:i w:val="0"/>
              </w:rPr>
              <w:t>Marius Nedelcu</w:t>
            </w:r>
            <w:r w:rsidRPr="008A744B">
              <w:rPr>
                <w:rFonts w:eastAsia="Calibri" w:cs="Times New Roman"/>
                <w:b/>
                <w:i/>
                <w:sz w:val="20"/>
                <w:szCs w:val="20"/>
              </w:rPr>
              <w:t xml:space="preserve"> </w:t>
            </w:r>
            <w:r w:rsidRPr="008A744B">
              <w:rPr>
                <w:rFonts w:eastAsia="Calibri" w:cs="Times New Roman"/>
                <w:b/>
                <w:sz w:val="20"/>
                <w:szCs w:val="20"/>
              </w:rPr>
              <w:t>(Ont.) (Criminal) (By Leave)</w:t>
            </w:r>
          </w:p>
        </w:tc>
        <w:tc>
          <w:tcPr>
            <w:tcW w:w="720" w:type="dxa"/>
            <w:tcMar>
              <w:left w:w="0" w:type="dxa"/>
              <w:right w:w="0" w:type="dxa"/>
            </w:tcMar>
          </w:tcPr>
          <w:p w:rsidR="00CC012F" w:rsidRPr="00CC012F" w:rsidRDefault="00CC012F" w:rsidP="00CC012F">
            <w:pPr>
              <w:widowControl w:val="0"/>
              <w:jc w:val="center"/>
              <w:rPr>
                <w:sz w:val="20"/>
                <w:szCs w:val="20"/>
              </w:rPr>
            </w:pPr>
          </w:p>
        </w:tc>
        <w:tc>
          <w:tcPr>
            <w:tcW w:w="4380" w:type="dxa"/>
            <w:tcMar>
              <w:left w:w="0" w:type="dxa"/>
              <w:right w:w="0" w:type="dxa"/>
            </w:tcMar>
          </w:tcPr>
          <w:p w:rsidR="00AF71AF" w:rsidRPr="00707172" w:rsidRDefault="00AF71AF" w:rsidP="00AF71AF">
            <w:pPr>
              <w:jc w:val="both"/>
              <w:rPr>
                <w:sz w:val="20"/>
                <w:szCs w:val="20"/>
              </w:rPr>
            </w:pPr>
            <w:r w:rsidRPr="00707172">
              <w:rPr>
                <w:sz w:val="20"/>
                <w:szCs w:val="20"/>
              </w:rPr>
              <w:t>Michal Fairburn</w:t>
            </w:r>
            <w:r>
              <w:rPr>
                <w:sz w:val="20"/>
                <w:szCs w:val="20"/>
              </w:rPr>
              <w:t xml:space="preserve"> and </w:t>
            </w:r>
            <w:r w:rsidRPr="00707172">
              <w:rPr>
                <w:sz w:val="20"/>
                <w:szCs w:val="20"/>
              </w:rPr>
              <w:t>Randy Schwartz</w:t>
            </w:r>
            <w:r>
              <w:rPr>
                <w:sz w:val="20"/>
                <w:szCs w:val="20"/>
              </w:rPr>
              <w:t xml:space="preserve"> f</w:t>
            </w:r>
            <w:r w:rsidRPr="00707172">
              <w:rPr>
                <w:sz w:val="20"/>
                <w:szCs w:val="20"/>
              </w:rPr>
              <w:t xml:space="preserve">or the </w:t>
            </w:r>
            <w:r>
              <w:rPr>
                <w:sz w:val="20"/>
                <w:szCs w:val="20"/>
              </w:rPr>
              <w:t>a</w:t>
            </w:r>
            <w:r w:rsidRPr="00707172">
              <w:rPr>
                <w:sz w:val="20"/>
                <w:szCs w:val="20"/>
              </w:rPr>
              <w:t>ppellant.</w:t>
            </w:r>
          </w:p>
          <w:p w:rsidR="00AF71AF" w:rsidRPr="00AF71AF" w:rsidRDefault="00AF71AF" w:rsidP="00AF71AF">
            <w:pPr>
              <w:jc w:val="both"/>
              <w:rPr>
                <w:sz w:val="20"/>
                <w:szCs w:val="20"/>
              </w:rPr>
            </w:pPr>
          </w:p>
          <w:p w:rsidR="00AF71AF" w:rsidRPr="00707172" w:rsidRDefault="00AF71AF" w:rsidP="00AF71AF">
            <w:pPr>
              <w:jc w:val="both"/>
              <w:rPr>
                <w:sz w:val="20"/>
                <w:szCs w:val="20"/>
                <w:lang w:val="fr-CA"/>
              </w:rPr>
            </w:pPr>
            <w:r w:rsidRPr="00707172">
              <w:rPr>
                <w:sz w:val="20"/>
                <w:szCs w:val="20"/>
                <w:lang w:val="fr-CA"/>
              </w:rPr>
              <w:t>Sylvain Leboeuf</w:t>
            </w:r>
            <w:r>
              <w:rPr>
                <w:sz w:val="20"/>
                <w:szCs w:val="20"/>
                <w:lang w:val="fr-CA"/>
              </w:rPr>
              <w:t xml:space="preserve"> and </w:t>
            </w:r>
            <w:r w:rsidRPr="00707172">
              <w:rPr>
                <w:sz w:val="20"/>
                <w:szCs w:val="20"/>
                <w:lang w:val="fr-CA"/>
              </w:rPr>
              <w:t>Gilles Laporte</w:t>
            </w:r>
            <w:r>
              <w:rPr>
                <w:sz w:val="20"/>
                <w:szCs w:val="20"/>
                <w:lang w:val="fr-CA"/>
              </w:rPr>
              <w:t xml:space="preserve"> p</w:t>
            </w:r>
            <w:r w:rsidRPr="00707172">
              <w:rPr>
                <w:sz w:val="20"/>
                <w:szCs w:val="20"/>
                <w:lang w:val="fr-CA"/>
              </w:rPr>
              <w:t>our l’intervenant</w:t>
            </w:r>
            <w:r>
              <w:rPr>
                <w:sz w:val="20"/>
                <w:szCs w:val="20"/>
                <w:lang w:val="fr-CA"/>
              </w:rPr>
              <w:t xml:space="preserve"> </w:t>
            </w:r>
            <w:r w:rsidRPr="00707172">
              <w:rPr>
                <w:sz w:val="20"/>
                <w:szCs w:val="20"/>
                <w:lang w:val="fr-CA"/>
              </w:rPr>
              <w:t>Procureur général du Québec</w:t>
            </w:r>
            <w:r>
              <w:rPr>
                <w:sz w:val="20"/>
                <w:szCs w:val="20"/>
                <w:lang w:val="fr-CA"/>
              </w:rPr>
              <w:t>.</w:t>
            </w:r>
          </w:p>
          <w:p w:rsidR="00AF71AF" w:rsidRPr="00707172" w:rsidRDefault="00AF71AF" w:rsidP="00AF71AF">
            <w:pPr>
              <w:jc w:val="both"/>
              <w:rPr>
                <w:sz w:val="20"/>
                <w:szCs w:val="20"/>
                <w:lang w:val="fr-CA"/>
              </w:rPr>
            </w:pPr>
          </w:p>
          <w:p w:rsidR="00AF71AF" w:rsidRPr="00707172" w:rsidRDefault="00AF71AF" w:rsidP="00AF71AF">
            <w:pPr>
              <w:jc w:val="both"/>
              <w:rPr>
                <w:sz w:val="20"/>
                <w:szCs w:val="20"/>
              </w:rPr>
            </w:pPr>
            <w:r w:rsidRPr="00707172">
              <w:rPr>
                <w:sz w:val="20"/>
                <w:szCs w:val="20"/>
              </w:rPr>
              <w:t>P. Andras Schreck</w:t>
            </w:r>
            <w:r>
              <w:rPr>
                <w:sz w:val="20"/>
                <w:szCs w:val="20"/>
              </w:rPr>
              <w:t xml:space="preserve"> and </w:t>
            </w:r>
            <w:r w:rsidRPr="00707172">
              <w:rPr>
                <w:sz w:val="20"/>
                <w:szCs w:val="20"/>
              </w:rPr>
              <w:t>Candice Sute</w:t>
            </w:r>
            <w:r>
              <w:rPr>
                <w:sz w:val="20"/>
                <w:szCs w:val="20"/>
              </w:rPr>
              <w:t>r f</w:t>
            </w:r>
            <w:r w:rsidRPr="00707172">
              <w:rPr>
                <w:sz w:val="20"/>
                <w:szCs w:val="20"/>
              </w:rPr>
              <w:t xml:space="preserve">or the </w:t>
            </w:r>
            <w:r>
              <w:rPr>
                <w:sz w:val="20"/>
                <w:szCs w:val="20"/>
              </w:rPr>
              <w:t>r</w:t>
            </w:r>
            <w:r w:rsidRPr="00707172">
              <w:rPr>
                <w:sz w:val="20"/>
                <w:szCs w:val="20"/>
              </w:rPr>
              <w:t>espondent.</w:t>
            </w:r>
          </w:p>
          <w:p w:rsidR="00AF71AF" w:rsidRPr="00AF71AF" w:rsidRDefault="00AF71AF" w:rsidP="00AF71AF">
            <w:pPr>
              <w:jc w:val="both"/>
              <w:rPr>
                <w:sz w:val="20"/>
                <w:szCs w:val="20"/>
              </w:rPr>
            </w:pPr>
          </w:p>
          <w:p w:rsidR="00AF71AF" w:rsidRPr="00707172" w:rsidRDefault="00AF71AF" w:rsidP="00AF71AF">
            <w:pPr>
              <w:jc w:val="both"/>
              <w:rPr>
                <w:sz w:val="20"/>
                <w:szCs w:val="20"/>
              </w:rPr>
            </w:pPr>
            <w:r w:rsidRPr="00707172">
              <w:rPr>
                <w:sz w:val="20"/>
                <w:szCs w:val="20"/>
              </w:rPr>
              <w:t>Barbara A. McIsaac, Q.C., Jacquie El-Chammas</w:t>
            </w:r>
            <w:r>
              <w:rPr>
                <w:sz w:val="20"/>
                <w:szCs w:val="20"/>
              </w:rPr>
              <w:t xml:space="preserve"> and </w:t>
            </w:r>
            <w:r w:rsidRPr="00707172">
              <w:rPr>
                <w:sz w:val="20"/>
                <w:szCs w:val="20"/>
              </w:rPr>
              <w:t>Frank Addario</w:t>
            </w:r>
            <w:r>
              <w:rPr>
                <w:sz w:val="20"/>
                <w:szCs w:val="20"/>
              </w:rPr>
              <w:t xml:space="preserve"> f</w:t>
            </w:r>
            <w:r w:rsidRPr="00707172">
              <w:rPr>
                <w:sz w:val="20"/>
                <w:szCs w:val="20"/>
              </w:rPr>
              <w:t xml:space="preserve">or the </w:t>
            </w:r>
            <w:r>
              <w:rPr>
                <w:sz w:val="20"/>
                <w:szCs w:val="20"/>
              </w:rPr>
              <w:t>i</w:t>
            </w:r>
            <w:r w:rsidRPr="00707172">
              <w:rPr>
                <w:sz w:val="20"/>
                <w:szCs w:val="20"/>
              </w:rPr>
              <w:t>ntervener</w:t>
            </w:r>
            <w:r>
              <w:rPr>
                <w:sz w:val="20"/>
                <w:szCs w:val="20"/>
              </w:rPr>
              <w:t xml:space="preserve"> </w:t>
            </w:r>
            <w:r w:rsidRPr="00707172">
              <w:rPr>
                <w:sz w:val="20"/>
                <w:szCs w:val="20"/>
              </w:rPr>
              <w:t>Advocates’ Society</w:t>
            </w:r>
            <w:r>
              <w:rPr>
                <w:sz w:val="20"/>
                <w:szCs w:val="20"/>
              </w:rPr>
              <w:t>.</w:t>
            </w:r>
          </w:p>
          <w:p w:rsidR="00AF71AF" w:rsidRPr="00707172" w:rsidRDefault="00AF71AF" w:rsidP="00AF71AF">
            <w:pPr>
              <w:jc w:val="both"/>
              <w:rPr>
                <w:sz w:val="20"/>
                <w:szCs w:val="20"/>
              </w:rPr>
            </w:pPr>
          </w:p>
          <w:p w:rsidR="00CC012F" w:rsidRPr="00C50A5C" w:rsidRDefault="00AF71AF" w:rsidP="00AF71AF">
            <w:pPr>
              <w:jc w:val="both"/>
              <w:rPr>
                <w:sz w:val="20"/>
                <w:szCs w:val="20"/>
              </w:rPr>
            </w:pPr>
            <w:r w:rsidRPr="00707172">
              <w:rPr>
                <w:sz w:val="20"/>
                <w:szCs w:val="20"/>
              </w:rPr>
              <w:t>Scott C. Hutchison</w:t>
            </w:r>
            <w:r>
              <w:rPr>
                <w:sz w:val="20"/>
                <w:szCs w:val="20"/>
              </w:rPr>
              <w:t xml:space="preserve"> and </w:t>
            </w:r>
            <w:r w:rsidRPr="00707172">
              <w:rPr>
                <w:sz w:val="20"/>
                <w:szCs w:val="20"/>
              </w:rPr>
              <w:t>Edward Marrocco</w:t>
            </w:r>
            <w:r>
              <w:rPr>
                <w:sz w:val="20"/>
                <w:szCs w:val="20"/>
              </w:rPr>
              <w:t xml:space="preserve"> f</w:t>
            </w:r>
            <w:r w:rsidRPr="00707172">
              <w:rPr>
                <w:sz w:val="20"/>
                <w:szCs w:val="20"/>
              </w:rPr>
              <w:t xml:space="preserve">or the </w:t>
            </w:r>
            <w:r>
              <w:rPr>
                <w:sz w:val="20"/>
                <w:szCs w:val="20"/>
              </w:rPr>
              <w:t>i</w:t>
            </w:r>
            <w:r w:rsidRPr="00707172">
              <w:rPr>
                <w:sz w:val="20"/>
                <w:szCs w:val="20"/>
              </w:rPr>
              <w:t>ntervener</w:t>
            </w:r>
            <w:r>
              <w:rPr>
                <w:sz w:val="20"/>
                <w:szCs w:val="20"/>
              </w:rPr>
              <w:t xml:space="preserve"> </w:t>
            </w:r>
            <w:r w:rsidRPr="00707172">
              <w:rPr>
                <w:sz w:val="20"/>
                <w:szCs w:val="20"/>
              </w:rPr>
              <w:t>Criminal Lawyers’ Association (Ontario)</w:t>
            </w:r>
            <w:r>
              <w:rPr>
                <w:sz w:val="20"/>
                <w:szCs w:val="20"/>
              </w:rPr>
              <w:t>.</w:t>
            </w:r>
          </w:p>
        </w:tc>
      </w:tr>
    </w:tbl>
    <w:p w:rsidR="00CC012F" w:rsidRDefault="00CC012F" w:rsidP="00732DB7">
      <w:pPr>
        <w:widowControl w:val="0"/>
        <w:rPr>
          <w:sz w:val="20"/>
          <w:szCs w:val="20"/>
        </w:rPr>
      </w:pPr>
    </w:p>
    <w:p w:rsidR="00CC012F" w:rsidRPr="0085476B" w:rsidRDefault="00CC012F" w:rsidP="00CC012F">
      <w:pPr>
        <w:widowControl w:val="0"/>
        <w:rPr>
          <w:sz w:val="20"/>
          <w:szCs w:val="20"/>
        </w:rPr>
      </w:pPr>
      <w:r w:rsidRPr="0085476B">
        <w:rPr>
          <w:b/>
          <w:sz w:val="20"/>
          <w:szCs w:val="20"/>
        </w:rPr>
        <w:t xml:space="preserve">RESERVED / </w:t>
      </w:r>
      <w:r w:rsidRPr="0085476B">
        <w:rPr>
          <w:b/>
          <w:sz w:val="20"/>
          <w:szCs w:val="20"/>
          <w:lang w:val="fr-CA"/>
        </w:rPr>
        <w:t>EN DÉLIBÉRÉ</w:t>
      </w:r>
    </w:p>
    <w:p w:rsidR="00CC012F" w:rsidRDefault="00CC012F" w:rsidP="00CC012F"/>
    <w:tbl>
      <w:tblPr>
        <w:tblW w:w="0" w:type="auto"/>
        <w:tblLayout w:type="fixed"/>
        <w:tblCellMar>
          <w:left w:w="0" w:type="dxa"/>
          <w:right w:w="0" w:type="dxa"/>
        </w:tblCellMar>
        <w:tblLook w:val="0000"/>
      </w:tblPr>
      <w:tblGrid>
        <w:gridCol w:w="4380"/>
        <w:gridCol w:w="720"/>
        <w:gridCol w:w="4380"/>
      </w:tblGrid>
      <w:tr w:rsidR="00CC012F" w:rsidRPr="007D5BF8" w:rsidTr="00CC012F">
        <w:tc>
          <w:tcPr>
            <w:tcW w:w="4380" w:type="dxa"/>
            <w:tcMar>
              <w:left w:w="0" w:type="dxa"/>
              <w:right w:w="0" w:type="dxa"/>
            </w:tcMar>
          </w:tcPr>
          <w:p w:rsidR="00CC012F" w:rsidRPr="00CC4D84" w:rsidRDefault="00CC012F" w:rsidP="00CC012F">
            <w:pPr>
              <w:widowControl w:val="0"/>
              <w:jc w:val="both"/>
              <w:rPr>
                <w:b/>
                <w:sz w:val="20"/>
                <w:szCs w:val="20"/>
                <w:u w:val="single"/>
              </w:rPr>
            </w:pPr>
            <w:r w:rsidRPr="00CC4D84">
              <w:rPr>
                <w:b/>
                <w:sz w:val="20"/>
                <w:szCs w:val="20"/>
                <w:u w:val="single"/>
              </w:rPr>
              <w:t>Nature of the case:</w:t>
            </w:r>
          </w:p>
          <w:p w:rsidR="00CC012F" w:rsidRPr="00C1697B" w:rsidRDefault="00CC012F" w:rsidP="00CC012F">
            <w:pPr>
              <w:widowControl w:val="0"/>
              <w:jc w:val="both"/>
              <w:rPr>
                <w:b/>
                <w:sz w:val="20"/>
                <w:szCs w:val="20"/>
              </w:rPr>
            </w:pPr>
          </w:p>
          <w:p w:rsidR="00CC012F" w:rsidRPr="00C1697B" w:rsidRDefault="007602DA" w:rsidP="007602DA">
            <w:pPr>
              <w:widowControl w:val="0"/>
              <w:jc w:val="both"/>
              <w:rPr>
                <w:b/>
                <w:sz w:val="20"/>
                <w:szCs w:val="20"/>
              </w:rPr>
            </w:pPr>
            <w:r w:rsidRPr="005D5DE6">
              <w:rPr>
                <w:i/>
                <w:sz w:val="20"/>
                <w:szCs w:val="20"/>
              </w:rPr>
              <w:t>Canadian Charter of Rights and Freedoms</w:t>
            </w:r>
            <w:r w:rsidRPr="005D5DE6">
              <w:rPr>
                <w:sz w:val="20"/>
                <w:szCs w:val="20"/>
              </w:rPr>
              <w:t xml:space="preserve"> </w:t>
            </w:r>
            <w:r w:rsidRPr="005D5DE6">
              <w:rPr>
                <w:sz w:val="20"/>
                <w:szCs w:val="20"/>
              </w:rPr>
              <w:noBreakHyphen/>
              <w:t xml:space="preserve"> Self Incrimination </w:t>
            </w:r>
            <w:r w:rsidRPr="005D5DE6">
              <w:rPr>
                <w:sz w:val="20"/>
                <w:szCs w:val="20"/>
              </w:rPr>
              <w:noBreakHyphen/>
              <w:t xml:space="preserve"> Whether an application of this Court’s judgment in </w:t>
            </w:r>
            <w:r w:rsidRPr="005D5DE6">
              <w:rPr>
                <w:i/>
                <w:sz w:val="20"/>
                <w:szCs w:val="20"/>
              </w:rPr>
              <w:t>R. v. Henry</w:t>
            </w:r>
            <w:r w:rsidRPr="005D5DE6">
              <w:rPr>
                <w:sz w:val="20"/>
                <w:szCs w:val="20"/>
              </w:rPr>
              <w:t xml:space="preserve">, [2005] 3 S.C.R. 609, permits the use of examination for discovery evidence to impeach the credibility of an </w:t>
            </w:r>
            <w:r w:rsidRPr="005D5DE6">
              <w:rPr>
                <w:sz w:val="20"/>
                <w:szCs w:val="20"/>
              </w:rPr>
              <w:tab/>
              <w:t xml:space="preserve">accused who testifies inconsistently with that evidence at his or her criminal trial </w:t>
            </w:r>
            <w:r w:rsidRPr="005D5DE6">
              <w:rPr>
                <w:sz w:val="20"/>
                <w:szCs w:val="20"/>
              </w:rPr>
              <w:noBreakHyphen/>
              <w:t xml:space="preserve"> If not, whether this Court’s judgment in </w:t>
            </w:r>
            <w:r w:rsidRPr="005D5DE6">
              <w:rPr>
                <w:i/>
                <w:sz w:val="20"/>
                <w:szCs w:val="20"/>
              </w:rPr>
              <w:t>R. v. Henry</w:t>
            </w:r>
            <w:r w:rsidRPr="005D5DE6">
              <w:rPr>
                <w:sz w:val="20"/>
                <w:szCs w:val="20"/>
              </w:rPr>
              <w:t>, should be overturned as it relates to impeaching the credibility of an accused through the use of prior inconsistent evidence.</w:t>
            </w:r>
          </w:p>
        </w:tc>
        <w:tc>
          <w:tcPr>
            <w:tcW w:w="720" w:type="dxa"/>
            <w:tcMar>
              <w:left w:w="0" w:type="dxa"/>
              <w:right w:w="0" w:type="dxa"/>
            </w:tcMar>
          </w:tcPr>
          <w:p w:rsidR="00CC012F" w:rsidRPr="00C1697B" w:rsidRDefault="00CC012F" w:rsidP="00CC012F">
            <w:pPr>
              <w:widowControl w:val="0"/>
              <w:jc w:val="center"/>
              <w:rPr>
                <w:sz w:val="20"/>
                <w:szCs w:val="20"/>
              </w:rPr>
            </w:pPr>
          </w:p>
        </w:tc>
        <w:tc>
          <w:tcPr>
            <w:tcW w:w="4380" w:type="dxa"/>
            <w:tcMar>
              <w:left w:w="0" w:type="dxa"/>
              <w:right w:w="0" w:type="dxa"/>
            </w:tcMar>
          </w:tcPr>
          <w:p w:rsidR="00CC012F" w:rsidRPr="00CC4D84" w:rsidRDefault="00CC012F" w:rsidP="00CC012F">
            <w:pPr>
              <w:widowControl w:val="0"/>
              <w:jc w:val="both"/>
              <w:rPr>
                <w:b/>
                <w:sz w:val="20"/>
                <w:szCs w:val="20"/>
                <w:u w:val="single"/>
                <w:lang w:val="fr-CA"/>
              </w:rPr>
            </w:pPr>
            <w:r w:rsidRPr="00CC4D84">
              <w:rPr>
                <w:b/>
                <w:sz w:val="20"/>
                <w:szCs w:val="20"/>
                <w:u w:val="single"/>
                <w:lang w:val="fr-CA"/>
              </w:rPr>
              <w:t>Nature de la cause :</w:t>
            </w:r>
          </w:p>
          <w:p w:rsidR="00CC012F" w:rsidRPr="00C1697B" w:rsidRDefault="00CC012F" w:rsidP="00CC012F">
            <w:pPr>
              <w:widowControl w:val="0"/>
              <w:jc w:val="both"/>
              <w:rPr>
                <w:sz w:val="20"/>
                <w:szCs w:val="20"/>
                <w:lang w:val="fr-CA"/>
              </w:rPr>
            </w:pPr>
          </w:p>
          <w:p w:rsidR="00CC012F" w:rsidRPr="00C1697B" w:rsidRDefault="007602DA" w:rsidP="00CC012F">
            <w:pPr>
              <w:widowControl w:val="0"/>
              <w:jc w:val="both"/>
              <w:rPr>
                <w:sz w:val="20"/>
                <w:szCs w:val="20"/>
                <w:lang w:val="fr-CA"/>
              </w:rPr>
            </w:pPr>
            <w:r w:rsidRPr="001F106F">
              <w:rPr>
                <w:i/>
                <w:sz w:val="20"/>
                <w:szCs w:val="20"/>
                <w:lang w:val="fr-CA"/>
              </w:rPr>
              <w:t xml:space="preserve">Charte canadienne des droits et libertés </w:t>
            </w:r>
            <w:r w:rsidRPr="001F106F">
              <w:rPr>
                <w:sz w:val="20"/>
                <w:szCs w:val="20"/>
                <w:lang w:val="fr-CA"/>
              </w:rPr>
              <w:noBreakHyphen/>
              <w:t xml:space="preserve"> Auto</w:t>
            </w:r>
            <w:r w:rsidRPr="001F106F">
              <w:rPr>
                <w:sz w:val="20"/>
                <w:szCs w:val="20"/>
                <w:lang w:val="fr-CA"/>
              </w:rPr>
              <w:noBreakHyphen/>
              <w:t xml:space="preserve">incrimination </w:t>
            </w:r>
            <w:r w:rsidRPr="001F106F">
              <w:rPr>
                <w:sz w:val="20"/>
                <w:szCs w:val="20"/>
                <w:lang w:val="fr-CA"/>
              </w:rPr>
              <w:noBreakHyphen/>
              <w:t xml:space="preserve"> Est</w:t>
            </w:r>
            <w:r w:rsidRPr="001F106F">
              <w:rPr>
                <w:sz w:val="20"/>
                <w:szCs w:val="20"/>
                <w:lang w:val="fr-CA"/>
              </w:rPr>
              <w:noBreakHyphen/>
              <w:t xml:space="preserve">il possible, en application de l’arrêt </w:t>
            </w:r>
            <w:r w:rsidRPr="001F106F">
              <w:rPr>
                <w:i/>
                <w:sz w:val="20"/>
                <w:szCs w:val="20"/>
                <w:lang w:val="fr-CA"/>
              </w:rPr>
              <w:t>R. c. Henry</w:t>
            </w:r>
            <w:r w:rsidRPr="001F106F">
              <w:rPr>
                <w:sz w:val="20"/>
                <w:szCs w:val="20"/>
                <w:lang w:val="fr-CA"/>
              </w:rPr>
              <w:t>, [2005] 3 R.C.S. 609,</w:t>
            </w:r>
            <w:r w:rsidRPr="001F106F">
              <w:rPr>
                <w:i/>
                <w:sz w:val="20"/>
                <w:szCs w:val="20"/>
                <w:lang w:val="fr-CA"/>
              </w:rPr>
              <w:t xml:space="preserve"> </w:t>
            </w:r>
            <w:r w:rsidRPr="001F106F">
              <w:rPr>
                <w:sz w:val="20"/>
                <w:szCs w:val="20"/>
                <w:lang w:val="fr-CA"/>
              </w:rPr>
              <w:t xml:space="preserve">de notre Cour, d’utiliser un témoignage rendu dans le cadre d’un interrogatoire préalable pour discréditer l’accusé qui rend un témoignage incompatible lors de son procès criminel? </w:t>
            </w:r>
            <w:r w:rsidRPr="001F106F">
              <w:rPr>
                <w:sz w:val="20"/>
                <w:szCs w:val="20"/>
                <w:lang w:val="fr-CA"/>
              </w:rPr>
              <w:noBreakHyphen/>
              <w:t xml:space="preserve"> S’il ne le permet pas, la décision de notre Cour dans </w:t>
            </w:r>
            <w:r w:rsidRPr="001F106F">
              <w:rPr>
                <w:i/>
                <w:sz w:val="20"/>
                <w:szCs w:val="20"/>
                <w:lang w:val="fr-CA"/>
              </w:rPr>
              <w:t>R. c. Henry</w:t>
            </w:r>
            <w:r w:rsidRPr="001F106F">
              <w:rPr>
                <w:sz w:val="20"/>
                <w:szCs w:val="20"/>
                <w:lang w:val="fr-CA"/>
              </w:rPr>
              <w:t xml:space="preserve"> doit</w:t>
            </w:r>
            <w:r w:rsidRPr="001F106F">
              <w:rPr>
                <w:sz w:val="20"/>
                <w:szCs w:val="20"/>
                <w:lang w:val="fr-CA"/>
              </w:rPr>
              <w:noBreakHyphen/>
              <w:t>elle être écartée en ce qui concerne l’utilisation d’un témoignage antérieur incompatible pour discréditer un accusé?</w:t>
            </w:r>
          </w:p>
        </w:tc>
      </w:tr>
    </w:tbl>
    <w:p w:rsidR="00CC012F" w:rsidRDefault="00CC012F" w:rsidP="00CC012F">
      <w:pPr>
        <w:widowControl w:val="0"/>
        <w:rPr>
          <w:sz w:val="20"/>
          <w:szCs w:val="20"/>
          <w:lang w:val="fr-CA"/>
        </w:rPr>
      </w:pPr>
    </w:p>
    <w:p w:rsidR="00CC012F" w:rsidRDefault="0011031E" w:rsidP="00CC012F">
      <w:pPr>
        <w:widowControl w:val="0"/>
        <w:rPr>
          <w:sz w:val="20"/>
          <w:szCs w:val="20"/>
        </w:rPr>
      </w:pPr>
      <w:r w:rsidRPr="0011031E">
        <w:rPr>
          <w:sz w:val="20"/>
          <w:szCs w:val="20"/>
          <w:lang w:val="fr-CA"/>
        </w:rPr>
        <w:pict>
          <v:rect id="_x0000_i1065" style="width:2in;height:1pt" o:hrpct="0" o:hralign="center" o:hrstd="t" o:hrnoshade="t" o:hr="t" fillcolor="black [3213]" stroked="f"/>
        </w:pict>
      </w:r>
    </w:p>
    <w:p w:rsidR="00CC012F" w:rsidRDefault="00CC012F" w:rsidP="00CC012F">
      <w:pPr>
        <w:widowControl w:val="0"/>
        <w:rPr>
          <w:sz w:val="20"/>
          <w:szCs w:val="20"/>
        </w:rPr>
      </w:pPr>
    </w:p>
    <w:p w:rsidR="006E7F12" w:rsidRDefault="006E7F12" w:rsidP="006E7F12">
      <w:pPr>
        <w:widowControl w:val="0"/>
        <w:rPr>
          <w:sz w:val="20"/>
          <w:szCs w:val="20"/>
        </w:rPr>
      </w:pPr>
      <w:r>
        <w:rPr>
          <w:sz w:val="20"/>
          <w:szCs w:val="20"/>
        </w:rPr>
        <w:t>19.03.2012</w:t>
      </w:r>
    </w:p>
    <w:p w:rsidR="006E7F12" w:rsidRDefault="006E7F12" w:rsidP="006E7F12">
      <w:pPr>
        <w:widowControl w:val="0"/>
        <w:rPr>
          <w:sz w:val="20"/>
          <w:szCs w:val="20"/>
        </w:rPr>
      </w:pPr>
    </w:p>
    <w:p w:rsidR="00943304" w:rsidRPr="00B1129D" w:rsidRDefault="00943304" w:rsidP="00943304">
      <w:pPr>
        <w:widowControl w:val="0"/>
        <w:ind w:left="720" w:hanging="720"/>
        <w:rPr>
          <w:rFonts w:eastAsia="Calibri" w:cs="Times New Roman"/>
          <w:sz w:val="20"/>
          <w:szCs w:val="20"/>
          <w:u w:val="single"/>
        </w:rPr>
      </w:pPr>
      <w:r w:rsidRPr="00B1129D">
        <w:rPr>
          <w:rFonts w:eastAsia="Calibri" w:cs="Times New Roman"/>
          <w:sz w:val="20"/>
          <w:szCs w:val="20"/>
        </w:rPr>
        <w:t xml:space="preserve">Coram: </w:t>
      </w:r>
      <w:r w:rsidRPr="00B1129D">
        <w:rPr>
          <w:rFonts w:eastAsia="Calibri" w:cs="Times New Roman"/>
          <w:sz w:val="20"/>
          <w:szCs w:val="20"/>
        </w:rPr>
        <w:tab/>
      </w:r>
      <w:r w:rsidRPr="00B1129D">
        <w:rPr>
          <w:rFonts w:eastAsia="Calibri" w:cs="Times New Roman"/>
          <w:sz w:val="20"/>
          <w:szCs w:val="20"/>
          <w:u w:val="single"/>
        </w:rPr>
        <w:t>McLachlin C.J. and LeBel, Deschamps, Fish, Abella, Cromwell and Moldaver JJ.</w:t>
      </w:r>
    </w:p>
    <w:p w:rsidR="006E7F12" w:rsidRPr="00943304" w:rsidRDefault="006E7F12" w:rsidP="006E7F12">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6E7F12" w:rsidRPr="00943304" w:rsidTr="009A4D4D">
        <w:tc>
          <w:tcPr>
            <w:tcW w:w="4380" w:type="dxa"/>
            <w:tcMar>
              <w:left w:w="0" w:type="dxa"/>
              <w:right w:w="0" w:type="dxa"/>
            </w:tcMar>
          </w:tcPr>
          <w:p w:rsidR="006E7F12" w:rsidRPr="00943304" w:rsidRDefault="00943304" w:rsidP="009A4D4D">
            <w:pPr>
              <w:widowControl w:val="0"/>
              <w:jc w:val="both"/>
              <w:rPr>
                <w:b/>
                <w:sz w:val="20"/>
                <w:szCs w:val="20"/>
              </w:rPr>
            </w:pPr>
            <w:r w:rsidRPr="00943304">
              <w:rPr>
                <w:rStyle w:val="SCCSsocChar"/>
                <w:b/>
                <w:i w:val="0"/>
              </w:rPr>
              <w:t>Hans Jason Eastgaard</w:t>
            </w:r>
          </w:p>
          <w:p w:rsidR="006E7F12" w:rsidRPr="00943304" w:rsidRDefault="006E7F12" w:rsidP="009A4D4D">
            <w:pPr>
              <w:widowControl w:val="0"/>
              <w:jc w:val="both"/>
              <w:rPr>
                <w:b/>
                <w:sz w:val="20"/>
                <w:szCs w:val="20"/>
              </w:rPr>
            </w:pPr>
          </w:p>
          <w:p w:rsidR="006E7F12" w:rsidRPr="00943304" w:rsidRDefault="006E7F12" w:rsidP="009A4D4D">
            <w:pPr>
              <w:widowControl w:val="0"/>
              <w:tabs>
                <w:tab w:val="left" w:pos="736"/>
              </w:tabs>
              <w:jc w:val="both"/>
              <w:rPr>
                <w:b/>
                <w:sz w:val="20"/>
                <w:szCs w:val="20"/>
              </w:rPr>
            </w:pPr>
            <w:r w:rsidRPr="00943304">
              <w:rPr>
                <w:b/>
                <w:sz w:val="20"/>
                <w:szCs w:val="20"/>
              </w:rPr>
              <w:tab/>
              <w:t>v. (34</w:t>
            </w:r>
            <w:r w:rsidR="00943304" w:rsidRPr="00943304">
              <w:rPr>
                <w:b/>
                <w:sz w:val="20"/>
                <w:szCs w:val="20"/>
              </w:rPr>
              <w:t>337</w:t>
            </w:r>
            <w:r w:rsidRPr="00943304">
              <w:rPr>
                <w:b/>
                <w:sz w:val="20"/>
                <w:szCs w:val="20"/>
              </w:rPr>
              <w:t>)</w:t>
            </w:r>
          </w:p>
          <w:p w:rsidR="006E7F12" w:rsidRPr="00943304" w:rsidRDefault="006E7F12" w:rsidP="009A4D4D">
            <w:pPr>
              <w:widowControl w:val="0"/>
              <w:jc w:val="both"/>
              <w:rPr>
                <w:b/>
                <w:sz w:val="20"/>
                <w:szCs w:val="20"/>
              </w:rPr>
            </w:pPr>
          </w:p>
          <w:p w:rsidR="00943304" w:rsidRDefault="00943304" w:rsidP="00943304">
            <w:pPr>
              <w:widowControl w:val="0"/>
              <w:jc w:val="both"/>
              <w:rPr>
                <w:b/>
                <w:sz w:val="20"/>
                <w:szCs w:val="20"/>
              </w:rPr>
            </w:pPr>
            <w:r w:rsidRPr="00943304">
              <w:rPr>
                <w:rStyle w:val="SCCSsocChar"/>
                <w:b/>
                <w:i w:val="0"/>
              </w:rPr>
              <w:t xml:space="preserve">Her Majesty the Queen </w:t>
            </w:r>
            <w:r w:rsidRPr="00943304">
              <w:rPr>
                <w:rFonts w:eastAsia="Calibri" w:cs="Times New Roman"/>
                <w:b/>
                <w:sz w:val="20"/>
                <w:szCs w:val="20"/>
              </w:rPr>
              <w:t xml:space="preserve">(Alta.) (Criminal) </w:t>
            </w:r>
          </w:p>
          <w:p w:rsidR="006E7F12" w:rsidRPr="00943304" w:rsidRDefault="00943304" w:rsidP="00943304">
            <w:pPr>
              <w:widowControl w:val="0"/>
              <w:jc w:val="both"/>
              <w:rPr>
                <w:b/>
                <w:sz w:val="20"/>
                <w:szCs w:val="20"/>
              </w:rPr>
            </w:pPr>
            <w:r w:rsidRPr="00943304">
              <w:rPr>
                <w:rFonts w:eastAsia="Calibri" w:cs="Times New Roman"/>
                <w:b/>
                <w:sz w:val="20"/>
                <w:szCs w:val="20"/>
              </w:rPr>
              <w:t>(As of Right)</w:t>
            </w:r>
            <w:r w:rsidRPr="00943304">
              <w:rPr>
                <w:b/>
                <w:sz w:val="20"/>
                <w:szCs w:val="20"/>
              </w:rPr>
              <w:t xml:space="preserve"> </w:t>
            </w:r>
          </w:p>
        </w:tc>
        <w:tc>
          <w:tcPr>
            <w:tcW w:w="720" w:type="dxa"/>
            <w:tcMar>
              <w:left w:w="0" w:type="dxa"/>
              <w:right w:w="0" w:type="dxa"/>
            </w:tcMar>
          </w:tcPr>
          <w:p w:rsidR="006E7F12" w:rsidRPr="00943304" w:rsidRDefault="006E7F12" w:rsidP="009A4D4D">
            <w:pPr>
              <w:widowControl w:val="0"/>
              <w:jc w:val="center"/>
              <w:rPr>
                <w:b/>
                <w:sz w:val="20"/>
                <w:szCs w:val="20"/>
              </w:rPr>
            </w:pPr>
          </w:p>
        </w:tc>
        <w:tc>
          <w:tcPr>
            <w:tcW w:w="4380" w:type="dxa"/>
            <w:tcMar>
              <w:left w:w="0" w:type="dxa"/>
              <w:right w:w="0" w:type="dxa"/>
            </w:tcMar>
          </w:tcPr>
          <w:p w:rsidR="00EC3DD8" w:rsidRPr="005126CB" w:rsidRDefault="00EC3DD8" w:rsidP="00EC3DD8">
            <w:pPr>
              <w:jc w:val="both"/>
              <w:rPr>
                <w:sz w:val="20"/>
                <w:szCs w:val="20"/>
              </w:rPr>
            </w:pPr>
            <w:r w:rsidRPr="005126CB">
              <w:rPr>
                <w:sz w:val="20"/>
                <w:szCs w:val="20"/>
              </w:rPr>
              <w:t>Jennifer Ruttan</w:t>
            </w:r>
            <w:r>
              <w:rPr>
                <w:sz w:val="20"/>
                <w:szCs w:val="20"/>
              </w:rPr>
              <w:t xml:space="preserve"> and </w:t>
            </w:r>
            <w:r w:rsidRPr="005126CB">
              <w:rPr>
                <w:sz w:val="20"/>
                <w:szCs w:val="20"/>
              </w:rPr>
              <w:t>Michael Bates</w:t>
            </w:r>
            <w:r>
              <w:rPr>
                <w:sz w:val="20"/>
                <w:szCs w:val="20"/>
              </w:rPr>
              <w:t xml:space="preserve"> f</w:t>
            </w:r>
            <w:r w:rsidRPr="005126CB">
              <w:rPr>
                <w:sz w:val="20"/>
                <w:szCs w:val="20"/>
              </w:rPr>
              <w:t xml:space="preserve">or the </w:t>
            </w:r>
            <w:r>
              <w:rPr>
                <w:sz w:val="20"/>
                <w:szCs w:val="20"/>
              </w:rPr>
              <w:t>a</w:t>
            </w:r>
            <w:r w:rsidRPr="005126CB">
              <w:rPr>
                <w:sz w:val="20"/>
                <w:szCs w:val="20"/>
              </w:rPr>
              <w:t>ppellant.</w:t>
            </w:r>
          </w:p>
          <w:p w:rsidR="00EC3DD8" w:rsidRPr="005126CB" w:rsidRDefault="00EC3DD8" w:rsidP="00EC3DD8">
            <w:pPr>
              <w:jc w:val="both"/>
              <w:rPr>
                <w:sz w:val="20"/>
                <w:szCs w:val="20"/>
              </w:rPr>
            </w:pPr>
          </w:p>
          <w:p w:rsidR="00EC3DD8" w:rsidRPr="005126CB" w:rsidRDefault="00EC3DD8" w:rsidP="00EC3DD8">
            <w:pPr>
              <w:jc w:val="both"/>
              <w:rPr>
                <w:sz w:val="20"/>
                <w:szCs w:val="20"/>
              </w:rPr>
            </w:pPr>
            <w:r w:rsidRPr="005126CB">
              <w:rPr>
                <w:sz w:val="20"/>
                <w:szCs w:val="20"/>
              </w:rPr>
              <w:t>Goran Tomljanovic, Q.C.</w:t>
            </w:r>
            <w:r>
              <w:rPr>
                <w:sz w:val="20"/>
                <w:szCs w:val="20"/>
              </w:rPr>
              <w:t xml:space="preserve"> f</w:t>
            </w:r>
            <w:r w:rsidRPr="005126CB">
              <w:rPr>
                <w:sz w:val="20"/>
                <w:szCs w:val="20"/>
              </w:rPr>
              <w:t xml:space="preserve">or the </w:t>
            </w:r>
            <w:r>
              <w:rPr>
                <w:sz w:val="20"/>
                <w:szCs w:val="20"/>
              </w:rPr>
              <w:t>r</w:t>
            </w:r>
            <w:r w:rsidRPr="005126CB">
              <w:rPr>
                <w:sz w:val="20"/>
                <w:szCs w:val="20"/>
              </w:rPr>
              <w:t>espondent.</w:t>
            </w:r>
          </w:p>
          <w:p w:rsidR="006E7F12" w:rsidRPr="00943304" w:rsidRDefault="006E7F12" w:rsidP="009A4D4D">
            <w:pPr>
              <w:widowControl w:val="0"/>
              <w:jc w:val="both"/>
              <w:rPr>
                <w:b/>
                <w:sz w:val="20"/>
                <w:szCs w:val="20"/>
              </w:rPr>
            </w:pPr>
          </w:p>
        </w:tc>
      </w:tr>
    </w:tbl>
    <w:p w:rsidR="006E7F12" w:rsidRDefault="006E7F12" w:rsidP="006E7F12">
      <w:pPr>
        <w:widowControl w:val="0"/>
        <w:rPr>
          <w:sz w:val="20"/>
          <w:szCs w:val="20"/>
        </w:rPr>
      </w:pPr>
    </w:p>
    <w:p w:rsidR="00943304" w:rsidRPr="00E829A1" w:rsidRDefault="00943304" w:rsidP="00943304">
      <w:pPr>
        <w:rPr>
          <w:rFonts w:eastAsia="Calibri" w:cs="Times New Roman"/>
          <w:b/>
          <w:bCs/>
          <w:sz w:val="20"/>
          <w:szCs w:val="20"/>
          <w:lang w:val="fr-CA"/>
        </w:rPr>
      </w:pPr>
      <w:r w:rsidRPr="00E829A1">
        <w:rPr>
          <w:rFonts w:eastAsia="Calibri" w:cs="Times New Roman"/>
          <w:b/>
          <w:bCs/>
          <w:sz w:val="20"/>
          <w:szCs w:val="20"/>
          <w:lang w:val="fr-CA"/>
        </w:rPr>
        <w:t>201</w:t>
      </w:r>
      <w:r>
        <w:rPr>
          <w:rFonts w:eastAsia="Calibri" w:cs="Times New Roman"/>
          <w:b/>
          <w:bCs/>
          <w:sz w:val="20"/>
          <w:szCs w:val="20"/>
          <w:lang w:val="fr-CA"/>
        </w:rPr>
        <w:t>2</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Pr>
          <w:rFonts w:eastAsia="Calibri" w:cs="Times New Roman"/>
          <w:b/>
          <w:bCs/>
          <w:sz w:val="20"/>
          <w:szCs w:val="20"/>
        </w:rPr>
        <w:t>11</w:t>
      </w:r>
      <w:r w:rsidRPr="00E829A1">
        <w:rPr>
          <w:rFonts w:eastAsia="Calibri" w:cs="Times New Roman"/>
          <w:b/>
          <w:bCs/>
          <w:sz w:val="20"/>
          <w:szCs w:val="20"/>
          <w:lang w:val="fr-CA"/>
        </w:rPr>
        <w:t xml:space="preserve"> / 201</w:t>
      </w:r>
      <w:r>
        <w:rPr>
          <w:rFonts w:eastAsia="Calibri" w:cs="Times New Roman"/>
          <w:b/>
          <w:bCs/>
          <w:sz w:val="20"/>
          <w:szCs w:val="20"/>
          <w:lang w:val="fr-CA"/>
        </w:rPr>
        <w:t>2</w:t>
      </w:r>
      <w:r w:rsidRPr="00E829A1">
        <w:rPr>
          <w:rFonts w:eastAsia="Calibri" w:cs="Times New Roman"/>
          <w:b/>
          <w:bCs/>
          <w:sz w:val="20"/>
          <w:szCs w:val="20"/>
          <w:lang w:val="fr-CA"/>
        </w:rPr>
        <w:t xml:space="preserve"> CSC </w:t>
      </w:r>
      <w:r>
        <w:rPr>
          <w:rFonts w:eastAsia="Calibri" w:cs="Times New Roman"/>
          <w:b/>
          <w:bCs/>
          <w:sz w:val="20"/>
          <w:szCs w:val="20"/>
          <w:lang w:val="fr-CA"/>
        </w:rPr>
        <w:t>11</w:t>
      </w:r>
    </w:p>
    <w:p w:rsidR="00943304" w:rsidRDefault="00943304" w:rsidP="00943304">
      <w:pPr>
        <w:widowControl w:val="0"/>
        <w:rPr>
          <w:sz w:val="20"/>
          <w:szCs w:val="20"/>
        </w:rPr>
      </w:pPr>
    </w:p>
    <w:p w:rsidR="00943304" w:rsidRPr="0085476B" w:rsidRDefault="00943304" w:rsidP="00943304">
      <w:pPr>
        <w:widowControl w:val="0"/>
        <w:rPr>
          <w:sz w:val="20"/>
          <w:szCs w:val="20"/>
        </w:rPr>
      </w:pPr>
      <w:r>
        <w:rPr>
          <w:b/>
          <w:sz w:val="20"/>
          <w:szCs w:val="20"/>
        </w:rPr>
        <w:t>DISMISS</w:t>
      </w:r>
      <w:r w:rsidRPr="0085476B">
        <w:rPr>
          <w:b/>
          <w:sz w:val="20"/>
          <w:szCs w:val="20"/>
        </w:rPr>
        <w:t xml:space="preserve">ED / </w:t>
      </w:r>
      <w:r>
        <w:rPr>
          <w:b/>
          <w:sz w:val="20"/>
          <w:szCs w:val="20"/>
        </w:rPr>
        <w:t>REJETÉ</w:t>
      </w:r>
    </w:p>
    <w:p w:rsidR="00EC3DD8" w:rsidRDefault="00EC3DD8">
      <w:pPr>
        <w:rPr>
          <w:sz w:val="20"/>
          <w:szCs w:val="20"/>
        </w:rPr>
      </w:pPr>
    </w:p>
    <w:p w:rsidR="00EC3DD8" w:rsidRDefault="00EC3DD8">
      <w:pPr>
        <w:rPr>
          <w:sz w:val="20"/>
          <w:szCs w:val="20"/>
        </w:rPr>
      </w:pPr>
      <w:r>
        <w:rPr>
          <w:sz w:val="20"/>
          <w:szCs w:val="20"/>
        </w:rPr>
        <w:br w:type="page"/>
      </w:r>
    </w:p>
    <w:tbl>
      <w:tblPr>
        <w:tblW w:w="0" w:type="auto"/>
        <w:tblLayout w:type="fixed"/>
        <w:tblCellMar>
          <w:left w:w="0" w:type="dxa"/>
          <w:right w:w="0" w:type="dxa"/>
        </w:tblCellMar>
        <w:tblLook w:val="0000"/>
      </w:tblPr>
      <w:tblGrid>
        <w:gridCol w:w="4380"/>
        <w:gridCol w:w="720"/>
        <w:gridCol w:w="4380"/>
      </w:tblGrid>
      <w:tr w:rsidR="00CF3A1F" w:rsidRPr="000E0501" w:rsidTr="009A4D4D">
        <w:tc>
          <w:tcPr>
            <w:tcW w:w="4380" w:type="dxa"/>
            <w:tcMar>
              <w:left w:w="0" w:type="dxa"/>
              <w:right w:w="0" w:type="dxa"/>
            </w:tcMar>
          </w:tcPr>
          <w:p w:rsidR="00CF3A1F" w:rsidRPr="00CC4D84" w:rsidRDefault="00CF3A1F" w:rsidP="009A4D4D">
            <w:pPr>
              <w:widowControl w:val="0"/>
              <w:jc w:val="both"/>
              <w:rPr>
                <w:b/>
                <w:sz w:val="20"/>
                <w:szCs w:val="20"/>
                <w:u w:val="single"/>
              </w:rPr>
            </w:pPr>
            <w:r>
              <w:rPr>
                <w:b/>
                <w:sz w:val="20"/>
                <w:szCs w:val="20"/>
                <w:u w:val="single"/>
              </w:rPr>
              <w:lastRenderedPageBreak/>
              <w:t>JUDGMENT</w:t>
            </w:r>
            <w:r w:rsidRPr="00CC4D84">
              <w:rPr>
                <w:b/>
                <w:sz w:val="20"/>
                <w:szCs w:val="20"/>
                <w:u w:val="single"/>
              </w:rPr>
              <w:t>:</w:t>
            </w:r>
          </w:p>
          <w:p w:rsidR="00CF3A1F" w:rsidRPr="001A663B" w:rsidRDefault="00CF3A1F" w:rsidP="009A4D4D">
            <w:pPr>
              <w:widowControl w:val="0"/>
              <w:jc w:val="both"/>
              <w:rPr>
                <w:b/>
                <w:sz w:val="20"/>
                <w:szCs w:val="20"/>
              </w:rPr>
            </w:pPr>
          </w:p>
          <w:p w:rsidR="000E0501" w:rsidRPr="0026221A" w:rsidRDefault="000E0501" w:rsidP="000E0501">
            <w:pPr>
              <w:jc w:val="both"/>
              <w:rPr>
                <w:sz w:val="20"/>
                <w:szCs w:val="20"/>
              </w:rPr>
            </w:pPr>
            <w:r w:rsidRPr="0026221A">
              <w:rPr>
                <w:sz w:val="20"/>
                <w:szCs w:val="20"/>
              </w:rPr>
              <w:t>The appeal from the judgment of the Court of Appeal of Alberta (Calgary), Number 0901-0182-A, 2011 ABCA 152, dated May 30, 2011, was heard this day and the following judgment was rendered orally:</w:t>
            </w:r>
          </w:p>
          <w:p w:rsidR="000E0501" w:rsidRPr="0026221A" w:rsidRDefault="000E0501" w:rsidP="000E0501">
            <w:pPr>
              <w:jc w:val="both"/>
              <w:rPr>
                <w:sz w:val="20"/>
                <w:szCs w:val="20"/>
              </w:rPr>
            </w:pPr>
          </w:p>
          <w:p w:rsidR="000E0501" w:rsidRDefault="000E0501" w:rsidP="000E0501">
            <w:pPr>
              <w:jc w:val="both"/>
              <w:rPr>
                <w:smallCaps/>
                <w:sz w:val="20"/>
                <w:szCs w:val="20"/>
              </w:rPr>
            </w:pPr>
          </w:p>
          <w:p w:rsidR="000E0501" w:rsidRPr="0026221A" w:rsidRDefault="000E0501" w:rsidP="000E0501">
            <w:pPr>
              <w:jc w:val="both"/>
              <w:rPr>
                <w:sz w:val="20"/>
                <w:szCs w:val="20"/>
              </w:rPr>
            </w:pPr>
            <w:r w:rsidRPr="0026221A">
              <w:rPr>
                <w:smallCaps/>
                <w:sz w:val="20"/>
                <w:szCs w:val="20"/>
              </w:rPr>
              <w:t>The Chief Justice</w:t>
            </w:r>
            <w:r w:rsidRPr="0026221A">
              <w:rPr>
                <w:sz w:val="20"/>
                <w:szCs w:val="20"/>
              </w:rPr>
              <w:t xml:space="preserve"> — Despite the very complete and able argument of counsel for the appellant, we agree with the majority of the Court of Appeal that the verdict was not unreasonable. The appeal accordingly is dismissed. </w:t>
            </w:r>
          </w:p>
          <w:p w:rsidR="00CF3A1F" w:rsidRPr="00C1697B" w:rsidRDefault="00CF3A1F" w:rsidP="009A4D4D">
            <w:pPr>
              <w:jc w:val="both"/>
              <w:rPr>
                <w:b/>
                <w:sz w:val="20"/>
                <w:szCs w:val="20"/>
              </w:rPr>
            </w:pPr>
          </w:p>
        </w:tc>
        <w:tc>
          <w:tcPr>
            <w:tcW w:w="720" w:type="dxa"/>
            <w:tcMar>
              <w:left w:w="0" w:type="dxa"/>
              <w:right w:w="0" w:type="dxa"/>
            </w:tcMar>
          </w:tcPr>
          <w:p w:rsidR="00CF3A1F" w:rsidRPr="00C1697B" w:rsidRDefault="00CF3A1F" w:rsidP="009A4D4D">
            <w:pPr>
              <w:widowControl w:val="0"/>
              <w:jc w:val="center"/>
              <w:rPr>
                <w:sz w:val="20"/>
                <w:szCs w:val="20"/>
              </w:rPr>
            </w:pPr>
          </w:p>
        </w:tc>
        <w:tc>
          <w:tcPr>
            <w:tcW w:w="4380" w:type="dxa"/>
            <w:tcMar>
              <w:left w:w="0" w:type="dxa"/>
              <w:right w:w="0" w:type="dxa"/>
            </w:tcMar>
          </w:tcPr>
          <w:p w:rsidR="00CF3A1F" w:rsidRPr="00CC4D84" w:rsidRDefault="00CF3A1F" w:rsidP="009A4D4D">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CF3A1F" w:rsidRPr="00C1697B" w:rsidRDefault="00CF3A1F" w:rsidP="009A4D4D">
            <w:pPr>
              <w:widowControl w:val="0"/>
              <w:jc w:val="both"/>
              <w:rPr>
                <w:sz w:val="20"/>
                <w:szCs w:val="20"/>
                <w:lang w:val="fr-CA"/>
              </w:rPr>
            </w:pPr>
          </w:p>
          <w:p w:rsidR="000E0501" w:rsidRPr="0026221A" w:rsidRDefault="000E0501" w:rsidP="000E0501">
            <w:pPr>
              <w:jc w:val="both"/>
              <w:rPr>
                <w:sz w:val="20"/>
                <w:szCs w:val="20"/>
                <w:lang w:val="fr-CA"/>
              </w:rPr>
            </w:pPr>
            <w:r w:rsidRPr="0026221A">
              <w:rPr>
                <w:sz w:val="20"/>
                <w:szCs w:val="20"/>
                <w:lang w:val="fr-CA"/>
              </w:rPr>
              <w:t>L’appel interjeté contre l’arrêt de la Cour d’appel de l’Alberta (Calgary), numéro 0901-0182-A, 2011 ABCA 152, en date du 30 mai 2011, a été entendu aujourd’hui et le jugement suivant a été rendu oralement :</w:t>
            </w:r>
          </w:p>
          <w:p w:rsidR="000E0501" w:rsidRPr="0026221A" w:rsidRDefault="000E0501" w:rsidP="000E0501">
            <w:pPr>
              <w:jc w:val="both"/>
              <w:rPr>
                <w:sz w:val="20"/>
                <w:szCs w:val="20"/>
                <w:lang w:val="fr-CA"/>
              </w:rPr>
            </w:pPr>
          </w:p>
          <w:p w:rsidR="00CF3A1F" w:rsidRPr="00C1697B" w:rsidRDefault="000E0501" w:rsidP="000E0501">
            <w:pPr>
              <w:jc w:val="both"/>
              <w:rPr>
                <w:sz w:val="20"/>
                <w:szCs w:val="20"/>
                <w:lang w:val="fr-CA"/>
              </w:rPr>
            </w:pPr>
            <w:r w:rsidRPr="0026221A">
              <w:rPr>
                <w:smallCaps/>
                <w:sz w:val="20"/>
                <w:szCs w:val="20"/>
                <w:lang w:val="fr-FR"/>
              </w:rPr>
              <w:t>La Juge en chef</w:t>
            </w:r>
            <w:r w:rsidRPr="0026221A">
              <w:rPr>
                <w:sz w:val="20"/>
                <w:szCs w:val="20"/>
                <w:lang w:val="fr-FR"/>
              </w:rPr>
              <w:t xml:space="preserve"> — Malgré l’argumentation très compétente et très complète de l’avocate de l’appelant, nous souscrivons à l’opinion des juges majoritaires de la Cour d’appel selon laquelle le verdict n’était pas déraisonnable. Le pourvoi est en conséquence rejeté.</w:t>
            </w:r>
          </w:p>
        </w:tc>
      </w:tr>
    </w:tbl>
    <w:p w:rsidR="00CF3A1F" w:rsidRPr="00CF3A1F" w:rsidRDefault="00CF3A1F" w:rsidP="006E7F12">
      <w:pPr>
        <w:rPr>
          <w:sz w:val="20"/>
          <w:szCs w:val="20"/>
          <w:lang w:val="fr-CA"/>
        </w:rPr>
      </w:pPr>
    </w:p>
    <w:tbl>
      <w:tblPr>
        <w:tblW w:w="0" w:type="auto"/>
        <w:tblLayout w:type="fixed"/>
        <w:tblCellMar>
          <w:left w:w="0" w:type="dxa"/>
          <w:right w:w="0" w:type="dxa"/>
        </w:tblCellMar>
        <w:tblLook w:val="0000"/>
      </w:tblPr>
      <w:tblGrid>
        <w:gridCol w:w="4380"/>
        <w:gridCol w:w="720"/>
        <w:gridCol w:w="4380"/>
      </w:tblGrid>
      <w:tr w:rsidR="006E7F12" w:rsidRPr="004A2E2B" w:rsidTr="009A4D4D">
        <w:tc>
          <w:tcPr>
            <w:tcW w:w="4380" w:type="dxa"/>
            <w:tcMar>
              <w:left w:w="0" w:type="dxa"/>
              <w:right w:w="0" w:type="dxa"/>
            </w:tcMar>
          </w:tcPr>
          <w:p w:rsidR="006E7F12" w:rsidRPr="00CC4D84" w:rsidRDefault="006E7F12" w:rsidP="009A4D4D">
            <w:pPr>
              <w:widowControl w:val="0"/>
              <w:jc w:val="both"/>
              <w:rPr>
                <w:b/>
                <w:sz w:val="20"/>
                <w:szCs w:val="20"/>
                <w:u w:val="single"/>
              </w:rPr>
            </w:pPr>
            <w:r w:rsidRPr="00CC4D84">
              <w:rPr>
                <w:b/>
                <w:sz w:val="20"/>
                <w:szCs w:val="20"/>
                <w:u w:val="single"/>
              </w:rPr>
              <w:t>Nature of the case:</w:t>
            </w:r>
          </w:p>
          <w:p w:rsidR="006E7F12" w:rsidRPr="00C1697B" w:rsidRDefault="006E7F12" w:rsidP="009A4D4D">
            <w:pPr>
              <w:widowControl w:val="0"/>
              <w:jc w:val="both"/>
              <w:rPr>
                <w:b/>
                <w:sz w:val="20"/>
                <w:szCs w:val="20"/>
              </w:rPr>
            </w:pPr>
          </w:p>
          <w:p w:rsidR="006E7F12" w:rsidRPr="00C1697B" w:rsidRDefault="000876C7" w:rsidP="000876C7">
            <w:pPr>
              <w:widowControl w:val="0"/>
              <w:jc w:val="both"/>
              <w:rPr>
                <w:b/>
                <w:sz w:val="20"/>
                <w:szCs w:val="20"/>
              </w:rPr>
            </w:pPr>
            <w:r w:rsidRPr="00E624BD">
              <w:rPr>
                <w:sz w:val="20"/>
                <w:szCs w:val="20"/>
              </w:rPr>
              <w:t xml:space="preserve">Criminal law </w:t>
            </w:r>
            <w:r w:rsidRPr="00E624BD">
              <w:rPr>
                <w:sz w:val="20"/>
                <w:szCs w:val="20"/>
              </w:rPr>
              <w:noBreakHyphen/>
              <w:t xml:space="preserve"> Offences </w:t>
            </w:r>
            <w:r w:rsidRPr="00E624BD">
              <w:rPr>
                <w:sz w:val="20"/>
                <w:szCs w:val="20"/>
              </w:rPr>
              <w:noBreakHyphen/>
              <w:t xml:space="preserve"> Possession of prohibited or restricted firearm with ammunition </w:t>
            </w:r>
            <w:r w:rsidRPr="00E624BD">
              <w:rPr>
                <w:sz w:val="20"/>
                <w:szCs w:val="20"/>
              </w:rPr>
              <w:noBreakHyphen/>
              <w:t xml:space="preserve"> Elements of offence </w:t>
            </w:r>
            <w:r w:rsidRPr="00E624BD">
              <w:rPr>
                <w:sz w:val="20"/>
                <w:szCs w:val="20"/>
              </w:rPr>
              <w:noBreakHyphen/>
              <w:t xml:space="preserve"> </w:t>
            </w:r>
            <w:r w:rsidRPr="00E624BD">
              <w:rPr>
                <w:i/>
                <w:sz w:val="20"/>
                <w:szCs w:val="20"/>
              </w:rPr>
              <w:t>Mens rea</w:t>
            </w:r>
            <w:r w:rsidRPr="00E624BD">
              <w:rPr>
                <w:sz w:val="20"/>
                <w:szCs w:val="20"/>
              </w:rPr>
              <w:t xml:space="preserve"> </w:t>
            </w:r>
            <w:r w:rsidRPr="00E624BD">
              <w:rPr>
                <w:sz w:val="20"/>
                <w:szCs w:val="20"/>
              </w:rPr>
              <w:noBreakHyphen/>
              <w:t xml:space="preserve"> Whether the circumstantial evidence was insufficient for a properly instructed jury, acting reasonably, to find that the appellant knew the gun was loaded </w:t>
            </w:r>
            <w:r w:rsidRPr="00E624BD">
              <w:rPr>
                <w:sz w:val="20"/>
                <w:szCs w:val="20"/>
              </w:rPr>
              <w:noBreakHyphen/>
              <w:t xml:space="preserve"> </w:t>
            </w:r>
            <w:r w:rsidRPr="00E624BD">
              <w:rPr>
                <w:i/>
                <w:sz w:val="20"/>
                <w:szCs w:val="20"/>
              </w:rPr>
              <w:t>Criminal Code</w:t>
            </w:r>
            <w:r w:rsidRPr="00E624BD">
              <w:rPr>
                <w:sz w:val="20"/>
                <w:szCs w:val="20"/>
              </w:rPr>
              <w:t>, R.S.C. 1985, c. C</w:t>
            </w:r>
            <w:r w:rsidRPr="00E624BD">
              <w:rPr>
                <w:sz w:val="20"/>
                <w:szCs w:val="20"/>
              </w:rPr>
              <w:noBreakHyphen/>
              <w:t>46, s. 95.</w:t>
            </w:r>
          </w:p>
        </w:tc>
        <w:tc>
          <w:tcPr>
            <w:tcW w:w="720" w:type="dxa"/>
            <w:tcMar>
              <w:left w:w="0" w:type="dxa"/>
              <w:right w:w="0" w:type="dxa"/>
            </w:tcMar>
          </w:tcPr>
          <w:p w:rsidR="006E7F12" w:rsidRPr="00C1697B" w:rsidRDefault="006E7F12" w:rsidP="009A4D4D">
            <w:pPr>
              <w:widowControl w:val="0"/>
              <w:jc w:val="center"/>
              <w:rPr>
                <w:sz w:val="20"/>
                <w:szCs w:val="20"/>
              </w:rPr>
            </w:pPr>
          </w:p>
        </w:tc>
        <w:tc>
          <w:tcPr>
            <w:tcW w:w="4380" w:type="dxa"/>
            <w:tcMar>
              <w:left w:w="0" w:type="dxa"/>
              <w:right w:w="0" w:type="dxa"/>
            </w:tcMar>
          </w:tcPr>
          <w:p w:rsidR="006E7F12" w:rsidRPr="00CC4D84" w:rsidRDefault="006E7F12" w:rsidP="009A4D4D">
            <w:pPr>
              <w:widowControl w:val="0"/>
              <w:jc w:val="both"/>
              <w:rPr>
                <w:b/>
                <w:sz w:val="20"/>
                <w:szCs w:val="20"/>
                <w:u w:val="single"/>
                <w:lang w:val="fr-CA"/>
              </w:rPr>
            </w:pPr>
            <w:r w:rsidRPr="00CC4D84">
              <w:rPr>
                <w:b/>
                <w:sz w:val="20"/>
                <w:szCs w:val="20"/>
                <w:u w:val="single"/>
                <w:lang w:val="fr-CA"/>
              </w:rPr>
              <w:t>Nature de la cause :</w:t>
            </w:r>
          </w:p>
          <w:p w:rsidR="006E7F12" w:rsidRPr="00C1697B" w:rsidRDefault="006E7F12" w:rsidP="009A4D4D">
            <w:pPr>
              <w:widowControl w:val="0"/>
              <w:jc w:val="both"/>
              <w:rPr>
                <w:sz w:val="20"/>
                <w:szCs w:val="20"/>
                <w:lang w:val="fr-CA"/>
              </w:rPr>
            </w:pPr>
          </w:p>
          <w:p w:rsidR="006E7F12" w:rsidRPr="00C1697B" w:rsidRDefault="000876C7" w:rsidP="000876C7">
            <w:pPr>
              <w:widowControl w:val="0"/>
              <w:jc w:val="both"/>
              <w:rPr>
                <w:sz w:val="20"/>
                <w:szCs w:val="20"/>
                <w:lang w:val="fr-CA"/>
              </w:rPr>
            </w:pPr>
            <w:r w:rsidRPr="00D86A2F">
              <w:rPr>
                <w:sz w:val="20"/>
                <w:szCs w:val="20"/>
                <w:lang w:val="fr-CA"/>
              </w:rPr>
              <w:t xml:space="preserve">Droit criminel </w:t>
            </w:r>
            <w:r w:rsidRPr="00D86A2F">
              <w:rPr>
                <w:sz w:val="20"/>
                <w:szCs w:val="20"/>
                <w:lang w:val="fr-CA"/>
              </w:rPr>
              <w:noBreakHyphen/>
              <w:t xml:space="preserve"> Infractions </w:t>
            </w:r>
            <w:r w:rsidRPr="00D86A2F">
              <w:rPr>
                <w:sz w:val="20"/>
                <w:szCs w:val="20"/>
                <w:lang w:val="fr-CA"/>
              </w:rPr>
              <w:noBreakHyphen/>
              <w:t xml:space="preserve"> Possession d’une arme à feu prohibée ou à autorisation restreinte avec des munitions </w:t>
            </w:r>
            <w:r w:rsidRPr="00D86A2F">
              <w:rPr>
                <w:sz w:val="20"/>
                <w:szCs w:val="20"/>
                <w:lang w:val="fr-CA"/>
              </w:rPr>
              <w:noBreakHyphen/>
              <w:t xml:space="preserve"> Éléments de l’infraction </w:t>
            </w:r>
            <w:r w:rsidRPr="00D86A2F">
              <w:rPr>
                <w:sz w:val="20"/>
                <w:szCs w:val="20"/>
                <w:lang w:val="fr-CA"/>
              </w:rPr>
              <w:noBreakHyphen/>
              <w:t xml:space="preserve"> </w:t>
            </w:r>
            <w:r w:rsidRPr="00D86A2F">
              <w:rPr>
                <w:i/>
                <w:sz w:val="20"/>
                <w:szCs w:val="20"/>
                <w:lang w:val="fr-CA"/>
              </w:rPr>
              <w:t>Mens rea</w:t>
            </w:r>
            <w:r w:rsidRPr="00D86A2F">
              <w:rPr>
                <w:sz w:val="20"/>
                <w:szCs w:val="20"/>
                <w:lang w:val="fr-CA"/>
              </w:rPr>
              <w:t xml:space="preserve"> </w:t>
            </w:r>
            <w:r w:rsidRPr="00D86A2F">
              <w:rPr>
                <w:sz w:val="20"/>
                <w:szCs w:val="20"/>
                <w:lang w:val="fr-CA"/>
              </w:rPr>
              <w:noBreakHyphen/>
              <w:t xml:space="preserve"> La preuve circonstancielle était</w:t>
            </w:r>
            <w:r w:rsidRPr="00D86A2F">
              <w:rPr>
                <w:sz w:val="20"/>
                <w:szCs w:val="20"/>
                <w:lang w:val="fr-CA"/>
              </w:rPr>
              <w:noBreakHyphen/>
              <w:t xml:space="preserve">elle insuffisante pour qu’un jury ayant reçu des directives appropriées et agissant raisonnablement conclue que l’appelant savait que l’arme était chargée? </w:t>
            </w:r>
            <w:r w:rsidRPr="00D86A2F">
              <w:rPr>
                <w:sz w:val="20"/>
                <w:szCs w:val="20"/>
                <w:lang w:val="fr-CA"/>
              </w:rPr>
              <w:noBreakHyphen/>
              <w:t xml:space="preserve"> </w:t>
            </w:r>
            <w:r w:rsidRPr="00D86A2F">
              <w:rPr>
                <w:i/>
                <w:sz w:val="20"/>
                <w:szCs w:val="20"/>
                <w:lang w:val="fr-CA"/>
              </w:rPr>
              <w:t>Code criminel</w:t>
            </w:r>
            <w:r w:rsidRPr="00D86A2F">
              <w:rPr>
                <w:sz w:val="20"/>
                <w:szCs w:val="20"/>
                <w:lang w:val="fr-CA"/>
              </w:rPr>
              <w:t>, L.R.C. 1985, ch. C</w:t>
            </w:r>
            <w:r w:rsidRPr="00D86A2F">
              <w:rPr>
                <w:sz w:val="20"/>
                <w:szCs w:val="20"/>
                <w:lang w:val="fr-CA"/>
              </w:rPr>
              <w:noBreakHyphen/>
              <w:t>46, art. 95.</w:t>
            </w:r>
          </w:p>
        </w:tc>
      </w:tr>
    </w:tbl>
    <w:p w:rsidR="006E7F12" w:rsidRDefault="006E7F12" w:rsidP="006E7F12">
      <w:pPr>
        <w:widowControl w:val="0"/>
        <w:rPr>
          <w:sz w:val="20"/>
          <w:szCs w:val="20"/>
          <w:lang w:val="fr-CA"/>
        </w:rPr>
      </w:pPr>
    </w:p>
    <w:p w:rsidR="006E7F12" w:rsidRDefault="0011031E" w:rsidP="006E7F12">
      <w:pPr>
        <w:widowControl w:val="0"/>
        <w:rPr>
          <w:sz w:val="20"/>
          <w:szCs w:val="20"/>
        </w:rPr>
      </w:pPr>
      <w:r w:rsidRPr="0011031E">
        <w:rPr>
          <w:sz w:val="20"/>
          <w:szCs w:val="20"/>
          <w:lang w:val="fr-CA"/>
        </w:rPr>
        <w:pict>
          <v:rect id="_x0000_i1066" style="width:2in;height:1pt" o:hrpct="0" o:hralign="center" o:hrstd="t" o:hrnoshade="t" o:hr="t" fillcolor="black [3213]" stroked="f"/>
        </w:pict>
      </w:r>
    </w:p>
    <w:p w:rsidR="006E7F12" w:rsidRDefault="006E7F12" w:rsidP="006E7F12">
      <w:pPr>
        <w:widowControl w:val="0"/>
        <w:rPr>
          <w:sz w:val="20"/>
          <w:szCs w:val="20"/>
        </w:rPr>
      </w:pPr>
    </w:p>
    <w:p w:rsidR="006E7F12" w:rsidRDefault="006E7F12" w:rsidP="006E7F12">
      <w:pPr>
        <w:widowControl w:val="0"/>
        <w:rPr>
          <w:sz w:val="20"/>
          <w:szCs w:val="20"/>
        </w:rPr>
      </w:pPr>
      <w:r>
        <w:rPr>
          <w:sz w:val="20"/>
          <w:szCs w:val="20"/>
        </w:rPr>
        <w:t>20.03.2012</w:t>
      </w:r>
    </w:p>
    <w:p w:rsidR="000619C2" w:rsidRDefault="000619C2" w:rsidP="006E7F12">
      <w:pPr>
        <w:widowControl w:val="0"/>
        <w:ind w:left="720" w:hanging="720"/>
        <w:rPr>
          <w:sz w:val="20"/>
          <w:szCs w:val="20"/>
        </w:rPr>
      </w:pPr>
    </w:p>
    <w:p w:rsidR="000619C2" w:rsidRPr="00411EBD" w:rsidRDefault="000619C2" w:rsidP="000619C2">
      <w:pPr>
        <w:widowControl w:val="0"/>
        <w:ind w:left="720" w:hanging="720"/>
        <w:rPr>
          <w:sz w:val="20"/>
          <w:szCs w:val="20"/>
          <w:u w:val="single"/>
        </w:rPr>
      </w:pPr>
      <w:r w:rsidRPr="00411EBD">
        <w:rPr>
          <w:sz w:val="20"/>
          <w:szCs w:val="20"/>
        </w:rPr>
        <w:t xml:space="preserve">Coram: </w:t>
      </w:r>
      <w:r w:rsidRPr="00411EBD">
        <w:rPr>
          <w:sz w:val="20"/>
          <w:szCs w:val="20"/>
        </w:rPr>
        <w:tab/>
      </w:r>
      <w:r w:rsidRPr="00411EBD">
        <w:rPr>
          <w:sz w:val="20"/>
          <w:szCs w:val="20"/>
          <w:u w:val="single"/>
        </w:rPr>
        <w:t>McLachlin C.J. and LeBel, Deschamps, Abella, Rothstein, Cromwell and Karakatsanis JJ.</w:t>
      </w:r>
    </w:p>
    <w:p w:rsidR="006E7F12" w:rsidRDefault="006E7F12" w:rsidP="006E7F12">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6E7F12" w:rsidRPr="00322900" w:rsidTr="009A4D4D">
        <w:tc>
          <w:tcPr>
            <w:tcW w:w="4380" w:type="dxa"/>
            <w:tcMar>
              <w:left w:w="0" w:type="dxa"/>
              <w:right w:w="0" w:type="dxa"/>
            </w:tcMar>
          </w:tcPr>
          <w:p w:rsidR="006E7F12" w:rsidRPr="00C50A5C" w:rsidRDefault="000619C2" w:rsidP="009A4D4D">
            <w:pPr>
              <w:widowControl w:val="0"/>
              <w:jc w:val="both"/>
              <w:rPr>
                <w:b/>
                <w:sz w:val="20"/>
                <w:szCs w:val="20"/>
              </w:rPr>
            </w:pPr>
            <w:r w:rsidRPr="00411EBD">
              <w:rPr>
                <w:rStyle w:val="SCCSsocChar"/>
                <w:b/>
                <w:i w:val="0"/>
              </w:rPr>
              <w:t>Southcott Estates Inc.</w:t>
            </w:r>
          </w:p>
          <w:p w:rsidR="006E7F12" w:rsidRPr="00C50A5C" w:rsidRDefault="006E7F12" w:rsidP="009A4D4D">
            <w:pPr>
              <w:widowControl w:val="0"/>
              <w:jc w:val="both"/>
              <w:rPr>
                <w:b/>
                <w:sz w:val="20"/>
                <w:szCs w:val="20"/>
              </w:rPr>
            </w:pPr>
          </w:p>
          <w:p w:rsidR="006E7F12" w:rsidRPr="00C50A5C" w:rsidRDefault="006E7F12" w:rsidP="009A4D4D">
            <w:pPr>
              <w:widowControl w:val="0"/>
              <w:tabs>
                <w:tab w:val="left" w:pos="736"/>
              </w:tabs>
              <w:jc w:val="both"/>
              <w:rPr>
                <w:b/>
                <w:sz w:val="20"/>
                <w:szCs w:val="20"/>
              </w:rPr>
            </w:pPr>
            <w:r w:rsidRPr="00C50A5C">
              <w:rPr>
                <w:b/>
                <w:sz w:val="20"/>
                <w:szCs w:val="20"/>
              </w:rPr>
              <w:tab/>
              <w:t>v. (3</w:t>
            </w:r>
            <w:r w:rsidR="007602DA">
              <w:rPr>
                <w:b/>
                <w:sz w:val="20"/>
                <w:szCs w:val="20"/>
              </w:rPr>
              <w:t>3778</w:t>
            </w:r>
            <w:r w:rsidRPr="00C50A5C">
              <w:rPr>
                <w:b/>
                <w:sz w:val="20"/>
                <w:szCs w:val="20"/>
              </w:rPr>
              <w:t>)</w:t>
            </w:r>
          </w:p>
          <w:p w:rsidR="006E7F12" w:rsidRPr="00C50A5C" w:rsidRDefault="006E7F12" w:rsidP="009A4D4D">
            <w:pPr>
              <w:widowControl w:val="0"/>
              <w:jc w:val="both"/>
              <w:rPr>
                <w:b/>
                <w:sz w:val="20"/>
                <w:szCs w:val="20"/>
              </w:rPr>
            </w:pPr>
          </w:p>
          <w:p w:rsidR="006E7F12" w:rsidRPr="00CC012F" w:rsidRDefault="000619C2" w:rsidP="000619C2">
            <w:pPr>
              <w:widowControl w:val="0"/>
              <w:jc w:val="both"/>
              <w:rPr>
                <w:sz w:val="20"/>
                <w:szCs w:val="20"/>
              </w:rPr>
            </w:pPr>
            <w:r w:rsidRPr="00411EBD">
              <w:rPr>
                <w:rStyle w:val="SCCSsocChar"/>
                <w:b/>
                <w:i w:val="0"/>
              </w:rPr>
              <w:t>Toronto Catholic District School Board</w:t>
            </w:r>
            <w:r w:rsidR="006E7F12" w:rsidRPr="00C50A5C">
              <w:rPr>
                <w:b/>
                <w:sz w:val="20"/>
                <w:szCs w:val="20"/>
              </w:rPr>
              <w:t xml:space="preserve"> (</w:t>
            </w:r>
            <w:r>
              <w:rPr>
                <w:b/>
                <w:sz w:val="20"/>
                <w:szCs w:val="20"/>
              </w:rPr>
              <w:t>Ont</w:t>
            </w:r>
            <w:r w:rsidR="006E7F12" w:rsidRPr="00C50A5C">
              <w:rPr>
                <w:b/>
                <w:sz w:val="20"/>
                <w:szCs w:val="20"/>
              </w:rPr>
              <w:t>.) (Civil) (By Leave)</w:t>
            </w:r>
          </w:p>
        </w:tc>
        <w:tc>
          <w:tcPr>
            <w:tcW w:w="720" w:type="dxa"/>
            <w:tcMar>
              <w:left w:w="0" w:type="dxa"/>
              <w:right w:w="0" w:type="dxa"/>
            </w:tcMar>
          </w:tcPr>
          <w:p w:rsidR="006E7F12" w:rsidRPr="00CC012F" w:rsidRDefault="006E7F12" w:rsidP="009A4D4D">
            <w:pPr>
              <w:widowControl w:val="0"/>
              <w:jc w:val="center"/>
              <w:rPr>
                <w:sz w:val="20"/>
                <w:szCs w:val="20"/>
              </w:rPr>
            </w:pPr>
          </w:p>
        </w:tc>
        <w:tc>
          <w:tcPr>
            <w:tcW w:w="4380" w:type="dxa"/>
            <w:tcMar>
              <w:left w:w="0" w:type="dxa"/>
              <w:right w:w="0" w:type="dxa"/>
            </w:tcMar>
          </w:tcPr>
          <w:p w:rsidR="009D4740" w:rsidRPr="00BC1E3C" w:rsidRDefault="009D4740" w:rsidP="009D4740">
            <w:pPr>
              <w:jc w:val="both"/>
              <w:rPr>
                <w:sz w:val="20"/>
                <w:szCs w:val="20"/>
              </w:rPr>
            </w:pPr>
            <w:r w:rsidRPr="00BC1E3C">
              <w:rPr>
                <w:sz w:val="20"/>
                <w:szCs w:val="20"/>
              </w:rPr>
              <w:t>J. T. Curry</w:t>
            </w:r>
            <w:r>
              <w:rPr>
                <w:sz w:val="20"/>
                <w:szCs w:val="20"/>
              </w:rPr>
              <w:t xml:space="preserve">, </w:t>
            </w:r>
            <w:r w:rsidRPr="00BC1E3C">
              <w:rPr>
                <w:sz w:val="20"/>
                <w:szCs w:val="20"/>
              </w:rPr>
              <w:t>Milton A. Davis</w:t>
            </w:r>
            <w:r>
              <w:rPr>
                <w:sz w:val="20"/>
                <w:szCs w:val="20"/>
              </w:rPr>
              <w:t xml:space="preserve"> and </w:t>
            </w:r>
            <w:r w:rsidRPr="00BC1E3C">
              <w:rPr>
                <w:sz w:val="20"/>
                <w:szCs w:val="20"/>
              </w:rPr>
              <w:t xml:space="preserve">Paul-Erik </w:t>
            </w:r>
            <w:proofErr w:type="spellStart"/>
            <w:r w:rsidRPr="00BC1E3C">
              <w:rPr>
                <w:sz w:val="20"/>
                <w:szCs w:val="20"/>
              </w:rPr>
              <w:t>Veel</w:t>
            </w:r>
            <w:proofErr w:type="spellEnd"/>
            <w:r>
              <w:rPr>
                <w:sz w:val="20"/>
                <w:szCs w:val="20"/>
              </w:rPr>
              <w:t xml:space="preserve"> f</w:t>
            </w:r>
            <w:r w:rsidRPr="00BC1E3C">
              <w:rPr>
                <w:sz w:val="20"/>
                <w:szCs w:val="20"/>
              </w:rPr>
              <w:t xml:space="preserve">or the </w:t>
            </w:r>
            <w:r>
              <w:rPr>
                <w:sz w:val="20"/>
                <w:szCs w:val="20"/>
              </w:rPr>
              <w:t>a</w:t>
            </w:r>
            <w:r w:rsidRPr="00BC1E3C">
              <w:rPr>
                <w:sz w:val="20"/>
                <w:szCs w:val="20"/>
              </w:rPr>
              <w:t>ppellant</w:t>
            </w:r>
            <w:r>
              <w:rPr>
                <w:sz w:val="20"/>
                <w:szCs w:val="20"/>
              </w:rPr>
              <w:t xml:space="preserve">/Respondent on cross-appeal.  </w:t>
            </w:r>
          </w:p>
          <w:p w:rsidR="009D4740" w:rsidRPr="00BC1E3C" w:rsidRDefault="009D4740" w:rsidP="009D4740">
            <w:pPr>
              <w:jc w:val="both"/>
              <w:rPr>
                <w:sz w:val="20"/>
                <w:szCs w:val="20"/>
              </w:rPr>
            </w:pPr>
          </w:p>
          <w:p w:rsidR="006E7F12" w:rsidRPr="002B405E" w:rsidRDefault="009D4740" w:rsidP="009D4740">
            <w:pPr>
              <w:jc w:val="both"/>
              <w:rPr>
                <w:sz w:val="20"/>
                <w:szCs w:val="20"/>
              </w:rPr>
            </w:pPr>
            <w:r w:rsidRPr="00BC1E3C">
              <w:rPr>
                <w:sz w:val="20"/>
                <w:szCs w:val="20"/>
              </w:rPr>
              <w:t>Andrew Sandy Robinson</w:t>
            </w:r>
            <w:r>
              <w:rPr>
                <w:sz w:val="20"/>
                <w:szCs w:val="20"/>
              </w:rPr>
              <w:t xml:space="preserve">, </w:t>
            </w:r>
            <w:r w:rsidRPr="00BC1E3C">
              <w:rPr>
                <w:sz w:val="20"/>
                <w:szCs w:val="20"/>
              </w:rPr>
              <w:t xml:space="preserve">Elizabeth </w:t>
            </w:r>
            <w:proofErr w:type="spellStart"/>
            <w:r w:rsidRPr="00BC1E3C">
              <w:rPr>
                <w:sz w:val="20"/>
                <w:szCs w:val="20"/>
              </w:rPr>
              <w:t>Ackman</w:t>
            </w:r>
            <w:proofErr w:type="spellEnd"/>
            <w:r>
              <w:rPr>
                <w:sz w:val="20"/>
                <w:szCs w:val="20"/>
              </w:rPr>
              <w:t xml:space="preserve"> and </w:t>
            </w:r>
            <w:r w:rsidRPr="00BC1E3C">
              <w:rPr>
                <w:sz w:val="20"/>
                <w:szCs w:val="20"/>
              </w:rPr>
              <w:t xml:space="preserve">Andrea </w:t>
            </w:r>
            <w:proofErr w:type="spellStart"/>
            <w:r w:rsidRPr="00BC1E3C">
              <w:rPr>
                <w:sz w:val="20"/>
                <w:szCs w:val="20"/>
              </w:rPr>
              <w:t>Farkouh</w:t>
            </w:r>
            <w:proofErr w:type="spellEnd"/>
            <w:r>
              <w:rPr>
                <w:sz w:val="20"/>
                <w:szCs w:val="20"/>
              </w:rPr>
              <w:t xml:space="preserve"> f</w:t>
            </w:r>
            <w:r w:rsidRPr="00BC1E3C">
              <w:rPr>
                <w:sz w:val="20"/>
                <w:szCs w:val="20"/>
              </w:rPr>
              <w:t xml:space="preserve">or the </w:t>
            </w:r>
            <w:r>
              <w:rPr>
                <w:sz w:val="20"/>
                <w:szCs w:val="20"/>
              </w:rPr>
              <w:t>r</w:t>
            </w:r>
            <w:r w:rsidRPr="00BC1E3C">
              <w:rPr>
                <w:sz w:val="20"/>
                <w:szCs w:val="20"/>
              </w:rPr>
              <w:t>espondent</w:t>
            </w:r>
            <w:r>
              <w:rPr>
                <w:sz w:val="20"/>
                <w:szCs w:val="20"/>
              </w:rPr>
              <w:t>/</w:t>
            </w:r>
            <w:proofErr w:type="spellStart"/>
            <w:r>
              <w:rPr>
                <w:sz w:val="20"/>
                <w:szCs w:val="20"/>
              </w:rPr>
              <w:t>Appelant</w:t>
            </w:r>
            <w:proofErr w:type="spellEnd"/>
            <w:r>
              <w:rPr>
                <w:sz w:val="20"/>
                <w:szCs w:val="20"/>
              </w:rPr>
              <w:t xml:space="preserve"> on cross-appeal.</w:t>
            </w:r>
          </w:p>
        </w:tc>
      </w:tr>
    </w:tbl>
    <w:p w:rsidR="006E7F12" w:rsidRPr="002B405E" w:rsidRDefault="006E7F12" w:rsidP="006E7F12">
      <w:pPr>
        <w:widowControl w:val="0"/>
        <w:rPr>
          <w:sz w:val="20"/>
          <w:szCs w:val="20"/>
        </w:rPr>
      </w:pPr>
    </w:p>
    <w:p w:rsidR="006E7F12" w:rsidRPr="0085476B" w:rsidRDefault="006E7F12" w:rsidP="006E7F12">
      <w:pPr>
        <w:widowControl w:val="0"/>
        <w:rPr>
          <w:sz w:val="20"/>
          <w:szCs w:val="20"/>
        </w:rPr>
      </w:pPr>
      <w:r w:rsidRPr="0085476B">
        <w:rPr>
          <w:b/>
          <w:sz w:val="20"/>
          <w:szCs w:val="20"/>
        </w:rPr>
        <w:t xml:space="preserve">RESERVED / </w:t>
      </w:r>
      <w:r w:rsidRPr="0085476B">
        <w:rPr>
          <w:b/>
          <w:sz w:val="20"/>
          <w:szCs w:val="20"/>
          <w:lang w:val="fr-CA"/>
        </w:rPr>
        <w:t>EN DÉLIBÉRÉ</w:t>
      </w:r>
    </w:p>
    <w:p w:rsidR="006E7F12" w:rsidRDefault="006E7F12" w:rsidP="006E7F12"/>
    <w:tbl>
      <w:tblPr>
        <w:tblW w:w="0" w:type="auto"/>
        <w:tblLayout w:type="fixed"/>
        <w:tblCellMar>
          <w:left w:w="0" w:type="dxa"/>
          <w:right w:w="0" w:type="dxa"/>
        </w:tblCellMar>
        <w:tblLook w:val="0000"/>
      </w:tblPr>
      <w:tblGrid>
        <w:gridCol w:w="4380"/>
        <w:gridCol w:w="720"/>
        <w:gridCol w:w="4380"/>
      </w:tblGrid>
      <w:tr w:rsidR="006E7F12" w:rsidRPr="009D4740" w:rsidTr="009A4D4D">
        <w:tc>
          <w:tcPr>
            <w:tcW w:w="4380" w:type="dxa"/>
            <w:tcMar>
              <w:left w:w="0" w:type="dxa"/>
              <w:right w:w="0" w:type="dxa"/>
            </w:tcMar>
          </w:tcPr>
          <w:p w:rsidR="006E7F12" w:rsidRPr="00CC4D84" w:rsidRDefault="006E7F12" w:rsidP="009A4D4D">
            <w:pPr>
              <w:widowControl w:val="0"/>
              <w:jc w:val="both"/>
              <w:rPr>
                <w:b/>
                <w:sz w:val="20"/>
                <w:szCs w:val="20"/>
                <w:u w:val="single"/>
              </w:rPr>
            </w:pPr>
            <w:r w:rsidRPr="00CC4D84">
              <w:rPr>
                <w:b/>
                <w:sz w:val="20"/>
                <w:szCs w:val="20"/>
                <w:u w:val="single"/>
              </w:rPr>
              <w:t>Nature of the case:</w:t>
            </w:r>
          </w:p>
          <w:p w:rsidR="006E7F12" w:rsidRPr="00C1697B" w:rsidRDefault="006E7F12" w:rsidP="009A4D4D">
            <w:pPr>
              <w:widowControl w:val="0"/>
              <w:jc w:val="both"/>
              <w:rPr>
                <w:b/>
                <w:sz w:val="20"/>
                <w:szCs w:val="20"/>
              </w:rPr>
            </w:pPr>
          </w:p>
          <w:p w:rsidR="006E7F12" w:rsidRPr="00C1697B" w:rsidRDefault="00212707" w:rsidP="009A4D4D">
            <w:pPr>
              <w:widowControl w:val="0"/>
              <w:jc w:val="both"/>
              <w:rPr>
                <w:b/>
                <w:sz w:val="20"/>
                <w:szCs w:val="20"/>
              </w:rPr>
            </w:pPr>
            <w:r w:rsidRPr="002227EF">
              <w:rPr>
                <w:sz w:val="20"/>
                <w:szCs w:val="20"/>
              </w:rPr>
              <w:t xml:space="preserve">Contracts </w:t>
            </w:r>
            <w:r w:rsidRPr="002227EF">
              <w:rPr>
                <w:sz w:val="20"/>
                <w:szCs w:val="20"/>
              </w:rPr>
              <w:noBreakHyphen/>
              <w:t xml:space="preserve"> Commercial contracts </w:t>
            </w:r>
            <w:r w:rsidRPr="002227EF">
              <w:rPr>
                <w:sz w:val="20"/>
                <w:szCs w:val="20"/>
              </w:rPr>
              <w:noBreakHyphen/>
              <w:t xml:space="preserve"> Breach </w:t>
            </w:r>
            <w:r w:rsidRPr="002227EF">
              <w:rPr>
                <w:sz w:val="20"/>
                <w:szCs w:val="20"/>
              </w:rPr>
              <w:noBreakHyphen/>
              <w:t xml:space="preserve"> Damages </w:t>
            </w:r>
            <w:r w:rsidRPr="002227EF">
              <w:rPr>
                <w:sz w:val="20"/>
                <w:szCs w:val="20"/>
              </w:rPr>
              <w:noBreakHyphen/>
              <w:t xml:space="preserve"> Duty to mitigate </w:t>
            </w:r>
            <w:r w:rsidRPr="002227EF">
              <w:rPr>
                <w:sz w:val="20"/>
                <w:szCs w:val="20"/>
              </w:rPr>
              <w:noBreakHyphen/>
              <w:t xml:space="preserve"> Agreement of purchase and sale </w:t>
            </w:r>
            <w:r w:rsidRPr="002227EF">
              <w:rPr>
                <w:sz w:val="20"/>
                <w:szCs w:val="20"/>
              </w:rPr>
              <w:noBreakHyphen/>
              <w:t xml:space="preserve"> Respondent failing to take reasonable steps to fulfill contractual obligation to obtain severance causing appellant to suffer loss of chance of closing transaction </w:t>
            </w:r>
            <w:r w:rsidRPr="002227EF">
              <w:rPr>
                <w:sz w:val="20"/>
                <w:szCs w:val="20"/>
              </w:rPr>
              <w:noBreakHyphen/>
              <w:t xml:space="preserve"> Whether the Court of Appeal erred in its approach and analysis of mitigation which (a) shifted the onus and burden of proof to establish reasonable mitigation opportunities to the innocent party, (b) failed to consider the ability of a single purpose corporation, without assets, to mitigate and the fact </w:t>
            </w:r>
            <w:r w:rsidRPr="002227EF">
              <w:rPr>
                <w:sz w:val="20"/>
                <w:szCs w:val="20"/>
              </w:rPr>
              <w:lastRenderedPageBreak/>
              <w:t xml:space="preserve">that a justifiable claim to specific performance had been asserted at trial, and (c) failed to ultimately apply the principle of mitigation such that justice is done to the parties </w:t>
            </w:r>
            <w:r w:rsidRPr="002227EF">
              <w:rPr>
                <w:sz w:val="20"/>
                <w:szCs w:val="20"/>
              </w:rPr>
              <w:noBreakHyphen/>
              <w:t xml:space="preserve"> Whether the Court of Appeal erred in overturning the trial judge’s finding of fact concerning reasonable mitigation opportunities and in setting aside the trial judgment without establishing the existence of a palpable and overriding error </w:t>
            </w:r>
            <w:r w:rsidRPr="002227EF">
              <w:rPr>
                <w:sz w:val="20"/>
                <w:szCs w:val="20"/>
              </w:rPr>
              <w:noBreakHyphen/>
              <w:t xml:space="preserve"> Whether the Board’s breaches of the agreement of purchase and sale caused the appellant’s loss.</w:t>
            </w:r>
          </w:p>
        </w:tc>
        <w:tc>
          <w:tcPr>
            <w:tcW w:w="720" w:type="dxa"/>
            <w:tcMar>
              <w:left w:w="0" w:type="dxa"/>
              <w:right w:w="0" w:type="dxa"/>
            </w:tcMar>
          </w:tcPr>
          <w:p w:rsidR="006E7F12" w:rsidRPr="00C1697B" w:rsidRDefault="006E7F12" w:rsidP="009A4D4D">
            <w:pPr>
              <w:widowControl w:val="0"/>
              <w:jc w:val="center"/>
              <w:rPr>
                <w:sz w:val="20"/>
                <w:szCs w:val="20"/>
              </w:rPr>
            </w:pPr>
          </w:p>
        </w:tc>
        <w:tc>
          <w:tcPr>
            <w:tcW w:w="4380" w:type="dxa"/>
            <w:tcMar>
              <w:left w:w="0" w:type="dxa"/>
              <w:right w:w="0" w:type="dxa"/>
            </w:tcMar>
          </w:tcPr>
          <w:p w:rsidR="006E7F12" w:rsidRPr="00CC4D84" w:rsidRDefault="006E7F12" w:rsidP="009A4D4D">
            <w:pPr>
              <w:widowControl w:val="0"/>
              <w:jc w:val="both"/>
              <w:rPr>
                <w:b/>
                <w:sz w:val="20"/>
                <w:szCs w:val="20"/>
                <w:u w:val="single"/>
                <w:lang w:val="fr-CA"/>
              </w:rPr>
            </w:pPr>
            <w:r w:rsidRPr="00CC4D84">
              <w:rPr>
                <w:b/>
                <w:sz w:val="20"/>
                <w:szCs w:val="20"/>
                <w:u w:val="single"/>
                <w:lang w:val="fr-CA"/>
              </w:rPr>
              <w:t>Nature de la cause :</w:t>
            </w:r>
          </w:p>
          <w:p w:rsidR="006E7F12" w:rsidRPr="00C1697B" w:rsidRDefault="006E7F12" w:rsidP="009A4D4D">
            <w:pPr>
              <w:widowControl w:val="0"/>
              <w:jc w:val="both"/>
              <w:rPr>
                <w:sz w:val="20"/>
                <w:szCs w:val="20"/>
                <w:lang w:val="fr-CA"/>
              </w:rPr>
            </w:pPr>
          </w:p>
          <w:p w:rsidR="006E7F12" w:rsidRPr="00C1697B" w:rsidRDefault="00212707" w:rsidP="009A4D4D">
            <w:pPr>
              <w:widowControl w:val="0"/>
              <w:jc w:val="both"/>
              <w:rPr>
                <w:sz w:val="20"/>
                <w:szCs w:val="20"/>
                <w:lang w:val="fr-CA"/>
              </w:rPr>
            </w:pPr>
            <w:r w:rsidRPr="000E2C94">
              <w:rPr>
                <w:sz w:val="20"/>
                <w:szCs w:val="20"/>
                <w:lang w:val="fr-CA"/>
              </w:rPr>
              <w:t xml:space="preserve">Contrats </w:t>
            </w:r>
            <w:r w:rsidRPr="000E2C94">
              <w:rPr>
                <w:sz w:val="20"/>
                <w:szCs w:val="20"/>
                <w:lang w:val="fr-CA"/>
              </w:rPr>
              <w:noBreakHyphen/>
              <w:t xml:space="preserve"> Contrats commerciaux </w:t>
            </w:r>
            <w:r w:rsidRPr="000E2C94">
              <w:rPr>
                <w:sz w:val="20"/>
                <w:szCs w:val="20"/>
                <w:lang w:val="fr-CA"/>
              </w:rPr>
              <w:noBreakHyphen/>
              <w:t xml:space="preserve"> Violation </w:t>
            </w:r>
            <w:r w:rsidRPr="000E2C94">
              <w:rPr>
                <w:sz w:val="20"/>
                <w:szCs w:val="20"/>
                <w:lang w:val="fr-CA"/>
              </w:rPr>
              <w:noBreakHyphen/>
              <w:t xml:space="preserve"> Préjudice </w:t>
            </w:r>
            <w:r w:rsidRPr="000E2C94">
              <w:rPr>
                <w:sz w:val="20"/>
                <w:szCs w:val="20"/>
                <w:lang w:val="fr-CA"/>
              </w:rPr>
              <w:noBreakHyphen/>
              <w:t xml:space="preserve"> Obligation de limiter le préjudice </w:t>
            </w:r>
            <w:r w:rsidRPr="000E2C94">
              <w:rPr>
                <w:sz w:val="20"/>
                <w:szCs w:val="20"/>
                <w:lang w:val="fr-CA"/>
              </w:rPr>
              <w:noBreakHyphen/>
              <w:t xml:space="preserve"> Contrat d’achat et de vente </w:t>
            </w:r>
            <w:r w:rsidRPr="000E2C94">
              <w:rPr>
                <w:sz w:val="20"/>
                <w:szCs w:val="20"/>
                <w:lang w:val="fr-CA"/>
              </w:rPr>
              <w:noBreakHyphen/>
              <w:t xml:space="preserve"> L’intimé n’a pas pris de mesures raisonnables pour exécuter l’obligation contractuelle d’obtenir la disjonction, si bien que l’appelante a perdu la chance de conclure l’opération </w:t>
            </w:r>
            <w:r w:rsidRPr="000E2C94">
              <w:rPr>
                <w:sz w:val="20"/>
                <w:szCs w:val="20"/>
                <w:lang w:val="fr-CA"/>
              </w:rPr>
              <w:noBreakHyphen/>
              <w:t xml:space="preserve"> La Cour d’appel a</w:t>
            </w:r>
            <w:r w:rsidRPr="000E2C94">
              <w:rPr>
                <w:sz w:val="20"/>
                <w:szCs w:val="20"/>
                <w:lang w:val="fr-CA"/>
              </w:rPr>
              <w:noBreakHyphen/>
              <w:t>t</w:t>
            </w:r>
            <w:r w:rsidRPr="000E2C94">
              <w:rPr>
                <w:sz w:val="20"/>
                <w:szCs w:val="20"/>
                <w:lang w:val="fr-CA"/>
              </w:rPr>
              <w:noBreakHyphen/>
              <w:t>elle commis une erreur dans sa façon d’aborder la limitation du préjudice qui incombe à une société à but unique et dans son analyse de cette limitation, c’est</w:t>
            </w:r>
            <w:r w:rsidRPr="000E2C94">
              <w:rPr>
                <w:sz w:val="20"/>
                <w:szCs w:val="20"/>
                <w:lang w:val="fr-CA"/>
              </w:rPr>
              <w:noBreakHyphen/>
              <w:t>à</w:t>
            </w:r>
            <w:r w:rsidRPr="000E2C94">
              <w:rPr>
                <w:sz w:val="20"/>
                <w:szCs w:val="20"/>
                <w:lang w:val="fr-CA"/>
              </w:rPr>
              <w:noBreakHyphen/>
              <w:t xml:space="preserve">dire a) en déplaçant la charge de la preuve d’établir les occasions raisonnables de limiter </w:t>
            </w:r>
            <w:r w:rsidRPr="000E2C94">
              <w:rPr>
                <w:sz w:val="20"/>
                <w:szCs w:val="20"/>
                <w:lang w:val="fr-CA"/>
              </w:rPr>
              <w:lastRenderedPageBreak/>
              <w:t xml:space="preserve">le préjudice pour qu’elle incombe à la partie innocente, b) en n’ayant pas considéré la capacité d’une société à but unique, sans actif, de limiter le préjudice et le fait qu’une demande justifiable d’exécution en nature avait été présentée au procès et c) en n’ayant pas appliqué en définitive le principe de la limitation du préjudice de manière à ce que les parties obtiennent justice? </w:t>
            </w:r>
            <w:r w:rsidRPr="000E2C94">
              <w:rPr>
                <w:sz w:val="20"/>
                <w:szCs w:val="20"/>
                <w:lang w:val="fr-CA"/>
              </w:rPr>
              <w:noBreakHyphen/>
              <w:t xml:space="preserve"> La Cour d’appel a</w:t>
            </w:r>
            <w:r w:rsidRPr="000E2C94">
              <w:rPr>
                <w:sz w:val="20"/>
                <w:szCs w:val="20"/>
                <w:lang w:val="fr-CA"/>
              </w:rPr>
              <w:noBreakHyphen/>
              <w:t>t</w:t>
            </w:r>
            <w:r w:rsidRPr="000E2C94">
              <w:rPr>
                <w:sz w:val="20"/>
                <w:szCs w:val="20"/>
                <w:lang w:val="fr-CA"/>
              </w:rPr>
              <w:noBreakHyphen/>
              <w:t xml:space="preserve">elle eu tort d’infirmer la conclusion de fait du juge de première instance concernant les occasions raisonnables de limiter le préjudice et d’annuler le jugement de première instance sans avoir établi l’existence d’une erreur manifeste et dominante? </w:t>
            </w:r>
            <w:r w:rsidRPr="000E2C94">
              <w:rPr>
                <w:sz w:val="20"/>
                <w:szCs w:val="20"/>
                <w:lang w:val="fr-CA"/>
              </w:rPr>
              <w:noBreakHyphen/>
              <w:t xml:space="preserve"> Les violations du contrat d’achat de vente par le conseil ont</w:t>
            </w:r>
            <w:r w:rsidRPr="000E2C94">
              <w:rPr>
                <w:sz w:val="20"/>
                <w:szCs w:val="20"/>
                <w:lang w:val="fr-CA"/>
              </w:rPr>
              <w:noBreakHyphen/>
              <w:t>elles causé le préjudice subi par l’appelante?</w:t>
            </w:r>
          </w:p>
        </w:tc>
      </w:tr>
    </w:tbl>
    <w:p w:rsidR="006E7F12" w:rsidRDefault="006E7F12" w:rsidP="006E7F12">
      <w:pPr>
        <w:widowControl w:val="0"/>
        <w:rPr>
          <w:sz w:val="20"/>
          <w:szCs w:val="20"/>
          <w:lang w:val="fr-CA"/>
        </w:rPr>
      </w:pPr>
    </w:p>
    <w:p w:rsidR="006E7F12" w:rsidRDefault="0011031E" w:rsidP="006E7F12">
      <w:pPr>
        <w:widowControl w:val="0"/>
        <w:rPr>
          <w:sz w:val="20"/>
          <w:szCs w:val="20"/>
        </w:rPr>
      </w:pPr>
      <w:r w:rsidRPr="0011031E">
        <w:rPr>
          <w:sz w:val="20"/>
          <w:szCs w:val="20"/>
          <w:lang w:val="fr-CA"/>
        </w:rPr>
        <w:pict>
          <v:rect id="_x0000_i1067" style="width:2in;height:1pt" o:hrpct="0" o:hralign="center" o:hrstd="t" o:hrnoshade="t" o:hr="t" fillcolor="black [3213]" stroked="f"/>
        </w:pict>
      </w:r>
    </w:p>
    <w:p w:rsidR="006E7F12" w:rsidRDefault="006E7F12" w:rsidP="006E7F12">
      <w:pPr>
        <w:widowControl w:val="0"/>
        <w:rPr>
          <w:sz w:val="20"/>
          <w:szCs w:val="20"/>
        </w:rPr>
      </w:pPr>
    </w:p>
    <w:p w:rsidR="006E7F12" w:rsidRDefault="006E7F12" w:rsidP="006E7F12">
      <w:pPr>
        <w:widowControl w:val="0"/>
        <w:rPr>
          <w:sz w:val="20"/>
          <w:szCs w:val="20"/>
        </w:rPr>
      </w:pPr>
      <w:r>
        <w:rPr>
          <w:sz w:val="20"/>
          <w:szCs w:val="20"/>
        </w:rPr>
        <w:t>21.03.2012</w:t>
      </w:r>
    </w:p>
    <w:p w:rsidR="006E7F12" w:rsidRDefault="006E7F12" w:rsidP="006E7F12">
      <w:pPr>
        <w:widowControl w:val="0"/>
        <w:rPr>
          <w:sz w:val="20"/>
          <w:szCs w:val="20"/>
        </w:rPr>
      </w:pPr>
    </w:p>
    <w:p w:rsidR="00902892" w:rsidRPr="008138BB" w:rsidRDefault="00902892" w:rsidP="00902892">
      <w:pPr>
        <w:widowControl w:val="0"/>
        <w:ind w:left="720" w:hanging="720"/>
        <w:rPr>
          <w:rFonts w:eastAsia="Calibri" w:cs="Times New Roman"/>
          <w:sz w:val="20"/>
          <w:szCs w:val="20"/>
          <w:u w:val="single"/>
        </w:rPr>
      </w:pPr>
      <w:r w:rsidRPr="008138BB">
        <w:rPr>
          <w:rFonts w:eastAsia="Calibri" w:cs="Times New Roman"/>
          <w:sz w:val="20"/>
          <w:szCs w:val="20"/>
        </w:rPr>
        <w:t xml:space="preserve">Coram: </w:t>
      </w:r>
      <w:r w:rsidRPr="008138BB">
        <w:rPr>
          <w:rFonts w:eastAsia="Calibri" w:cs="Times New Roman"/>
          <w:sz w:val="20"/>
          <w:szCs w:val="20"/>
        </w:rPr>
        <w:tab/>
      </w:r>
      <w:r w:rsidRPr="008138BB">
        <w:rPr>
          <w:rFonts w:eastAsia="Calibri" w:cs="Times New Roman"/>
          <w:sz w:val="20"/>
          <w:szCs w:val="20"/>
          <w:u w:val="single"/>
        </w:rPr>
        <w:t>McLachlin C.J. and Deschamps, Fish, Rothstein, Cromwell, Moldaver and Karakatsanis JJ.</w:t>
      </w:r>
    </w:p>
    <w:p w:rsidR="006E7F12" w:rsidRDefault="006E7F12" w:rsidP="006E7F12">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6E7F12" w:rsidRPr="00C50A5C" w:rsidTr="009A4D4D">
        <w:tc>
          <w:tcPr>
            <w:tcW w:w="4380" w:type="dxa"/>
            <w:tcMar>
              <w:left w:w="0" w:type="dxa"/>
              <w:right w:w="0" w:type="dxa"/>
            </w:tcMar>
          </w:tcPr>
          <w:p w:rsidR="00902892" w:rsidRDefault="00902892" w:rsidP="009A4D4D">
            <w:pPr>
              <w:widowControl w:val="0"/>
              <w:jc w:val="both"/>
              <w:rPr>
                <w:rStyle w:val="SCCSsocChar"/>
                <w:b/>
                <w:i w:val="0"/>
              </w:rPr>
            </w:pPr>
            <w:r w:rsidRPr="008138BB">
              <w:rPr>
                <w:rStyle w:val="SCCSsocChar"/>
                <w:b/>
                <w:i w:val="0"/>
              </w:rPr>
              <w:t xml:space="preserve">John Virgil Punko </w:t>
            </w:r>
          </w:p>
          <w:p w:rsidR="00902892" w:rsidRDefault="00902892" w:rsidP="009A4D4D">
            <w:pPr>
              <w:widowControl w:val="0"/>
              <w:jc w:val="both"/>
              <w:rPr>
                <w:rStyle w:val="SCCSsocChar"/>
                <w:b/>
                <w:i w:val="0"/>
              </w:rPr>
            </w:pPr>
          </w:p>
          <w:p w:rsidR="00902892" w:rsidRDefault="00902892" w:rsidP="009A4D4D">
            <w:pPr>
              <w:widowControl w:val="0"/>
              <w:jc w:val="both"/>
              <w:rPr>
                <w:rStyle w:val="SCCSsocChar"/>
                <w:b/>
                <w:i w:val="0"/>
              </w:rPr>
            </w:pPr>
            <w:r>
              <w:rPr>
                <w:rStyle w:val="SCCSsocChar"/>
                <w:b/>
                <w:i w:val="0"/>
              </w:rPr>
              <w:tab/>
            </w:r>
            <w:r w:rsidRPr="008138BB">
              <w:rPr>
                <w:rStyle w:val="SCCSsocChar"/>
                <w:b/>
                <w:i w:val="0"/>
              </w:rPr>
              <w:t xml:space="preserve">v. </w:t>
            </w:r>
            <w:r>
              <w:rPr>
                <w:rStyle w:val="SCCSsocChar"/>
                <w:b/>
                <w:i w:val="0"/>
              </w:rPr>
              <w:t>(34135)</w:t>
            </w:r>
          </w:p>
          <w:p w:rsidR="00902892" w:rsidRDefault="00902892" w:rsidP="009A4D4D">
            <w:pPr>
              <w:widowControl w:val="0"/>
              <w:jc w:val="both"/>
              <w:rPr>
                <w:rStyle w:val="SCCSsocChar"/>
                <w:b/>
                <w:i w:val="0"/>
              </w:rPr>
            </w:pPr>
          </w:p>
          <w:p w:rsidR="006E7F12" w:rsidRPr="00C50A5C" w:rsidRDefault="00902892" w:rsidP="00DE5543">
            <w:pPr>
              <w:widowControl w:val="0"/>
              <w:jc w:val="both"/>
              <w:rPr>
                <w:b/>
                <w:sz w:val="20"/>
                <w:szCs w:val="20"/>
              </w:rPr>
            </w:pPr>
            <w:r w:rsidRPr="008138BB">
              <w:rPr>
                <w:rStyle w:val="SCCSsocChar"/>
                <w:b/>
                <w:i w:val="0"/>
              </w:rPr>
              <w:t>Her Maje</w:t>
            </w:r>
            <w:r w:rsidR="00DE5543">
              <w:rPr>
                <w:rStyle w:val="SCCSsocChar"/>
                <w:b/>
                <w:i w:val="0"/>
              </w:rPr>
              <w:t>)</w:t>
            </w:r>
          </w:p>
          <w:p w:rsidR="006E7F12" w:rsidRDefault="006E7F12" w:rsidP="009A4D4D">
            <w:pPr>
              <w:widowControl w:val="0"/>
              <w:jc w:val="both"/>
              <w:rPr>
                <w:b/>
                <w:sz w:val="20"/>
                <w:szCs w:val="20"/>
              </w:rPr>
            </w:pPr>
          </w:p>
          <w:p w:rsidR="00902892" w:rsidRPr="00C50A5C" w:rsidRDefault="00902892" w:rsidP="009A4D4D">
            <w:pPr>
              <w:widowControl w:val="0"/>
              <w:jc w:val="both"/>
              <w:rPr>
                <w:b/>
                <w:sz w:val="20"/>
                <w:szCs w:val="20"/>
              </w:rPr>
            </w:pPr>
            <w:r>
              <w:rPr>
                <w:b/>
                <w:sz w:val="20"/>
                <w:szCs w:val="20"/>
              </w:rPr>
              <w:t>- and between -</w:t>
            </w:r>
          </w:p>
          <w:p w:rsidR="00902892" w:rsidRDefault="00902892" w:rsidP="009A4D4D">
            <w:pPr>
              <w:widowControl w:val="0"/>
              <w:tabs>
                <w:tab w:val="left" w:pos="736"/>
              </w:tabs>
              <w:jc w:val="both"/>
              <w:rPr>
                <w:b/>
                <w:sz w:val="20"/>
                <w:szCs w:val="20"/>
              </w:rPr>
            </w:pPr>
          </w:p>
          <w:p w:rsidR="00902892" w:rsidRDefault="00902892" w:rsidP="009A4D4D">
            <w:pPr>
              <w:widowControl w:val="0"/>
              <w:tabs>
                <w:tab w:val="left" w:pos="736"/>
              </w:tabs>
              <w:jc w:val="both"/>
              <w:rPr>
                <w:rStyle w:val="SCCSsocChar"/>
                <w:b/>
                <w:i w:val="0"/>
              </w:rPr>
            </w:pPr>
            <w:r w:rsidRPr="008138BB">
              <w:rPr>
                <w:rStyle w:val="SCCSsocChar"/>
                <w:b/>
                <w:i w:val="0"/>
              </w:rPr>
              <w:t>Randall Richard Potts</w:t>
            </w:r>
          </w:p>
          <w:p w:rsidR="00902892" w:rsidRDefault="00902892" w:rsidP="009A4D4D">
            <w:pPr>
              <w:widowControl w:val="0"/>
              <w:tabs>
                <w:tab w:val="left" w:pos="736"/>
              </w:tabs>
              <w:jc w:val="both"/>
              <w:rPr>
                <w:b/>
                <w:sz w:val="20"/>
                <w:szCs w:val="20"/>
              </w:rPr>
            </w:pPr>
          </w:p>
          <w:p w:rsidR="006E7F12" w:rsidRPr="00C50A5C" w:rsidRDefault="006E7F12" w:rsidP="009A4D4D">
            <w:pPr>
              <w:widowControl w:val="0"/>
              <w:tabs>
                <w:tab w:val="left" w:pos="736"/>
              </w:tabs>
              <w:jc w:val="both"/>
              <w:rPr>
                <w:b/>
                <w:sz w:val="20"/>
                <w:szCs w:val="20"/>
              </w:rPr>
            </w:pPr>
            <w:r w:rsidRPr="00C50A5C">
              <w:rPr>
                <w:b/>
                <w:sz w:val="20"/>
                <w:szCs w:val="20"/>
              </w:rPr>
              <w:tab/>
              <w:t>v. (3</w:t>
            </w:r>
            <w:r>
              <w:rPr>
                <w:b/>
                <w:sz w:val="20"/>
                <w:szCs w:val="20"/>
              </w:rPr>
              <w:t>4</w:t>
            </w:r>
            <w:r w:rsidR="00902892">
              <w:rPr>
                <w:b/>
                <w:sz w:val="20"/>
                <w:szCs w:val="20"/>
              </w:rPr>
              <w:t>193</w:t>
            </w:r>
            <w:r w:rsidRPr="00C50A5C">
              <w:rPr>
                <w:b/>
                <w:sz w:val="20"/>
                <w:szCs w:val="20"/>
              </w:rPr>
              <w:t>)</w:t>
            </w:r>
          </w:p>
          <w:p w:rsidR="006E7F12" w:rsidRPr="00C50A5C" w:rsidRDefault="006E7F12" w:rsidP="009A4D4D">
            <w:pPr>
              <w:widowControl w:val="0"/>
              <w:jc w:val="both"/>
              <w:rPr>
                <w:b/>
                <w:sz w:val="20"/>
                <w:szCs w:val="20"/>
              </w:rPr>
            </w:pPr>
          </w:p>
          <w:p w:rsidR="00902892" w:rsidRDefault="00902892" w:rsidP="009A4D4D">
            <w:pPr>
              <w:widowControl w:val="0"/>
              <w:jc w:val="both"/>
              <w:rPr>
                <w:b/>
                <w:sz w:val="20"/>
                <w:szCs w:val="20"/>
              </w:rPr>
            </w:pPr>
            <w:r>
              <w:rPr>
                <w:b/>
                <w:sz w:val="20"/>
                <w:szCs w:val="20"/>
              </w:rPr>
              <w:t xml:space="preserve">Her Majesty the Queen </w:t>
            </w:r>
            <w:r w:rsidR="006E7F12" w:rsidRPr="00C50A5C">
              <w:rPr>
                <w:b/>
                <w:sz w:val="20"/>
                <w:szCs w:val="20"/>
              </w:rPr>
              <w:t>(B.C.) (C</w:t>
            </w:r>
            <w:r>
              <w:rPr>
                <w:b/>
                <w:sz w:val="20"/>
                <w:szCs w:val="20"/>
              </w:rPr>
              <w:t>r</w:t>
            </w:r>
            <w:r w:rsidR="006E7F12" w:rsidRPr="00C50A5C">
              <w:rPr>
                <w:b/>
                <w:sz w:val="20"/>
                <w:szCs w:val="20"/>
              </w:rPr>
              <w:t>i</w:t>
            </w:r>
            <w:r>
              <w:rPr>
                <w:b/>
                <w:sz w:val="20"/>
                <w:szCs w:val="20"/>
              </w:rPr>
              <w:t>m</w:t>
            </w:r>
            <w:r w:rsidR="006E7F12" w:rsidRPr="00C50A5C">
              <w:rPr>
                <w:b/>
                <w:sz w:val="20"/>
                <w:szCs w:val="20"/>
              </w:rPr>
              <w:t>i</w:t>
            </w:r>
            <w:r>
              <w:rPr>
                <w:b/>
                <w:sz w:val="20"/>
                <w:szCs w:val="20"/>
              </w:rPr>
              <w:t>na</w:t>
            </w:r>
            <w:r w:rsidR="006E7F12" w:rsidRPr="00C50A5C">
              <w:rPr>
                <w:b/>
                <w:sz w:val="20"/>
                <w:szCs w:val="20"/>
              </w:rPr>
              <w:t>l)</w:t>
            </w:r>
          </w:p>
          <w:p w:rsidR="006E7F12" w:rsidRPr="00CC012F" w:rsidRDefault="006E7F12" w:rsidP="00902892">
            <w:pPr>
              <w:widowControl w:val="0"/>
              <w:jc w:val="both"/>
              <w:rPr>
                <w:sz w:val="20"/>
                <w:szCs w:val="20"/>
              </w:rPr>
            </w:pPr>
            <w:r w:rsidRPr="00C50A5C">
              <w:rPr>
                <w:b/>
                <w:sz w:val="20"/>
                <w:szCs w:val="20"/>
              </w:rPr>
              <w:t>(By Leave)</w:t>
            </w:r>
          </w:p>
        </w:tc>
        <w:tc>
          <w:tcPr>
            <w:tcW w:w="720" w:type="dxa"/>
            <w:tcMar>
              <w:left w:w="0" w:type="dxa"/>
              <w:right w:w="0" w:type="dxa"/>
            </w:tcMar>
          </w:tcPr>
          <w:p w:rsidR="006E7F12" w:rsidRPr="00CC012F" w:rsidRDefault="006E7F12" w:rsidP="009A4D4D">
            <w:pPr>
              <w:widowControl w:val="0"/>
              <w:jc w:val="center"/>
              <w:rPr>
                <w:sz w:val="20"/>
                <w:szCs w:val="20"/>
              </w:rPr>
            </w:pPr>
          </w:p>
        </w:tc>
        <w:tc>
          <w:tcPr>
            <w:tcW w:w="4380" w:type="dxa"/>
            <w:tcMar>
              <w:left w:w="0" w:type="dxa"/>
              <w:right w:w="0" w:type="dxa"/>
            </w:tcMar>
          </w:tcPr>
          <w:p w:rsidR="009B4572" w:rsidRPr="00433914" w:rsidRDefault="009B4572" w:rsidP="009B4572">
            <w:pPr>
              <w:jc w:val="both"/>
              <w:rPr>
                <w:sz w:val="20"/>
                <w:szCs w:val="20"/>
                <w:lang w:val="en-US"/>
              </w:rPr>
            </w:pPr>
            <w:r w:rsidRPr="00433914">
              <w:rPr>
                <w:sz w:val="20"/>
                <w:szCs w:val="20"/>
              </w:rPr>
              <w:t>Gil D. McKinnon</w:t>
            </w:r>
            <w:r>
              <w:rPr>
                <w:sz w:val="20"/>
                <w:szCs w:val="20"/>
              </w:rPr>
              <w:t xml:space="preserve"> and </w:t>
            </w:r>
            <w:r w:rsidRPr="00433914">
              <w:rPr>
                <w:sz w:val="20"/>
                <w:szCs w:val="20"/>
                <w:lang w:val="en-US"/>
              </w:rPr>
              <w:t>Larry Fleming</w:t>
            </w:r>
            <w:r>
              <w:rPr>
                <w:sz w:val="20"/>
                <w:szCs w:val="20"/>
                <w:lang w:val="en-US"/>
              </w:rPr>
              <w:t xml:space="preserve"> f</w:t>
            </w:r>
            <w:r w:rsidRPr="00433914">
              <w:rPr>
                <w:sz w:val="20"/>
                <w:szCs w:val="20"/>
                <w:lang w:val="en-US"/>
              </w:rPr>
              <w:t xml:space="preserve">or the </w:t>
            </w:r>
            <w:r>
              <w:rPr>
                <w:sz w:val="20"/>
                <w:szCs w:val="20"/>
                <w:lang w:val="en-US"/>
              </w:rPr>
              <w:t>a</w:t>
            </w:r>
            <w:r w:rsidRPr="00433914">
              <w:rPr>
                <w:sz w:val="20"/>
                <w:szCs w:val="20"/>
                <w:lang w:val="en-US"/>
              </w:rPr>
              <w:t>ppellant (34135).</w:t>
            </w:r>
          </w:p>
          <w:p w:rsidR="009B4572" w:rsidRPr="00433914" w:rsidRDefault="009B4572" w:rsidP="009B4572">
            <w:pPr>
              <w:jc w:val="both"/>
              <w:rPr>
                <w:sz w:val="20"/>
                <w:szCs w:val="20"/>
                <w:lang w:val="en-US"/>
              </w:rPr>
            </w:pPr>
          </w:p>
          <w:p w:rsidR="009B4572" w:rsidRPr="00433914" w:rsidRDefault="009B4572" w:rsidP="009B4572">
            <w:pPr>
              <w:jc w:val="both"/>
              <w:rPr>
                <w:sz w:val="20"/>
                <w:szCs w:val="20"/>
                <w:lang w:val="en-US"/>
              </w:rPr>
            </w:pPr>
            <w:r w:rsidRPr="00433914">
              <w:rPr>
                <w:sz w:val="20"/>
                <w:szCs w:val="20"/>
                <w:lang w:val="en-US"/>
              </w:rPr>
              <w:t>Bonnie Craig</w:t>
            </w:r>
            <w:r>
              <w:rPr>
                <w:sz w:val="20"/>
                <w:szCs w:val="20"/>
                <w:lang w:val="en-US"/>
              </w:rPr>
              <w:t xml:space="preserve"> and </w:t>
            </w:r>
            <w:r w:rsidRPr="00433914">
              <w:rPr>
                <w:sz w:val="20"/>
                <w:szCs w:val="20"/>
                <w:lang w:val="en-US"/>
              </w:rPr>
              <w:t>Jeffrey Ray</w:t>
            </w:r>
            <w:r>
              <w:rPr>
                <w:sz w:val="20"/>
                <w:szCs w:val="20"/>
                <w:lang w:val="en-US"/>
              </w:rPr>
              <w:t xml:space="preserve"> f</w:t>
            </w:r>
            <w:r w:rsidRPr="00433914">
              <w:rPr>
                <w:sz w:val="20"/>
                <w:szCs w:val="20"/>
                <w:lang w:val="en-US"/>
              </w:rPr>
              <w:t xml:space="preserve">or the </w:t>
            </w:r>
            <w:r>
              <w:rPr>
                <w:sz w:val="20"/>
                <w:szCs w:val="20"/>
                <w:lang w:val="en-US"/>
              </w:rPr>
              <w:t>a</w:t>
            </w:r>
            <w:r w:rsidRPr="00433914">
              <w:rPr>
                <w:sz w:val="20"/>
                <w:szCs w:val="20"/>
                <w:lang w:val="en-US"/>
              </w:rPr>
              <w:t>ppellant (34193).</w:t>
            </w:r>
          </w:p>
          <w:p w:rsidR="009B4572" w:rsidRPr="00433914" w:rsidRDefault="009B4572" w:rsidP="009B4572">
            <w:pPr>
              <w:jc w:val="both"/>
              <w:rPr>
                <w:sz w:val="20"/>
                <w:szCs w:val="20"/>
                <w:lang w:val="en-US"/>
              </w:rPr>
            </w:pPr>
          </w:p>
          <w:p w:rsidR="009B4572" w:rsidRPr="00433914" w:rsidRDefault="009B4572" w:rsidP="009B4572">
            <w:pPr>
              <w:jc w:val="both"/>
              <w:rPr>
                <w:sz w:val="20"/>
                <w:szCs w:val="20"/>
                <w:lang w:val="en-US"/>
              </w:rPr>
            </w:pPr>
            <w:r w:rsidRPr="00433914">
              <w:rPr>
                <w:sz w:val="20"/>
                <w:szCs w:val="20"/>
                <w:lang w:val="en-US"/>
              </w:rPr>
              <w:t>Paul Riley</w:t>
            </w:r>
            <w:r>
              <w:rPr>
                <w:sz w:val="20"/>
                <w:szCs w:val="20"/>
                <w:lang w:val="en-US"/>
              </w:rPr>
              <w:t xml:space="preserve"> and </w:t>
            </w:r>
            <w:r w:rsidRPr="00433914">
              <w:rPr>
                <w:sz w:val="20"/>
                <w:szCs w:val="20"/>
                <w:lang w:val="en-US"/>
              </w:rPr>
              <w:t>Martha Devlin</w:t>
            </w:r>
            <w:r>
              <w:rPr>
                <w:sz w:val="20"/>
                <w:szCs w:val="20"/>
                <w:lang w:val="en-US"/>
              </w:rPr>
              <w:t xml:space="preserve"> f</w:t>
            </w:r>
            <w:r w:rsidRPr="00433914">
              <w:rPr>
                <w:sz w:val="20"/>
                <w:szCs w:val="20"/>
                <w:lang w:val="en-US"/>
              </w:rPr>
              <w:t xml:space="preserve">or the </w:t>
            </w:r>
            <w:r>
              <w:rPr>
                <w:sz w:val="20"/>
                <w:szCs w:val="20"/>
                <w:lang w:val="en-US"/>
              </w:rPr>
              <w:t>r</w:t>
            </w:r>
            <w:r w:rsidRPr="00433914">
              <w:rPr>
                <w:sz w:val="20"/>
                <w:szCs w:val="20"/>
                <w:lang w:val="en-US"/>
              </w:rPr>
              <w:t>espondent.</w:t>
            </w:r>
          </w:p>
          <w:p w:rsidR="006E7F12" w:rsidRPr="009B4572" w:rsidRDefault="006E7F12" w:rsidP="009A4D4D">
            <w:pPr>
              <w:widowControl w:val="0"/>
              <w:jc w:val="both"/>
              <w:rPr>
                <w:sz w:val="20"/>
                <w:szCs w:val="20"/>
                <w:lang w:val="en-US"/>
              </w:rPr>
            </w:pPr>
          </w:p>
        </w:tc>
      </w:tr>
    </w:tbl>
    <w:p w:rsidR="006E7F12" w:rsidRDefault="006E7F12" w:rsidP="006E7F12">
      <w:pPr>
        <w:widowControl w:val="0"/>
        <w:rPr>
          <w:sz w:val="20"/>
          <w:szCs w:val="20"/>
        </w:rPr>
      </w:pPr>
    </w:p>
    <w:p w:rsidR="006E7F12" w:rsidRPr="0085476B" w:rsidRDefault="006E7F12" w:rsidP="006E7F12">
      <w:pPr>
        <w:widowControl w:val="0"/>
        <w:rPr>
          <w:sz w:val="20"/>
          <w:szCs w:val="20"/>
        </w:rPr>
      </w:pPr>
      <w:r w:rsidRPr="0085476B">
        <w:rPr>
          <w:b/>
          <w:sz w:val="20"/>
          <w:szCs w:val="20"/>
        </w:rPr>
        <w:t xml:space="preserve">RESERVED / </w:t>
      </w:r>
      <w:r w:rsidRPr="0085476B">
        <w:rPr>
          <w:b/>
          <w:sz w:val="20"/>
          <w:szCs w:val="20"/>
          <w:lang w:val="fr-CA"/>
        </w:rPr>
        <w:t>EN DÉLIBÉRÉ</w:t>
      </w:r>
    </w:p>
    <w:p w:rsidR="006E7F12" w:rsidRDefault="006E7F12" w:rsidP="006E7F12"/>
    <w:tbl>
      <w:tblPr>
        <w:tblW w:w="0" w:type="auto"/>
        <w:tblLayout w:type="fixed"/>
        <w:tblCellMar>
          <w:left w:w="0" w:type="dxa"/>
          <w:right w:w="0" w:type="dxa"/>
        </w:tblCellMar>
        <w:tblLook w:val="0000"/>
      </w:tblPr>
      <w:tblGrid>
        <w:gridCol w:w="4380"/>
        <w:gridCol w:w="720"/>
        <w:gridCol w:w="4380"/>
      </w:tblGrid>
      <w:tr w:rsidR="006E7F12" w:rsidRPr="009D4740" w:rsidTr="009A4D4D">
        <w:tc>
          <w:tcPr>
            <w:tcW w:w="4380" w:type="dxa"/>
            <w:tcMar>
              <w:left w:w="0" w:type="dxa"/>
              <w:right w:w="0" w:type="dxa"/>
            </w:tcMar>
          </w:tcPr>
          <w:p w:rsidR="006E7F12" w:rsidRPr="00CC4D84" w:rsidRDefault="006E7F12" w:rsidP="009A4D4D">
            <w:pPr>
              <w:widowControl w:val="0"/>
              <w:jc w:val="both"/>
              <w:rPr>
                <w:b/>
                <w:sz w:val="20"/>
                <w:szCs w:val="20"/>
                <w:u w:val="single"/>
              </w:rPr>
            </w:pPr>
            <w:r w:rsidRPr="00CC4D84">
              <w:rPr>
                <w:b/>
                <w:sz w:val="20"/>
                <w:szCs w:val="20"/>
                <w:u w:val="single"/>
              </w:rPr>
              <w:t>Nature of the case</w:t>
            </w:r>
            <w:r w:rsidR="003278FC">
              <w:rPr>
                <w:b/>
                <w:sz w:val="20"/>
                <w:szCs w:val="20"/>
                <w:u w:val="single"/>
              </w:rPr>
              <w:t xml:space="preserve"> - 34135</w:t>
            </w:r>
            <w:r w:rsidRPr="00CC4D84">
              <w:rPr>
                <w:b/>
                <w:sz w:val="20"/>
                <w:szCs w:val="20"/>
                <w:u w:val="single"/>
              </w:rPr>
              <w:t>:</w:t>
            </w:r>
          </w:p>
          <w:p w:rsidR="006E7F12" w:rsidRPr="00C1697B" w:rsidRDefault="006E7F12" w:rsidP="009A4D4D">
            <w:pPr>
              <w:widowControl w:val="0"/>
              <w:jc w:val="both"/>
              <w:rPr>
                <w:b/>
                <w:sz w:val="20"/>
                <w:szCs w:val="20"/>
              </w:rPr>
            </w:pPr>
          </w:p>
          <w:p w:rsidR="006E7F12" w:rsidRPr="00C1697B" w:rsidRDefault="00212707" w:rsidP="009A4D4D">
            <w:pPr>
              <w:widowControl w:val="0"/>
              <w:jc w:val="both"/>
              <w:rPr>
                <w:b/>
                <w:sz w:val="20"/>
                <w:szCs w:val="20"/>
              </w:rPr>
            </w:pPr>
            <w:r w:rsidRPr="00D54043">
              <w:rPr>
                <w:sz w:val="20"/>
                <w:szCs w:val="20"/>
              </w:rPr>
              <w:t xml:space="preserve">Criminal Law </w:t>
            </w:r>
            <w:r w:rsidRPr="00D54043">
              <w:rPr>
                <w:sz w:val="20"/>
                <w:szCs w:val="20"/>
              </w:rPr>
              <w:noBreakHyphen/>
              <w:t xml:space="preserve"> Trial </w:t>
            </w:r>
            <w:r w:rsidRPr="00D54043">
              <w:rPr>
                <w:sz w:val="20"/>
                <w:szCs w:val="20"/>
              </w:rPr>
              <w:noBreakHyphen/>
              <w:t xml:space="preserve"> Pre</w:t>
            </w:r>
            <w:r w:rsidRPr="00D54043">
              <w:rPr>
                <w:sz w:val="20"/>
                <w:szCs w:val="20"/>
              </w:rPr>
              <w:noBreakHyphen/>
              <w:t xml:space="preserve">trial proceedings </w:t>
            </w:r>
            <w:r w:rsidRPr="00D54043">
              <w:rPr>
                <w:sz w:val="20"/>
                <w:szCs w:val="20"/>
              </w:rPr>
              <w:noBreakHyphen/>
              <w:t xml:space="preserve"> Issue estoppel </w:t>
            </w:r>
            <w:r w:rsidRPr="00D54043">
              <w:rPr>
                <w:sz w:val="20"/>
                <w:szCs w:val="20"/>
              </w:rPr>
              <w:noBreakHyphen/>
              <w:t xml:space="preserve"> Whether trial judge erred in applying balance of probabilities standard of proof to decide whether requirements of issue estoppel were satisfied </w:t>
            </w:r>
            <w:r w:rsidRPr="00D54043">
              <w:rPr>
                <w:sz w:val="20"/>
                <w:szCs w:val="20"/>
              </w:rPr>
              <w:noBreakHyphen/>
              <w:t xml:space="preserve"> Whether Court of Appeal erred in determining that the erroneous application of a legal standard might reasonably have had a material bearing on the acquittal.</w:t>
            </w:r>
          </w:p>
        </w:tc>
        <w:tc>
          <w:tcPr>
            <w:tcW w:w="720" w:type="dxa"/>
            <w:tcMar>
              <w:left w:w="0" w:type="dxa"/>
              <w:right w:w="0" w:type="dxa"/>
            </w:tcMar>
          </w:tcPr>
          <w:p w:rsidR="006E7F12" w:rsidRPr="00C1697B" w:rsidRDefault="006E7F12" w:rsidP="009A4D4D">
            <w:pPr>
              <w:widowControl w:val="0"/>
              <w:jc w:val="center"/>
              <w:rPr>
                <w:sz w:val="20"/>
                <w:szCs w:val="20"/>
              </w:rPr>
            </w:pPr>
          </w:p>
        </w:tc>
        <w:tc>
          <w:tcPr>
            <w:tcW w:w="4380" w:type="dxa"/>
            <w:tcMar>
              <w:left w:w="0" w:type="dxa"/>
              <w:right w:w="0" w:type="dxa"/>
            </w:tcMar>
          </w:tcPr>
          <w:p w:rsidR="006E7F12" w:rsidRPr="00CC4D84" w:rsidRDefault="006E7F12" w:rsidP="009A4D4D">
            <w:pPr>
              <w:widowControl w:val="0"/>
              <w:jc w:val="both"/>
              <w:rPr>
                <w:b/>
                <w:sz w:val="20"/>
                <w:szCs w:val="20"/>
                <w:u w:val="single"/>
                <w:lang w:val="fr-CA"/>
              </w:rPr>
            </w:pPr>
            <w:r w:rsidRPr="00CC4D84">
              <w:rPr>
                <w:b/>
                <w:sz w:val="20"/>
                <w:szCs w:val="20"/>
                <w:u w:val="single"/>
                <w:lang w:val="fr-CA"/>
              </w:rPr>
              <w:t xml:space="preserve">Nature de la cause </w:t>
            </w:r>
            <w:r w:rsidR="003278FC">
              <w:rPr>
                <w:b/>
                <w:sz w:val="20"/>
                <w:szCs w:val="20"/>
                <w:u w:val="single"/>
                <w:lang w:val="fr-CA"/>
              </w:rPr>
              <w:t xml:space="preserve">- 34135 </w:t>
            </w:r>
            <w:r w:rsidRPr="00CC4D84">
              <w:rPr>
                <w:b/>
                <w:sz w:val="20"/>
                <w:szCs w:val="20"/>
                <w:u w:val="single"/>
                <w:lang w:val="fr-CA"/>
              </w:rPr>
              <w:t>:</w:t>
            </w:r>
          </w:p>
          <w:p w:rsidR="006E7F12" w:rsidRPr="00C1697B" w:rsidRDefault="006E7F12" w:rsidP="009A4D4D">
            <w:pPr>
              <w:widowControl w:val="0"/>
              <w:jc w:val="both"/>
              <w:rPr>
                <w:sz w:val="20"/>
                <w:szCs w:val="20"/>
                <w:lang w:val="fr-CA"/>
              </w:rPr>
            </w:pPr>
          </w:p>
          <w:p w:rsidR="006E7F12" w:rsidRPr="00C1697B" w:rsidRDefault="00212707" w:rsidP="009A4D4D">
            <w:pPr>
              <w:widowControl w:val="0"/>
              <w:jc w:val="both"/>
              <w:rPr>
                <w:sz w:val="20"/>
                <w:szCs w:val="20"/>
                <w:lang w:val="fr-CA"/>
              </w:rPr>
            </w:pPr>
            <w:r w:rsidRPr="009B3746">
              <w:rPr>
                <w:sz w:val="20"/>
                <w:szCs w:val="20"/>
                <w:lang w:val="fr-CA"/>
              </w:rPr>
              <w:t xml:space="preserve">Droit criminel </w:t>
            </w:r>
            <w:r w:rsidRPr="009B3746">
              <w:rPr>
                <w:sz w:val="20"/>
                <w:szCs w:val="20"/>
                <w:lang w:val="fr-CA"/>
              </w:rPr>
              <w:noBreakHyphen/>
              <w:t xml:space="preserve"> Procès </w:t>
            </w:r>
            <w:r w:rsidRPr="009B3746">
              <w:rPr>
                <w:sz w:val="20"/>
                <w:szCs w:val="20"/>
                <w:lang w:val="fr-CA"/>
              </w:rPr>
              <w:noBreakHyphen/>
              <w:t xml:space="preserve"> Procédures préliminaires </w:t>
            </w:r>
            <w:r w:rsidRPr="009B3746">
              <w:rPr>
                <w:sz w:val="20"/>
                <w:szCs w:val="20"/>
                <w:lang w:val="fr-CA"/>
              </w:rPr>
              <w:noBreakHyphen/>
              <w:t xml:space="preserve"> Préclusion découlant d’une question déjà tranchée </w:t>
            </w:r>
            <w:r w:rsidRPr="009B3746">
              <w:rPr>
                <w:sz w:val="20"/>
                <w:szCs w:val="20"/>
                <w:lang w:val="fr-CA"/>
              </w:rPr>
              <w:noBreakHyphen/>
              <w:t xml:space="preserve"> Le juge du procès a</w:t>
            </w:r>
            <w:r w:rsidRPr="009B3746">
              <w:rPr>
                <w:sz w:val="20"/>
                <w:szCs w:val="20"/>
                <w:lang w:val="fr-CA"/>
              </w:rPr>
              <w:noBreakHyphen/>
              <w:t>t</w:t>
            </w:r>
            <w:r w:rsidRPr="009B3746">
              <w:rPr>
                <w:sz w:val="20"/>
                <w:szCs w:val="20"/>
                <w:lang w:val="fr-CA"/>
              </w:rPr>
              <w:noBreakHyphen/>
              <w:t xml:space="preserve">il eu tort d’appliquer la norme de preuve de la prépondérance des probabilités pour trancher la question de savoir si les conditions de la préclusion découlant d’une question déjà tranchée avaient été remplies? </w:t>
            </w:r>
            <w:r w:rsidRPr="009B3746">
              <w:rPr>
                <w:sz w:val="20"/>
                <w:szCs w:val="20"/>
                <w:lang w:val="fr-CA"/>
              </w:rPr>
              <w:noBreakHyphen/>
              <w:t xml:space="preserve"> La Cour d’appel a</w:t>
            </w:r>
            <w:r w:rsidRPr="009B3746">
              <w:rPr>
                <w:sz w:val="20"/>
                <w:szCs w:val="20"/>
                <w:lang w:val="fr-CA"/>
              </w:rPr>
              <w:noBreakHyphen/>
              <w:t>t</w:t>
            </w:r>
            <w:r w:rsidRPr="009B3746">
              <w:rPr>
                <w:sz w:val="20"/>
                <w:szCs w:val="20"/>
                <w:lang w:val="fr-CA"/>
              </w:rPr>
              <w:noBreakHyphen/>
              <w:t xml:space="preserve">elle eu tort de statuer que l’application erronée d’une norme juridique pouvait vraisemblablement avoir une incidence significative sur le verdict d’acquittement? </w:t>
            </w:r>
            <w:r w:rsidRPr="009B3746">
              <w:rPr>
                <w:sz w:val="20"/>
                <w:szCs w:val="20"/>
                <w:lang w:val="fr-CA"/>
              </w:rPr>
              <w:noBreakHyphen/>
              <w:t xml:space="preserve"> La question de savoir s’il y a préclusion découlant d’une question déjà tranchée est</w:t>
            </w:r>
            <w:r w:rsidRPr="009B3746">
              <w:rPr>
                <w:sz w:val="20"/>
                <w:szCs w:val="20"/>
                <w:lang w:val="fr-CA"/>
              </w:rPr>
              <w:noBreakHyphen/>
              <w:t>elle une question de droit ou de fait?</w:t>
            </w:r>
          </w:p>
        </w:tc>
      </w:tr>
    </w:tbl>
    <w:p w:rsidR="006E7F12" w:rsidRDefault="006E7F12" w:rsidP="006E7F12">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3278FC" w:rsidRPr="009D4740" w:rsidTr="00667631">
        <w:tc>
          <w:tcPr>
            <w:tcW w:w="4380" w:type="dxa"/>
            <w:tcMar>
              <w:left w:w="0" w:type="dxa"/>
              <w:right w:w="0" w:type="dxa"/>
            </w:tcMar>
          </w:tcPr>
          <w:p w:rsidR="003278FC" w:rsidRPr="00CC4D84" w:rsidRDefault="003278FC" w:rsidP="00667631">
            <w:pPr>
              <w:widowControl w:val="0"/>
              <w:jc w:val="both"/>
              <w:rPr>
                <w:b/>
                <w:sz w:val="20"/>
                <w:szCs w:val="20"/>
                <w:u w:val="single"/>
              </w:rPr>
            </w:pPr>
            <w:r w:rsidRPr="00CC4D84">
              <w:rPr>
                <w:b/>
                <w:sz w:val="20"/>
                <w:szCs w:val="20"/>
                <w:u w:val="single"/>
              </w:rPr>
              <w:t>Nature of the case</w:t>
            </w:r>
            <w:r>
              <w:rPr>
                <w:b/>
                <w:sz w:val="20"/>
                <w:szCs w:val="20"/>
                <w:u w:val="single"/>
              </w:rPr>
              <w:t xml:space="preserve"> - 34193</w:t>
            </w:r>
            <w:r w:rsidRPr="00CC4D84">
              <w:rPr>
                <w:b/>
                <w:sz w:val="20"/>
                <w:szCs w:val="20"/>
                <w:u w:val="single"/>
              </w:rPr>
              <w:t>:</w:t>
            </w:r>
          </w:p>
          <w:p w:rsidR="003278FC" w:rsidRPr="00C1697B" w:rsidRDefault="003278FC" w:rsidP="00667631">
            <w:pPr>
              <w:widowControl w:val="0"/>
              <w:jc w:val="both"/>
              <w:rPr>
                <w:b/>
                <w:sz w:val="20"/>
                <w:szCs w:val="20"/>
              </w:rPr>
            </w:pPr>
          </w:p>
          <w:p w:rsidR="003278FC" w:rsidRPr="00C1697B" w:rsidRDefault="003278FC" w:rsidP="00667631">
            <w:pPr>
              <w:widowControl w:val="0"/>
              <w:jc w:val="both"/>
              <w:rPr>
                <w:b/>
                <w:sz w:val="20"/>
                <w:szCs w:val="20"/>
              </w:rPr>
            </w:pPr>
            <w:r w:rsidRPr="00651C7A">
              <w:rPr>
                <w:sz w:val="20"/>
                <w:szCs w:val="20"/>
              </w:rPr>
              <w:t xml:space="preserve">Criminal Law </w:t>
            </w:r>
            <w:r w:rsidRPr="00651C7A">
              <w:rPr>
                <w:sz w:val="20"/>
                <w:szCs w:val="20"/>
              </w:rPr>
              <w:noBreakHyphen/>
              <w:t xml:space="preserve"> Trial </w:t>
            </w:r>
            <w:r w:rsidRPr="00651C7A">
              <w:rPr>
                <w:sz w:val="20"/>
                <w:szCs w:val="20"/>
              </w:rPr>
              <w:noBreakHyphen/>
              <w:t xml:space="preserve"> Pre</w:t>
            </w:r>
            <w:r w:rsidRPr="00651C7A">
              <w:rPr>
                <w:sz w:val="20"/>
                <w:szCs w:val="20"/>
              </w:rPr>
              <w:noBreakHyphen/>
              <w:t xml:space="preserve">trial proceedings </w:t>
            </w:r>
            <w:r w:rsidRPr="00651C7A">
              <w:rPr>
                <w:sz w:val="20"/>
                <w:szCs w:val="20"/>
              </w:rPr>
              <w:noBreakHyphen/>
              <w:t xml:space="preserve"> Issue estoppel </w:t>
            </w:r>
            <w:r w:rsidRPr="00651C7A">
              <w:rPr>
                <w:sz w:val="20"/>
                <w:szCs w:val="20"/>
              </w:rPr>
              <w:noBreakHyphen/>
              <w:t xml:space="preserve"> Whether trial judge erred in applying balance of probabilities standard of proof to decide whether requirements of issue estoppel were satisfied </w:t>
            </w:r>
            <w:r w:rsidRPr="00651C7A">
              <w:rPr>
                <w:sz w:val="20"/>
                <w:szCs w:val="20"/>
              </w:rPr>
              <w:noBreakHyphen/>
              <w:t xml:space="preserve"> Whether Court of Appeal erred in determining that the erroneous application of a legal standard might reasonably have had a material bearing on the acquittal </w:t>
            </w:r>
            <w:r w:rsidRPr="00651C7A">
              <w:rPr>
                <w:sz w:val="20"/>
                <w:szCs w:val="20"/>
              </w:rPr>
              <w:noBreakHyphen/>
              <w:t xml:space="preserve"> Whether determining issue estoppel is a question of law or fact.</w:t>
            </w:r>
          </w:p>
        </w:tc>
        <w:tc>
          <w:tcPr>
            <w:tcW w:w="720" w:type="dxa"/>
            <w:tcMar>
              <w:left w:w="0" w:type="dxa"/>
              <w:right w:w="0" w:type="dxa"/>
            </w:tcMar>
          </w:tcPr>
          <w:p w:rsidR="003278FC" w:rsidRPr="00C1697B" w:rsidRDefault="003278FC" w:rsidP="00667631">
            <w:pPr>
              <w:widowControl w:val="0"/>
              <w:jc w:val="center"/>
              <w:rPr>
                <w:sz w:val="20"/>
                <w:szCs w:val="20"/>
              </w:rPr>
            </w:pPr>
          </w:p>
        </w:tc>
        <w:tc>
          <w:tcPr>
            <w:tcW w:w="4380" w:type="dxa"/>
            <w:tcMar>
              <w:left w:w="0" w:type="dxa"/>
              <w:right w:w="0" w:type="dxa"/>
            </w:tcMar>
          </w:tcPr>
          <w:p w:rsidR="003278FC" w:rsidRPr="00CC4D84" w:rsidRDefault="003278FC" w:rsidP="00667631">
            <w:pPr>
              <w:widowControl w:val="0"/>
              <w:jc w:val="both"/>
              <w:rPr>
                <w:b/>
                <w:sz w:val="20"/>
                <w:szCs w:val="20"/>
                <w:u w:val="single"/>
                <w:lang w:val="fr-CA"/>
              </w:rPr>
            </w:pPr>
            <w:r w:rsidRPr="00CC4D84">
              <w:rPr>
                <w:b/>
                <w:sz w:val="20"/>
                <w:szCs w:val="20"/>
                <w:u w:val="single"/>
                <w:lang w:val="fr-CA"/>
              </w:rPr>
              <w:t xml:space="preserve">Nature de la cause </w:t>
            </w:r>
            <w:r>
              <w:rPr>
                <w:b/>
                <w:sz w:val="20"/>
                <w:szCs w:val="20"/>
                <w:u w:val="single"/>
                <w:lang w:val="fr-CA"/>
              </w:rPr>
              <w:t xml:space="preserve">- 34193 </w:t>
            </w:r>
            <w:r w:rsidRPr="00CC4D84">
              <w:rPr>
                <w:b/>
                <w:sz w:val="20"/>
                <w:szCs w:val="20"/>
                <w:u w:val="single"/>
                <w:lang w:val="fr-CA"/>
              </w:rPr>
              <w:t>:</w:t>
            </w:r>
          </w:p>
          <w:p w:rsidR="003278FC" w:rsidRPr="00C1697B" w:rsidRDefault="003278FC" w:rsidP="00667631">
            <w:pPr>
              <w:widowControl w:val="0"/>
              <w:jc w:val="both"/>
              <w:rPr>
                <w:sz w:val="20"/>
                <w:szCs w:val="20"/>
                <w:lang w:val="fr-CA"/>
              </w:rPr>
            </w:pPr>
          </w:p>
          <w:p w:rsidR="003278FC" w:rsidRPr="00C1697B" w:rsidRDefault="003278FC" w:rsidP="00667631">
            <w:pPr>
              <w:widowControl w:val="0"/>
              <w:jc w:val="both"/>
              <w:rPr>
                <w:sz w:val="20"/>
                <w:szCs w:val="20"/>
                <w:lang w:val="fr-CA"/>
              </w:rPr>
            </w:pPr>
            <w:r w:rsidRPr="00880DD6">
              <w:rPr>
                <w:rFonts w:eastAsia="Calibri" w:cs="Times New Roman"/>
                <w:sz w:val="20"/>
                <w:szCs w:val="20"/>
                <w:lang w:val="fr-CA"/>
              </w:rPr>
              <w:t xml:space="preserve">Droit criminel </w:t>
            </w:r>
            <w:r w:rsidRPr="00880DD6">
              <w:rPr>
                <w:rFonts w:eastAsia="Calibri" w:cs="Times New Roman"/>
                <w:sz w:val="20"/>
                <w:szCs w:val="20"/>
                <w:lang w:val="fr-CA"/>
              </w:rPr>
              <w:noBreakHyphen/>
              <w:t xml:space="preserve"> Procès </w:t>
            </w:r>
            <w:r w:rsidRPr="00880DD6">
              <w:rPr>
                <w:rFonts w:eastAsia="Calibri" w:cs="Times New Roman"/>
                <w:sz w:val="20"/>
                <w:szCs w:val="20"/>
                <w:lang w:val="fr-CA"/>
              </w:rPr>
              <w:noBreakHyphen/>
              <w:t xml:space="preserve"> Procédures préliminaires </w:t>
            </w:r>
            <w:r w:rsidRPr="00880DD6">
              <w:rPr>
                <w:rFonts w:eastAsia="Calibri" w:cs="Times New Roman"/>
                <w:sz w:val="20"/>
                <w:szCs w:val="20"/>
                <w:lang w:val="fr-CA"/>
              </w:rPr>
              <w:noBreakHyphen/>
              <w:t xml:space="preserve"> Préclusion découlant d’une question déjà tranchée </w:t>
            </w:r>
            <w:r w:rsidRPr="00880DD6">
              <w:rPr>
                <w:rFonts w:eastAsia="Calibri" w:cs="Times New Roman"/>
                <w:sz w:val="20"/>
                <w:szCs w:val="20"/>
                <w:lang w:val="fr-CA"/>
              </w:rPr>
              <w:noBreakHyphen/>
              <w:t xml:space="preserve"> Le juge du procès a</w:t>
            </w:r>
            <w:r w:rsidRPr="00880DD6">
              <w:rPr>
                <w:rFonts w:eastAsia="Calibri" w:cs="Times New Roman"/>
                <w:sz w:val="20"/>
                <w:szCs w:val="20"/>
                <w:lang w:val="fr-CA"/>
              </w:rPr>
              <w:noBreakHyphen/>
              <w:t>t</w:t>
            </w:r>
            <w:r w:rsidRPr="00880DD6">
              <w:rPr>
                <w:rFonts w:eastAsia="Calibri" w:cs="Times New Roman"/>
                <w:sz w:val="20"/>
                <w:szCs w:val="20"/>
                <w:lang w:val="fr-CA"/>
              </w:rPr>
              <w:noBreakHyphen/>
              <w:t xml:space="preserve">il eu tort d’appliquer la norme de preuve de la prépondérance des probabilités pour trancher la question de savoir si les conditions de la préclusion découlant d’une question déjà tranchée avaient été remplies? </w:t>
            </w:r>
            <w:r w:rsidRPr="00880DD6">
              <w:rPr>
                <w:rFonts w:eastAsia="Calibri" w:cs="Times New Roman"/>
                <w:sz w:val="20"/>
                <w:szCs w:val="20"/>
                <w:lang w:val="fr-CA"/>
              </w:rPr>
              <w:noBreakHyphen/>
              <w:t xml:space="preserve"> La Cour d’appel a</w:t>
            </w:r>
            <w:r w:rsidRPr="00880DD6">
              <w:rPr>
                <w:rFonts w:eastAsia="Calibri" w:cs="Times New Roman"/>
                <w:sz w:val="20"/>
                <w:szCs w:val="20"/>
                <w:lang w:val="fr-CA"/>
              </w:rPr>
              <w:noBreakHyphen/>
              <w:t>t</w:t>
            </w:r>
            <w:r w:rsidRPr="00880DD6">
              <w:rPr>
                <w:rFonts w:eastAsia="Calibri" w:cs="Times New Roman"/>
                <w:sz w:val="20"/>
                <w:szCs w:val="20"/>
                <w:lang w:val="fr-CA"/>
              </w:rPr>
              <w:noBreakHyphen/>
              <w:t xml:space="preserve">elle eu tort de statuer que l’application erronée d’une norme juridique pouvait vraisemblablement avoir une incidence significative sur le verdict d’acquittement? </w:t>
            </w:r>
            <w:r w:rsidRPr="00880DD6">
              <w:rPr>
                <w:rFonts w:eastAsia="Calibri" w:cs="Times New Roman"/>
                <w:sz w:val="20"/>
                <w:szCs w:val="20"/>
                <w:lang w:val="fr-CA"/>
              </w:rPr>
              <w:noBreakHyphen/>
              <w:t xml:space="preserve"> La question de savoir s’il y a préclusion découlant d’une question déjà tranchée est</w:t>
            </w:r>
            <w:r w:rsidRPr="00880DD6">
              <w:rPr>
                <w:rFonts w:eastAsia="Calibri" w:cs="Times New Roman"/>
                <w:sz w:val="20"/>
                <w:szCs w:val="20"/>
                <w:lang w:val="fr-CA"/>
              </w:rPr>
              <w:noBreakHyphen/>
              <w:t>elle une question de droit ou de fait?</w:t>
            </w:r>
          </w:p>
        </w:tc>
      </w:tr>
    </w:tbl>
    <w:p w:rsidR="003278FC" w:rsidRDefault="003278FC" w:rsidP="006E7F12">
      <w:pPr>
        <w:widowControl w:val="0"/>
        <w:rPr>
          <w:sz w:val="20"/>
          <w:szCs w:val="20"/>
          <w:lang w:val="fr-CA"/>
        </w:rPr>
      </w:pPr>
    </w:p>
    <w:p w:rsidR="006E7F12" w:rsidRDefault="0011031E" w:rsidP="006E7F12">
      <w:pPr>
        <w:widowControl w:val="0"/>
        <w:rPr>
          <w:sz w:val="20"/>
          <w:szCs w:val="20"/>
        </w:rPr>
      </w:pPr>
      <w:r w:rsidRPr="0011031E">
        <w:rPr>
          <w:sz w:val="20"/>
          <w:szCs w:val="20"/>
          <w:lang w:val="fr-CA"/>
        </w:rPr>
        <w:pict>
          <v:rect id="_x0000_i1068" style="width:2in;height:1pt" o:hrpct="0" o:hralign="center" o:hrstd="t" o:hrnoshade="t" o:hr="t" fillcolor="black [3213]" stroked="f"/>
        </w:pict>
      </w:r>
    </w:p>
    <w:p w:rsidR="006E7F12" w:rsidRDefault="006E7F12" w:rsidP="006E7F12">
      <w:pPr>
        <w:widowControl w:val="0"/>
        <w:rPr>
          <w:sz w:val="20"/>
          <w:szCs w:val="20"/>
        </w:rPr>
      </w:pPr>
    </w:p>
    <w:p w:rsidR="006E7F12" w:rsidRDefault="006E7F12" w:rsidP="006E7F12">
      <w:pPr>
        <w:widowControl w:val="0"/>
        <w:rPr>
          <w:sz w:val="20"/>
          <w:szCs w:val="20"/>
        </w:rPr>
      </w:pPr>
      <w:r>
        <w:rPr>
          <w:sz w:val="20"/>
          <w:szCs w:val="20"/>
        </w:rPr>
        <w:t>22.03.2012</w:t>
      </w:r>
    </w:p>
    <w:p w:rsidR="006E7F12" w:rsidRDefault="006E7F12" w:rsidP="006E7F12">
      <w:pPr>
        <w:widowControl w:val="0"/>
        <w:rPr>
          <w:sz w:val="20"/>
          <w:szCs w:val="20"/>
        </w:rPr>
      </w:pPr>
    </w:p>
    <w:p w:rsidR="00CC40D0" w:rsidRPr="00B53C29" w:rsidRDefault="00CC40D0" w:rsidP="00CC40D0">
      <w:pPr>
        <w:widowControl w:val="0"/>
        <w:ind w:left="720" w:hanging="720"/>
        <w:rPr>
          <w:rFonts w:eastAsia="Calibri" w:cs="Times New Roman"/>
          <w:sz w:val="20"/>
          <w:szCs w:val="20"/>
          <w:u w:val="single"/>
        </w:rPr>
      </w:pPr>
      <w:r w:rsidRPr="00B53C29">
        <w:rPr>
          <w:rFonts w:eastAsia="Calibri" w:cs="Times New Roman"/>
          <w:sz w:val="20"/>
          <w:szCs w:val="20"/>
        </w:rPr>
        <w:t xml:space="preserve">Coram: </w:t>
      </w:r>
      <w:r w:rsidRPr="00B53C29">
        <w:rPr>
          <w:rFonts w:eastAsia="Calibri" w:cs="Times New Roman"/>
          <w:sz w:val="20"/>
          <w:szCs w:val="20"/>
        </w:rPr>
        <w:tab/>
      </w:r>
      <w:r w:rsidRPr="00B53C29">
        <w:rPr>
          <w:rFonts w:eastAsia="Calibri" w:cs="Times New Roman"/>
          <w:sz w:val="20"/>
          <w:szCs w:val="20"/>
          <w:u w:val="single"/>
        </w:rPr>
        <w:t>McLachlin C.J. and LeBel, Deschamps, Fish, Abella, Rothstein, Cromwell, Moldaver and Karakatsanis JJ.</w:t>
      </w:r>
    </w:p>
    <w:p w:rsidR="006E7F12" w:rsidRDefault="006E7F12" w:rsidP="006E7F12">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6E7F12" w:rsidRPr="00C50A5C" w:rsidTr="009A4D4D">
        <w:tc>
          <w:tcPr>
            <w:tcW w:w="4380" w:type="dxa"/>
            <w:tcMar>
              <w:left w:w="0" w:type="dxa"/>
              <w:right w:w="0" w:type="dxa"/>
            </w:tcMar>
          </w:tcPr>
          <w:p w:rsidR="00CC40D0" w:rsidRDefault="00CC40D0" w:rsidP="009A4D4D">
            <w:pPr>
              <w:widowControl w:val="0"/>
              <w:jc w:val="both"/>
              <w:rPr>
                <w:rStyle w:val="SCCSsocChar"/>
                <w:b/>
                <w:i w:val="0"/>
              </w:rPr>
            </w:pPr>
            <w:r w:rsidRPr="00B53C29">
              <w:rPr>
                <w:rStyle w:val="SCCSsocChar"/>
                <w:b/>
                <w:i w:val="0"/>
              </w:rPr>
              <w:t xml:space="preserve">Frederick Moore on behalf of Jeffrey P. Moore </w:t>
            </w:r>
          </w:p>
          <w:p w:rsidR="00CC40D0" w:rsidRDefault="00CC40D0" w:rsidP="009A4D4D">
            <w:pPr>
              <w:widowControl w:val="0"/>
              <w:jc w:val="both"/>
              <w:rPr>
                <w:rStyle w:val="SCCSsocChar"/>
                <w:b/>
                <w:i w:val="0"/>
              </w:rPr>
            </w:pPr>
          </w:p>
          <w:p w:rsidR="00CC40D0" w:rsidRDefault="00CC40D0" w:rsidP="009A4D4D">
            <w:pPr>
              <w:widowControl w:val="0"/>
              <w:jc w:val="both"/>
              <w:rPr>
                <w:rStyle w:val="SCCSsocChar"/>
                <w:b/>
                <w:i w:val="0"/>
              </w:rPr>
            </w:pPr>
            <w:r>
              <w:rPr>
                <w:rStyle w:val="SCCSsocChar"/>
                <w:b/>
                <w:i w:val="0"/>
              </w:rPr>
              <w:tab/>
            </w:r>
            <w:r w:rsidRPr="00B53C29">
              <w:rPr>
                <w:rStyle w:val="SCCSsocChar"/>
                <w:b/>
                <w:i w:val="0"/>
              </w:rPr>
              <w:t xml:space="preserve">v. </w:t>
            </w:r>
            <w:r>
              <w:rPr>
                <w:rStyle w:val="SCCSsocChar"/>
                <w:b/>
                <w:i w:val="0"/>
              </w:rPr>
              <w:t>(34040)</w:t>
            </w:r>
          </w:p>
          <w:p w:rsidR="00CC40D0" w:rsidRDefault="00CC40D0" w:rsidP="009A4D4D">
            <w:pPr>
              <w:widowControl w:val="0"/>
              <w:jc w:val="both"/>
              <w:rPr>
                <w:rStyle w:val="SCCSsocChar"/>
                <w:b/>
                <w:i w:val="0"/>
              </w:rPr>
            </w:pPr>
          </w:p>
          <w:p w:rsidR="00CC40D0" w:rsidRDefault="00CC40D0" w:rsidP="009A4D4D">
            <w:pPr>
              <w:widowControl w:val="0"/>
              <w:jc w:val="both"/>
              <w:rPr>
                <w:b/>
                <w:sz w:val="20"/>
                <w:szCs w:val="20"/>
              </w:rPr>
            </w:pPr>
            <w:r w:rsidRPr="00B53C29">
              <w:rPr>
                <w:rStyle w:val="SCCSsocChar"/>
                <w:b/>
                <w:i w:val="0"/>
              </w:rPr>
              <w:t>Her Majesty the Queen in Right of the Province of British Columbia as represented by the Ministry of Education et al.</w:t>
            </w:r>
            <w:r w:rsidRPr="00C50A5C">
              <w:rPr>
                <w:b/>
                <w:sz w:val="20"/>
                <w:szCs w:val="20"/>
              </w:rPr>
              <w:t xml:space="preserve"> (B.C.) (Civil) (By Leave)</w:t>
            </w:r>
          </w:p>
          <w:p w:rsidR="00CC40D0" w:rsidRDefault="00CC40D0" w:rsidP="009A4D4D">
            <w:pPr>
              <w:widowControl w:val="0"/>
              <w:jc w:val="both"/>
              <w:rPr>
                <w:b/>
                <w:sz w:val="20"/>
                <w:szCs w:val="20"/>
              </w:rPr>
            </w:pPr>
          </w:p>
          <w:p w:rsidR="00CC40D0" w:rsidRDefault="00CC40D0" w:rsidP="009A4D4D">
            <w:pPr>
              <w:widowControl w:val="0"/>
              <w:jc w:val="both"/>
              <w:rPr>
                <w:b/>
                <w:sz w:val="20"/>
                <w:szCs w:val="20"/>
              </w:rPr>
            </w:pPr>
            <w:r>
              <w:rPr>
                <w:b/>
                <w:sz w:val="20"/>
                <w:szCs w:val="20"/>
              </w:rPr>
              <w:t xml:space="preserve">- and between - </w:t>
            </w:r>
          </w:p>
          <w:p w:rsidR="00CC40D0" w:rsidRDefault="00CC40D0" w:rsidP="009A4D4D">
            <w:pPr>
              <w:widowControl w:val="0"/>
              <w:jc w:val="both"/>
              <w:rPr>
                <w:b/>
                <w:sz w:val="20"/>
                <w:szCs w:val="20"/>
              </w:rPr>
            </w:pPr>
          </w:p>
          <w:p w:rsidR="00CC40D0" w:rsidRDefault="00CC40D0" w:rsidP="009A4D4D">
            <w:pPr>
              <w:widowControl w:val="0"/>
              <w:jc w:val="both"/>
              <w:rPr>
                <w:b/>
                <w:sz w:val="20"/>
                <w:szCs w:val="20"/>
              </w:rPr>
            </w:pPr>
            <w:r w:rsidRPr="00B53C29">
              <w:rPr>
                <w:rStyle w:val="SCCSsocChar"/>
                <w:b/>
                <w:i w:val="0"/>
              </w:rPr>
              <w:t>Frederick Moore on behalf of Jeffrey P. Moore</w:t>
            </w:r>
          </w:p>
          <w:p w:rsidR="006E7F12" w:rsidRPr="00C50A5C" w:rsidRDefault="006E7F12" w:rsidP="009A4D4D">
            <w:pPr>
              <w:widowControl w:val="0"/>
              <w:jc w:val="both"/>
              <w:rPr>
                <w:b/>
                <w:sz w:val="20"/>
                <w:szCs w:val="20"/>
              </w:rPr>
            </w:pPr>
          </w:p>
          <w:p w:rsidR="006E7F12" w:rsidRPr="00C50A5C" w:rsidRDefault="006E7F12" w:rsidP="009A4D4D">
            <w:pPr>
              <w:widowControl w:val="0"/>
              <w:tabs>
                <w:tab w:val="left" w:pos="736"/>
              </w:tabs>
              <w:jc w:val="both"/>
              <w:rPr>
                <w:b/>
                <w:sz w:val="20"/>
                <w:szCs w:val="20"/>
              </w:rPr>
            </w:pPr>
            <w:r w:rsidRPr="00C50A5C">
              <w:rPr>
                <w:b/>
                <w:sz w:val="20"/>
                <w:szCs w:val="20"/>
              </w:rPr>
              <w:tab/>
              <w:t>v. (3</w:t>
            </w:r>
            <w:r>
              <w:rPr>
                <w:b/>
                <w:sz w:val="20"/>
                <w:szCs w:val="20"/>
              </w:rPr>
              <w:t>4</w:t>
            </w:r>
            <w:r w:rsidR="00CC40D0">
              <w:rPr>
                <w:b/>
                <w:sz w:val="20"/>
                <w:szCs w:val="20"/>
              </w:rPr>
              <w:t>041</w:t>
            </w:r>
            <w:r w:rsidRPr="00C50A5C">
              <w:rPr>
                <w:b/>
                <w:sz w:val="20"/>
                <w:szCs w:val="20"/>
              </w:rPr>
              <w:t>)</w:t>
            </w:r>
          </w:p>
          <w:p w:rsidR="006E7F12" w:rsidRPr="00C50A5C" w:rsidRDefault="006E7F12" w:rsidP="009A4D4D">
            <w:pPr>
              <w:widowControl w:val="0"/>
              <w:jc w:val="both"/>
              <w:rPr>
                <w:b/>
                <w:sz w:val="20"/>
                <w:szCs w:val="20"/>
              </w:rPr>
            </w:pPr>
          </w:p>
          <w:p w:rsidR="006E7F12" w:rsidRPr="00CC012F" w:rsidRDefault="00CC40D0" w:rsidP="00CC40D0">
            <w:pPr>
              <w:widowControl w:val="0"/>
              <w:jc w:val="both"/>
              <w:rPr>
                <w:sz w:val="20"/>
                <w:szCs w:val="20"/>
              </w:rPr>
            </w:pPr>
            <w:r w:rsidRPr="00B53C29">
              <w:rPr>
                <w:rStyle w:val="SCCSsocChar"/>
                <w:b/>
                <w:i w:val="0"/>
              </w:rPr>
              <w:t>Her Majesty the Queen in Right of the Province of British Columbia as represented by the Ministry of Education et al.</w:t>
            </w:r>
            <w:r w:rsidR="006E7F12" w:rsidRPr="00C50A5C">
              <w:rPr>
                <w:b/>
                <w:sz w:val="20"/>
                <w:szCs w:val="20"/>
              </w:rPr>
              <w:t xml:space="preserve"> (B.C.) (Civil) (By Leave)</w:t>
            </w:r>
          </w:p>
        </w:tc>
        <w:tc>
          <w:tcPr>
            <w:tcW w:w="720" w:type="dxa"/>
            <w:tcMar>
              <w:left w:w="0" w:type="dxa"/>
              <w:right w:w="0" w:type="dxa"/>
            </w:tcMar>
          </w:tcPr>
          <w:p w:rsidR="006E7F12" w:rsidRPr="00CC012F" w:rsidRDefault="006E7F12" w:rsidP="009A4D4D">
            <w:pPr>
              <w:widowControl w:val="0"/>
              <w:jc w:val="center"/>
              <w:rPr>
                <w:sz w:val="20"/>
                <w:szCs w:val="20"/>
              </w:rPr>
            </w:pPr>
          </w:p>
        </w:tc>
        <w:tc>
          <w:tcPr>
            <w:tcW w:w="4380" w:type="dxa"/>
            <w:tcMar>
              <w:left w:w="0" w:type="dxa"/>
              <w:right w:w="0" w:type="dxa"/>
            </w:tcMar>
          </w:tcPr>
          <w:p w:rsidR="004306E9" w:rsidRPr="004A4471" w:rsidRDefault="004306E9" w:rsidP="004306E9">
            <w:pPr>
              <w:jc w:val="both"/>
              <w:rPr>
                <w:sz w:val="20"/>
                <w:szCs w:val="20"/>
              </w:rPr>
            </w:pPr>
            <w:r w:rsidRPr="004A4471">
              <w:rPr>
                <w:sz w:val="20"/>
                <w:szCs w:val="20"/>
              </w:rPr>
              <w:t>Frances M. Kelly</w:t>
            </w:r>
            <w:r>
              <w:rPr>
                <w:sz w:val="20"/>
                <w:szCs w:val="20"/>
              </w:rPr>
              <w:t xml:space="preserve"> and </w:t>
            </w:r>
            <w:r w:rsidRPr="004A4471">
              <w:rPr>
                <w:sz w:val="20"/>
                <w:szCs w:val="20"/>
                <w:lang w:val="en-US"/>
              </w:rPr>
              <w:t>Devyn Cousineau</w:t>
            </w:r>
            <w:r>
              <w:rPr>
                <w:sz w:val="20"/>
                <w:szCs w:val="20"/>
                <w:lang w:val="en-US"/>
              </w:rPr>
              <w:t xml:space="preserve"> f</w:t>
            </w:r>
            <w:r w:rsidRPr="004A4471">
              <w:rPr>
                <w:sz w:val="20"/>
                <w:szCs w:val="20"/>
              </w:rPr>
              <w:t xml:space="preserve">or the </w:t>
            </w:r>
            <w:r>
              <w:rPr>
                <w:sz w:val="20"/>
                <w:szCs w:val="20"/>
              </w:rPr>
              <w:t>a</w:t>
            </w:r>
            <w:r w:rsidRPr="004A4471">
              <w:rPr>
                <w:sz w:val="20"/>
                <w:szCs w:val="20"/>
              </w:rPr>
              <w:t>ppellant.</w:t>
            </w:r>
          </w:p>
          <w:p w:rsidR="004306E9" w:rsidRPr="004A4471" w:rsidRDefault="004306E9" w:rsidP="004306E9">
            <w:pPr>
              <w:jc w:val="both"/>
              <w:rPr>
                <w:sz w:val="20"/>
                <w:szCs w:val="20"/>
                <w:lang w:val="en-US"/>
              </w:rPr>
            </w:pPr>
          </w:p>
          <w:p w:rsidR="004306E9" w:rsidRPr="004A4471" w:rsidRDefault="004306E9" w:rsidP="004306E9">
            <w:pPr>
              <w:jc w:val="both"/>
              <w:rPr>
                <w:sz w:val="20"/>
                <w:szCs w:val="20"/>
              </w:rPr>
            </w:pPr>
            <w:r w:rsidRPr="004A4471">
              <w:rPr>
                <w:sz w:val="20"/>
                <w:szCs w:val="20"/>
              </w:rPr>
              <w:t>Brian Smith</w:t>
            </w:r>
            <w:r>
              <w:rPr>
                <w:sz w:val="20"/>
                <w:szCs w:val="20"/>
              </w:rPr>
              <w:t xml:space="preserve"> and </w:t>
            </w:r>
            <w:r w:rsidRPr="004A4471">
              <w:rPr>
                <w:sz w:val="20"/>
                <w:szCs w:val="20"/>
                <w:lang w:val="en-US"/>
              </w:rPr>
              <w:t>Philippe Dufresne</w:t>
            </w:r>
            <w:r>
              <w:rPr>
                <w:sz w:val="20"/>
                <w:szCs w:val="20"/>
                <w:lang w:val="en-US"/>
              </w:rPr>
              <w:t xml:space="preserve"> f</w:t>
            </w:r>
            <w:r w:rsidRPr="004A4471">
              <w:rPr>
                <w:sz w:val="20"/>
                <w:szCs w:val="20"/>
              </w:rPr>
              <w:t xml:space="preserve">or the </w:t>
            </w:r>
            <w:r>
              <w:rPr>
                <w:sz w:val="20"/>
                <w:szCs w:val="20"/>
              </w:rPr>
              <w:t>i</w:t>
            </w:r>
            <w:r w:rsidRPr="004A4471">
              <w:rPr>
                <w:sz w:val="20"/>
                <w:szCs w:val="20"/>
              </w:rPr>
              <w:t>ntervener</w:t>
            </w:r>
            <w:r w:rsidR="003278FC">
              <w:rPr>
                <w:sz w:val="20"/>
                <w:szCs w:val="20"/>
              </w:rPr>
              <w:t xml:space="preserve"> </w:t>
            </w:r>
            <w:r w:rsidRPr="004A4471">
              <w:rPr>
                <w:sz w:val="20"/>
                <w:szCs w:val="20"/>
              </w:rPr>
              <w:t>Canadian Human Rights Commission</w:t>
            </w:r>
            <w:r>
              <w:rPr>
                <w:sz w:val="20"/>
                <w:szCs w:val="20"/>
              </w:rPr>
              <w:t>.</w:t>
            </w:r>
          </w:p>
          <w:p w:rsidR="004306E9" w:rsidRPr="004A4471" w:rsidRDefault="004306E9" w:rsidP="004306E9">
            <w:pPr>
              <w:jc w:val="both"/>
              <w:rPr>
                <w:sz w:val="20"/>
                <w:szCs w:val="20"/>
              </w:rPr>
            </w:pPr>
          </w:p>
          <w:p w:rsidR="004306E9" w:rsidRPr="004A4471" w:rsidRDefault="004306E9" w:rsidP="004306E9">
            <w:pPr>
              <w:jc w:val="both"/>
              <w:rPr>
                <w:sz w:val="20"/>
                <w:szCs w:val="20"/>
              </w:rPr>
            </w:pPr>
            <w:r w:rsidRPr="004A4471">
              <w:rPr>
                <w:sz w:val="20"/>
                <w:szCs w:val="20"/>
              </w:rPr>
              <w:t>Rahool P. Agarwal</w:t>
            </w:r>
            <w:r>
              <w:rPr>
                <w:sz w:val="20"/>
                <w:szCs w:val="20"/>
              </w:rPr>
              <w:t xml:space="preserve">, </w:t>
            </w:r>
            <w:r w:rsidRPr="004A4471">
              <w:rPr>
                <w:sz w:val="20"/>
                <w:szCs w:val="20"/>
                <w:lang w:val="en-US"/>
              </w:rPr>
              <w:t>Christopher W. Cummins</w:t>
            </w:r>
            <w:r>
              <w:rPr>
                <w:sz w:val="20"/>
                <w:szCs w:val="20"/>
                <w:lang w:val="en-US"/>
              </w:rPr>
              <w:t xml:space="preserve"> and </w:t>
            </w:r>
            <w:r w:rsidRPr="004A4471">
              <w:rPr>
                <w:sz w:val="20"/>
                <w:szCs w:val="20"/>
              </w:rPr>
              <w:t>Rowan E. Weaver</w:t>
            </w:r>
            <w:r>
              <w:rPr>
                <w:sz w:val="20"/>
                <w:szCs w:val="20"/>
              </w:rPr>
              <w:t xml:space="preserve"> f</w:t>
            </w:r>
            <w:r w:rsidRPr="004A4471">
              <w:rPr>
                <w:sz w:val="20"/>
                <w:szCs w:val="20"/>
              </w:rPr>
              <w:t xml:space="preserve">or the </w:t>
            </w:r>
            <w:r>
              <w:rPr>
                <w:sz w:val="20"/>
                <w:szCs w:val="20"/>
              </w:rPr>
              <w:t>i</w:t>
            </w:r>
            <w:r w:rsidRPr="004A4471">
              <w:rPr>
                <w:sz w:val="20"/>
                <w:szCs w:val="20"/>
              </w:rPr>
              <w:t>ntervener</w:t>
            </w:r>
            <w:r>
              <w:rPr>
                <w:sz w:val="20"/>
                <w:szCs w:val="20"/>
              </w:rPr>
              <w:t xml:space="preserve"> </w:t>
            </w:r>
            <w:r w:rsidRPr="004A4471">
              <w:rPr>
                <w:sz w:val="20"/>
                <w:szCs w:val="20"/>
              </w:rPr>
              <w:t>International Dyslexia Association, Ontario Branch</w:t>
            </w:r>
            <w:r>
              <w:rPr>
                <w:sz w:val="20"/>
                <w:szCs w:val="20"/>
              </w:rPr>
              <w:t>.</w:t>
            </w:r>
          </w:p>
          <w:p w:rsidR="004306E9" w:rsidRPr="004A4471" w:rsidRDefault="004306E9" w:rsidP="004306E9">
            <w:pPr>
              <w:jc w:val="both"/>
              <w:rPr>
                <w:sz w:val="20"/>
                <w:szCs w:val="20"/>
              </w:rPr>
            </w:pPr>
          </w:p>
          <w:p w:rsidR="004306E9" w:rsidRPr="004A4471" w:rsidRDefault="004306E9" w:rsidP="004306E9">
            <w:pPr>
              <w:jc w:val="both"/>
              <w:rPr>
                <w:sz w:val="20"/>
                <w:szCs w:val="20"/>
              </w:rPr>
            </w:pPr>
            <w:r w:rsidRPr="004A4471">
              <w:rPr>
                <w:sz w:val="20"/>
                <w:szCs w:val="20"/>
                <w:lang w:val="en-US"/>
              </w:rPr>
              <w:t>Denise E. Paluck</w:t>
            </w:r>
            <w:r>
              <w:rPr>
                <w:sz w:val="20"/>
                <w:szCs w:val="20"/>
                <w:lang w:val="en-US"/>
              </w:rPr>
              <w:t xml:space="preserve"> f</w:t>
            </w:r>
            <w:r w:rsidRPr="004A4471">
              <w:rPr>
                <w:sz w:val="20"/>
                <w:szCs w:val="20"/>
                <w:lang w:val="en-US"/>
              </w:rPr>
              <w:t xml:space="preserve">or the </w:t>
            </w:r>
            <w:r>
              <w:rPr>
                <w:sz w:val="20"/>
                <w:szCs w:val="20"/>
                <w:lang w:val="en-US"/>
              </w:rPr>
              <w:t>i</w:t>
            </w:r>
            <w:r w:rsidRPr="004A4471">
              <w:rPr>
                <w:sz w:val="20"/>
                <w:szCs w:val="20"/>
                <w:lang w:val="en-US"/>
              </w:rPr>
              <w:t>ntervener (by video-conference)</w:t>
            </w:r>
            <w:r>
              <w:rPr>
                <w:sz w:val="20"/>
                <w:szCs w:val="20"/>
                <w:lang w:val="en-US"/>
              </w:rPr>
              <w:t xml:space="preserve"> </w:t>
            </w:r>
            <w:r w:rsidRPr="004A4471">
              <w:rPr>
                <w:sz w:val="20"/>
                <w:szCs w:val="20"/>
              </w:rPr>
              <w:t>British Columbia Human Rights Tribunal</w:t>
            </w:r>
            <w:r w:rsidR="00125A94">
              <w:rPr>
                <w:sz w:val="20"/>
                <w:szCs w:val="20"/>
              </w:rPr>
              <w:t>.</w:t>
            </w:r>
          </w:p>
          <w:p w:rsidR="004306E9" w:rsidRPr="004A4471" w:rsidRDefault="004306E9" w:rsidP="004306E9">
            <w:pPr>
              <w:jc w:val="both"/>
              <w:rPr>
                <w:sz w:val="20"/>
                <w:szCs w:val="20"/>
              </w:rPr>
            </w:pPr>
          </w:p>
          <w:p w:rsidR="004306E9" w:rsidRPr="004A4471" w:rsidRDefault="004306E9" w:rsidP="004306E9">
            <w:pPr>
              <w:jc w:val="both"/>
              <w:rPr>
                <w:sz w:val="20"/>
                <w:szCs w:val="20"/>
              </w:rPr>
            </w:pPr>
            <w:r w:rsidRPr="004A4471">
              <w:rPr>
                <w:sz w:val="20"/>
                <w:szCs w:val="20"/>
              </w:rPr>
              <w:t>Yude M. Henteleff, Q.C.</w:t>
            </w:r>
            <w:r>
              <w:rPr>
                <w:sz w:val="20"/>
                <w:szCs w:val="20"/>
              </w:rPr>
              <w:t xml:space="preserve"> and </w:t>
            </w:r>
            <w:r w:rsidRPr="004A4471">
              <w:rPr>
                <w:sz w:val="20"/>
                <w:szCs w:val="20"/>
                <w:lang w:val="en-US"/>
              </w:rPr>
              <w:t>Darla L. Rettie</w:t>
            </w:r>
            <w:r>
              <w:rPr>
                <w:sz w:val="20"/>
                <w:szCs w:val="20"/>
                <w:lang w:val="en-US"/>
              </w:rPr>
              <w:t xml:space="preserve"> f</w:t>
            </w:r>
            <w:r w:rsidRPr="004A4471">
              <w:rPr>
                <w:sz w:val="20"/>
                <w:szCs w:val="20"/>
              </w:rPr>
              <w:t xml:space="preserve">or the </w:t>
            </w:r>
            <w:r>
              <w:rPr>
                <w:sz w:val="20"/>
                <w:szCs w:val="20"/>
              </w:rPr>
              <w:t>i</w:t>
            </w:r>
            <w:r w:rsidRPr="004A4471">
              <w:rPr>
                <w:sz w:val="20"/>
                <w:szCs w:val="20"/>
              </w:rPr>
              <w:t>ntervener</w:t>
            </w:r>
            <w:r>
              <w:rPr>
                <w:sz w:val="20"/>
                <w:szCs w:val="20"/>
              </w:rPr>
              <w:t xml:space="preserve"> </w:t>
            </w:r>
            <w:r w:rsidRPr="004A4471">
              <w:rPr>
                <w:sz w:val="20"/>
                <w:szCs w:val="20"/>
              </w:rPr>
              <w:t>Learning Disabilities Association of Canada</w:t>
            </w:r>
            <w:r>
              <w:rPr>
                <w:sz w:val="20"/>
                <w:szCs w:val="20"/>
              </w:rPr>
              <w:t>.</w:t>
            </w:r>
          </w:p>
          <w:p w:rsidR="004306E9" w:rsidRPr="004A4471" w:rsidRDefault="004306E9" w:rsidP="004306E9">
            <w:pPr>
              <w:jc w:val="both"/>
              <w:rPr>
                <w:sz w:val="20"/>
                <w:szCs w:val="20"/>
              </w:rPr>
            </w:pPr>
          </w:p>
          <w:p w:rsidR="004306E9" w:rsidRPr="004A4471" w:rsidRDefault="004306E9" w:rsidP="004306E9">
            <w:pPr>
              <w:jc w:val="both"/>
              <w:rPr>
                <w:sz w:val="20"/>
                <w:szCs w:val="20"/>
              </w:rPr>
            </w:pPr>
            <w:r w:rsidRPr="004A4471">
              <w:rPr>
                <w:sz w:val="20"/>
                <w:szCs w:val="20"/>
              </w:rPr>
              <w:t>Anthony D. Griffin</w:t>
            </w:r>
            <w:r>
              <w:rPr>
                <w:sz w:val="20"/>
                <w:szCs w:val="20"/>
              </w:rPr>
              <w:t xml:space="preserve"> f</w:t>
            </w:r>
            <w:r w:rsidRPr="004A4471">
              <w:rPr>
                <w:sz w:val="20"/>
                <w:szCs w:val="20"/>
              </w:rPr>
              <w:t xml:space="preserve">or the </w:t>
            </w:r>
            <w:r>
              <w:rPr>
                <w:sz w:val="20"/>
                <w:szCs w:val="20"/>
              </w:rPr>
              <w:t>i</w:t>
            </w:r>
            <w:r w:rsidRPr="004A4471">
              <w:rPr>
                <w:sz w:val="20"/>
                <w:szCs w:val="20"/>
              </w:rPr>
              <w:t>nterveners</w:t>
            </w:r>
            <w:r>
              <w:rPr>
                <w:sz w:val="20"/>
                <w:szCs w:val="20"/>
              </w:rPr>
              <w:t xml:space="preserve"> Ontario Human Rights Commission</w:t>
            </w:r>
            <w:r w:rsidRPr="004A4471">
              <w:rPr>
                <w:sz w:val="20"/>
                <w:szCs w:val="20"/>
              </w:rPr>
              <w:t xml:space="preserve"> et al.</w:t>
            </w:r>
          </w:p>
          <w:p w:rsidR="004306E9" w:rsidRPr="004A4471" w:rsidRDefault="004306E9" w:rsidP="004306E9">
            <w:pPr>
              <w:jc w:val="both"/>
              <w:rPr>
                <w:sz w:val="20"/>
                <w:szCs w:val="20"/>
              </w:rPr>
            </w:pPr>
          </w:p>
          <w:p w:rsidR="004306E9" w:rsidRPr="004A4471" w:rsidRDefault="004306E9" w:rsidP="004306E9">
            <w:pPr>
              <w:jc w:val="both"/>
              <w:rPr>
                <w:sz w:val="20"/>
                <w:szCs w:val="20"/>
              </w:rPr>
            </w:pPr>
            <w:r w:rsidRPr="004A4471">
              <w:rPr>
                <w:sz w:val="20"/>
                <w:szCs w:val="20"/>
              </w:rPr>
              <w:t>Written Submissions</w:t>
            </w:r>
            <w:r w:rsidRPr="004A4471">
              <w:rPr>
                <w:sz w:val="20"/>
                <w:szCs w:val="20"/>
                <w:lang w:val="en-US"/>
              </w:rPr>
              <w:t xml:space="preserve"> </w:t>
            </w:r>
            <w:r>
              <w:rPr>
                <w:sz w:val="20"/>
                <w:szCs w:val="20"/>
                <w:lang w:val="en-US"/>
              </w:rPr>
              <w:t xml:space="preserve">only by </w:t>
            </w:r>
            <w:r w:rsidRPr="004A4471">
              <w:rPr>
                <w:sz w:val="20"/>
                <w:szCs w:val="20"/>
                <w:lang w:val="en-US"/>
              </w:rPr>
              <w:t>Andrea Luey</w:t>
            </w:r>
            <w:r>
              <w:rPr>
                <w:sz w:val="20"/>
                <w:szCs w:val="20"/>
                <w:lang w:val="en-US"/>
              </w:rPr>
              <w:t xml:space="preserve"> f</w:t>
            </w:r>
            <w:r w:rsidRPr="004A4471">
              <w:rPr>
                <w:sz w:val="20"/>
                <w:szCs w:val="20"/>
              </w:rPr>
              <w:t xml:space="preserve">or the </w:t>
            </w:r>
            <w:r>
              <w:rPr>
                <w:sz w:val="20"/>
                <w:szCs w:val="20"/>
              </w:rPr>
              <w:t>i</w:t>
            </w:r>
            <w:r w:rsidRPr="004A4471">
              <w:rPr>
                <w:sz w:val="20"/>
                <w:szCs w:val="20"/>
              </w:rPr>
              <w:t>ntervener</w:t>
            </w:r>
            <w:r>
              <w:rPr>
                <w:sz w:val="20"/>
                <w:szCs w:val="20"/>
              </w:rPr>
              <w:t xml:space="preserve"> </w:t>
            </w:r>
            <w:r w:rsidRPr="004A4471">
              <w:rPr>
                <w:sz w:val="20"/>
                <w:szCs w:val="20"/>
              </w:rPr>
              <w:t>Justice for Children and Youth</w:t>
            </w:r>
            <w:r w:rsidR="000B1C65">
              <w:rPr>
                <w:sz w:val="20"/>
                <w:szCs w:val="20"/>
              </w:rPr>
              <w:t>.</w:t>
            </w:r>
          </w:p>
          <w:p w:rsidR="004306E9" w:rsidRPr="004A4471" w:rsidRDefault="004306E9" w:rsidP="004306E9">
            <w:pPr>
              <w:jc w:val="both"/>
              <w:rPr>
                <w:sz w:val="20"/>
                <w:szCs w:val="20"/>
              </w:rPr>
            </w:pPr>
          </w:p>
          <w:p w:rsidR="004306E9" w:rsidRDefault="004306E9" w:rsidP="004306E9">
            <w:pPr>
              <w:jc w:val="both"/>
              <w:rPr>
                <w:sz w:val="20"/>
                <w:szCs w:val="20"/>
              </w:rPr>
            </w:pPr>
            <w:r w:rsidRPr="004A4471">
              <w:rPr>
                <w:sz w:val="20"/>
                <w:szCs w:val="20"/>
              </w:rPr>
              <w:t xml:space="preserve">Written Submissions </w:t>
            </w:r>
            <w:r>
              <w:rPr>
                <w:sz w:val="20"/>
                <w:szCs w:val="20"/>
              </w:rPr>
              <w:t xml:space="preserve">only by </w:t>
            </w:r>
            <w:r w:rsidRPr="004A4471">
              <w:rPr>
                <w:sz w:val="20"/>
                <w:szCs w:val="20"/>
              </w:rPr>
              <w:t>Alison Dewar</w:t>
            </w:r>
            <w:r>
              <w:rPr>
                <w:sz w:val="20"/>
                <w:szCs w:val="20"/>
              </w:rPr>
              <w:t xml:space="preserve"> f</w:t>
            </w:r>
            <w:r w:rsidRPr="004A4471">
              <w:rPr>
                <w:sz w:val="20"/>
                <w:szCs w:val="20"/>
              </w:rPr>
              <w:t xml:space="preserve">or the </w:t>
            </w:r>
            <w:r>
              <w:rPr>
                <w:sz w:val="20"/>
                <w:szCs w:val="20"/>
              </w:rPr>
              <w:t>i</w:t>
            </w:r>
            <w:r w:rsidRPr="004A4471">
              <w:rPr>
                <w:sz w:val="20"/>
                <w:szCs w:val="20"/>
              </w:rPr>
              <w:t>ntervener</w:t>
            </w:r>
            <w:r>
              <w:rPr>
                <w:sz w:val="20"/>
                <w:szCs w:val="20"/>
              </w:rPr>
              <w:t xml:space="preserve"> </w:t>
            </w:r>
            <w:r w:rsidRPr="004A4471">
              <w:rPr>
                <w:sz w:val="20"/>
                <w:szCs w:val="20"/>
              </w:rPr>
              <w:t>West Coast Women's Legal Education</w:t>
            </w:r>
            <w:r>
              <w:rPr>
                <w:sz w:val="20"/>
                <w:szCs w:val="20"/>
              </w:rPr>
              <w:t xml:space="preserve"> and Action Fund.</w:t>
            </w:r>
          </w:p>
          <w:p w:rsidR="004306E9" w:rsidRPr="004306E9" w:rsidRDefault="004306E9" w:rsidP="004306E9">
            <w:pPr>
              <w:jc w:val="both"/>
              <w:rPr>
                <w:sz w:val="20"/>
                <w:szCs w:val="20"/>
              </w:rPr>
            </w:pPr>
          </w:p>
          <w:p w:rsidR="004306E9" w:rsidRPr="004A4471" w:rsidRDefault="004306E9" w:rsidP="004306E9">
            <w:pPr>
              <w:jc w:val="both"/>
              <w:rPr>
                <w:sz w:val="20"/>
                <w:szCs w:val="20"/>
                <w:lang w:val="fr-CA"/>
              </w:rPr>
            </w:pPr>
            <w:r w:rsidRPr="004A4471">
              <w:rPr>
                <w:sz w:val="20"/>
                <w:szCs w:val="20"/>
                <w:lang w:val="fr-CA"/>
              </w:rPr>
              <w:t xml:space="preserve">Soumission écrite </w:t>
            </w:r>
            <w:r>
              <w:rPr>
                <w:sz w:val="20"/>
                <w:szCs w:val="20"/>
                <w:lang w:val="fr-CA"/>
              </w:rPr>
              <w:t xml:space="preserve">seulement par </w:t>
            </w:r>
            <w:r w:rsidRPr="004A4471">
              <w:rPr>
                <w:sz w:val="20"/>
                <w:szCs w:val="20"/>
                <w:lang w:val="fr-CA"/>
              </w:rPr>
              <w:t>Athanassia Bitzakidis</w:t>
            </w:r>
            <w:r>
              <w:rPr>
                <w:sz w:val="20"/>
                <w:szCs w:val="20"/>
                <w:lang w:val="fr-CA"/>
              </w:rPr>
              <w:t xml:space="preserve"> p</w:t>
            </w:r>
            <w:r w:rsidRPr="004A4471">
              <w:rPr>
                <w:sz w:val="20"/>
                <w:szCs w:val="20"/>
                <w:lang w:val="fr-CA"/>
              </w:rPr>
              <w:t>our l’intervenante</w:t>
            </w:r>
            <w:r>
              <w:rPr>
                <w:sz w:val="20"/>
                <w:szCs w:val="20"/>
                <w:lang w:val="fr-CA"/>
              </w:rPr>
              <w:t xml:space="preserve"> </w:t>
            </w:r>
            <w:r w:rsidRPr="004A4471">
              <w:rPr>
                <w:sz w:val="20"/>
                <w:szCs w:val="20"/>
                <w:lang w:val="fr-CA"/>
              </w:rPr>
              <w:t>Commission des droits de la personne et</w:t>
            </w:r>
            <w:r>
              <w:rPr>
                <w:sz w:val="20"/>
                <w:szCs w:val="20"/>
                <w:lang w:val="fr-CA"/>
              </w:rPr>
              <w:t xml:space="preserve"> </w:t>
            </w:r>
            <w:r w:rsidRPr="004A4471">
              <w:rPr>
                <w:sz w:val="20"/>
                <w:szCs w:val="20"/>
                <w:lang w:val="fr-CA"/>
              </w:rPr>
              <w:t>des droits de la jeunesse</w:t>
            </w:r>
            <w:r w:rsidR="000B1C65">
              <w:rPr>
                <w:sz w:val="20"/>
                <w:szCs w:val="20"/>
                <w:lang w:val="fr-CA"/>
              </w:rPr>
              <w:t>.</w:t>
            </w:r>
          </w:p>
          <w:p w:rsidR="004306E9" w:rsidRPr="004A4471" w:rsidRDefault="004306E9" w:rsidP="004306E9">
            <w:pPr>
              <w:jc w:val="both"/>
              <w:rPr>
                <w:sz w:val="20"/>
                <w:szCs w:val="20"/>
                <w:lang w:val="fr-CA"/>
              </w:rPr>
            </w:pPr>
          </w:p>
          <w:p w:rsidR="004306E9" w:rsidRPr="004A4471" w:rsidRDefault="004306E9" w:rsidP="004306E9">
            <w:pPr>
              <w:jc w:val="both"/>
              <w:rPr>
                <w:sz w:val="20"/>
                <w:szCs w:val="20"/>
              </w:rPr>
            </w:pPr>
            <w:r w:rsidRPr="004A4471">
              <w:rPr>
                <w:sz w:val="20"/>
                <w:szCs w:val="20"/>
              </w:rPr>
              <w:lastRenderedPageBreak/>
              <w:t>Written Submissions</w:t>
            </w:r>
            <w:r>
              <w:rPr>
                <w:sz w:val="20"/>
                <w:szCs w:val="20"/>
              </w:rPr>
              <w:t xml:space="preserve"> only by </w:t>
            </w:r>
            <w:r w:rsidRPr="004A4471">
              <w:rPr>
                <w:sz w:val="20"/>
                <w:szCs w:val="20"/>
              </w:rPr>
              <w:t>Diane MacDonald</w:t>
            </w:r>
            <w:r>
              <w:rPr>
                <w:sz w:val="20"/>
                <w:szCs w:val="20"/>
              </w:rPr>
              <w:t xml:space="preserve"> and </w:t>
            </w:r>
            <w:r w:rsidRPr="004A4471">
              <w:rPr>
                <w:sz w:val="20"/>
                <w:szCs w:val="20"/>
                <w:lang w:val="en-US"/>
              </w:rPr>
              <w:t>Robyn Trask</w:t>
            </w:r>
            <w:r>
              <w:rPr>
                <w:sz w:val="20"/>
                <w:szCs w:val="20"/>
                <w:lang w:val="en-US"/>
              </w:rPr>
              <w:t xml:space="preserve"> f</w:t>
            </w:r>
            <w:r w:rsidRPr="004A4471">
              <w:rPr>
                <w:sz w:val="20"/>
                <w:szCs w:val="20"/>
              </w:rPr>
              <w:t xml:space="preserve">or the </w:t>
            </w:r>
            <w:r>
              <w:rPr>
                <w:sz w:val="20"/>
                <w:szCs w:val="20"/>
              </w:rPr>
              <w:t>i</w:t>
            </w:r>
            <w:r w:rsidRPr="004A4471">
              <w:rPr>
                <w:sz w:val="20"/>
                <w:szCs w:val="20"/>
              </w:rPr>
              <w:t>ntervener</w:t>
            </w:r>
            <w:r>
              <w:rPr>
                <w:sz w:val="20"/>
                <w:szCs w:val="20"/>
              </w:rPr>
              <w:t xml:space="preserve"> </w:t>
            </w:r>
            <w:r w:rsidRPr="004A4471">
              <w:rPr>
                <w:sz w:val="20"/>
                <w:szCs w:val="20"/>
              </w:rPr>
              <w:t>British Columbia Teachers' Federation</w:t>
            </w:r>
            <w:r>
              <w:rPr>
                <w:sz w:val="20"/>
                <w:szCs w:val="20"/>
              </w:rPr>
              <w:t>.</w:t>
            </w:r>
          </w:p>
          <w:p w:rsidR="004306E9" w:rsidRPr="004A4471" w:rsidRDefault="004306E9" w:rsidP="004306E9">
            <w:pPr>
              <w:jc w:val="both"/>
              <w:rPr>
                <w:sz w:val="20"/>
                <w:szCs w:val="20"/>
              </w:rPr>
            </w:pPr>
          </w:p>
          <w:p w:rsidR="004306E9" w:rsidRPr="004A4471" w:rsidRDefault="004306E9" w:rsidP="004306E9">
            <w:pPr>
              <w:jc w:val="both"/>
              <w:rPr>
                <w:sz w:val="20"/>
                <w:szCs w:val="20"/>
                <w:lang w:val="en-US"/>
              </w:rPr>
            </w:pPr>
            <w:r w:rsidRPr="004A4471">
              <w:rPr>
                <w:sz w:val="20"/>
                <w:szCs w:val="20"/>
              </w:rPr>
              <w:t>Written Submissions</w:t>
            </w:r>
            <w:r>
              <w:rPr>
                <w:sz w:val="20"/>
                <w:szCs w:val="20"/>
              </w:rPr>
              <w:t xml:space="preserve"> only by </w:t>
            </w:r>
            <w:r w:rsidRPr="004A4471">
              <w:rPr>
                <w:sz w:val="20"/>
                <w:szCs w:val="20"/>
              </w:rPr>
              <w:t>Roberto Lattanzio</w:t>
            </w:r>
            <w:r>
              <w:rPr>
                <w:sz w:val="20"/>
                <w:szCs w:val="20"/>
              </w:rPr>
              <w:t xml:space="preserve"> and </w:t>
            </w:r>
            <w:r w:rsidRPr="004A4471">
              <w:rPr>
                <w:sz w:val="20"/>
                <w:szCs w:val="20"/>
              </w:rPr>
              <w:t>Laurie Letheren</w:t>
            </w:r>
            <w:r>
              <w:rPr>
                <w:sz w:val="20"/>
                <w:szCs w:val="20"/>
              </w:rPr>
              <w:t xml:space="preserve"> f</w:t>
            </w:r>
            <w:r w:rsidRPr="004A4471">
              <w:rPr>
                <w:sz w:val="20"/>
                <w:szCs w:val="20"/>
              </w:rPr>
              <w:t xml:space="preserve">or the </w:t>
            </w:r>
            <w:r>
              <w:rPr>
                <w:sz w:val="20"/>
                <w:szCs w:val="20"/>
              </w:rPr>
              <w:t>i</w:t>
            </w:r>
            <w:r w:rsidRPr="004A4471">
              <w:rPr>
                <w:sz w:val="20"/>
                <w:szCs w:val="20"/>
              </w:rPr>
              <w:t>ntervener</w:t>
            </w:r>
            <w:r>
              <w:rPr>
                <w:sz w:val="20"/>
                <w:szCs w:val="20"/>
              </w:rPr>
              <w:t xml:space="preserve"> </w:t>
            </w:r>
            <w:r w:rsidRPr="004A4471">
              <w:rPr>
                <w:sz w:val="20"/>
                <w:szCs w:val="20"/>
                <w:lang w:val="en-US"/>
              </w:rPr>
              <w:t>Canadian Association for Community Living</w:t>
            </w:r>
            <w:r>
              <w:rPr>
                <w:sz w:val="20"/>
                <w:szCs w:val="20"/>
                <w:lang w:val="en-US"/>
              </w:rPr>
              <w:t>.</w:t>
            </w:r>
          </w:p>
          <w:p w:rsidR="004306E9" w:rsidRPr="004A4471" w:rsidRDefault="004306E9" w:rsidP="004306E9">
            <w:pPr>
              <w:jc w:val="both"/>
              <w:rPr>
                <w:sz w:val="20"/>
                <w:szCs w:val="20"/>
              </w:rPr>
            </w:pPr>
          </w:p>
          <w:p w:rsidR="004306E9" w:rsidRPr="004A4471" w:rsidRDefault="004306E9" w:rsidP="004306E9">
            <w:pPr>
              <w:jc w:val="both"/>
              <w:rPr>
                <w:sz w:val="20"/>
                <w:szCs w:val="20"/>
              </w:rPr>
            </w:pPr>
            <w:r w:rsidRPr="004A4471">
              <w:rPr>
                <w:sz w:val="20"/>
                <w:szCs w:val="20"/>
              </w:rPr>
              <w:t>Written Submissions</w:t>
            </w:r>
            <w:r>
              <w:rPr>
                <w:sz w:val="20"/>
                <w:szCs w:val="20"/>
              </w:rPr>
              <w:t xml:space="preserve"> only by </w:t>
            </w:r>
            <w:r w:rsidRPr="004A4471">
              <w:rPr>
                <w:sz w:val="20"/>
                <w:szCs w:val="20"/>
              </w:rPr>
              <w:t>Nicholas McHaffie</w:t>
            </w:r>
            <w:r>
              <w:rPr>
                <w:sz w:val="20"/>
                <w:szCs w:val="20"/>
              </w:rPr>
              <w:t xml:space="preserve"> and Sarah Clarke f</w:t>
            </w:r>
            <w:r w:rsidRPr="004A4471">
              <w:rPr>
                <w:sz w:val="20"/>
                <w:szCs w:val="20"/>
              </w:rPr>
              <w:t xml:space="preserve">or the </w:t>
            </w:r>
            <w:r>
              <w:rPr>
                <w:sz w:val="20"/>
                <w:szCs w:val="20"/>
              </w:rPr>
              <w:t>i</w:t>
            </w:r>
            <w:r w:rsidRPr="004A4471">
              <w:rPr>
                <w:sz w:val="20"/>
                <w:szCs w:val="20"/>
              </w:rPr>
              <w:t>ntervener First Nations Child and Family Caring Society</w:t>
            </w:r>
            <w:r>
              <w:rPr>
                <w:sz w:val="20"/>
                <w:szCs w:val="20"/>
              </w:rPr>
              <w:t>.</w:t>
            </w:r>
          </w:p>
          <w:p w:rsidR="004306E9" w:rsidRPr="004A4471" w:rsidRDefault="004306E9" w:rsidP="004306E9">
            <w:pPr>
              <w:jc w:val="both"/>
              <w:rPr>
                <w:sz w:val="20"/>
                <w:szCs w:val="20"/>
              </w:rPr>
            </w:pPr>
          </w:p>
          <w:p w:rsidR="004306E9" w:rsidRDefault="004306E9" w:rsidP="004306E9">
            <w:pPr>
              <w:jc w:val="both"/>
              <w:rPr>
                <w:sz w:val="20"/>
                <w:szCs w:val="20"/>
              </w:rPr>
            </w:pPr>
            <w:r w:rsidRPr="004A4471">
              <w:rPr>
                <w:sz w:val="20"/>
                <w:szCs w:val="20"/>
              </w:rPr>
              <w:t>Written Submissions</w:t>
            </w:r>
            <w:r>
              <w:rPr>
                <w:sz w:val="20"/>
                <w:szCs w:val="20"/>
              </w:rPr>
              <w:t xml:space="preserve"> only f</w:t>
            </w:r>
            <w:r w:rsidRPr="004A4471">
              <w:rPr>
                <w:sz w:val="20"/>
                <w:szCs w:val="20"/>
              </w:rPr>
              <w:t xml:space="preserve">or the </w:t>
            </w:r>
            <w:r>
              <w:rPr>
                <w:sz w:val="20"/>
                <w:szCs w:val="20"/>
              </w:rPr>
              <w:t>i</w:t>
            </w:r>
            <w:r w:rsidRPr="004A4471">
              <w:rPr>
                <w:sz w:val="20"/>
                <w:szCs w:val="20"/>
              </w:rPr>
              <w:t>ntervener</w:t>
            </w:r>
            <w:r>
              <w:rPr>
                <w:sz w:val="20"/>
                <w:szCs w:val="20"/>
              </w:rPr>
              <w:t xml:space="preserve"> </w:t>
            </w:r>
            <w:r w:rsidRPr="004A4471">
              <w:rPr>
                <w:sz w:val="20"/>
                <w:szCs w:val="20"/>
                <w:lang w:val="en-US"/>
              </w:rPr>
              <w:tab/>
            </w:r>
            <w:r w:rsidRPr="004A4471">
              <w:rPr>
                <w:sz w:val="20"/>
                <w:szCs w:val="20"/>
              </w:rPr>
              <w:t>Manitoba Human Rights Commission</w:t>
            </w:r>
            <w:r>
              <w:rPr>
                <w:sz w:val="20"/>
                <w:szCs w:val="20"/>
              </w:rPr>
              <w:t>.</w:t>
            </w:r>
          </w:p>
          <w:p w:rsidR="004306E9" w:rsidRPr="004A4471" w:rsidRDefault="004306E9" w:rsidP="004306E9">
            <w:pPr>
              <w:jc w:val="both"/>
              <w:rPr>
                <w:sz w:val="20"/>
                <w:szCs w:val="20"/>
              </w:rPr>
            </w:pPr>
          </w:p>
          <w:p w:rsidR="004306E9" w:rsidRPr="004A4471" w:rsidRDefault="004306E9" w:rsidP="00B25D31">
            <w:pPr>
              <w:jc w:val="both"/>
              <w:rPr>
                <w:sz w:val="20"/>
                <w:szCs w:val="20"/>
              </w:rPr>
            </w:pPr>
            <w:r w:rsidRPr="004A4471">
              <w:rPr>
                <w:sz w:val="20"/>
                <w:szCs w:val="20"/>
              </w:rPr>
              <w:t>Written Submissions</w:t>
            </w:r>
            <w:r>
              <w:rPr>
                <w:sz w:val="20"/>
                <w:szCs w:val="20"/>
              </w:rPr>
              <w:t xml:space="preserve"> only f</w:t>
            </w:r>
            <w:r w:rsidRPr="004A4471">
              <w:rPr>
                <w:sz w:val="20"/>
                <w:szCs w:val="20"/>
              </w:rPr>
              <w:t xml:space="preserve">or the </w:t>
            </w:r>
            <w:r>
              <w:rPr>
                <w:sz w:val="20"/>
                <w:szCs w:val="20"/>
              </w:rPr>
              <w:t>i</w:t>
            </w:r>
            <w:r w:rsidRPr="004A4471">
              <w:rPr>
                <w:sz w:val="20"/>
                <w:szCs w:val="20"/>
              </w:rPr>
              <w:t>ntervener</w:t>
            </w:r>
            <w:r>
              <w:rPr>
                <w:sz w:val="20"/>
                <w:szCs w:val="20"/>
              </w:rPr>
              <w:t xml:space="preserve"> </w:t>
            </w:r>
            <w:r w:rsidRPr="004A4471">
              <w:rPr>
                <w:sz w:val="20"/>
                <w:szCs w:val="20"/>
              </w:rPr>
              <w:t>Council</w:t>
            </w:r>
            <w:r w:rsidR="00B25D31">
              <w:rPr>
                <w:sz w:val="20"/>
                <w:szCs w:val="20"/>
              </w:rPr>
              <w:t xml:space="preserve"> </w:t>
            </w:r>
            <w:r w:rsidRPr="004A4471">
              <w:rPr>
                <w:sz w:val="20"/>
                <w:szCs w:val="20"/>
              </w:rPr>
              <w:t>of Canadians with Disabilities</w:t>
            </w:r>
          </w:p>
          <w:p w:rsidR="004306E9" w:rsidRPr="004A4471" w:rsidRDefault="004306E9" w:rsidP="004306E9">
            <w:pPr>
              <w:jc w:val="both"/>
              <w:rPr>
                <w:sz w:val="20"/>
                <w:szCs w:val="20"/>
                <w:lang w:val="en-US"/>
              </w:rPr>
            </w:pPr>
          </w:p>
          <w:p w:rsidR="004306E9" w:rsidRPr="004A4471" w:rsidRDefault="004306E9" w:rsidP="004306E9">
            <w:pPr>
              <w:jc w:val="both"/>
              <w:rPr>
                <w:sz w:val="20"/>
                <w:szCs w:val="20"/>
              </w:rPr>
            </w:pPr>
            <w:r w:rsidRPr="004A4471">
              <w:rPr>
                <w:sz w:val="20"/>
                <w:szCs w:val="20"/>
              </w:rPr>
              <w:t>Laura N. Bakan, Q.C.</w:t>
            </w:r>
            <w:r>
              <w:rPr>
                <w:sz w:val="20"/>
                <w:szCs w:val="20"/>
              </w:rPr>
              <w:t xml:space="preserve">, </w:t>
            </w:r>
            <w:r w:rsidRPr="004A4471">
              <w:rPr>
                <w:sz w:val="20"/>
                <w:szCs w:val="20"/>
                <w:lang w:val="en-US"/>
              </w:rPr>
              <w:t>David J. Bell</w:t>
            </w:r>
            <w:r>
              <w:rPr>
                <w:sz w:val="20"/>
                <w:szCs w:val="20"/>
                <w:lang w:val="en-US"/>
              </w:rPr>
              <w:t xml:space="preserve"> and </w:t>
            </w:r>
            <w:r w:rsidRPr="004A4471">
              <w:rPr>
                <w:sz w:val="20"/>
                <w:szCs w:val="20"/>
              </w:rPr>
              <w:t>Kristal M. Low</w:t>
            </w:r>
            <w:r>
              <w:rPr>
                <w:sz w:val="20"/>
                <w:szCs w:val="20"/>
              </w:rPr>
              <w:t xml:space="preserve"> f</w:t>
            </w:r>
            <w:r w:rsidRPr="004A4471">
              <w:rPr>
                <w:sz w:val="20"/>
                <w:szCs w:val="20"/>
              </w:rPr>
              <w:t xml:space="preserve">or the </w:t>
            </w:r>
            <w:r>
              <w:rPr>
                <w:sz w:val="20"/>
                <w:szCs w:val="20"/>
              </w:rPr>
              <w:t>r</w:t>
            </w:r>
            <w:r w:rsidRPr="004A4471">
              <w:rPr>
                <w:sz w:val="20"/>
                <w:szCs w:val="20"/>
              </w:rPr>
              <w:t>espondent</w:t>
            </w:r>
            <w:r>
              <w:rPr>
                <w:sz w:val="20"/>
                <w:szCs w:val="20"/>
              </w:rPr>
              <w:t xml:space="preserve"> </w:t>
            </w:r>
            <w:r w:rsidRPr="004A4471">
              <w:rPr>
                <w:sz w:val="20"/>
                <w:szCs w:val="20"/>
              </w:rPr>
              <w:t>Board of Education of School District No.44 (North Vancouver)</w:t>
            </w:r>
            <w:r>
              <w:rPr>
                <w:sz w:val="20"/>
                <w:szCs w:val="20"/>
              </w:rPr>
              <w:t>.</w:t>
            </w:r>
          </w:p>
          <w:p w:rsidR="004306E9" w:rsidRPr="004A4471" w:rsidRDefault="004306E9" w:rsidP="004306E9">
            <w:pPr>
              <w:jc w:val="both"/>
              <w:rPr>
                <w:sz w:val="20"/>
                <w:szCs w:val="20"/>
                <w:lang w:val="en-US"/>
              </w:rPr>
            </w:pPr>
          </w:p>
          <w:p w:rsidR="004306E9" w:rsidRPr="004A4471" w:rsidRDefault="004306E9" w:rsidP="004306E9">
            <w:pPr>
              <w:jc w:val="both"/>
              <w:rPr>
                <w:sz w:val="20"/>
                <w:szCs w:val="20"/>
              </w:rPr>
            </w:pPr>
            <w:r w:rsidRPr="004A4471">
              <w:rPr>
                <w:sz w:val="20"/>
                <w:szCs w:val="20"/>
                <w:lang w:val="en-US"/>
              </w:rPr>
              <w:t>Leah Greathead</w:t>
            </w:r>
            <w:r>
              <w:rPr>
                <w:sz w:val="20"/>
                <w:szCs w:val="20"/>
                <w:lang w:val="en-US"/>
              </w:rPr>
              <w:t xml:space="preserve"> and </w:t>
            </w:r>
            <w:r w:rsidRPr="004A4471">
              <w:rPr>
                <w:sz w:val="20"/>
                <w:szCs w:val="20"/>
                <w:lang w:val="en-US"/>
              </w:rPr>
              <w:t>E.W. (Heidi) Hughes</w:t>
            </w:r>
            <w:r>
              <w:rPr>
                <w:sz w:val="20"/>
                <w:szCs w:val="20"/>
                <w:lang w:val="en-US"/>
              </w:rPr>
              <w:t xml:space="preserve"> f</w:t>
            </w:r>
            <w:r w:rsidRPr="004A4471">
              <w:rPr>
                <w:sz w:val="20"/>
                <w:szCs w:val="20"/>
                <w:lang w:val="en-US"/>
              </w:rPr>
              <w:t xml:space="preserve">or the </w:t>
            </w:r>
            <w:r>
              <w:rPr>
                <w:sz w:val="20"/>
                <w:szCs w:val="20"/>
                <w:lang w:val="en-US"/>
              </w:rPr>
              <w:t>r</w:t>
            </w:r>
            <w:r w:rsidRPr="004A4471">
              <w:rPr>
                <w:sz w:val="20"/>
                <w:szCs w:val="20"/>
                <w:lang w:val="en-US"/>
              </w:rPr>
              <w:t>espondent</w:t>
            </w:r>
            <w:r>
              <w:rPr>
                <w:sz w:val="20"/>
                <w:szCs w:val="20"/>
                <w:lang w:val="en-US"/>
              </w:rPr>
              <w:t xml:space="preserve"> </w:t>
            </w:r>
            <w:r w:rsidRPr="004A4471">
              <w:rPr>
                <w:sz w:val="20"/>
                <w:szCs w:val="20"/>
                <w:lang w:val="en-US"/>
              </w:rPr>
              <w:t>Her Maj</w:t>
            </w:r>
            <w:r w:rsidRPr="004A4471">
              <w:rPr>
                <w:sz w:val="20"/>
                <w:szCs w:val="20"/>
              </w:rPr>
              <w:t>esty the Queen</w:t>
            </w:r>
            <w:r>
              <w:rPr>
                <w:sz w:val="20"/>
                <w:szCs w:val="20"/>
              </w:rPr>
              <w:t>.</w:t>
            </w:r>
            <w:r w:rsidRPr="004A4471">
              <w:rPr>
                <w:sz w:val="20"/>
                <w:szCs w:val="20"/>
              </w:rPr>
              <w:t xml:space="preserve"> </w:t>
            </w:r>
          </w:p>
          <w:p w:rsidR="004306E9" w:rsidRPr="004A4471" w:rsidRDefault="004306E9" w:rsidP="004306E9">
            <w:pPr>
              <w:jc w:val="both"/>
              <w:rPr>
                <w:sz w:val="20"/>
                <w:szCs w:val="20"/>
              </w:rPr>
            </w:pPr>
          </w:p>
          <w:p w:rsidR="004306E9" w:rsidRPr="004A4471" w:rsidRDefault="004306E9" w:rsidP="004306E9">
            <w:pPr>
              <w:jc w:val="both"/>
              <w:rPr>
                <w:sz w:val="20"/>
                <w:szCs w:val="20"/>
              </w:rPr>
            </w:pPr>
            <w:r w:rsidRPr="004A4471">
              <w:rPr>
                <w:sz w:val="20"/>
                <w:szCs w:val="20"/>
              </w:rPr>
              <w:t>Robert E. Charney</w:t>
            </w:r>
            <w:r>
              <w:rPr>
                <w:sz w:val="20"/>
                <w:szCs w:val="20"/>
              </w:rPr>
              <w:t xml:space="preserve"> and </w:t>
            </w:r>
            <w:r w:rsidRPr="004A4471">
              <w:rPr>
                <w:sz w:val="20"/>
                <w:szCs w:val="20"/>
                <w:lang w:val="en-US"/>
              </w:rPr>
              <w:t>Sarah Kraicer</w:t>
            </w:r>
            <w:r>
              <w:rPr>
                <w:sz w:val="20"/>
                <w:szCs w:val="20"/>
                <w:lang w:val="en-US"/>
              </w:rPr>
              <w:t xml:space="preserve"> f</w:t>
            </w:r>
            <w:r w:rsidRPr="004A4471">
              <w:rPr>
                <w:sz w:val="20"/>
                <w:szCs w:val="20"/>
              </w:rPr>
              <w:t xml:space="preserve">or the </w:t>
            </w:r>
            <w:r>
              <w:rPr>
                <w:sz w:val="20"/>
                <w:szCs w:val="20"/>
              </w:rPr>
              <w:t>i</w:t>
            </w:r>
            <w:r w:rsidRPr="004A4471">
              <w:rPr>
                <w:sz w:val="20"/>
                <w:szCs w:val="20"/>
              </w:rPr>
              <w:t>ntervener</w:t>
            </w:r>
            <w:r>
              <w:rPr>
                <w:sz w:val="20"/>
                <w:szCs w:val="20"/>
              </w:rPr>
              <w:t xml:space="preserve"> </w:t>
            </w:r>
            <w:r w:rsidRPr="004A4471">
              <w:rPr>
                <w:sz w:val="20"/>
                <w:szCs w:val="20"/>
              </w:rPr>
              <w:t>Attorney General of Ontario</w:t>
            </w:r>
            <w:r>
              <w:rPr>
                <w:sz w:val="20"/>
                <w:szCs w:val="20"/>
              </w:rPr>
              <w:t>.</w:t>
            </w:r>
          </w:p>
          <w:p w:rsidR="004306E9" w:rsidRPr="004A4471" w:rsidRDefault="004306E9" w:rsidP="004306E9">
            <w:pPr>
              <w:jc w:val="both"/>
              <w:rPr>
                <w:sz w:val="20"/>
                <w:szCs w:val="20"/>
              </w:rPr>
            </w:pPr>
          </w:p>
          <w:p w:rsidR="006E7F12" w:rsidRPr="00C50A5C" w:rsidRDefault="004306E9" w:rsidP="004306E9">
            <w:pPr>
              <w:jc w:val="both"/>
              <w:rPr>
                <w:sz w:val="20"/>
                <w:szCs w:val="20"/>
              </w:rPr>
            </w:pPr>
            <w:r w:rsidRPr="004A4471">
              <w:rPr>
                <w:sz w:val="20"/>
                <w:szCs w:val="20"/>
              </w:rPr>
              <w:t>Ranjan K. Agarwal</w:t>
            </w:r>
            <w:r>
              <w:rPr>
                <w:sz w:val="20"/>
                <w:szCs w:val="20"/>
              </w:rPr>
              <w:t xml:space="preserve"> and </w:t>
            </w:r>
            <w:r w:rsidRPr="004A4471">
              <w:rPr>
                <w:sz w:val="20"/>
                <w:szCs w:val="20"/>
                <w:lang w:val="en-US"/>
              </w:rPr>
              <w:t>Daniel Holden</w:t>
            </w:r>
            <w:r>
              <w:rPr>
                <w:sz w:val="20"/>
                <w:szCs w:val="20"/>
                <w:lang w:val="en-US"/>
              </w:rPr>
              <w:t xml:space="preserve"> f</w:t>
            </w:r>
            <w:r w:rsidRPr="004A4471">
              <w:rPr>
                <w:sz w:val="20"/>
                <w:szCs w:val="20"/>
              </w:rPr>
              <w:t xml:space="preserve">or the </w:t>
            </w:r>
            <w:r>
              <w:rPr>
                <w:sz w:val="20"/>
                <w:szCs w:val="20"/>
              </w:rPr>
              <w:t>i</w:t>
            </w:r>
            <w:r w:rsidRPr="004A4471">
              <w:rPr>
                <w:sz w:val="20"/>
                <w:szCs w:val="20"/>
              </w:rPr>
              <w:t>ntervener</w:t>
            </w:r>
            <w:r>
              <w:rPr>
                <w:sz w:val="20"/>
                <w:szCs w:val="20"/>
              </w:rPr>
              <w:t xml:space="preserve"> </w:t>
            </w:r>
            <w:r w:rsidRPr="004A4471">
              <w:rPr>
                <w:sz w:val="20"/>
                <w:szCs w:val="20"/>
              </w:rPr>
              <w:t>Canadian Constitution Foundation</w:t>
            </w:r>
            <w:r>
              <w:rPr>
                <w:sz w:val="20"/>
                <w:szCs w:val="20"/>
              </w:rPr>
              <w:t>.</w:t>
            </w:r>
          </w:p>
        </w:tc>
      </w:tr>
    </w:tbl>
    <w:p w:rsidR="006E7F12" w:rsidRDefault="006E7F12" w:rsidP="006E7F12">
      <w:pPr>
        <w:widowControl w:val="0"/>
        <w:rPr>
          <w:sz w:val="20"/>
          <w:szCs w:val="20"/>
        </w:rPr>
      </w:pPr>
    </w:p>
    <w:p w:rsidR="006E7F12" w:rsidRPr="0085476B" w:rsidRDefault="006E7F12" w:rsidP="006E7F12">
      <w:pPr>
        <w:widowControl w:val="0"/>
        <w:rPr>
          <w:sz w:val="20"/>
          <w:szCs w:val="20"/>
        </w:rPr>
      </w:pPr>
      <w:r w:rsidRPr="0085476B">
        <w:rPr>
          <w:b/>
          <w:sz w:val="20"/>
          <w:szCs w:val="20"/>
        </w:rPr>
        <w:t xml:space="preserve">RESERVED / </w:t>
      </w:r>
      <w:r w:rsidRPr="0085476B">
        <w:rPr>
          <w:b/>
          <w:sz w:val="20"/>
          <w:szCs w:val="20"/>
          <w:lang w:val="fr-CA"/>
        </w:rPr>
        <w:t>EN DÉLIBÉRÉ</w:t>
      </w:r>
    </w:p>
    <w:p w:rsidR="006E7F12" w:rsidRDefault="006E7F12" w:rsidP="006E7F12"/>
    <w:tbl>
      <w:tblPr>
        <w:tblW w:w="0" w:type="auto"/>
        <w:tblLayout w:type="fixed"/>
        <w:tblCellMar>
          <w:left w:w="0" w:type="dxa"/>
          <w:right w:w="0" w:type="dxa"/>
        </w:tblCellMar>
        <w:tblLook w:val="0000"/>
      </w:tblPr>
      <w:tblGrid>
        <w:gridCol w:w="4380"/>
        <w:gridCol w:w="720"/>
        <w:gridCol w:w="4380"/>
      </w:tblGrid>
      <w:tr w:rsidR="006E7F12" w:rsidRPr="004A2E2B" w:rsidTr="009A4D4D">
        <w:tc>
          <w:tcPr>
            <w:tcW w:w="4380" w:type="dxa"/>
            <w:tcMar>
              <w:left w:w="0" w:type="dxa"/>
              <w:right w:w="0" w:type="dxa"/>
            </w:tcMar>
          </w:tcPr>
          <w:p w:rsidR="006E7F12" w:rsidRPr="00CC4D84" w:rsidRDefault="006E7F12" w:rsidP="009A4D4D">
            <w:pPr>
              <w:widowControl w:val="0"/>
              <w:jc w:val="both"/>
              <w:rPr>
                <w:b/>
                <w:sz w:val="20"/>
                <w:szCs w:val="20"/>
                <w:u w:val="single"/>
              </w:rPr>
            </w:pPr>
            <w:r w:rsidRPr="00CC4D84">
              <w:rPr>
                <w:b/>
                <w:sz w:val="20"/>
                <w:szCs w:val="20"/>
                <w:u w:val="single"/>
              </w:rPr>
              <w:t>Nature of the case</w:t>
            </w:r>
            <w:r w:rsidR="003278FC">
              <w:rPr>
                <w:b/>
                <w:sz w:val="20"/>
                <w:szCs w:val="20"/>
                <w:u w:val="single"/>
              </w:rPr>
              <w:t xml:space="preserve"> - 34040</w:t>
            </w:r>
            <w:r w:rsidRPr="00CC4D84">
              <w:rPr>
                <w:b/>
                <w:sz w:val="20"/>
                <w:szCs w:val="20"/>
                <w:u w:val="single"/>
              </w:rPr>
              <w:t>:</w:t>
            </w:r>
          </w:p>
          <w:p w:rsidR="006E7F12" w:rsidRPr="00C1697B" w:rsidRDefault="006E7F12" w:rsidP="009A4D4D">
            <w:pPr>
              <w:widowControl w:val="0"/>
              <w:jc w:val="both"/>
              <w:rPr>
                <w:b/>
                <w:sz w:val="20"/>
                <w:szCs w:val="20"/>
              </w:rPr>
            </w:pPr>
          </w:p>
          <w:p w:rsidR="006E7F12" w:rsidRPr="00C1697B" w:rsidRDefault="00B464F4" w:rsidP="009A4D4D">
            <w:pPr>
              <w:widowControl w:val="0"/>
              <w:jc w:val="both"/>
              <w:rPr>
                <w:b/>
                <w:sz w:val="20"/>
                <w:szCs w:val="20"/>
              </w:rPr>
            </w:pPr>
            <w:r w:rsidRPr="00E4485B">
              <w:rPr>
                <w:sz w:val="20"/>
                <w:szCs w:val="20"/>
              </w:rPr>
              <w:t xml:space="preserve">Human Rights </w:t>
            </w:r>
            <w:r w:rsidRPr="00E4485B">
              <w:rPr>
                <w:sz w:val="20"/>
                <w:szCs w:val="20"/>
              </w:rPr>
              <w:noBreakHyphen/>
              <w:t xml:space="preserve"> Discriminatory practices </w:t>
            </w:r>
            <w:r w:rsidRPr="00E4485B">
              <w:rPr>
                <w:sz w:val="20"/>
                <w:szCs w:val="20"/>
              </w:rPr>
              <w:noBreakHyphen/>
              <w:t xml:space="preserve"> Duty to accommodate </w:t>
            </w:r>
            <w:r w:rsidRPr="00E4485B">
              <w:rPr>
                <w:sz w:val="20"/>
                <w:szCs w:val="20"/>
              </w:rPr>
              <w:noBreakHyphen/>
              <w:t xml:space="preserve"> Mental or physical disability </w:t>
            </w:r>
            <w:r w:rsidRPr="00E4485B">
              <w:rPr>
                <w:sz w:val="20"/>
                <w:szCs w:val="20"/>
              </w:rPr>
              <w:noBreakHyphen/>
              <w:t xml:space="preserve"> Right to equality </w:t>
            </w:r>
            <w:r w:rsidRPr="00E4485B">
              <w:rPr>
                <w:sz w:val="20"/>
                <w:szCs w:val="20"/>
              </w:rPr>
              <w:noBreakHyphen/>
              <w:t xml:space="preserve"> Goods and services </w:t>
            </w:r>
            <w:r w:rsidRPr="00E4485B">
              <w:rPr>
                <w:sz w:val="20"/>
                <w:szCs w:val="20"/>
              </w:rPr>
              <w:noBreakHyphen/>
              <w:t xml:space="preserve"> Right to dignity </w:t>
            </w:r>
            <w:r w:rsidRPr="00E4485B">
              <w:rPr>
                <w:sz w:val="20"/>
                <w:szCs w:val="20"/>
              </w:rPr>
              <w:noBreakHyphen/>
              <w:t xml:space="preserve"> How is the “service” in “service customarily available to the public” statutory human rights provisions construed? </w:t>
            </w:r>
            <w:r w:rsidRPr="00E4485B">
              <w:rPr>
                <w:sz w:val="20"/>
                <w:szCs w:val="20"/>
              </w:rPr>
              <w:noBreakHyphen/>
              <w:t xml:space="preserve"> Did the majority of the BC Court of Appeal err by taking an overly narrow approach that undermines human rights protections </w:t>
            </w:r>
            <w:r w:rsidRPr="00E4485B">
              <w:rPr>
                <w:sz w:val="20"/>
                <w:szCs w:val="20"/>
              </w:rPr>
              <w:noBreakHyphen/>
              <w:t xml:space="preserve"> How is the comparator chosen under statutory human rights legislation? </w:t>
            </w:r>
            <w:r w:rsidRPr="00E4485B">
              <w:rPr>
                <w:sz w:val="20"/>
                <w:szCs w:val="20"/>
              </w:rPr>
              <w:noBreakHyphen/>
              <w:t xml:space="preserve"> Did the majority of the BC Court of Appeal err in interpreting </w:t>
            </w:r>
            <w:r w:rsidRPr="00E4485B">
              <w:rPr>
                <w:i/>
                <w:sz w:val="20"/>
                <w:szCs w:val="20"/>
              </w:rPr>
              <w:t>Auton (Guardian ad Litem of) v. British Columbia (Attorney General)</w:t>
            </w:r>
            <w:r w:rsidRPr="00E4485B">
              <w:rPr>
                <w:sz w:val="20"/>
                <w:szCs w:val="20"/>
              </w:rPr>
              <w:t xml:space="preserve">, 2004 SCC 78, [2004] 3 S.C.R. 657, as mandating a narrow approach to the comparator group that undermines statutory human rights protections, such that persons with disabilities can only compare themselves to others with disabilities? </w:t>
            </w:r>
            <w:r w:rsidRPr="00E4485B">
              <w:rPr>
                <w:sz w:val="20"/>
                <w:szCs w:val="20"/>
              </w:rPr>
              <w:noBreakHyphen/>
              <w:t xml:space="preserve"> </w:t>
            </w:r>
            <w:r w:rsidRPr="00E4485B">
              <w:rPr>
                <w:i/>
                <w:sz w:val="20"/>
                <w:szCs w:val="20"/>
              </w:rPr>
              <w:t>Human Rights Code</w:t>
            </w:r>
            <w:r w:rsidRPr="00E4485B">
              <w:rPr>
                <w:sz w:val="20"/>
                <w:szCs w:val="20"/>
              </w:rPr>
              <w:t>, R.S.B.C. 1996, c. 210, s. 8.</w:t>
            </w:r>
          </w:p>
        </w:tc>
        <w:tc>
          <w:tcPr>
            <w:tcW w:w="720" w:type="dxa"/>
            <w:tcMar>
              <w:left w:w="0" w:type="dxa"/>
              <w:right w:w="0" w:type="dxa"/>
            </w:tcMar>
          </w:tcPr>
          <w:p w:rsidR="006E7F12" w:rsidRPr="00C1697B" w:rsidRDefault="006E7F12" w:rsidP="009A4D4D">
            <w:pPr>
              <w:widowControl w:val="0"/>
              <w:jc w:val="center"/>
              <w:rPr>
                <w:sz w:val="20"/>
                <w:szCs w:val="20"/>
              </w:rPr>
            </w:pPr>
          </w:p>
        </w:tc>
        <w:tc>
          <w:tcPr>
            <w:tcW w:w="4380" w:type="dxa"/>
            <w:tcMar>
              <w:left w:w="0" w:type="dxa"/>
              <w:right w:w="0" w:type="dxa"/>
            </w:tcMar>
          </w:tcPr>
          <w:p w:rsidR="006E7F12" w:rsidRPr="00CC4D84" w:rsidRDefault="006E7F12" w:rsidP="009A4D4D">
            <w:pPr>
              <w:widowControl w:val="0"/>
              <w:jc w:val="both"/>
              <w:rPr>
                <w:b/>
                <w:sz w:val="20"/>
                <w:szCs w:val="20"/>
                <w:u w:val="single"/>
                <w:lang w:val="fr-CA"/>
              </w:rPr>
            </w:pPr>
            <w:r w:rsidRPr="00CC4D84">
              <w:rPr>
                <w:b/>
                <w:sz w:val="20"/>
                <w:szCs w:val="20"/>
                <w:u w:val="single"/>
                <w:lang w:val="fr-CA"/>
              </w:rPr>
              <w:t xml:space="preserve">Nature de la cause </w:t>
            </w:r>
            <w:r w:rsidR="003278FC">
              <w:rPr>
                <w:b/>
                <w:sz w:val="20"/>
                <w:szCs w:val="20"/>
                <w:u w:val="single"/>
                <w:lang w:val="fr-CA"/>
              </w:rPr>
              <w:t xml:space="preserve">- 34040 </w:t>
            </w:r>
            <w:r w:rsidRPr="00CC4D84">
              <w:rPr>
                <w:b/>
                <w:sz w:val="20"/>
                <w:szCs w:val="20"/>
                <w:u w:val="single"/>
                <w:lang w:val="fr-CA"/>
              </w:rPr>
              <w:t>:</w:t>
            </w:r>
          </w:p>
          <w:p w:rsidR="006E7F12" w:rsidRPr="00C1697B" w:rsidRDefault="006E7F12" w:rsidP="009A4D4D">
            <w:pPr>
              <w:widowControl w:val="0"/>
              <w:jc w:val="both"/>
              <w:rPr>
                <w:sz w:val="20"/>
                <w:szCs w:val="20"/>
                <w:lang w:val="fr-CA"/>
              </w:rPr>
            </w:pPr>
          </w:p>
          <w:p w:rsidR="006E7F12" w:rsidRPr="00C1697B" w:rsidRDefault="00B464F4" w:rsidP="009A4D4D">
            <w:pPr>
              <w:widowControl w:val="0"/>
              <w:jc w:val="both"/>
              <w:rPr>
                <w:sz w:val="20"/>
                <w:szCs w:val="20"/>
                <w:lang w:val="fr-CA"/>
              </w:rPr>
            </w:pPr>
            <w:r w:rsidRPr="00911246">
              <w:rPr>
                <w:sz w:val="20"/>
                <w:szCs w:val="20"/>
                <w:lang w:val="fr-CA"/>
              </w:rPr>
              <w:t xml:space="preserve">Droits de la personne </w:t>
            </w:r>
            <w:r w:rsidRPr="00911246">
              <w:rPr>
                <w:sz w:val="20"/>
                <w:szCs w:val="20"/>
                <w:lang w:val="fr-CA"/>
              </w:rPr>
              <w:noBreakHyphen/>
              <w:t xml:space="preserve"> Pratiques discriminatoires </w:t>
            </w:r>
            <w:r w:rsidRPr="00911246">
              <w:rPr>
                <w:sz w:val="20"/>
                <w:szCs w:val="20"/>
                <w:lang w:val="fr-CA"/>
              </w:rPr>
              <w:noBreakHyphen/>
              <w:t xml:space="preserve"> Obligation d’accommodement </w:t>
            </w:r>
            <w:r w:rsidRPr="00911246">
              <w:rPr>
                <w:sz w:val="20"/>
                <w:szCs w:val="20"/>
                <w:lang w:val="fr-CA"/>
              </w:rPr>
              <w:noBreakHyphen/>
              <w:t xml:space="preserve"> Déficience mentale ou physique </w:t>
            </w:r>
            <w:r w:rsidRPr="00911246">
              <w:rPr>
                <w:sz w:val="20"/>
                <w:szCs w:val="20"/>
                <w:lang w:val="fr-CA"/>
              </w:rPr>
              <w:noBreakHyphen/>
              <w:t xml:space="preserve"> Droit à l’égalité </w:t>
            </w:r>
            <w:r w:rsidRPr="00911246">
              <w:rPr>
                <w:sz w:val="20"/>
                <w:szCs w:val="20"/>
                <w:lang w:val="fr-CA"/>
              </w:rPr>
              <w:noBreakHyphen/>
              <w:t xml:space="preserve"> Biens et services </w:t>
            </w:r>
            <w:r w:rsidRPr="00911246">
              <w:rPr>
                <w:sz w:val="20"/>
                <w:szCs w:val="20"/>
                <w:lang w:val="fr-CA"/>
              </w:rPr>
              <w:noBreakHyphen/>
              <w:t xml:space="preserve"> Droit à la dignité </w:t>
            </w:r>
            <w:r w:rsidRPr="00911246">
              <w:rPr>
                <w:sz w:val="20"/>
                <w:szCs w:val="20"/>
                <w:lang w:val="fr-CA"/>
              </w:rPr>
              <w:noBreakHyphen/>
              <w:t xml:space="preserve"> Comment doit</w:t>
            </w:r>
            <w:r w:rsidRPr="00911246">
              <w:rPr>
                <w:sz w:val="20"/>
                <w:szCs w:val="20"/>
                <w:lang w:val="fr-CA"/>
              </w:rPr>
              <w:noBreakHyphen/>
              <w:t>on interpréter le mot « service » dans l’expression [</w:t>
            </w:r>
            <w:r w:rsidRPr="00911246">
              <w:rPr>
                <w:smallCaps/>
                <w:sz w:val="20"/>
                <w:szCs w:val="20"/>
                <w:lang w:val="fr-CA"/>
              </w:rPr>
              <w:t>traduction</w:t>
            </w:r>
            <w:r w:rsidRPr="00911246">
              <w:rPr>
                <w:sz w:val="20"/>
                <w:szCs w:val="20"/>
                <w:lang w:val="fr-CA"/>
              </w:rPr>
              <w:t xml:space="preserve">] « service habituellement offert au public » prévue dans le texte de loi sur les droits de la personne? </w:t>
            </w:r>
            <w:r w:rsidRPr="00911246">
              <w:rPr>
                <w:sz w:val="20"/>
                <w:szCs w:val="20"/>
                <w:lang w:val="fr-CA"/>
              </w:rPr>
              <w:noBreakHyphen/>
              <w:t xml:space="preserve"> Les juges majoritaires de la Cour d’appel de la Colombie</w:t>
            </w:r>
            <w:r w:rsidRPr="00911246">
              <w:rPr>
                <w:sz w:val="20"/>
                <w:szCs w:val="20"/>
                <w:lang w:val="fr-CA"/>
              </w:rPr>
              <w:noBreakHyphen/>
              <w:t>Britannique ont</w:t>
            </w:r>
            <w:r w:rsidRPr="00911246">
              <w:rPr>
                <w:sz w:val="20"/>
                <w:szCs w:val="20"/>
                <w:lang w:val="fr-CA"/>
              </w:rPr>
              <w:noBreakHyphen/>
              <w:t xml:space="preserve">ils commis une erreur en adoptant une approche trop étroite qui mine les protections des droits de la personne? </w:t>
            </w:r>
            <w:r w:rsidRPr="00911246">
              <w:rPr>
                <w:sz w:val="20"/>
                <w:szCs w:val="20"/>
                <w:lang w:val="fr-CA"/>
              </w:rPr>
              <w:noBreakHyphen/>
              <w:t xml:space="preserve"> Comment le groupe de comparaison est</w:t>
            </w:r>
            <w:r w:rsidRPr="00911246">
              <w:rPr>
                <w:sz w:val="20"/>
                <w:szCs w:val="20"/>
                <w:lang w:val="fr-CA"/>
              </w:rPr>
              <w:noBreakHyphen/>
              <w:t xml:space="preserve">il choisi au regard de la législation sur les droits de la personne? </w:t>
            </w:r>
            <w:r w:rsidRPr="00911246">
              <w:rPr>
                <w:sz w:val="20"/>
                <w:szCs w:val="20"/>
                <w:lang w:val="fr-CA"/>
              </w:rPr>
              <w:noBreakHyphen/>
              <w:t xml:space="preserve"> Les juges majoritaires de la Cour d’appel de la Colombie</w:t>
            </w:r>
            <w:r w:rsidRPr="00911246">
              <w:rPr>
                <w:sz w:val="20"/>
                <w:szCs w:val="20"/>
                <w:lang w:val="fr-CA"/>
              </w:rPr>
              <w:noBreakHyphen/>
              <w:t>Britannique ont</w:t>
            </w:r>
            <w:r w:rsidRPr="00911246">
              <w:rPr>
                <w:sz w:val="20"/>
                <w:szCs w:val="20"/>
                <w:lang w:val="fr-CA"/>
              </w:rPr>
              <w:noBreakHyphen/>
              <w:t xml:space="preserve">ils commis une erreur en interprétant l’arrêt </w:t>
            </w:r>
            <w:r w:rsidRPr="00911246">
              <w:rPr>
                <w:i/>
                <w:sz w:val="20"/>
                <w:szCs w:val="20"/>
                <w:lang w:val="fr-CA"/>
              </w:rPr>
              <w:t>Auton (Tutrice à l’instance de) c. Colombie</w:t>
            </w:r>
            <w:r w:rsidRPr="00911246">
              <w:rPr>
                <w:i/>
                <w:sz w:val="20"/>
                <w:szCs w:val="20"/>
                <w:lang w:val="fr-CA"/>
              </w:rPr>
              <w:noBreakHyphen/>
              <w:t>Britannique (Procureur général)</w:t>
            </w:r>
            <w:r w:rsidRPr="00911246">
              <w:rPr>
                <w:sz w:val="20"/>
                <w:szCs w:val="20"/>
                <w:lang w:val="fr-CA"/>
              </w:rPr>
              <w:t xml:space="preserve">, 2004 CSC 78, [2004] 3 R.C.S. 657, comme prescrivant une analyse étroite du groupe de comparaison qui mine les </w:t>
            </w:r>
            <w:r w:rsidRPr="00911246">
              <w:rPr>
                <w:sz w:val="20"/>
                <w:szCs w:val="20"/>
                <w:lang w:val="fr-CA"/>
              </w:rPr>
              <w:lastRenderedPageBreak/>
              <w:t xml:space="preserve">protections légales des droits de la personne, si bien que les personnes ayant des déficiences ne peuvent se comparer qu’à d’autres personnes ayant des déficiences? </w:t>
            </w:r>
            <w:r w:rsidRPr="00911246">
              <w:rPr>
                <w:sz w:val="20"/>
                <w:szCs w:val="20"/>
                <w:lang w:val="fr-CA"/>
              </w:rPr>
              <w:noBreakHyphen/>
              <w:t xml:space="preserve"> </w:t>
            </w:r>
            <w:r w:rsidRPr="00911246">
              <w:rPr>
                <w:i/>
                <w:sz w:val="20"/>
                <w:szCs w:val="20"/>
                <w:lang w:val="fr-CA"/>
              </w:rPr>
              <w:t>Human Rights Code</w:t>
            </w:r>
            <w:r w:rsidRPr="00911246">
              <w:rPr>
                <w:sz w:val="20"/>
                <w:szCs w:val="20"/>
                <w:lang w:val="fr-CA"/>
              </w:rPr>
              <w:t>, R.S.B.C. 1996, ch. 210, art. 8.</w:t>
            </w:r>
          </w:p>
        </w:tc>
      </w:tr>
    </w:tbl>
    <w:p w:rsidR="006E7F12" w:rsidRDefault="006E7F12" w:rsidP="006E7F12">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3278FC" w:rsidRPr="004A2E2B" w:rsidTr="00667631">
        <w:tc>
          <w:tcPr>
            <w:tcW w:w="4380" w:type="dxa"/>
            <w:tcMar>
              <w:left w:w="0" w:type="dxa"/>
              <w:right w:w="0" w:type="dxa"/>
            </w:tcMar>
          </w:tcPr>
          <w:p w:rsidR="003278FC" w:rsidRPr="00CC4D84" w:rsidRDefault="003278FC" w:rsidP="00667631">
            <w:pPr>
              <w:widowControl w:val="0"/>
              <w:jc w:val="both"/>
              <w:rPr>
                <w:b/>
                <w:sz w:val="20"/>
                <w:szCs w:val="20"/>
                <w:u w:val="single"/>
              </w:rPr>
            </w:pPr>
            <w:r w:rsidRPr="00CC4D84">
              <w:rPr>
                <w:b/>
                <w:sz w:val="20"/>
                <w:szCs w:val="20"/>
                <w:u w:val="single"/>
              </w:rPr>
              <w:t>Nature of the case</w:t>
            </w:r>
            <w:r>
              <w:rPr>
                <w:b/>
                <w:sz w:val="20"/>
                <w:szCs w:val="20"/>
                <w:u w:val="single"/>
              </w:rPr>
              <w:t xml:space="preserve"> - 34041</w:t>
            </w:r>
            <w:r w:rsidRPr="00CC4D84">
              <w:rPr>
                <w:b/>
                <w:sz w:val="20"/>
                <w:szCs w:val="20"/>
                <w:u w:val="single"/>
              </w:rPr>
              <w:t>:</w:t>
            </w:r>
          </w:p>
          <w:p w:rsidR="003278FC" w:rsidRPr="00C1697B" w:rsidRDefault="003278FC" w:rsidP="00667631">
            <w:pPr>
              <w:widowControl w:val="0"/>
              <w:jc w:val="both"/>
              <w:rPr>
                <w:b/>
                <w:sz w:val="20"/>
                <w:szCs w:val="20"/>
              </w:rPr>
            </w:pPr>
          </w:p>
          <w:p w:rsidR="003278FC" w:rsidRPr="00C1697B" w:rsidRDefault="0089341B" w:rsidP="00667631">
            <w:pPr>
              <w:widowControl w:val="0"/>
              <w:jc w:val="both"/>
              <w:rPr>
                <w:b/>
                <w:sz w:val="20"/>
                <w:szCs w:val="20"/>
              </w:rPr>
            </w:pPr>
            <w:r w:rsidRPr="006418C6">
              <w:rPr>
                <w:sz w:val="20"/>
                <w:szCs w:val="20"/>
              </w:rPr>
              <w:t xml:space="preserve">Human Rights </w:t>
            </w:r>
            <w:r w:rsidRPr="006418C6">
              <w:rPr>
                <w:sz w:val="20"/>
                <w:szCs w:val="20"/>
              </w:rPr>
              <w:noBreakHyphen/>
              <w:t xml:space="preserve"> Discriminatory practices </w:t>
            </w:r>
            <w:r w:rsidRPr="006418C6">
              <w:rPr>
                <w:sz w:val="20"/>
                <w:szCs w:val="20"/>
              </w:rPr>
              <w:noBreakHyphen/>
              <w:t xml:space="preserve"> Duty to accommodate </w:t>
            </w:r>
            <w:r w:rsidRPr="006418C6">
              <w:rPr>
                <w:sz w:val="20"/>
                <w:szCs w:val="20"/>
              </w:rPr>
              <w:noBreakHyphen/>
              <w:t xml:space="preserve"> Mental or physical disability </w:t>
            </w:r>
            <w:r w:rsidRPr="006418C6">
              <w:rPr>
                <w:sz w:val="20"/>
                <w:szCs w:val="20"/>
              </w:rPr>
              <w:noBreakHyphen/>
              <w:t xml:space="preserve"> Right to equality </w:t>
            </w:r>
            <w:r w:rsidRPr="006418C6">
              <w:rPr>
                <w:sz w:val="20"/>
                <w:szCs w:val="20"/>
              </w:rPr>
              <w:noBreakHyphen/>
              <w:t xml:space="preserve"> Goods and services </w:t>
            </w:r>
            <w:r w:rsidRPr="006418C6">
              <w:rPr>
                <w:sz w:val="20"/>
                <w:szCs w:val="20"/>
              </w:rPr>
              <w:noBreakHyphen/>
              <w:t xml:space="preserve"> Right to dignity </w:t>
            </w:r>
            <w:r w:rsidRPr="006418C6">
              <w:rPr>
                <w:sz w:val="20"/>
                <w:szCs w:val="20"/>
              </w:rPr>
              <w:noBreakHyphen/>
              <w:t xml:space="preserve"> How is the “service” in “service customarily available to the public” statutory human rights provisions construed? </w:t>
            </w:r>
            <w:r w:rsidRPr="006418C6">
              <w:rPr>
                <w:sz w:val="20"/>
                <w:szCs w:val="20"/>
              </w:rPr>
              <w:noBreakHyphen/>
              <w:t xml:space="preserve"> Did the majority of the BC Court of Appeal err by taking an overly narrow approach that undermines human rights protections </w:t>
            </w:r>
            <w:r w:rsidRPr="006418C6">
              <w:rPr>
                <w:sz w:val="20"/>
                <w:szCs w:val="20"/>
              </w:rPr>
              <w:noBreakHyphen/>
              <w:t xml:space="preserve"> How is the comparator chosen under statutory human rights legislation? </w:t>
            </w:r>
            <w:r w:rsidRPr="006418C6">
              <w:rPr>
                <w:sz w:val="20"/>
                <w:szCs w:val="20"/>
              </w:rPr>
              <w:noBreakHyphen/>
              <w:t xml:space="preserve"> Did the majority of the BC Court of Appeal err in interpreting </w:t>
            </w:r>
            <w:r w:rsidRPr="006418C6">
              <w:rPr>
                <w:i/>
                <w:sz w:val="20"/>
                <w:szCs w:val="20"/>
              </w:rPr>
              <w:t>Auton (Guardian ad Litem of) v. British Columbia (Attorney General)</w:t>
            </w:r>
            <w:r w:rsidRPr="006418C6">
              <w:rPr>
                <w:sz w:val="20"/>
                <w:szCs w:val="20"/>
              </w:rPr>
              <w:t xml:space="preserve">, 2004 SCC 78, [2004] 3 S.C.R. 657, as mandating a narrow approach to the comparator group that undermines statutory human rights protections, such that persons with disabilities can only compare themselves to others with disabilities? </w:t>
            </w:r>
            <w:r w:rsidRPr="006418C6">
              <w:rPr>
                <w:sz w:val="20"/>
                <w:szCs w:val="20"/>
              </w:rPr>
              <w:noBreakHyphen/>
              <w:t xml:space="preserve"> </w:t>
            </w:r>
            <w:r w:rsidRPr="006418C6">
              <w:rPr>
                <w:i/>
                <w:sz w:val="20"/>
                <w:szCs w:val="20"/>
              </w:rPr>
              <w:t>Human Rights Code</w:t>
            </w:r>
            <w:r w:rsidRPr="006418C6">
              <w:rPr>
                <w:sz w:val="20"/>
                <w:szCs w:val="20"/>
              </w:rPr>
              <w:t>, R.S.B.C. 1996, c. 210, s. 8.</w:t>
            </w:r>
          </w:p>
        </w:tc>
        <w:tc>
          <w:tcPr>
            <w:tcW w:w="720" w:type="dxa"/>
            <w:tcMar>
              <w:left w:w="0" w:type="dxa"/>
              <w:right w:w="0" w:type="dxa"/>
            </w:tcMar>
          </w:tcPr>
          <w:p w:rsidR="003278FC" w:rsidRPr="00C1697B" w:rsidRDefault="003278FC" w:rsidP="00667631">
            <w:pPr>
              <w:widowControl w:val="0"/>
              <w:jc w:val="center"/>
              <w:rPr>
                <w:sz w:val="20"/>
                <w:szCs w:val="20"/>
              </w:rPr>
            </w:pPr>
          </w:p>
        </w:tc>
        <w:tc>
          <w:tcPr>
            <w:tcW w:w="4380" w:type="dxa"/>
            <w:tcMar>
              <w:left w:w="0" w:type="dxa"/>
              <w:right w:w="0" w:type="dxa"/>
            </w:tcMar>
          </w:tcPr>
          <w:p w:rsidR="003278FC" w:rsidRPr="00CC4D84" w:rsidRDefault="003278FC" w:rsidP="00667631">
            <w:pPr>
              <w:widowControl w:val="0"/>
              <w:jc w:val="both"/>
              <w:rPr>
                <w:b/>
                <w:sz w:val="20"/>
                <w:szCs w:val="20"/>
                <w:u w:val="single"/>
                <w:lang w:val="fr-CA"/>
              </w:rPr>
            </w:pPr>
            <w:r w:rsidRPr="00CC4D84">
              <w:rPr>
                <w:b/>
                <w:sz w:val="20"/>
                <w:szCs w:val="20"/>
                <w:u w:val="single"/>
                <w:lang w:val="fr-CA"/>
              </w:rPr>
              <w:t xml:space="preserve">Nature de la cause </w:t>
            </w:r>
            <w:r>
              <w:rPr>
                <w:b/>
                <w:sz w:val="20"/>
                <w:szCs w:val="20"/>
                <w:u w:val="single"/>
                <w:lang w:val="fr-CA"/>
              </w:rPr>
              <w:t xml:space="preserve">- 34041 </w:t>
            </w:r>
            <w:r w:rsidRPr="00CC4D84">
              <w:rPr>
                <w:b/>
                <w:sz w:val="20"/>
                <w:szCs w:val="20"/>
                <w:u w:val="single"/>
                <w:lang w:val="fr-CA"/>
              </w:rPr>
              <w:t>:</w:t>
            </w:r>
          </w:p>
          <w:p w:rsidR="003278FC" w:rsidRPr="00C1697B" w:rsidRDefault="003278FC" w:rsidP="00667631">
            <w:pPr>
              <w:widowControl w:val="0"/>
              <w:jc w:val="both"/>
              <w:rPr>
                <w:sz w:val="20"/>
                <w:szCs w:val="20"/>
                <w:lang w:val="fr-CA"/>
              </w:rPr>
            </w:pPr>
          </w:p>
          <w:p w:rsidR="003278FC" w:rsidRPr="00C1697B" w:rsidRDefault="0089341B" w:rsidP="00667631">
            <w:pPr>
              <w:widowControl w:val="0"/>
              <w:jc w:val="both"/>
              <w:rPr>
                <w:sz w:val="20"/>
                <w:szCs w:val="20"/>
                <w:lang w:val="fr-CA"/>
              </w:rPr>
            </w:pPr>
            <w:r w:rsidRPr="00207A03">
              <w:rPr>
                <w:sz w:val="20"/>
                <w:szCs w:val="20"/>
                <w:lang w:val="fr-CA"/>
              </w:rPr>
              <w:t xml:space="preserve">Droits de la personne </w:t>
            </w:r>
            <w:r w:rsidRPr="00207A03">
              <w:rPr>
                <w:sz w:val="20"/>
                <w:szCs w:val="20"/>
                <w:lang w:val="fr-CA"/>
              </w:rPr>
              <w:noBreakHyphen/>
              <w:t xml:space="preserve"> Pratiques discriminatoires </w:t>
            </w:r>
            <w:r w:rsidRPr="00207A03">
              <w:rPr>
                <w:sz w:val="20"/>
                <w:szCs w:val="20"/>
                <w:lang w:val="fr-CA"/>
              </w:rPr>
              <w:noBreakHyphen/>
              <w:t xml:space="preserve"> Obligation d’accommodement </w:t>
            </w:r>
            <w:r w:rsidRPr="00207A03">
              <w:rPr>
                <w:sz w:val="20"/>
                <w:szCs w:val="20"/>
                <w:lang w:val="fr-CA"/>
              </w:rPr>
              <w:noBreakHyphen/>
              <w:t xml:space="preserve"> Déficience mentale ou physique </w:t>
            </w:r>
            <w:r w:rsidRPr="00207A03">
              <w:rPr>
                <w:sz w:val="20"/>
                <w:szCs w:val="20"/>
                <w:lang w:val="fr-CA"/>
              </w:rPr>
              <w:noBreakHyphen/>
              <w:t xml:space="preserve"> Droit à l’égalité </w:t>
            </w:r>
            <w:r w:rsidRPr="00207A03">
              <w:rPr>
                <w:sz w:val="20"/>
                <w:szCs w:val="20"/>
                <w:lang w:val="fr-CA"/>
              </w:rPr>
              <w:noBreakHyphen/>
              <w:t xml:space="preserve"> Biens et services </w:t>
            </w:r>
            <w:r w:rsidRPr="00207A03">
              <w:rPr>
                <w:sz w:val="20"/>
                <w:szCs w:val="20"/>
                <w:lang w:val="fr-CA"/>
              </w:rPr>
              <w:noBreakHyphen/>
              <w:t xml:space="preserve"> Droit à la dignité </w:t>
            </w:r>
            <w:r w:rsidRPr="00207A03">
              <w:rPr>
                <w:sz w:val="20"/>
                <w:szCs w:val="20"/>
                <w:lang w:val="fr-CA"/>
              </w:rPr>
              <w:noBreakHyphen/>
              <w:t xml:space="preserve"> Comment doit</w:t>
            </w:r>
            <w:r w:rsidRPr="00207A03">
              <w:rPr>
                <w:sz w:val="20"/>
                <w:szCs w:val="20"/>
                <w:lang w:val="fr-CA"/>
              </w:rPr>
              <w:noBreakHyphen/>
              <w:t>on interpréter le mot « service » dans l’expression [</w:t>
            </w:r>
            <w:r w:rsidRPr="00207A03">
              <w:rPr>
                <w:smallCaps/>
                <w:sz w:val="20"/>
                <w:szCs w:val="20"/>
                <w:lang w:val="fr-CA"/>
              </w:rPr>
              <w:t>traduction</w:t>
            </w:r>
            <w:r w:rsidRPr="00207A03">
              <w:rPr>
                <w:sz w:val="20"/>
                <w:szCs w:val="20"/>
                <w:lang w:val="fr-CA"/>
              </w:rPr>
              <w:t xml:space="preserve">] « service habituellement offert au public » prévue dans le texte de loi sur les droits de la personne? </w:t>
            </w:r>
            <w:r w:rsidRPr="00207A03">
              <w:rPr>
                <w:sz w:val="20"/>
                <w:szCs w:val="20"/>
                <w:lang w:val="fr-CA"/>
              </w:rPr>
              <w:noBreakHyphen/>
              <w:t xml:space="preserve"> Les juges majoritaires de la Cour d’appel de la Colombie</w:t>
            </w:r>
            <w:r w:rsidRPr="00207A03">
              <w:rPr>
                <w:sz w:val="20"/>
                <w:szCs w:val="20"/>
                <w:lang w:val="fr-CA"/>
              </w:rPr>
              <w:noBreakHyphen/>
              <w:t>Britannique ont</w:t>
            </w:r>
            <w:r w:rsidRPr="00207A03">
              <w:rPr>
                <w:sz w:val="20"/>
                <w:szCs w:val="20"/>
                <w:lang w:val="fr-CA"/>
              </w:rPr>
              <w:noBreakHyphen/>
              <w:t xml:space="preserve">ils commis une erreur en adoptant une approche trop étroite qui mine les protections des droits de la personne? </w:t>
            </w:r>
            <w:r w:rsidRPr="00207A03">
              <w:rPr>
                <w:sz w:val="20"/>
                <w:szCs w:val="20"/>
                <w:lang w:val="fr-CA"/>
              </w:rPr>
              <w:noBreakHyphen/>
              <w:t xml:space="preserve"> Comment le groupe de comparaison est</w:t>
            </w:r>
            <w:r w:rsidRPr="00207A03">
              <w:rPr>
                <w:sz w:val="20"/>
                <w:szCs w:val="20"/>
                <w:lang w:val="fr-CA"/>
              </w:rPr>
              <w:noBreakHyphen/>
              <w:t xml:space="preserve">il choisi au regard de la législation sur les droits de la personne? </w:t>
            </w:r>
            <w:r w:rsidRPr="00207A03">
              <w:rPr>
                <w:sz w:val="20"/>
                <w:szCs w:val="20"/>
                <w:lang w:val="fr-CA"/>
              </w:rPr>
              <w:noBreakHyphen/>
              <w:t xml:space="preserve"> Les juges majoritaires de la Cour d’appel de la Colombie</w:t>
            </w:r>
            <w:r w:rsidRPr="00207A03">
              <w:rPr>
                <w:sz w:val="20"/>
                <w:szCs w:val="20"/>
                <w:lang w:val="fr-CA"/>
              </w:rPr>
              <w:noBreakHyphen/>
              <w:t>Britannique ont</w:t>
            </w:r>
            <w:r w:rsidRPr="00207A03">
              <w:rPr>
                <w:sz w:val="20"/>
                <w:szCs w:val="20"/>
                <w:lang w:val="fr-CA"/>
              </w:rPr>
              <w:noBreakHyphen/>
              <w:t xml:space="preserve">ils commis une erreur en interprétant l’arrêt </w:t>
            </w:r>
            <w:r w:rsidRPr="00207A03">
              <w:rPr>
                <w:i/>
                <w:sz w:val="20"/>
                <w:szCs w:val="20"/>
                <w:lang w:val="fr-CA"/>
              </w:rPr>
              <w:t>Auton (Tutrice à l’instance de) c. Colombie</w:t>
            </w:r>
            <w:r w:rsidRPr="00207A03">
              <w:rPr>
                <w:i/>
                <w:sz w:val="20"/>
                <w:szCs w:val="20"/>
                <w:lang w:val="fr-CA"/>
              </w:rPr>
              <w:noBreakHyphen/>
              <w:t>Britannique (Procureur général)</w:t>
            </w:r>
            <w:r w:rsidRPr="00207A03">
              <w:rPr>
                <w:sz w:val="20"/>
                <w:szCs w:val="20"/>
                <w:lang w:val="fr-CA"/>
              </w:rPr>
              <w:t xml:space="preserve">, 2004 CSC 78, [2004] 3 R.C.S. 657, comme prescrivant une analyse étroite du groupe de comparaison qui mine les protections légales des droits de la personne, si bien que les personnes ayant des déficiences ne peuvent se comparer qu’à d’autres personnes ayant des déficiences? </w:t>
            </w:r>
            <w:r w:rsidRPr="00207A03">
              <w:rPr>
                <w:sz w:val="20"/>
                <w:szCs w:val="20"/>
                <w:lang w:val="fr-CA"/>
              </w:rPr>
              <w:noBreakHyphen/>
              <w:t xml:space="preserve"> </w:t>
            </w:r>
            <w:r w:rsidRPr="00207A03">
              <w:rPr>
                <w:i/>
                <w:sz w:val="20"/>
                <w:szCs w:val="20"/>
                <w:lang w:val="fr-CA"/>
              </w:rPr>
              <w:t>Human Rights Code</w:t>
            </w:r>
            <w:r w:rsidRPr="00207A03">
              <w:rPr>
                <w:sz w:val="20"/>
                <w:szCs w:val="20"/>
                <w:lang w:val="fr-CA"/>
              </w:rPr>
              <w:t>, R.S.B.C. 1996, ch. 210, art. 8.</w:t>
            </w:r>
          </w:p>
        </w:tc>
      </w:tr>
    </w:tbl>
    <w:p w:rsidR="003278FC" w:rsidRDefault="003278FC" w:rsidP="006E7F12">
      <w:pPr>
        <w:widowControl w:val="0"/>
        <w:rPr>
          <w:sz w:val="20"/>
          <w:szCs w:val="20"/>
          <w:lang w:val="fr-CA"/>
        </w:rPr>
      </w:pPr>
    </w:p>
    <w:p w:rsidR="006E7F12" w:rsidRDefault="0011031E" w:rsidP="006E7F12">
      <w:pPr>
        <w:widowControl w:val="0"/>
        <w:rPr>
          <w:sz w:val="20"/>
          <w:szCs w:val="20"/>
        </w:rPr>
      </w:pPr>
      <w:r w:rsidRPr="0011031E">
        <w:rPr>
          <w:sz w:val="20"/>
          <w:szCs w:val="20"/>
          <w:lang w:val="fr-CA"/>
        </w:rPr>
        <w:pict>
          <v:rect id="_x0000_i1069" style="width:2in;height:1pt" o:hrpct="0" o:hralign="center" o:hrstd="t" o:hrnoshade="t" o:hr="t" fillcolor="black [3213]" stroked="f"/>
        </w:pict>
      </w:r>
    </w:p>
    <w:p w:rsidR="006E7F12" w:rsidRDefault="006E7F12" w:rsidP="006E7F12">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9D4740"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sz w:val="20"/>
          <w:szCs w:val="20"/>
          <w:lang w:val="fr-CA"/>
        </w:rPr>
      </w:pPr>
    </w:p>
    <w:p w:rsidR="00197CDB" w:rsidRPr="00197CDB" w:rsidRDefault="00197CDB" w:rsidP="00FF6EEC">
      <w:pPr>
        <w:rPr>
          <w:b/>
          <w:sz w:val="20"/>
          <w:szCs w:val="20"/>
          <w:lang w:val="fr-CA"/>
        </w:rPr>
      </w:pPr>
      <w:r>
        <w:rPr>
          <w:b/>
          <w:sz w:val="20"/>
          <w:szCs w:val="20"/>
          <w:lang w:val="fr-CA"/>
        </w:rPr>
        <w:t>MARCH 22, 2012 / LE 22 MARS 2012</w:t>
      </w:r>
    </w:p>
    <w:p w:rsidR="00197CDB" w:rsidRDefault="00197CDB" w:rsidP="00FF6EEC">
      <w:pPr>
        <w:rPr>
          <w:sz w:val="20"/>
          <w:szCs w:val="20"/>
          <w:lang w:val="fr-CA"/>
        </w:rPr>
      </w:pPr>
    </w:p>
    <w:p w:rsidR="00D50228" w:rsidRPr="00D50228" w:rsidRDefault="00D50228" w:rsidP="00D50228">
      <w:pPr>
        <w:ind w:left="1440" w:hanging="1440"/>
        <w:jc w:val="both"/>
        <w:rPr>
          <w:rStyle w:val="Hyperlink"/>
          <w:rFonts w:eastAsia="Calibri" w:cs="Times New Roman"/>
          <w:color w:val="auto"/>
          <w:sz w:val="20"/>
          <w:szCs w:val="20"/>
          <w:lang w:val="fr-CA"/>
        </w:rPr>
      </w:pPr>
      <w:r w:rsidRPr="00C75EAD">
        <w:rPr>
          <w:rFonts w:eastAsia="Calibri" w:cs="Times New Roman"/>
          <w:b/>
          <w:sz w:val="20"/>
          <w:szCs w:val="20"/>
          <w:lang w:val="fr-CA"/>
        </w:rPr>
        <w:t>33594</w:t>
      </w:r>
      <w:r w:rsidRPr="00C75EAD">
        <w:rPr>
          <w:rFonts w:eastAsia="Calibri" w:cs="Times New Roman"/>
          <w:b/>
          <w:sz w:val="20"/>
          <w:szCs w:val="20"/>
          <w:lang w:val="fr-CA"/>
        </w:rPr>
        <w:tab/>
      </w:r>
      <w:r w:rsidRPr="00C75EAD">
        <w:rPr>
          <w:rFonts w:eastAsia="Calibri" w:cs="Times New Roman"/>
          <w:b/>
          <w:iCs/>
          <w:sz w:val="20"/>
          <w:szCs w:val="20"/>
          <w:u w:val="single"/>
          <w:lang w:val="fr-CA"/>
        </w:rPr>
        <w:t>Gilles Doré c. Pierre Bernard, ès qualités de syndic adjoint du Barreau du Québec, Tribunal des professions et procureur général du Québec – et – Fédération des ordres professionnels de juristes du Canada, Association canadienne des libertés civiles et Association du Jeune Barreau de Montréal</w:t>
      </w:r>
      <w:r w:rsidRPr="00C75EAD">
        <w:rPr>
          <w:rFonts w:eastAsia="Calibri" w:cs="Times New Roman"/>
          <w:b/>
          <w:iCs/>
          <w:sz w:val="20"/>
          <w:szCs w:val="20"/>
          <w:lang w:val="fr-CA"/>
        </w:rPr>
        <w:t xml:space="preserve"> </w:t>
      </w:r>
      <w:r w:rsidRPr="00C75EAD">
        <w:rPr>
          <w:rFonts w:eastAsia="Calibri" w:cs="Times New Roman"/>
          <w:sz w:val="20"/>
          <w:szCs w:val="20"/>
          <w:lang w:val="fr-CA"/>
        </w:rPr>
        <w:t>(Qc)</w:t>
      </w:r>
    </w:p>
    <w:p w:rsidR="00D50228" w:rsidRPr="00C75EAD" w:rsidRDefault="00D50228" w:rsidP="00D50228">
      <w:pPr>
        <w:ind w:left="1440" w:hanging="1440"/>
        <w:jc w:val="both"/>
        <w:rPr>
          <w:rFonts w:eastAsia="Calibri" w:cs="Times New Roman"/>
          <w:b/>
          <w:sz w:val="20"/>
          <w:szCs w:val="20"/>
          <w:lang w:val="fr-CA"/>
        </w:rPr>
      </w:pPr>
      <w:r w:rsidRPr="00C75EAD">
        <w:rPr>
          <w:rFonts w:eastAsia="Calibri" w:cs="Times New Roman"/>
          <w:b/>
          <w:sz w:val="20"/>
          <w:szCs w:val="20"/>
          <w:lang w:val="fr-CA"/>
        </w:rPr>
        <w:tab/>
        <w:t>2012 SCC 12 / 2012 CSC 12</w:t>
      </w:r>
    </w:p>
    <w:p w:rsidR="00D50228" w:rsidRPr="00C75EAD" w:rsidRDefault="00D50228" w:rsidP="00D50228">
      <w:pPr>
        <w:ind w:left="1440" w:hanging="1440"/>
        <w:jc w:val="both"/>
        <w:rPr>
          <w:rFonts w:eastAsia="Calibri" w:cs="Times New Roman"/>
          <w:b/>
          <w:sz w:val="20"/>
          <w:szCs w:val="20"/>
          <w:lang w:val="fr-CA"/>
        </w:rPr>
      </w:pPr>
    </w:p>
    <w:p w:rsidR="00D50228" w:rsidRPr="00C75EAD" w:rsidRDefault="00D50228" w:rsidP="005C4800">
      <w:pPr>
        <w:ind w:left="1440" w:hanging="1440"/>
        <w:jc w:val="both"/>
        <w:rPr>
          <w:rFonts w:eastAsia="Calibri" w:cs="Times New Roman"/>
          <w:sz w:val="20"/>
          <w:szCs w:val="20"/>
          <w:u w:val="single"/>
          <w:lang w:val="fr-CA"/>
        </w:rPr>
      </w:pPr>
      <w:r w:rsidRPr="00C75EAD">
        <w:rPr>
          <w:rFonts w:eastAsia="Calibri" w:cs="Times New Roman"/>
          <w:sz w:val="20"/>
          <w:szCs w:val="20"/>
          <w:lang w:val="fr-CA"/>
        </w:rPr>
        <w:t>Coram:</w:t>
      </w:r>
      <w:r w:rsidR="005C4800">
        <w:rPr>
          <w:rFonts w:eastAsia="Calibri" w:cs="Times New Roman"/>
          <w:sz w:val="20"/>
          <w:szCs w:val="20"/>
          <w:lang w:val="fr-CA"/>
        </w:rPr>
        <w:tab/>
      </w:r>
      <w:r w:rsidRPr="00C75EAD">
        <w:rPr>
          <w:rFonts w:eastAsia="Calibri" w:cs="Times New Roman"/>
          <w:sz w:val="20"/>
          <w:szCs w:val="20"/>
          <w:u w:val="single"/>
          <w:lang w:val="fr-CA"/>
        </w:rPr>
        <w:t xml:space="preserve">La juge en chef McLachlin et les juges Binnie, LeBel, Fish, Abella, Rothstein et Cromwell </w:t>
      </w:r>
    </w:p>
    <w:p w:rsidR="00D50228" w:rsidRPr="00C75EAD" w:rsidRDefault="00D50228" w:rsidP="00D5022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lang w:val="fr-CA"/>
        </w:rPr>
      </w:pPr>
    </w:p>
    <w:p w:rsidR="00D50228" w:rsidRPr="00C75EAD" w:rsidRDefault="00D50228" w:rsidP="00D50228">
      <w:pPr>
        <w:jc w:val="both"/>
        <w:rPr>
          <w:rFonts w:eastAsia="Calibri" w:cs="Times New Roman"/>
          <w:sz w:val="20"/>
          <w:szCs w:val="20"/>
          <w:lang w:val="fr-CA"/>
        </w:rPr>
      </w:pPr>
      <w:r w:rsidRPr="00C75EAD">
        <w:rPr>
          <w:rFonts w:eastAsia="Calibri" w:cs="Times New Roman"/>
          <w:sz w:val="20"/>
          <w:szCs w:val="20"/>
          <w:lang w:val="fr-CA"/>
        </w:rPr>
        <w:t>L’appel interjeté contre l’arrêt de la Cour d’appel du Québec (Montréal), numéro 500-09-018836-080, 2010 QCCA 24, en date du 13 janvier 2010, entendu le 26 janvier 2011, est rejeté avec dépens.</w:t>
      </w:r>
    </w:p>
    <w:p w:rsidR="00D50228" w:rsidRPr="00C75EAD" w:rsidRDefault="00D50228" w:rsidP="00D50228">
      <w:pPr>
        <w:jc w:val="both"/>
        <w:rPr>
          <w:rFonts w:eastAsia="Calibri" w:cs="Times New Roman"/>
          <w:sz w:val="20"/>
          <w:szCs w:val="20"/>
          <w:lang w:val="fr-CA"/>
        </w:rPr>
      </w:pPr>
    </w:p>
    <w:p w:rsidR="00D50228" w:rsidRPr="00C75EAD" w:rsidRDefault="00D50228" w:rsidP="00D50228">
      <w:pPr>
        <w:jc w:val="both"/>
        <w:rPr>
          <w:rFonts w:eastAsia="Calibri" w:cs="Times New Roman"/>
          <w:sz w:val="20"/>
          <w:szCs w:val="20"/>
        </w:rPr>
      </w:pPr>
      <w:r w:rsidRPr="00C75EAD">
        <w:rPr>
          <w:rFonts w:eastAsia="Calibri" w:cs="Times New Roman"/>
          <w:sz w:val="20"/>
          <w:szCs w:val="20"/>
        </w:rPr>
        <w:t>The appeal from the judgment of the Court of Appeal of Quebec (Montréal), Number 500-09-018836-080, 2010 QCCA 24, dated January 13, 2010, heard on January 26, 2011, is dismissed with costs.</w:t>
      </w:r>
    </w:p>
    <w:p w:rsidR="00D50228" w:rsidRPr="00D50228" w:rsidRDefault="00D50228" w:rsidP="00FF6EEC">
      <w:pPr>
        <w:rPr>
          <w:sz w:val="20"/>
          <w:szCs w:val="20"/>
        </w:rPr>
      </w:pPr>
    </w:p>
    <w:p w:rsidR="00D50228" w:rsidRPr="00D50228" w:rsidRDefault="0011031E" w:rsidP="00FF6EEC">
      <w:pPr>
        <w:rPr>
          <w:sz w:val="20"/>
          <w:szCs w:val="20"/>
        </w:rPr>
      </w:pPr>
      <w:r w:rsidRPr="0011031E">
        <w:rPr>
          <w:b/>
          <w:sz w:val="20"/>
          <w:szCs w:val="20"/>
        </w:rPr>
        <w:pict>
          <v:rect id="_x0000_i1072" style="width:144.3pt;height:1pt" o:hrpct="300" o:hralign="center" o:hrstd="t" o:hrnoshade="t" o:hr="t" fillcolor="black [3213]" stroked="f"/>
        </w:pict>
      </w:r>
    </w:p>
    <w:p w:rsidR="00D50228" w:rsidRPr="00D50228" w:rsidRDefault="00D50228" w:rsidP="00FF6EEC">
      <w:pPr>
        <w:rPr>
          <w:sz w:val="20"/>
          <w:szCs w:val="20"/>
        </w:rPr>
      </w:pPr>
    </w:p>
    <w:p w:rsidR="00AF1715" w:rsidRPr="006C5F7A" w:rsidRDefault="00197CDB" w:rsidP="00AF1715">
      <w:pPr>
        <w:spacing w:line="0" w:lineRule="atLeast"/>
        <w:rPr>
          <w:rFonts w:cs="Times New Roman"/>
          <w:b/>
          <w:sz w:val="20"/>
          <w:szCs w:val="20"/>
        </w:rPr>
      </w:pPr>
      <w:r>
        <w:rPr>
          <w:rFonts w:cs="Times New Roman"/>
          <w:b/>
          <w:sz w:val="20"/>
          <w:szCs w:val="20"/>
        </w:rPr>
        <w:t>MARCH 23, 2012 / LE 23 MARS 2012</w:t>
      </w:r>
    </w:p>
    <w:p w:rsidR="00AF1715" w:rsidRPr="00197CDB" w:rsidRDefault="00AF1715" w:rsidP="00AF1715">
      <w:pPr>
        <w:spacing w:line="0" w:lineRule="atLeast"/>
        <w:rPr>
          <w:rFonts w:cs="Times New Roman"/>
          <w:sz w:val="20"/>
          <w:szCs w:val="20"/>
        </w:rPr>
      </w:pPr>
    </w:p>
    <w:p w:rsidR="005C4800" w:rsidRPr="006A2B1A" w:rsidRDefault="005C4800" w:rsidP="005C4800">
      <w:pPr>
        <w:ind w:left="1440" w:hanging="1440"/>
        <w:jc w:val="both"/>
        <w:rPr>
          <w:rFonts w:eastAsia="Calibri" w:cs="Times New Roman"/>
          <w:sz w:val="20"/>
          <w:szCs w:val="20"/>
        </w:rPr>
      </w:pPr>
      <w:r w:rsidRPr="006A2B1A">
        <w:rPr>
          <w:rFonts w:eastAsia="Calibri" w:cs="Times New Roman"/>
          <w:b/>
          <w:sz w:val="20"/>
          <w:szCs w:val="20"/>
        </w:rPr>
        <w:t>33650</w:t>
      </w:r>
      <w:r w:rsidRPr="006A2B1A">
        <w:rPr>
          <w:rFonts w:eastAsia="Calibri" w:cs="Times New Roman"/>
          <w:b/>
          <w:sz w:val="20"/>
          <w:szCs w:val="20"/>
        </w:rPr>
        <w:tab/>
      </w:r>
      <w:r w:rsidRPr="006A2B1A">
        <w:rPr>
          <w:rFonts w:eastAsia="Calibri" w:cs="Times New Roman"/>
          <w:b/>
          <w:sz w:val="20"/>
          <w:szCs w:val="20"/>
          <w:u w:val="single"/>
        </w:rPr>
        <w:t>Manasie Ipeelee v. Her Majesty The Queen – and – Director of Public Prosecutions and Aboriginal Legal Services of Toronto Inc.</w:t>
      </w:r>
      <w:r w:rsidRPr="006A2B1A">
        <w:rPr>
          <w:rFonts w:eastAsia="Calibri" w:cs="Times New Roman"/>
          <w:b/>
          <w:sz w:val="20"/>
          <w:szCs w:val="20"/>
        </w:rPr>
        <w:t xml:space="preserve"> </w:t>
      </w:r>
      <w:r w:rsidRPr="006A2B1A">
        <w:rPr>
          <w:rFonts w:eastAsia="Calibri" w:cs="Times New Roman"/>
          <w:sz w:val="20"/>
          <w:szCs w:val="20"/>
        </w:rPr>
        <w:t xml:space="preserve">(Ont.) </w:t>
      </w:r>
    </w:p>
    <w:p w:rsidR="005C4800" w:rsidRPr="006A2B1A" w:rsidRDefault="005C4800" w:rsidP="005C4800">
      <w:pPr>
        <w:ind w:left="1440" w:hanging="1440"/>
        <w:jc w:val="both"/>
        <w:rPr>
          <w:rFonts w:eastAsia="Calibri" w:cs="Times New Roman"/>
          <w:b/>
          <w:sz w:val="20"/>
          <w:szCs w:val="20"/>
        </w:rPr>
      </w:pPr>
      <w:r w:rsidRPr="006A2B1A">
        <w:rPr>
          <w:rFonts w:eastAsia="Calibri" w:cs="Times New Roman"/>
          <w:b/>
          <w:sz w:val="20"/>
          <w:szCs w:val="20"/>
        </w:rPr>
        <w:tab/>
        <w:t>2012 SCC 13 / 2012 CSC 13</w:t>
      </w:r>
    </w:p>
    <w:p w:rsidR="005C4800" w:rsidRPr="006A2B1A" w:rsidRDefault="005C4800" w:rsidP="005C4800">
      <w:pPr>
        <w:ind w:left="1440" w:hanging="1440"/>
        <w:jc w:val="both"/>
        <w:rPr>
          <w:rFonts w:eastAsia="Calibri" w:cs="Times New Roman"/>
          <w:b/>
          <w:sz w:val="20"/>
          <w:szCs w:val="20"/>
        </w:rPr>
      </w:pPr>
    </w:p>
    <w:p w:rsidR="005C4800" w:rsidRPr="006A2B1A" w:rsidRDefault="005C4800" w:rsidP="005C4800">
      <w:pPr>
        <w:ind w:left="1440" w:hanging="1440"/>
        <w:jc w:val="both"/>
        <w:rPr>
          <w:rFonts w:eastAsia="Calibri" w:cs="Times New Roman"/>
          <w:sz w:val="20"/>
          <w:szCs w:val="20"/>
          <w:u w:val="single"/>
        </w:rPr>
      </w:pPr>
      <w:r w:rsidRPr="006A2B1A">
        <w:rPr>
          <w:rFonts w:eastAsia="Calibri" w:cs="Times New Roman"/>
          <w:sz w:val="20"/>
          <w:szCs w:val="20"/>
        </w:rPr>
        <w:t>Coram:</w:t>
      </w:r>
      <w:r>
        <w:rPr>
          <w:sz w:val="20"/>
          <w:szCs w:val="20"/>
        </w:rPr>
        <w:tab/>
      </w:r>
      <w:r w:rsidRPr="006A2B1A">
        <w:rPr>
          <w:rFonts w:eastAsia="Calibri" w:cs="Times New Roman"/>
          <w:sz w:val="20"/>
          <w:szCs w:val="20"/>
          <w:u w:val="single"/>
        </w:rPr>
        <w:t>McLachlin C.J. and Binnie, LeBel, Deschamps, Fish, Abella and Rothstein JJ.</w:t>
      </w:r>
    </w:p>
    <w:p w:rsidR="005C4800" w:rsidRPr="006A2B1A" w:rsidRDefault="005C4800" w:rsidP="005C480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5C4800" w:rsidRPr="006A2B1A" w:rsidRDefault="005C4800" w:rsidP="005C4800">
      <w:pPr>
        <w:jc w:val="both"/>
        <w:rPr>
          <w:rFonts w:eastAsia="Calibri" w:cs="Times New Roman"/>
          <w:sz w:val="20"/>
          <w:szCs w:val="20"/>
          <w:lang w:val="fr-CA"/>
        </w:rPr>
      </w:pPr>
      <w:r w:rsidRPr="006A2B1A">
        <w:rPr>
          <w:rFonts w:eastAsia="Calibri" w:cs="Times New Roman"/>
          <w:sz w:val="20"/>
          <w:szCs w:val="20"/>
        </w:rPr>
        <w:t xml:space="preserve">The appeal from the judgment </w:t>
      </w:r>
      <w:bookmarkStart w:id="1" w:name="BM_1_"/>
      <w:bookmarkEnd w:id="1"/>
      <w:r w:rsidRPr="006A2B1A">
        <w:rPr>
          <w:rFonts w:eastAsia="Calibri" w:cs="Times New Roman"/>
          <w:sz w:val="20"/>
          <w:szCs w:val="20"/>
        </w:rPr>
        <w:t xml:space="preserve">of the Court of Appeal for Ontario, Number C50429, 2009 ONCA 892, dated December 15, 2009, heard on October 17, 2011, is allowed and a sentence of one year’s imprisonment is substituted. </w:t>
      </w:r>
      <w:r w:rsidRPr="006A2B1A">
        <w:rPr>
          <w:rFonts w:eastAsia="Calibri" w:cs="Times New Roman"/>
          <w:sz w:val="20"/>
          <w:szCs w:val="20"/>
          <w:lang w:val="fr-CA"/>
        </w:rPr>
        <w:t>Rothstein J. is dissenting.</w:t>
      </w:r>
    </w:p>
    <w:p w:rsidR="005C4800" w:rsidRPr="006A2B1A" w:rsidRDefault="005C4800" w:rsidP="005C4800">
      <w:pPr>
        <w:jc w:val="both"/>
        <w:rPr>
          <w:rFonts w:eastAsia="Calibri" w:cs="Times New Roman"/>
          <w:sz w:val="20"/>
          <w:szCs w:val="20"/>
          <w:lang w:val="fr-CA"/>
        </w:rPr>
      </w:pPr>
    </w:p>
    <w:p w:rsidR="005C4800" w:rsidRPr="006A2B1A" w:rsidRDefault="005C4800" w:rsidP="005C4800">
      <w:pPr>
        <w:jc w:val="both"/>
        <w:rPr>
          <w:rFonts w:eastAsia="Calibri" w:cs="Times New Roman"/>
          <w:sz w:val="20"/>
          <w:szCs w:val="20"/>
          <w:lang w:val="fr-CA"/>
        </w:rPr>
      </w:pPr>
      <w:r w:rsidRPr="006A2B1A">
        <w:rPr>
          <w:rFonts w:eastAsia="Calibri" w:cs="Times New Roman"/>
          <w:sz w:val="20"/>
          <w:szCs w:val="20"/>
          <w:lang w:val="fr-CA"/>
        </w:rPr>
        <w:t>L’appel interjeté contre l’arrêt de la Cour d’appel de l’Ontario, numéro C50429, 2009 ONCA 892, en date du 15 décembre 2009, entendu le 17 octobre 2011, est accueilli et la peine est remplacée par un an d’emprisonnement. Le juge Rothstein est dissident.</w:t>
      </w:r>
    </w:p>
    <w:p w:rsidR="00AF1715" w:rsidRPr="00197CDB" w:rsidRDefault="00AF1715" w:rsidP="00AF1715">
      <w:pPr>
        <w:spacing w:line="0" w:lineRule="atLeast"/>
        <w:rPr>
          <w:rFonts w:cs="Times New Roman"/>
          <w:sz w:val="20"/>
          <w:szCs w:val="20"/>
        </w:rPr>
      </w:pPr>
    </w:p>
    <w:p w:rsidR="00197CDB" w:rsidRPr="00197CDB" w:rsidRDefault="0011031E" w:rsidP="00AF1715">
      <w:pPr>
        <w:spacing w:line="0" w:lineRule="atLeast"/>
        <w:rPr>
          <w:rFonts w:cs="Times New Roman"/>
          <w:sz w:val="20"/>
          <w:szCs w:val="20"/>
        </w:rPr>
      </w:pPr>
      <w:r w:rsidRPr="0011031E">
        <w:rPr>
          <w:rFonts w:cs="Times New Roman"/>
          <w:b/>
          <w:sz w:val="20"/>
          <w:szCs w:val="20"/>
        </w:rPr>
        <w:pict>
          <v:rect id="_x0000_i1073" style="width:144.3pt;height:1pt" o:hrpct="300" o:hralign="center" o:hrstd="t" o:hrnoshade="t" o:hr="t" fillcolor="black [3213]" stroked="f"/>
        </w:pict>
      </w:r>
    </w:p>
    <w:p w:rsidR="00197CDB" w:rsidRPr="00197CDB" w:rsidRDefault="00197CDB" w:rsidP="00AF1715">
      <w:pPr>
        <w:spacing w:line="0" w:lineRule="atLeast"/>
        <w:rPr>
          <w:rFonts w:cs="Times New Roman"/>
          <w:sz w:val="20"/>
          <w:szCs w:val="20"/>
        </w:rPr>
      </w:pPr>
    </w:p>
    <w:p w:rsidR="005C4800" w:rsidRPr="006A2B1A" w:rsidRDefault="005C4800" w:rsidP="005C4800">
      <w:pPr>
        <w:ind w:left="1440" w:hanging="1440"/>
        <w:jc w:val="both"/>
        <w:rPr>
          <w:rFonts w:eastAsia="Calibri" w:cs="Times New Roman"/>
          <w:sz w:val="20"/>
          <w:szCs w:val="20"/>
        </w:rPr>
      </w:pPr>
      <w:r w:rsidRPr="006A2B1A">
        <w:rPr>
          <w:rFonts w:eastAsia="Calibri" w:cs="Times New Roman"/>
          <w:b/>
          <w:sz w:val="20"/>
          <w:szCs w:val="20"/>
        </w:rPr>
        <w:t>34245</w:t>
      </w:r>
      <w:r w:rsidRPr="006A2B1A">
        <w:rPr>
          <w:rFonts w:eastAsia="Calibri" w:cs="Times New Roman"/>
          <w:b/>
          <w:sz w:val="20"/>
          <w:szCs w:val="20"/>
        </w:rPr>
        <w:tab/>
      </w:r>
      <w:r w:rsidRPr="006A2B1A">
        <w:rPr>
          <w:rFonts w:eastAsia="Calibri" w:cs="Times New Roman"/>
          <w:b/>
          <w:sz w:val="20"/>
          <w:szCs w:val="20"/>
          <w:u w:val="single"/>
        </w:rPr>
        <w:t>Her Majesty The Queen v. Frank Ralph Ladue – and – British Columbia Civil Liberties Association and Canadian Civil Liberties Association</w:t>
      </w:r>
      <w:r w:rsidRPr="006A2B1A">
        <w:rPr>
          <w:rFonts w:eastAsia="Calibri" w:cs="Times New Roman"/>
          <w:b/>
          <w:sz w:val="20"/>
          <w:szCs w:val="20"/>
        </w:rPr>
        <w:t xml:space="preserve"> </w:t>
      </w:r>
      <w:r w:rsidRPr="006A2B1A">
        <w:rPr>
          <w:rFonts w:eastAsia="Calibri" w:cs="Times New Roman"/>
          <w:sz w:val="20"/>
          <w:szCs w:val="20"/>
        </w:rPr>
        <w:t xml:space="preserve">(B.C.) </w:t>
      </w:r>
    </w:p>
    <w:p w:rsidR="005C4800" w:rsidRPr="006A2B1A" w:rsidRDefault="005C4800" w:rsidP="005C4800">
      <w:pPr>
        <w:ind w:left="1440" w:hanging="1440"/>
        <w:jc w:val="both"/>
        <w:rPr>
          <w:rFonts w:eastAsia="Calibri" w:cs="Times New Roman"/>
          <w:b/>
          <w:sz w:val="20"/>
          <w:szCs w:val="20"/>
        </w:rPr>
      </w:pPr>
      <w:r w:rsidRPr="006A2B1A">
        <w:rPr>
          <w:rFonts w:eastAsia="Calibri" w:cs="Times New Roman"/>
          <w:b/>
          <w:sz w:val="20"/>
          <w:szCs w:val="20"/>
        </w:rPr>
        <w:tab/>
        <w:t>2012 SCC 13 / 2012 CSC 13</w:t>
      </w:r>
    </w:p>
    <w:p w:rsidR="005C4800" w:rsidRPr="006A2B1A" w:rsidRDefault="005C4800" w:rsidP="005C4800">
      <w:pPr>
        <w:ind w:left="1440" w:hanging="1440"/>
        <w:jc w:val="both"/>
        <w:rPr>
          <w:rFonts w:eastAsia="Calibri" w:cs="Times New Roman"/>
          <w:b/>
          <w:sz w:val="20"/>
          <w:szCs w:val="20"/>
        </w:rPr>
      </w:pPr>
    </w:p>
    <w:p w:rsidR="005C4800" w:rsidRPr="006A2B1A" w:rsidRDefault="005C4800" w:rsidP="005C4800">
      <w:pPr>
        <w:ind w:left="1440" w:hanging="1440"/>
        <w:jc w:val="both"/>
        <w:rPr>
          <w:rFonts w:eastAsia="Calibri" w:cs="Times New Roman"/>
          <w:sz w:val="20"/>
          <w:szCs w:val="20"/>
          <w:u w:val="single"/>
        </w:rPr>
      </w:pPr>
      <w:r>
        <w:rPr>
          <w:sz w:val="20"/>
          <w:szCs w:val="20"/>
        </w:rPr>
        <w:t>Coram:</w:t>
      </w:r>
      <w:r>
        <w:rPr>
          <w:sz w:val="20"/>
          <w:szCs w:val="20"/>
        </w:rPr>
        <w:tab/>
      </w:r>
      <w:r w:rsidRPr="006A2B1A">
        <w:rPr>
          <w:rFonts w:eastAsia="Calibri" w:cs="Times New Roman"/>
          <w:sz w:val="20"/>
          <w:szCs w:val="20"/>
          <w:u w:val="single"/>
        </w:rPr>
        <w:t>McLachlin C.J. and Binnie, LeBel, Deschamps, Fish, Abella and Rothstein JJ.</w:t>
      </w:r>
    </w:p>
    <w:p w:rsidR="005C4800" w:rsidRPr="006A2B1A" w:rsidRDefault="005C4800" w:rsidP="005C480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5C4800" w:rsidRPr="006A2B1A" w:rsidRDefault="005C4800" w:rsidP="005C4800">
      <w:pPr>
        <w:jc w:val="both"/>
        <w:rPr>
          <w:rFonts w:eastAsia="Calibri" w:cs="Times New Roman"/>
          <w:sz w:val="20"/>
          <w:szCs w:val="20"/>
        </w:rPr>
      </w:pPr>
      <w:r w:rsidRPr="006A2B1A">
        <w:rPr>
          <w:rFonts w:eastAsia="Calibri" w:cs="Times New Roman"/>
          <w:sz w:val="20"/>
          <w:szCs w:val="20"/>
        </w:rPr>
        <w:t xml:space="preserve">The appeal from the judgment of the British Columbia Court of Appeal (Vancouver), Number CA038126, 2011 BCCA 101, dated March 8, 2011, heard on October 17, 2011, is dismissed. </w:t>
      </w:r>
    </w:p>
    <w:p w:rsidR="005C4800" w:rsidRPr="006A2B1A" w:rsidRDefault="005C4800" w:rsidP="005C4800">
      <w:pPr>
        <w:jc w:val="both"/>
        <w:rPr>
          <w:rFonts w:eastAsia="Calibri" w:cs="Times New Roman"/>
          <w:sz w:val="20"/>
          <w:szCs w:val="20"/>
        </w:rPr>
      </w:pPr>
    </w:p>
    <w:p w:rsidR="005C4800" w:rsidRPr="006A2B1A" w:rsidRDefault="005C4800" w:rsidP="005C4800">
      <w:pPr>
        <w:jc w:val="both"/>
        <w:rPr>
          <w:rFonts w:eastAsia="Calibri" w:cs="Times New Roman"/>
          <w:sz w:val="20"/>
          <w:szCs w:val="20"/>
          <w:lang w:val="fr-CA"/>
        </w:rPr>
      </w:pPr>
      <w:r w:rsidRPr="006A2B1A">
        <w:rPr>
          <w:rFonts w:eastAsia="Calibri" w:cs="Times New Roman"/>
          <w:sz w:val="20"/>
          <w:szCs w:val="20"/>
          <w:lang w:val="fr-CA"/>
        </w:rPr>
        <w:t xml:space="preserve">L’appel interjeté contre l’arrêt de la Cour d’appel de la Colombie-Britannique (Vancouver), numéro CA038126, 2011 BCCA 101, en date du 8 mars 2011, entendu le 17 octobre 2011, est rejeté. </w: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6C5F7A" w:rsidRDefault="0011031E" w:rsidP="00AF1715">
      <w:pPr>
        <w:spacing w:line="0" w:lineRule="atLeast"/>
        <w:rPr>
          <w:rFonts w:cs="Times New Roman"/>
          <w:b/>
          <w:sz w:val="20"/>
          <w:szCs w:val="20"/>
        </w:rPr>
      </w:pPr>
      <w:r w:rsidRPr="0011031E">
        <w:rPr>
          <w:rFonts w:cs="Times New Roman"/>
          <w:b/>
          <w:sz w:val="20"/>
          <w:szCs w:val="20"/>
        </w:rPr>
        <w:pict>
          <v:rect id="_x0000_i1074"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D56FDA" w:rsidRPr="00437838" w:rsidRDefault="00D56FDA" w:rsidP="00D56FDA">
      <w:pPr>
        <w:rPr>
          <w:rFonts w:eastAsia="Calibri" w:cs="Times New Roman"/>
          <w:sz w:val="20"/>
          <w:szCs w:val="20"/>
          <w:lang w:val="fr-CA"/>
        </w:rPr>
      </w:pPr>
      <w:r w:rsidRPr="00437838">
        <w:rPr>
          <w:rFonts w:eastAsia="Calibri" w:cs="Times New Roman"/>
          <w:i/>
          <w:sz w:val="20"/>
          <w:szCs w:val="20"/>
          <w:lang w:val="fr-CA"/>
        </w:rPr>
        <w:t>Gilles Doré c. Pierre Bernard, ès qualités de syndic adjoint du Barreau du Québec et autres</w:t>
      </w:r>
      <w:r w:rsidRPr="00437838">
        <w:rPr>
          <w:rFonts w:eastAsia="Calibri" w:cs="Times New Roman"/>
          <w:sz w:val="20"/>
          <w:szCs w:val="20"/>
          <w:lang w:val="fr-CA"/>
        </w:rPr>
        <w:t xml:space="preserve"> (Qc) (33594)</w:t>
      </w:r>
    </w:p>
    <w:p w:rsidR="004558B1" w:rsidRPr="004558B1" w:rsidRDefault="004558B1" w:rsidP="004558B1">
      <w:pPr>
        <w:jc w:val="both"/>
        <w:rPr>
          <w:b/>
          <w:sz w:val="20"/>
          <w:szCs w:val="20"/>
          <w:lang w:val="fr-CA"/>
        </w:rPr>
      </w:pPr>
      <w:r w:rsidRPr="0049740D">
        <w:rPr>
          <w:b/>
          <w:sz w:val="20"/>
          <w:szCs w:val="20"/>
          <w:lang w:val="fr-CA"/>
        </w:rPr>
        <w:t xml:space="preserve">Indexed as:  Doré </w:t>
      </w:r>
      <w:r w:rsidRPr="0049740D">
        <w:rPr>
          <w:b/>
          <w:i/>
          <w:sz w:val="20"/>
          <w:szCs w:val="20"/>
          <w:lang w:val="fr-CA"/>
        </w:rPr>
        <w:t>v.</w:t>
      </w:r>
      <w:r w:rsidRPr="0049740D">
        <w:rPr>
          <w:b/>
          <w:sz w:val="20"/>
          <w:szCs w:val="20"/>
          <w:lang w:val="fr-CA"/>
        </w:rPr>
        <w:t xml:space="preserve"> Barreau du Québec</w:t>
      </w:r>
      <w:r>
        <w:rPr>
          <w:b/>
          <w:sz w:val="20"/>
          <w:szCs w:val="20"/>
          <w:lang w:val="fr-CA"/>
        </w:rPr>
        <w:t xml:space="preserve"> / </w:t>
      </w:r>
      <w:r w:rsidRPr="004558B1">
        <w:rPr>
          <w:b/>
          <w:sz w:val="20"/>
          <w:szCs w:val="20"/>
          <w:lang w:val="fr-CA"/>
        </w:rPr>
        <w:t xml:space="preserve">Répertorié : Doré </w:t>
      </w:r>
      <w:r w:rsidRPr="004558B1">
        <w:rPr>
          <w:b/>
          <w:i/>
          <w:sz w:val="20"/>
          <w:szCs w:val="20"/>
          <w:lang w:val="fr-CA"/>
        </w:rPr>
        <w:t>c.</w:t>
      </w:r>
      <w:r w:rsidRPr="004558B1">
        <w:rPr>
          <w:b/>
          <w:sz w:val="20"/>
          <w:szCs w:val="20"/>
          <w:lang w:val="fr-CA"/>
        </w:rPr>
        <w:t xml:space="preserve"> Barreau du Québec</w:t>
      </w:r>
    </w:p>
    <w:p w:rsidR="005C6840" w:rsidRPr="003B3977" w:rsidRDefault="005C6840" w:rsidP="005C6840">
      <w:pPr>
        <w:pStyle w:val="SCCSystemYear"/>
        <w:jc w:val="both"/>
        <w:rPr>
          <w:sz w:val="20"/>
        </w:rPr>
      </w:pPr>
      <w:r w:rsidRPr="003B3977">
        <w:rPr>
          <w:sz w:val="20"/>
        </w:rPr>
        <w:t>Neutral citation:  201</w:t>
      </w:r>
      <w:r w:rsidR="00D56FDA">
        <w:rPr>
          <w:sz w:val="20"/>
        </w:rPr>
        <w:t>2</w:t>
      </w:r>
      <w:r w:rsidRPr="003B3977">
        <w:rPr>
          <w:sz w:val="20"/>
        </w:rPr>
        <w:t xml:space="preserve"> SCC </w:t>
      </w:r>
      <w:r w:rsidR="007F387B">
        <w:rPr>
          <w:sz w:val="20"/>
        </w:rPr>
        <w:t>1</w:t>
      </w:r>
      <w:r w:rsidR="00D56FDA">
        <w:rPr>
          <w:sz w:val="20"/>
        </w:rPr>
        <w:t>2</w:t>
      </w:r>
      <w:r w:rsidRPr="003B3977">
        <w:rPr>
          <w:sz w:val="20"/>
        </w:rPr>
        <w:t xml:space="preserve"> / Référence neutre : 201</w:t>
      </w:r>
      <w:r w:rsidR="00D56FDA">
        <w:rPr>
          <w:sz w:val="20"/>
        </w:rPr>
        <w:t>2</w:t>
      </w:r>
      <w:r w:rsidRPr="003B3977">
        <w:rPr>
          <w:sz w:val="20"/>
        </w:rPr>
        <w:t xml:space="preserve"> CSC </w:t>
      </w:r>
      <w:r w:rsidR="007F387B">
        <w:rPr>
          <w:sz w:val="20"/>
        </w:rPr>
        <w:t>1</w:t>
      </w:r>
      <w:r w:rsidR="00D56FDA">
        <w:rPr>
          <w:sz w:val="20"/>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4558B1">
        <w:rPr>
          <w:rFonts w:cs="Times New Roman"/>
          <w:sz w:val="20"/>
          <w:szCs w:val="20"/>
          <w:lang w:val="fr-CA"/>
        </w:rPr>
        <w:t>January 26</w:t>
      </w:r>
      <w:r w:rsidRPr="003B3977">
        <w:rPr>
          <w:rFonts w:cs="Times New Roman"/>
          <w:sz w:val="20"/>
          <w:szCs w:val="20"/>
          <w:lang w:val="fr-CA"/>
        </w:rPr>
        <w:t>, 201</w:t>
      </w:r>
      <w:r w:rsidR="004558B1">
        <w:rPr>
          <w:rFonts w:cs="Times New Roman"/>
          <w:sz w:val="20"/>
          <w:szCs w:val="20"/>
          <w:lang w:val="fr-CA"/>
        </w:rPr>
        <w:t>1</w:t>
      </w:r>
      <w:r w:rsidRPr="003B3977">
        <w:rPr>
          <w:rFonts w:cs="Times New Roman"/>
          <w:sz w:val="20"/>
          <w:szCs w:val="20"/>
          <w:lang w:val="fr-CA"/>
        </w:rPr>
        <w:t xml:space="preserve"> / Judgment:  </w:t>
      </w:r>
      <w:r w:rsidR="00D56FDA">
        <w:rPr>
          <w:rFonts w:cs="Times New Roman"/>
          <w:sz w:val="20"/>
          <w:szCs w:val="20"/>
          <w:lang w:val="fr-CA"/>
        </w:rPr>
        <w:t xml:space="preserve">March </w:t>
      </w:r>
      <w:r w:rsidRPr="003B3977">
        <w:rPr>
          <w:rFonts w:cs="Times New Roman"/>
          <w:sz w:val="20"/>
          <w:szCs w:val="20"/>
          <w:lang w:val="fr-CA"/>
        </w:rPr>
        <w:t>2</w:t>
      </w:r>
      <w:r w:rsidR="00D56FDA">
        <w:rPr>
          <w:rFonts w:cs="Times New Roman"/>
          <w:sz w:val="20"/>
          <w:szCs w:val="20"/>
          <w:lang w:val="fr-CA"/>
        </w:rPr>
        <w:t>2</w:t>
      </w:r>
      <w:r w:rsidRPr="003B3977">
        <w:rPr>
          <w:rFonts w:cs="Times New Roman"/>
          <w:sz w:val="20"/>
          <w:szCs w:val="20"/>
          <w:lang w:val="fr-CA"/>
        </w:rPr>
        <w:t>, 201</w:t>
      </w:r>
      <w:r w:rsidR="00D56FDA">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4558B1">
        <w:rPr>
          <w:rFonts w:cs="Times New Roman"/>
          <w:sz w:val="20"/>
          <w:szCs w:val="20"/>
          <w:lang w:val="fr-CA"/>
        </w:rPr>
        <w:t>26 janvier</w:t>
      </w:r>
      <w:r w:rsidRPr="003B3977">
        <w:rPr>
          <w:rFonts w:cs="Times New Roman"/>
          <w:sz w:val="20"/>
          <w:szCs w:val="20"/>
          <w:lang w:val="fr-CA"/>
        </w:rPr>
        <w:t xml:space="preserve"> 201</w:t>
      </w:r>
      <w:r w:rsidR="004558B1">
        <w:rPr>
          <w:rFonts w:cs="Times New Roman"/>
          <w:sz w:val="20"/>
          <w:szCs w:val="20"/>
          <w:lang w:val="fr-CA"/>
        </w:rPr>
        <w:t>1</w:t>
      </w:r>
      <w:r w:rsidRPr="003B3977">
        <w:rPr>
          <w:rFonts w:cs="Times New Roman"/>
          <w:sz w:val="20"/>
          <w:szCs w:val="20"/>
          <w:lang w:val="fr-CA"/>
        </w:rPr>
        <w:t xml:space="preserve"> / Jugement : Le 2</w:t>
      </w:r>
      <w:r w:rsidR="00D56FDA">
        <w:rPr>
          <w:rFonts w:cs="Times New Roman"/>
          <w:sz w:val="20"/>
          <w:szCs w:val="20"/>
          <w:lang w:val="fr-CA"/>
        </w:rPr>
        <w:t>2</w:t>
      </w:r>
      <w:r w:rsidRPr="003B3977">
        <w:rPr>
          <w:rFonts w:cs="Times New Roman"/>
          <w:sz w:val="20"/>
          <w:szCs w:val="20"/>
          <w:lang w:val="fr-CA"/>
        </w:rPr>
        <w:t xml:space="preserve"> </w:t>
      </w:r>
      <w:r w:rsidR="00D56FDA">
        <w:rPr>
          <w:rFonts w:cs="Times New Roman"/>
          <w:sz w:val="20"/>
          <w:szCs w:val="20"/>
          <w:lang w:val="fr-CA"/>
        </w:rPr>
        <w:t>mars</w:t>
      </w:r>
      <w:r w:rsidRPr="003B3977">
        <w:rPr>
          <w:rFonts w:cs="Times New Roman"/>
          <w:sz w:val="20"/>
          <w:szCs w:val="20"/>
          <w:lang w:val="fr-CA"/>
        </w:rPr>
        <w:t xml:space="preserve"> 201</w:t>
      </w:r>
      <w:r w:rsidR="00D56FDA">
        <w:rPr>
          <w:rFonts w:cs="Times New Roman"/>
          <w:sz w:val="20"/>
          <w:szCs w:val="20"/>
          <w:lang w:val="fr-CA"/>
        </w:rPr>
        <w:t>2</w:t>
      </w:r>
    </w:p>
    <w:p w:rsidR="005C6840" w:rsidRPr="003B3977" w:rsidRDefault="0011031E" w:rsidP="005C6840">
      <w:pPr>
        <w:rPr>
          <w:rFonts w:cs="Times New Roman"/>
          <w:sz w:val="20"/>
          <w:szCs w:val="20"/>
          <w:lang w:val="fr-CA"/>
        </w:rPr>
      </w:pPr>
      <w:r w:rsidRPr="0011031E">
        <w:rPr>
          <w:rFonts w:cs="Times New Roman"/>
          <w:i/>
          <w:sz w:val="20"/>
          <w:szCs w:val="20"/>
        </w:rPr>
        <w:pict>
          <v:rect id="_x0000_i1077" style="width:480.95pt;height:1pt" o:hralign="center" o:hrstd="t" o:hrnoshade="t" o:hr="t" fillcolor="black [3213]" stroked="f"/>
        </w:pict>
      </w:r>
    </w:p>
    <w:p w:rsidR="005C6840" w:rsidRDefault="005C6840" w:rsidP="005C6840">
      <w:pPr>
        <w:rPr>
          <w:rFonts w:cs="Times New Roman"/>
          <w:sz w:val="20"/>
          <w:szCs w:val="20"/>
          <w:lang w:val="fr-CA"/>
        </w:rPr>
      </w:pPr>
    </w:p>
    <w:p w:rsidR="004558B1" w:rsidRPr="004558B1" w:rsidRDefault="004558B1" w:rsidP="004558B1">
      <w:pPr>
        <w:jc w:val="both"/>
        <w:rPr>
          <w:sz w:val="20"/>
          <w:szCs w:val="20"/>
          <w:lang w:val="fr-CA"/>
        </w:rPr>
      </w:pPr>
      <w:r w:rsidRPr="004558B1">
        <w:rPr>
          <w:sz w:val="20"/>
          <w:szCs w:val="20"/>
          <w:lang w:val="fr-CA"/>
        </w:rPr>
        <w:t>Présents : La juge en chef McLachlin et les juges Binnie, LeBel, Fish, Abella, Rothstein et Cromwell.</w:t>
      </w:r>
    </w:p>
    <w:p w:rsidR="004558B1" w:rsidRDefault="004558B1" w:rsidP="004558B1">
      <w:pPr>
        <w:pStyle w:val="SCCLowerCourtNameLowercase"/>
        <w:spacing w:line="240" w:lineRule="auto"/>
        <w:rPr>
          <w:sz w:val="20"/>
        </w:rPr>
      </w:pPr>
    </w:p>
    <w:p w:rsidR="004558B1" w:rsidRPr="004558B1" w:rsidRDefault="004558B1" w:rsidP="004558B1">
      <w:pPr>
        <w:pStyle w:val="SCCNormalDoubleSpacing"/>
        <w:spacing w:line="240" w:lineRule="auto"/>
        <w:rPr>
          <w:i/>
          <w:sz w:val="20"/>
          <w:lang w:val="fr-CA"/>
        </w:rPr>
      </w:pPr>
      <w:r w:rsidRPr="004558B1">
        <w:rPr>
          <w:sz w:val="20"/>
          <w:lang w:val="fr-CA"/>
        </w:rPr>
        <w:tab/>
      </w:r>
      <w:r w:rsidRPr="004558B1">
        <w:rPr>
          <w:i/>
          <w:sz w:val="20"/>
          <w:lang w:val="fr-CA"/>
        </w:rPr>
        <w:t>Droit administratif — Contrôle judiciaire — Norme de contrôle — Comité de discipline — Contestation par un avocat de la constitutionnalité de la décision du Comité — Approche correcte du contrôle judiciaire des décisions administratives de nature discrétionnaire mettant en cause les protections conférées par la Charte — Le cadre d’analyse élaboré dans R. c. Oakes convient</w:t>
      </w:r>
      <w:r w:rsidRPr="004558B1">
        <w:rPr>
          <w:i/>
          <w:sz w:val="20"/>
          <w:lang w:val="fr-CA"/>
        </w:rPr>
        <w:noBreakHyphen/>
        <w:t>il pour apprécier la conformité à la Charte canadienne des droits et libertés de décisions administratives de nature discrétionnaire?</w:t>
      </w:r>
    </w:p>
    <w:p w:rsidR="004558B1" w:rsidRPr="004558B1" w:rsidRDefault="004558B1" w:rsidP="004558B1">
      <w:pPr>
        <w:pStyle w:val="SCCNormalDoubleSpacing"/>
        <w:spacing w:line="240" w:lineRule="auto"/>
        <w:rPr>
          <w:i/>
          <w:sz w:val="20"/>
          <w:lang w:val="fr-CA"/>
        </w:rPr>
      </w:pPr>
    </w:p>
    <w:p w:rsidR="004558B1" w:rsidRPr="004558B1" w:rsidRDefault="004558B1" w:rsidP="004558B1">
      <w:pPr>
        <w:pStyle w:val="SCCNormalDoubleSpacing"/>
        <w:spacing w:line="240" w:lineRule="auto"/>
        <w:rPr>
          <w:i/>
          <w:sz w:val="20"/>
          <w:lang w:val="fr-CA"/>
        </w:rPr>
      </w:pPr>
      <w:r w:rsidRPr="004558B1">
        <w:rPr>
          <w:i/>
          <w:sz w:val="20"/>
          <w:lang w:val="fr-CA"/>
        </w:rPr>
        <w:tab/>
        <w:t>Droit des professions — Discipline — Avocats et procureurs — Lettre privée adressée par un avocat à un juge dans laquelle il critique ce dernier — Décision du Comité de discipline de réprimander l’avocat pour avoir manqué à son obligation de faire preuve d’objectivité, de modération et de dignité — Le Comité a</w:t>
      </w:r>
      <w:r w:rsidRPr="004558B1">
        <w:rPr>
          <w:i/>
          <w:sz w:val="20"/>
          <w:lang w:val="fr-CA"/>
        </w:rPr>
        <w:noBreakHyphen/>
        <w:t>t</w:t>
      </w:r>
      <w:r w:rsidRPr="004558B1">
        <w:rPr>
          <w:i/>
          <w:sz w:val="20"/>
          <w:lang w:val="fr-CA"/>
        </w:rPr>
        <w:noBreakHyphen/>
        <w:t>il correctement mis en balance les valeurs pertinentes consacrées par la Charte et les objectifs visés par la loi? — La décision était</w:t>
      </w:r>
      <w:r w:rsidRPr="004558B1">
        <w:rPr>
          <w:i/>
          <w:sz w:val="20"/>
          <w:lang w:val="fr-CA"/>
        </w:rPr>
        <w:noBreakHyphen/>
        <w:t>elle raisonnable? — Code de déontologie des avocats, R.R.Q. 1981, ch. B</w:t>
      </w:r>
      <w:r w:rsidRPr="004558B1">
        <w:rPr>
          <w:i/>
          <w:sz w:val="20"/>
          <w:lang w:val="fr-CA"/>
        </w:rPr>
        <w:noBreakHyphen/>
        <w:t>1., r. 1, art. 2.03.</w:t>
      </w:r>
    </w:p>
    <w:p w:rsidR="004558B1" w:rsidRPr="004558B1" w:rsidRDefault="004558B1" w:rsidP="004558B1">
      <w:pPr>
        <w:pStyle w:val="SCCNormalDoubleSpacing"/>
        <w:spacing w:line="240" w:lineRule="auto"/>
        <w:rPr>
          <w:sz w:val="20"/>
          <w:lang w:val="fr-CA"/>
        </w:rPr>
      </w:pPr>
    </w:p>
    <w:p w:rsidR="004558B1" w:rsidRPr="004558B1" w:rsidRDefault="004558B1" w:rsidP="004558B1">
      <w:pPr>
        <w:pStyle w:val="SCCNormalDoubleSpacing"/>
        <w:spacing w:line="240" w:lineRule="auto"/>
        <w:rPr>
          <w:sz w:val="20"/>
          <w:lang w:val="fr-CA"/>
        </w:rPr>
      </w:pPr>
      <w:r w:rsidRPr="004558B1">
        <w:rPr>
          <w:sz w:val="20"/>
          <w:lang w:val="fr-CA"/>
        </w:rPr>
        <w:tab/>
        <w:t xml:space="preserve">D a comparu devant un juge de la Cour supérieure du Québec pour le compte de son client.  Au cours de la plaidoirie de D, le juge a formulé des critiques à l’égard de ce dernier.  Dans les motifs écrits par lesquels il a rejeté la requête présentée par D, le juge a formulé d’autres critiques à l’égard de D, l’accusant de faire de la rhétorique ronflante et de l’hyperbole, de se perdre en arguties sans fondement, de faire preuve d’outrecuidance et de n’avoir rien fait pour assister son client à se décharger de son fardeau.  D a adressé une lettre privée au juge, dans laquelle il le décrit comme un être exécrable, arrogant et foncièrement injuste et l’accuse de se cacher lâchement derrière son statut, d’être chroniquement incapable de maîtriser quelque aptitude sociale, d’adopter un comportement pédant, hargneux et mesquin et de démontrer une propension à se servir de sa tribune pour s’adonner à des attaques personnelles mesquines, repoussantes et vulgaires. </w:t>
      </w:r>
    </w:p>
    <w:p w:rsidR="004558B1" w:rsidRPr="004558B1" w:rsidRDefault="004558B1" w:rsidP="004558B1">
      <w:pPr>
        <w:pStyle w:val="SCCNormalDoubleSpacing"/>
        <w:spacing w:line="240" w:lineRule="auto"/>
        <w:rPr>
          <w:sz w:val="20"/>
          <w:lang w:val="fr-CA"/>
        </w:rPr>
      </w:pPr>
    </w:p>
    <w:p w:rsidR="004558B1" w:rsidRPr="004558B1" w:rsidRDefault="004558B1" w:rsidP="004558B1">
      <w:pPr>
        <w:pStyle w:val="SCCNormalDoubleSpacing"/>
        <w:spacing w:line="240" w:lineRule="auto"/>
        <w:rPr>
          <w:sz w:val="20"/>
          <w:lang w:val="fr-CA"/>
        </w:rPr>
      </w:pPr>
      <w:r w:rsidRPr="004558B1">
        <w:rPr>
          <w:sz w:val="20"/>
          <w:lang w:val="fr-CA"/>
        </w:rPr>
        <w:tab/>
        <w:t xml:space="preserve">Le syndic adjoint du Barreau du Québec a formulé une plainte contre D fondée sur cette lettre.  Selon la plainte, D avait contrevenu à l’art. 2.03 du </w:t>
      </w:r>
      <w:r w:rsidRPr="004558B1">
        <w:rPr>
          <w:i/>
          <w:iCs/>
          <w:sz w:val="20"/>
          <w:lang w:val="fr-CA"/>
        </w:rPr>
        <w:t>Code de déontologie des avocats</w:t>
      </w:r>
      <w:r w:rsidRPr="004558B1">
        <w:rPr>
          <w:iCs/>
          <w:sz w:val="20"/>
          <w:lang w:val="fr-CA"/>
        </w:rPr>
        <w:t>, qui énonce que la conduite de l’avocat « </w:t>
      </w:r>
      <w:r w:rsidRPr="004558B1">
        <w:rPr>
          <w:sz w:val="20"/>
          <w:lang w:val="fr-CA"/>
        </w:rPr>
        <w:t>doit être empreinte d’objectivité, de modération et de dignité ».  Le Comité de discipline du Barreau du Québec a conclu que la lettre de D était de nature à choquer et constituait des propos grossiers et injurieux, que les propos de l’avocat n’avaient que peu de valeur sur le plan expressif et que D ne pouvait invoquer la conduite du juge — qui avait écopé pour sa part d’une réprimande du Conseil canadien de la magistrature — pour justifier la lettre.  Le Comité de discipline a rejeté l’argument de D selon lequel l’art. 2.03 violerait l’al. 2</w:t>
      </w:r>
      <w:r w:rsidRPr="004558B1">
        <w:rPr>
          <w:i/>
          <w:iCs/>
          <w:sz w:val="20"/>
          <w:lang w:val="fr-CA"/>
        </w:rPr>
        <w:t>b</w:t>
      </w:r>
      <w:r w:rsidRPr="004558B1">
        <w:rPr>
          <w:sz w:val="20"/>
          <w:lang w:val="fr-CA"/>
        </w:rPr>
        <w:t xml:space="preserve">) de la </w:t>
      </w:r>
      <w:r w:rsidRPr="004558B1">
        <w:rPr>
          <w:i/>
          <w:iCs/>
          <w:sz w:val="20"/>
          <w:lang w:val="fr-CA"/>
        </w:rPr>
        <w:t>Charte canadienne des droits et libertés</w:t>
      </w:r>
      <w:r w:rsidRPr="004558B1">
        <w:rPr>
          <w:sz w:val="20"/>
          <w:lang w:val="fr-CA"/>
        </w:rPr>
        <w:t>, concluant que la restriction à la liberté d’expression était raisonnable.  Estimant que le manquement de D à son obligation était grave, le Comité de discipline a réprimandé ce dernier et a suspendu son droit de pratique durant 21 jours.  Dans l’appel interjeté devant le Tribunal des professions, D a abandonné la contestation constitutionnelle de la disposition pertinente, faisant plutôt valoir que sa liberté d’expression était brimée par la réprimande elle</w:t>
      </w:r>
      <w:r w:rsidRPr="004558B1">
        <w:rPr>
          <w:sz w:val="20"/>
          <w:lang w:val="fr-CA"/>
        </w:rPr>
        <w:noBreakHyphen/>
        <w:t>même.  Le Tribunal était d’avis que D n’avait pas fait preuve de l’objectivité, de la modération et de la dignité qu’on attendait de lui et que la décision de lui infliger une sanction constituait une restriction minimale à la liberté d’expression de D.  À l’issue d’une révision judiciaire, la Cour supérieure du Québec a maintenu la décision du Tribunal. </w:t>
      </w:r>
    </w:p>
    <w:p w:rsidR="004558B1" w:rsidRPr="004558B1" w:rsidRDefault="004558B1" w:rsidP="004558B1">
      <w:pPr>
        <w:pStyle w:val="SCCNormalDoubleSpacing"/>
        <w:spacing w:line="240" w:lineRule="auto"/>
        <w:rPr>
          <w:sz w:val="20"/>
          <w:lang w:val="fr-CA"/>
        </w:rPr>
      </w:pPr>
    </w:p>
    <w:p w:rsidR="004558B1" w:rsidRPr="004558B1" w:rsidRDefault="004558B1" w:rsidP="004558B1">
      <w:pPr>
        <w:pStyle w:val="SCCNormalDoubleSpacing"/>
        <w:spacing w:line="240" w:lineRule="auto"/>
        <w:rPr>
          <w:sz w:val="20"/>
          <w:lang w:val="fr-CA"/>
        </w:rPr>
      </w:pPr>
      <w:r w:rsidRPr="004558B1">
        <w:rPr>
          <w:sz w:val="20"/>
          <w:lang w:val="fr-CA"/>
        </w:rPr>
        <w:tab/>
        <w:t xml:space="preserve">Devant la Cour d’appel du Québec, D appelait, non plus de la suspension de son droit de pratique durant 21 jours, mais de la décision de le réprimander, qu’il considérait comme une violation de la </w:t>
      </w:r>
      <w:r w:rsidRPr="004558B1">
        <w:rPr>
          <w:i/>
          <w:sz w:val="20"/>
          <w:lang w:val="fr-CA"/>
        </w:rPr>
        <w:t>Charte</w:t>
      </w:r>
      <w:r w:rsidRPr="004558B1">
        <w:rPr>
          <w:sz w:val="20"/>
          <w:lang w:val="fr-CA"/>
        </w:rPr>
        <w:t xml:space="preserve">.  Au terme d’une analyse complète fondée sur l’article premier de cette dernière et exécutée suivant le modèle énoncé dans l’arrêt </w:t>
      </w:r>
      <w:r w:rsidRPr="004558B1">
        <w:rPr>
          <w:i/>
          <w:sz w:val="20"/>
          <w:lang w:val="fr-CA"/>
        </w:rPr>
        <w:t>Oakes</w:t>
      </w:r>
      <w:r w:rsidRPr="004558B1">
        <w:rPr>
          <w:sz w:val="20"/>
          <w:lang w:val="fr-CA"/>
        </w:rPr>
        <w:t>, la Cour d’appel a confirmé la réprimande.  Elle a conclu que la lettre de D revêtait une importance limitée par rapport aux valeurs sous</w:t>
      </w:r>
      <w:r w:rsidRPr="004558B1">
        <w:rPr>
          <w:sz w:val="20"/>
          <w:lang w:val="fr-CA"/>
        </w:rPr>
        <w:noBreakHyphen/>
        <w:t>jacentes à la liberté d’expression, que la décision du Comité avait un lien rationnel avec l’important objectif que constitue la protection du public et que la décision avait des effets proportionnels aux objectifs qu’elle visait.</w:t>
      </w:r>
    </w:p>
    <w:p w:rsidR="004558B1" w:rsidRPr="004558B1" w:rsidRDefault="004558B1" w:rsidP="004558B1">
      <w:pPr>
        <w:pStyle w:val="SCCNormalDoubleSpacing"/>
        <w:spacing w:line="240" w:lineRule="auto"/>
        <w:outlineLvl w:val="0"/>
        <w:rPr>
          <w:sz w:val="20"/>
          <w:lang w:val="fr-CA"/>
        </w:rPr>
      </w:pPr>
    </w:p>
    <w:p w:rsidR="004558B1" w:rsidRPr="004558B1" w:rsidRDefault="004558B1" w:rsidP="004558B1">
      <w:pPr>
        <w:pStyle w:val="SCCNormalDoubleSpacing"/>
        <w:spacing w:line="240" w:lineRule="auto"/>
        <w:outlineLvl w:val="0"/>
        <w:rPr>
          <w:sz w:val="20"/>
          <w:lang w:val="fr-CA"/>
        </w:rPr>
      </w:pPr>
      <w:r w:rsidRPr="004558B1">
        <w:rPr>
          <w:sz w:val="20"/>
          <w:lang w:val="fr-CA"/>
        </w:rPr>
        <w:tab/>
      </w:r>
      <w:r w:rsidRPr="004558B1">
        <w:rPr>
          <w:i/>
          <w:sz w:val="20"/>
          <w:lang w:val="fr-CA"/>
        </w:rPr>
        <w:t>Arrêt</w:t>
      </w:r>
      <w:r w:rsidRPr="004558B1">
        <w:rPr>
          <w:sz w:val="20"/>
          <w:lang w:val="fr-CA"/>
        </w:rPr>
        <w:t> : Le pourvoi quant à l’issue est rejeté.</w:t>
      </w:r>
    </w:p>
    <w:p w:rsidR="004558B1" w:rsidRPr="004558B1" w:rsidRDefault="004558B1" w:rsidP="004558B1">
      <w:pPr>
        <w:pStyle w:val="SCCNormalDoubleSpacing"/>
        <w:spacing w:line="240" w:lineRule="auto"/>
        <w:rPr>
          <w:sz w:val="20"/>
          <w:lang w:val="fr-CA"/>
        </w:rPr>
      </w:pPr>
    </w:p>
    <w:p w:rsidR="004558B1" w:rsidRPr="004558B1" w:rsidRDefault="004558B1" w:rsidP="004558B1">
      <w:pPr>
        <w:pStyle w:val="SCCNormalDoubleSpacing"/>
        <w:spacing w:line="240" w:lineRule="auto"/>
        <w:rPr>
          <w:sz w:val="20"/>
          <w:lang w:val="fr-CA"/>
        </w:rPr>
      </w:pPr>
      <w:r w:rsidRPr="004558B1">
        <w:rPr>
          <w:sz w:val="20"/>
          <w:lang w:val="fr-CA"/>
        </w:rPr>
        <w:tab/>
        <w:t xml:space="preserve">Pour déterminer si les décideurs administratifs ont exercé le pouvoir discrétionnaire que leur confère la loi en s’assurant de protéger les droits visés par la </w:t>
      </w:r>
      <w:r w:rsidRPr="004558B1">
        <w:rPr>
          <w:i/>
          <w:sz w:val="20"/>
          <w:lang w:val="fr-CA"/>
        </w:rPr>
        <w:t>Charte</w:t>
      </w:r>
      <w:r w:rsidRPr="004558B1">
        <w:rPr>
          <w:sz w:val="20"/>
          <w:lang w:val="fr-CA"/>
        </w:rPr>
        <w:t xml:space="preserve">, il faut effectuer la révision selon la démarche ressortissant au droit administratif, et non selon l’analyse fondée sur l’article premier, élaborée dans </w:t>
      </w:r>
      <w:r w:rsidRPr="004558B1">
        <w:rPr>
          <w:i/>
          <w:sz w:val="20"/>
          <w:lang w:val="fr-CA"/>
        </w:rPr>
        <w:t>Oakes</w:t>
      </w:r>
      <w:r w:rsidRPr="004558B1">
        <w:rPr>
          <w:sz w:val="20"/>
          <w:lang w:val="fr-CA"/>
        </w:rPr>
        <w:t>.  La norme de contrôle est celle du caractère raisonnable.</w:t>
      </w:r>
    </w:p>
    <w:p w:rsidR="004558B1" w:rsidRPr="004558B1" w:rsidRDefault="004558B1" w:rsidP="004558B1">
      <w:pPr>
        <w:pStyle w:val="SCCNormalDoubleSpacing"/>
        <w:spacing w:line="240" w:lineRule="auto"/>
        <w:rPr>
          <w:sz w:val="20"/>
          <w:lang w:val="fr-CA"/>
        </w:rPr>
      </w:pPr>
    </w:p>
    <w:p w:rsidR="004558B1" w:rsidRPr="004558B1" w:rsidRDefault="004558B1" w:rsidP="004558B1">
      <w:pPr>
        <w:pStyle w:val="SCCNormalDoubleSpacing"/>
        <w:spacing w:line="240" w:lineRule="auto"/>
        <w:rPr>
          <w:sz w:val="20"/>
          <w:lang w:val="fr-CA"/>
        </w:rPr>
      </w:pPr>
      <w:r w:rsidRPr="004558B1">
        <w:rPr>
          <w:sz w:val="20"/>
          <w:lang w:val="fr-CA"/>
        </w:rPr>
        <w:tab/>
        <w:t xml:space="preserve">Lorsque nous cherchons à déterminer si une loi viole la </w:t>
      </w:r>
      <w:r w:rsidRPr="004558B1">
        <w:rPr>
          <w:i/>
          <w:sz w:val="20"/>
          <w:lang w:val="fr-CA"/>
        </w:rPr>
        <w:t>Charte</w:t>
      </w:r>
      <w:r w:rsidRPr="004558B1">
        <w:rPr>
          <w:sz w:val="20"/>
          <w:lang w:val="fr-CA"/>
        </w:rPr>
        <w:t xml:space="preserve">, nous mettons en balance les objectifs urgents et réels du gouvernement, d’une part, et le degré d’atteinte au droit en cause protégé par la </w:t>
      </w:r>
      <w:r w:rsidRPr="004558B1">
        <w:rPr>
          <w:i/>
          <w:sz w:val="20"/>
          <w:lang w:val="fr-CA"/>
        </w:rPr>
        <w:t>Charte</w:t>
      </w:r>
      <w:r w:rsidRPr="004558B1">
        <w:rPr>
          <w:sz w:val="20"/>
          <w:lang w:val="fr-CA"/>
        </w:rPr>
        <w:t xml:space="preserve">, d’autre part.  Si la loi ne restreint pas plus le droit qu’il n’est raisonnablement nécessaire de le faire pour atteindre les objectifs visés, la violation sera jugée proportionnelle et, de ce fait, la restriction raisonnable au sens de l’article premier.  Toutefois, lorsque nous nous demandons si une décision en matière contentieuse viole la </w:t>
      </w:r>
      <w:r w:rsidRPr="004558B1">
        <w:rPr>
          <w:i/>
          <w:sz w:val="20"/>
          <w:lang w:val="fr-CA"/>
        </w:rPr>
        <w:t>Charte</w:t>
      </w:r>
      <w:r w:rsidRPr="004558B1">
        <w:rPr>
          <w:sz w:val="20"/>
          <w:lang w:val="fr-CA"/>
        </w:rPr>
        <w:t xml:space="preserve">, nous sommes appelés à mettre en balance des considérations quelque peu différentes, bien que liées.  En effet, il s’agit alors de déterminer si le décideur a restreint le droit protégé par la </w:t>
      </w:r>
      <w:r w:rsidRPr="004558B1">
        <w:rPr>
          <w:i/>
          <w:sz w:val="20"/>
          <w:lang w:val="fr-CA"/>
        </w:rPr>
        <w:t>Charte</w:t>
      </w:r>
      <w:r w:rsidRPr="004558B1">
        <w:rPr>
          <w:sz w:val="20"/>
          <w:lang w:val="fr-CA"/>
        </w:rPr>
        <w:t xml:space="preserve"> de manière disproportionnée et donc déraisonnable.  Dans les deux cas, nous cherchons à savoir si un juste équilibre a été atteint entre les droits et les objectifs et, dans les deux cas aussi, les exercices visent à garantir que les droits en cause ne sont pas restreints de manière déraisonnable.</w:t>
      </w:r>
    </w:p>
    <w:p w:rsidR="004558B1" w:rsidRPr="004558B1" w:rsidRDefault="004558B1" w:rsidP="004558B1">
      <w:pPr>
        <w:pStyle w:val="SCCNormalDoubleSpacing"/>
        <w:spacing w:line="240" w:lineRule="auto"/>
        <w:rPr>
          <w:sz w:val="20"/>
          <w:lang w:val="fr-CA"/>
        </w:rPr>
      </w:pPr>
    </w:p>
    <w:p w:rsidR="004558B1" w:rsidRPr="004558B1" w:rsidRDefault="004558B1" w:rsidP="004558B1">
      <w:pPr>
        <w:pStyle w:val="SCCNormalDoubleSpacing"/>
        <w:spacing w:line="240" w:lineRule="auto"/>
        <w:rPr>
          <w:sz w:val="20"/>
          <w:lang w:val="fr-CA"/>
        </w:rPr>
      </w:pPr>
      <w:r w:rsidRPr="004558B1">
        <w:rPr>
          <w:sz w:val="20"/>
          <w:lang w:val="fr-CA"/>
        </w:rPr>
        <w:tab/>
        <w:t xml:space="preserve">Rien dans l’approche du droit administratif n’est intrinsèquement incompatible avec la solide protection conférée par la </w:t>
      </w:r>
      <w:r w:rsidRPr="004558B1">
        <w:rPr>
          <w:i/>
          <w:sz w:val="20"/>
          <w:lang w:val="fr-CA"/>
        </w:rPr>
        <w:t>Charte</w:t>
      </w:r>
      <w:r w:rsidRPr="004558B1">
        <w:rPr>
          <w:sz w:val="20"/>
          <w:lang w:val="fr-CA"/>
        </w:rPr>
        <w:t xml:space="preserve"> des garanties qui y sont énoncées et des valeurs qui y sont consacrées.  L’approche du droit administratif reconnaît que les décideurs administratifs sont à la fois liés par des valeurs fondamentales et habilités à statuer sur elles et que le pouvoir discrétionnaire de nature administrative est exercé à l’aune des garanties constitutionnelles et des valeurs qu’elles comportent.  Le décideur administratif exerçant un pouvoir discrétionnaire en vertu de sa loi constitutive est, de par son expertise et sa spécialisation, particulièrement au fait des considérations opposées en jeu dans la mise en balance des valeurs consacrées par la </w:t>
      </w:r>
      <w:r w:rsidRPr="004558B1">
        <w:rPr>
          <w:i/>
          <w:sz w:val="20"/>
          <w:lang w:val="fr-CA"/>
        </w:rPr>
        <w:t xml:space="preserve">Charte </w:t>
      </w:r>
      <w:r w:rsidRPr="004558B1">
        <w:rPr>
          <w:sz w:val="20"/>
          <w:lang w:val="fr-CA"/>
        </w:rPr>
        <w:t xml:space="preserve">et est généralement le mieux placé pour juger de l’incidence de la protection conférée par la </w:t>
      </w:r>
      <w:r w:rsidRPr="004558B1">
        <w:rPr>
          <w:i/>
          <w:sz w:val="20"/>
          <w:lang w:val="fr-CA"/>
        </w:rPr>
        <w:t>Charte</w:t>
      </w:r>
      <w:r w:rsidRPr="004558B1">
        <w:rPr>
          <w:sz w:val="20"/>
          <w:lang w:val="fr-CA"/>
        </w:rPr>
        <w:t xml:space="preserve"> au regard des faits précis de l’affaire.  Selon une conception plus riche du droit administratif, le pouvoir discrétionnaire est exercé à l’aune des garanties constitutionnelles et des valeurs qu’elles comportent.</w:t>
      </w:r>
    </w:p>
    <w:p w:rsidR="004558B1" w:rsidRPr="004558B1" w:rsidRDefault="004558B1" w:rsidP="004558B1">
      <w:pPr>
        <w:pStyle w:val="SCCNormalDoubleSpacing"/>
        <w:spacing w:line="240" w:lineRule="auto"/>
        <w:rPr>
          <w:sz w:val="20"/>
          <w:lang w:val="fr-CA"/>
        </w:rPr>
      </w:pPr>
    </w:p>
    <w:p w:rsidR="004558B1" w:rsidRPr="004558B1" w:rsidRDefault="004558B1" w:rsidP="004558B1">
      <w:pPr>
        <w:pStyle w:val="SCCNormalDoubleSpacing"/>
        <w:spacing w:line="240" w:lineRule="auto"/>
        <w:rPr>
          <w:sz w:val="20"/>
          <w:lang w:val="fr-CA"/>
        </w:rPr>
      </w:pPr>
      <w:r w:rsidRPr="004558B1">
        <w:rPr>
          <w:sz w:val="20"/>
          <w:lang w:val="fr-CA"/>
        </w:rPr>
        <w:tab/>
        <w:t xml:space="preserve">En appliquant les valeurs de la </w:t>
      </w:r>
      <w:r w:rsidRPr="004558B1">
        <w:rPr>
          <w:i/>
          <w:sz w:val="20"/>
          <w:lang w:val="fr-CA"/>
        </w:rPr>
        <w:t>Charte</w:t>
      </w:r>
      <w:r w:rsidRPr="004558B1">
        <w:rPr>
          <w:sz w:val="20"/>
          <w:lang w:val="fr-CA"/>
        </w:rPr>
        <w:t xml:space="preserve"> dans l’exercice de son pouvoir discrétionnaire conféré par la loi, le décideur administratif doit mettre en balance les valeurs consacrées par la </w:t>
      </w:r>
      <w:r w:rsidRPr="004558B1">
        <w:rPr>
          <w:i/>
          <w:sz w:val="20"/>
          <w:lang w:val="fr-CA"/>
        </w:rPr>
        <w:t>Charte</w:t>
      </w:r>
      <w:r w:rsidRPr="004558B1">
        <w:rPr>
          <w:sz w:val="20"/>
          <w:lang w:val="fr-CA"/>
        </w:rPr>
        <w:t xml:space="preserve"> et les objectifs visés par la loi et se demander comment protéger au mieux la valeur en jeu compte tenu des objectifs en question.  Cette réflexion constitue l’essence même de l’analyse de la proportionnalité et exige que le décideur mette en balance la gravité de l’atteinte à la valeur protégée par la </w:t>
      </w:r>
      <w:r w:rsidRPr="004558B1">
        <w:rPr>
          <w:i/>
          <w:sz w:val="20"/>
          <w:lang w:val="fr-CA"/>
        </w:rPr>
        <w:t>Charte</w:t>
      </w:r>
      <w:r w:rsidRPr="004558B1">
        <w:rPr>
          <w:sz w:val="20"/>
          <w:lang w:val="fr-CA"/>
        </w:rPr>
        <w:t>, d’une part, et les objectifs que vise la loi, d’autre part.</w:t>
      </w:r>
    </w:p>
    <w:p w:rsidR="004558B1" w:rsidRPr="004558B1" w:rsidRDefault="004558B1" w:rsidP="004558B1">
      <w:pPr>
        <w:pStyle w:val="SCCNormalDoubleSpacing"/>
        <w:spacing w:line="240" w:lineRule="auto"/>
        <w:rPr>
          <w:sz w:val="20"/>
          <w:lang w:val="fr-CA"/>
        </w:rPr>
      </w:pPr>
    </w:p>
    <w:p w:rsidR="004558B1" w:rsidRPr="004558B1" w:rsidRDefault="004558B1" w:rsidP="004558B1">
      <w:pPr>
        <w:pStyle w:val="SCCNormalDoubleSpacing"/>
        <w:spacing w:line="240" w:lineRule="auto"/>
        <w:rPr>
          <w:sz w:val="20"/>
          <w:lang w:val="fr-CA"/>
        </w:rPr>
      </w:pPr>
      <w:r w:rsidRPr="004558B1">
        <w:rPr>
          <w:sz w:val="20"/>
          <w:lang w:val="fr-CA"/>
        </w:rPr>
        <w:tab/>
        <w:t xml:space="preserve">Dans le contexte d’une révision judiciaire, il s’agit donc de déterminer si — en évaluant l’incidence de la protection pertinente offerte par la </w:t>
      </w:r>
      <w:r w:rsidRPr="004558B1">
        <w:rPr>
          <w:i/>
          <w:sz w:val="20"/>
          <w:lang w:val="fr-CA"/>
        </w:rPr>
        <w:t>Charte</w:t>
      </w:r>
      <w:r w:rsidRPr="004558B1">
        <w:rPr>
          <w:sz w:val="20"/>
          <w:lang w:val="fr-CA"/>
        </w:rPr>
        <w:t xml:space="preserve"> et compte tenu de la nature de la décision et des contextes légal et factuel — la décision est le fruit d’une mise en balance proportionnée des droits et des valeurs en cause protégés par la </w:t>
      </w:r>
      <w:r w:rsidRPr="004558B1">
        <w:rPr>
          <w:i/>
          <w:sz w:val="20"/>
          <w:lang w:val="fr-CA"/>
        </w:rPr>
        <w:t>Charte</w:t>
      </w:r>
      <w:r w:rsidRPr="004558B1">
        <w:rPr>
          <w:sz w:val="20"/>
          <w:lang w:val="fr-CA"/>
        </w:rPr>
        <w:t xml:space="preserve">.  Même si cette révision judiciaire est menée selon le cadre d’analyse du droit administratif, il existe néanmoins une harmonie conceptuelle entre l’examen du caractère raisonnable et le cadre d’analyse préconisé dans </w:t>
      </w:r>
      <w:r w:rsidRPr="004558B1">
        <w:rPr>
          <w:i/>
          <w:sz w:val="20"/>
          <w:lang w:val="fr-CA"/>
        </w:rPr>
        <w:t>Oakes</w:t>
      </w:r>
      <w:r w:rsidRPr="004558B1">
        <w:rPr>
          <w:sz w:val="20"/>
          <w:lang w:val="fr-CA"/>
        </w:rPr>
        <w:t xml:space="preserve"> puisque les deux démarches supposent de donner une marge d’appréciation aux organes administratifs ou législatifs ou de faire preuve de déférence à leur égard lors de la mise en balance des valeurs consacrées par la </w:t>
      </w:r>
      <w:r w:rsidRPr="004558B1">
        <w:rPr>
          <w:i/>
          <w:sz w:val="20"/>
          <w:lang w:val="fr-CA"/>
        </w:rPr>
        <w:t>Charte</w:t>
      </w:r>
      <w:r w:rsidRPr="004558B1">
        <w:rPr>
          <w:sz w:val="20"/>
          <w:lang w:val="fr-CA"/>
        </w:rPr>
        <w:t xml:space="preserve">, d’une part, et les objectifs plus larges, d’autre part.  Dans le contexte de la </w:t>
      </w:r>
      <w:r w:rsidRPr="004558B1">
        <w:rPr>
          <w:i/>
          <w:sz w:val="20"/>
          <w:lang w:val="fr-CA"/>
        </w:rPr>
        <w:t>Charte</w:t>
      </w:r>
      <w:r w:rsidRPr="004558B1">
        <w:rPr>
          <w:sz w:val="20"/>
          <w:lang w:val="fr-CA"/>
        </w:rPr>
        <w:t xml:space="preserve">, l’analyse du caractère raisonnable porte avant tout sur la proportionnalité, soit, sur la nécessité d’assurer que la décision n’interfère avec la garantie visée par la </w:t>
      </w:r>
      <w:r w:rsidRPr="004558B1">
        <w:rPr>
          <w:i/>
          <w:sz w:val="20"/>
          <w:lang w:val="fr-CA"/>
        </w:rPr>
        <w:t>Charte</w:t>
      </w:r>
      <w:r w:rsidRPr="004558B1">
        <w:rPr>
          <w:sz w:val="20"/>
          <w:lang w:val="fr-CA"/>
        </w:rPr>
        <w:t xml:space="preserve"> pas plus qu’il n’est nécessaire compte tenu des objectifs visés par la loi.  Si la décision porte atteinte à la garantie de manière disproportionnée, elle est déraisonnable.  Si, par contre, elle établit un juste équilibre entre le mandat et la protection conférée par la </w:t>
      </w:r>
      <w:r w:rsidRPr="004558B1">
        <w:rPr>
          <w:i/>
          <w:sz w:val="20"/>
          <w:lang w:val="fr-CA"/>
        </w:rPr>
        <w:t>Charte</w:t>
      </w:r>
      <w:r w:rsidRPr="004558B1">
        <w:rPr>
          <w:sz w:val="20"/>
          <w:lang w:val="fr-CA"/>
        </w:rPr>
        <w:t xml:space="preserve">, elle est raisonnable.  Cela étant dit, tant les décideurs que les tribunaux qui procèdent à la révision de leurs décisions doivent analyser les questions qui leur sont soumises en gardant à l’esprit l’importance fondamentale des valeurs consacrées par la </w:t>
      </w:r>
      <w:r w:rsidRPr="004558B1">
        <w:rPr>
          <w:i/>
          <w:sz w:val="20"/>
          <w:lang w:val="fr-CA"/>
        </w:rPr>
        <w:t>Charte</w:t>
      </w:r>
      <w:r w:rsidRPr="004558B1">
        <w:rPr>
          <w:sz w:val="20"/>
          <w:lang w:val="fr-CA"/>
        </w:rPr>
        <w:t>.</w:t>
      </w:r>
    </w:p>
    <w:p w:rsidR="004558B1" w:rsidRPr="004558B1" w:rsidRDefault="004558B1" w:rsidP="004558B1">
      <w:pPr>
        <w:pStyle w:val="SCCNormalDoubleSpacing"/>
        <w:spacing w:line="240" w:lineRule="auto"/>
        <w:rPr>
          <w:sz w:val="20"/>
          <w:lang w:val="fr-CA"/>
        </w:rPr>
      </w:pPr>
    </w:p>
    <w:p w:rsidR="004558B1" w:rsidRPr="004558B1" w:rsidRDefault="004558B1" w:rsidP="004558B1">
      <w:pPr>
        <w:pStyle w:val="SCCNormalDoubleSpacing"/>
        <w:spacing w:line="240" w:lineRule="auto"/>
        <w:rPr>
          <w:sz w:val="20"/>
          <w:lang w:val="fr-CA"/>
        </w:rPr>
      </w:pPr>
      <w:r w:rsidRPr="004558B1">
        <w:rPr>
          <w:sz w:val="20"/>
          <w:lang w:val="fr-CA"/>
        </w:rPr>
        <w:tab/>
        <w:t xml:space="preserve">La Cour n’était pas appelée en l’espèce à se prononcer sur la décision de suspendre le droit de pratique de D durant 21 jours.  La seule question à trancher était celle de savoir si la décision du Comité de réprimander l’avocat a établi un juste équilibre, soit un équilibre proportionné, entre le droit de l’avocat à la libre expression et le mandat légal du Comité — qui consiste à garantir que les avocats agissent avec « objectivité, [. . .] modération et [. . .] dignité », conformément à l’art. 2.03 du </w:t>
      </w:r>
      <w:r w:rsidRPr="004558B1">
        <w:rPr>
          <w:i/>
          <w:sz w:val="20"/>
          <w:lang w:val="fr-CA"/>
        </w:rPr>
        <w:t>Code de déontologie</w:t>
      </w:r>
      <w:r w:rsidRPr="004558B1">
        <w:rPr>
          <w:sz w:val="20"/>
          <w:lang w:val="fr-CA"/>
        </w:rPr>
        <w:t xml:space="preserve">.  Lorsqu’il s’agit de déterminer quand le comportement d’un avocat </w:t>
      </w:r>
      <w:r w:rsidRPr="004558B1">
        <w:rPr>
          <w:sz w:val="20"/>
          <w:lang w:val="fr-CA"/>
        </w:rPr>
        <w:lastRenderedPageBreak/>
        <w:t xml:space="preserve">passe les bornes de la civilité, il faut tenir compte du droit à la liberté d’expression garanti par la </w:t>
      </w:r>
      <w:r w:rsidRPr="004558B1">
        <w:rPr>
          <w:i/>
          <w:iCs/>
          <w:sz w:val="20"/>
          <w:lang w:val="fr-CA"/>
        </w:rPr>
        <w:t>Charte</w:t>
      </w:r>
      <w:r w:rsidRPr="004558B1">
        <w:rPr>
          <w:sz w:val="20"/>
          <w:lang w:val="fr-CA"/>
        </w:rPr>
        <w:t xml:space="preserve"> et, plus particulièrement, des avantages que procure à l’ensemble de la population l’exercice par les avocats du droit de s’exprimer au sujet du système de justice en général et au sujet des juges en particulier.  Autrement dit, les valeurs mises en balance sont, d’une part, l’importance fondamentale d’une critique ouverte et même vigoureuse de nos institutions publiques et, d’autre part, la nécessité d’assurer la civilité dans l’exercice de la profession juridique.  Les organes disciplinaires doivent donc démontrer qu’ils ont dûment tenu compte de l’importance du droit à la liberté d’expression en cause, tant dans la perspective du droit d’expression individuel des avocats que dans celle de l’intérêt public à l’ouverture des débats.  Comme pour toutes les décisions disciplinaires, cette mise en balance dépend des faits et suppose l’exercice d’un pouvoir discrétionnaire.  </w:t>
      </w:r>
    </w:p>
    <w:p w:rsidR="004558B1" w:rsidRPr="004558B1" w:rsidRDefault="004558B1" w:rsidP="004558B1">
      <w:pPr>
        <w:pStyle w:val="SCCNormalDoubleSpacing"/>
        <w:spacing w:line="240" w:lineRule="auto"/>
        <w:rPr>
          <w:sz w:val="20"/>
          <w:lang w:val="fr-CA"/>
        </w:rPr>
      </w:pPr>
    </w:p>
    <w:p w:rsidR="004558B1" w:rsidRPr="004558B1" w:rsidRDefault="004558B1" w:rsidP="004558B1">
      <w:pPr>
        <w:pStyle w:val="SCCNormalDoubleSpacing"/>
        <w:spacing w:line="240" w:lineRule="auto"/>
        <w:rPr>
          <w:sz w:val="20"/>
          <w:lang w:val="fr-CA"/>
        </w:rPr>
      </w:pPr>
      <w:r w:rsidRPr="004558B1">
        <w:rPr>
          <w:sz w:val="20"/>
          <w:lang w:val="fr-CA"/>
        </w:rPr>
        <w:tab/>
        <w:t>Il peut découler du respect qui est dû à ce droit à la liberté d’expression que des organismes disciplinaires tolèrent certaines critiques acérées.  Le fait qu’un avocat critique un juge, un acteur indépendant et nommé à titre inamovible du système de justice, pourrait hausser, et non abaisser, le seuil au</w:t>
      </w:r>
      <w:r w:rsidRPr="004558B1">
        <w:rPr>
          <w:sz w:val="20"/>
          <w:lang w:val="fr-CA"/>
        </w:rPr>
        <w:noBreakHyphen/>
        <w:t xml:space="preserve">delà duquel il convient de limiter l’exercice par un avocat du droit à la liberté d’expression que lui garantit la </w:t>
      </w:r>
      <w:r w:rsidRPr="004558B1">
        <w:rPr>
          <w:i/>
          <w:sz w:val="20"/>
          <w:lang w:val="fr-CA"/>
        </w:rPr>
        <w:t>Charte</w:t>
      </w:r>
      <w:r w:rsidRPr="004558B1">
        <w:rPr>
          <w:sz w:val="20"/>
          <w:lang w:val="fr-CA"/>
        </w:rPr>
        <w:t>.  Cela étant dit, il ne faut surtout pas voir là d’argument pour un droit illimité des avocats de faire fi de la civilité que la société est en droit d’attendre d’eux.  Les avocats sont susceptibles d’être critiqués et de subir des pressions quotidiennement.  Le public, au nom de qui ils exercent, s’attend à ce que ces officiers de justice encaissent les coups avec civilité et dignité.  Ce n’est pas toujours facile lorsque l’avocat a le sentiment qu’il a été injustement provoqué comme en l’espèce.  Il n’en demeure pas moins que c’est précisément dans les situations où le sang</w:t>
      </w:r>
      <w:r w:rsidRPr="004558B1">
        <w:rPr>
          <w:sz w:val="20"/>
          <w:lang w:val="fr-CA"/>
        </w:rPr>
        <w:noBreakHyphen/>
        <w:t xml:space="preserve">froid de l’avocat est indûment testé qu’il est tout particulièrement appelé à adopter un comportement d’une civilité transcendante.  Cela étant dit, on ne peut s’attendre à ce que les avocats se comportent comme des eunuques de la parole.  Ils ont non seulement le droit d’exprimer leurs opinions librement, mais possiblement le devoir de le faire.  Ils sont toutefois tenus par leur profession de s’exécuter avec une retenue pleine de dignité.  </w:t>
      </w:r>
    </w:p>
    <w:p w:rsidR="004558B1" w:rsidRPr="004558B1" w:rsidRDefault="004558B1" w:rsidP="004558B1">
      <w:pPr>
        <w:pStyle w:val="SCCNormalDoubleSpacing"/>
        <w:spacing w:line="240" w:lineRule="auto"/>
        <w:rPr>
          <w:sz w:val="20"/>
          <w:lang w:val="fr-CA"/>
        </w:rPr>
      </w:pPr>
    </w:p>
    <w:p w:rsidR="004558B1" w:rsidRPr="004558B1" w:rsidRDefault="004558B1" w:rsidP="004558B1">
      <w:pPr>
        <w:pStyle w:val="SCCNormalDoubleSpacing"/>
        <w:spacing w:line="240" w:lineRule="auto"/>
        <w:rPr>
          <w:sz w:val="20"/>
          <w:lang w:val="fr-CA"/>
        </w:rPr>
      </w:pPr>
      <w:r w:rsidRPr="004558B1">
        <w:rPr>
          <w:sz w:val="20"/>
          <w:lang w:val="fr-CA"/>
        </w:rPr>
        <w:tab/>
        <w:t>Un avocat qui critique un juge ou le système judiciaire n’est pas automatiquement passible d’une réprimande.  Une telle critique, même exprimée vigoureusement, peut être constructive.  Cependant, dans le contexte d’audiences disciplinaires, une telle critique sera évaluée à la lumière des attentes raisonnables du public quant au professionnalisme dont un avocat doit faire preuve.  Comme l’a conclu le Comité de discipline, la lettre de D ne satisfait pas à ces attentes.  Son mécontentement à l’égard du juge était légitime, mais la teneur de sa réponse ne l’était pas.</w:t>
      </w:r>
    </w:p>
    <w:p w:rsidR="004558B1" w:rsidRPr="004558B1" w:rsidRDefault="004558B1" w:rsidP="004558B1">
      <w:pPr>
        <w:pStyle w:val="SCCNormalDoubleSpacing"/>
        <w:spacing w:line="240" w:lineRule="auto"/>
        <w:rPr>
          <w:sz w:val="20"/>
          <w:lang w:val="fr-CA"/>
        </w:rPr>
      </w:pPr>
    </w:p>
    <w:p w:rsidR="004558B1" w:rsidRPr="004558B1" w:rsidRDefault="004558B1" w:rsidP="004558B1">
      <w:pPr>
        <w:pStyle w:val="SCCNormalDoubleSpacing"/>
        <w:spacing w:line="240" w:lineRule="auto"/>
        <w:rPr>
          <w:sz w:val="20"/>
          <w:lang w:val="fr-CA"/>
        </w:rPr>
      </w:pPr>
      <w:r w:rsidRPr="004558B1">
        <w:rPr>
          <w:sz w:val="20"/>
          <w:lang w:val="fr-CA"/>
        </w:rPr>
        <w:tab/>
        <w:t xml:space="preserve">À la lumière du degré excessif de vitupération dans le contenu de la lettre et de son ton, la conclusion du Comité selon lequel la lettre de D justifiait qu’il soit réprimandé repose sur un juste équilibre, soit un équilibre proportionné, entre le droit de D à la libre expression et l’objectif de la loi qui consiste à garantir que les avocats agissent avec « objectivité, modération et dignité ».  Par conséquent, cette décision est raisonnable. </w:t>
      </w:r>
    </w:p>
    <w:p w:rsidR="004558B1" w:rsidRPr="004558B1" w:rsidRDefault="004558B1" w:rsidP="004558B1">
      <w:pPr>
        <w:pStyle w:val="SCCNormalDoubleSpacing"/>
        <w:spacing w:line="240" w:lineRule="auto"/>
        <w:rPr>
          <w:sz w:val="20"/>
          <w:lang w:val="fr-CA"/>
        </w:rPr>
      </w:pPr>
    </w:p>
    <w:p w:rsidR="004558B1" w:rsidRPr="004558B1" w:rsidRDefault="004558B1" w:rsidP="004558B1">
      <w:pPr>
        <w:pStyle w:val="SCCNormalDoubleSpacing"/>
        <w:spacing w:line="240" w:lineRule="auto"/>
        <w:rPr>
          <w:sz w:val="20"/>
          <w:lang w:val="fr-CA"/>
        </w:rPr>
      </w:pPr>
      <w:r w:rsidRPr="004558B1">
        <w:rPr>
          <w:sz w:val="20"/>
          <w:lang w:val="fr-CA"/>
        </w:rPr>
        <w:tab/>
        <w:t>POURVOI contre un arrêt de la Cour d’appel du Québec (les juges Rochon, Dufresne et Léger), 2010 QCCA 24, [2010] R.J.Q. 77, 326 D.L.R. (4th) 749, [2010] J.Q. n</w:t>
      </w:r>
      <w:r w:rsidRPr="004558B1">
        <w:rPr>
          <w:sz w:val="20"/>
          <w:vertAlign w:val="superscript"/>
          <w:lang w:val="fr-CA"/>
        </w:rPr>
        <w:t>o</w:t>
      </w:r>
      <w:r w:rsidRPr="004558B1">
        <w:rPr>
          <w:sz w:val="20"/>
          <w:lang w:val="fr-CA"/>
        </w:rPr>
        <w:t> 88 (QL), 2010 CarswellQue 77, qui a confirmé une décision du juge Déziel, 2008 QCCS 2450 (CanLII), [2008] J.Q. n</w:t>
      </w:r>
      <w:r w:rsidRPr="004558B1">
        <w:rPr>
          <w:sz w:val="20"/>
          <w:vertAlign w:val="superscript"/>
          <w:lang w:val="fr-CA"/>
        </w:rPr>
        <w:t>o</w:t>
      </w:r>
      <w:r w:rsidRPr="004558B1">
        <w:rPr>
          <w:sz w:val="20"/>
          <w:lang w:val="fr-CA"/>
        </w:rPr>
        <w:t> 5222 (QL), 2008 CarswellQue 5285, qui avait rejeté une requête en révision judiciaire d’une décision du Tribunal des professions, 2007 QCTP 152 (CanLII), [2007] D.T.P.Q. n</w:t>
      </w:r>
      <w:r w:rsidRPr="004558B1">
        <w:rPr>
          <w:sz w:val="20"/>
          <w:vertAlign w:val="superscript"/>
          <w:lang w:val="fr-CA"/>
        </w:rPr>
        <w:t>o</w:t>
      </w:r>
      <w:r w:rsidRPr="004558B1">
        <w:rPr>
          <w:sz w:val="20"/>
          <w:lang w:val="fr-CA"/>
        </w:rPr>
        <w:t> 152 (QL).  Pourvoi rejeté.</w:t>
      </w:r>
    </w:p>
    <w:p w:rsidR="004558B1" w:rsidRPr="004558B1" w:rsidRDefault="004558B1" w:rsidP="004558B1">
      <w:pPr>
        <w:pStyle w:val="SCCNormalDoubleSpacing"/>
        <w:spacing w:line="240" w:lineRule="auto"/>
        <w:rPr>
          <w:i/>
          <w:sz w:val="20"/>
          <w:lang w:val="fr-CA"/>
        </w:rPr>
      </w:pPr>
    </w:p>
    <w:p w:rsidR="004558B1" w:rsidRPr="004558B1" w:rsidRDefault="004558B1" w:rsidP="004558B1">
      <w:pPr>
        <w:pStyle w:val="SCCNormalDoubleSpacing"/>
        <w:spacing w:line="240" w:lineRule="auto"/>
        <w:rPr>
          <w:sz w:val="20"/>
          <w:lang w:val="fr-CA"/>
        </w:rPr>
      </w:pPr>
      <w:r w:rsidRPr="004558B1">
        <w:rPr>
          <w:i/>
          <w:sz w:val="20"/>
          <w:lang w:val="fr-CA"/>
        </w:rPr>
        <w:tab/>
        <w:t>Sophie Dormeau et Sophie Préfontaine</w:t>
      </w:r>
      <w:r w:rsidRPr="004558B1">
        <w:rPr>
          <w:sz w:val="20"/>
          <w:lang w:val="fr-CA"/>
        </w:rPr>
        <w:t>, pour l’appelant.</w:t>
      </w:r>
    </w:p>
    <w:p w:rsidR="004558B1" w:rsidRPr="004558B1" w:rsidRDefault="004558B1" w:rsidP="004558B1">
      <w:pPr>
        <w:pStyle w:val="SCCNormalDoubleSpacing"/>
        <w:spacing w:line="240" w:lineRule="auto"/>
        <w:rPr>
          <w:i/>
          <w:sz w:val="20"/>
          <w:lang w:val="fr-CA"/>
        </w:rPr>
      </w:pPr>
    </w:p>
    <w:p w:rsidR="004558B1" w:rsidRPr="004558B1" w:rsidRDefault="004558B1" w:rsidP="004558B1">
      <w:pPr>
        <w:pStyle w:val="SCCNormalDoubleSpacing"/>
        <w:spacing w:line="240" w:lineRule="auto"/>
        <w:rPr>
          <w:sz w:val="20"/>
          <w:lang w:val="fr-CA"/>
        </w:rPr>
      </w:pPr>
      <w:r w:rsidRPr="004558B1">
        <w:rPr>
          <w:i/>
          <w:sz w:val="20"/>
          <w:lang w:val="fr-CA"/>
        </w:rPr>
        <w:tab/>
        <w:t>Claude G. Leduc</w:t>
      </w:r>
      <w:r w:rsidRPr="004558B1">
        <w:rPr>
          <w:sz w:val="20"/>
          <w:lang w:val="fr-CA"/>
        </w:rPr>
        <w:t xml:space="preserve"> et </w:t>
      </w:r>
      <w:r w:rsidRPr="004558B1">
        <w:rPr>
          <w:i/>
          <w:sz w:val="20"/>
          <w:lang w:val="fr-CA"/>
        </w:rPr>
        <w:t>Luce Bastien</w:t>
      </w:r>
      <w:r w:rsidRPr="004558B1">
        <w:rPr>
          <w:sz w:val="20"/>
          <w:lang w:val="fr-CA"/>
        </w:rPr>
        <w:t>, pour l’intimé Pierre Bernard, ès qualités de syndic adjoint du Barreau du Québec.</w:t>
      </w:r>
    </w:p>
    <w:p w:rsidR="004558B1" w:rsidRPr="004558B1" w:rsidRDefault="004558B1" w:rsidP="004558B1">
      <w:pPr>
        <w:pStyle w:val="SCCNormalDoubleSpacing"/>
        <w:spacing w:line="240" w:lineRule="auto"/>
        <w:rPr>
          <w:i/>
          <w:sz w:val="20"/>
          <w:lang w:val="fr-CA"/>
        </w:rPr>
      </w:pPr>
    </w:p>
    <w:p w:rsidR="004558B1" w:rsidRPr="004558B1" w:rsidRDefault="004558B1" w:rsidP="004558B1">
      <w:pPr>
        <w:pStyle w:val="SCCNormalDoubleSpacing"/>
        <w:spacing w:line="240" w:lineRule="auto"/>
        <w:rPr>
          <w:sz w:val="20"/>
          <w:lang w:val="fr-CA"/>
        </w:rPr>
      </w:pPr>
      <w:r w:rsidRPr="004558B1">
        <w:rPr>
          <w:i/>
          <w:sz w:val="20"/>
          <w:lang w:val="fr-CA"/>
        </w:rPr>
        <w:tab/>
        <w:t>Dominique A. Jobin</w:t>
      </w:r>
      <w:r w:rsidRPr="004558B1">
        <w:rPr>
          <w:sz w:val="20"/>
          <w:lang w:val="fr-CA"/>
        </w:rPr>
        <w:t xml:space="preserve"> et </w:t>
      </w:r>
      <w:r w:rsidRPr="004558B1">
        <w:rPr>
          <w:i/>
          <w:sz w:val="20"/>
          <w:lang w:val="fr-CA"/>
        </w:rPr>
        <w:t>Noémi Potvin</w:t>
      </w:r>
      <w:r w:rsidRPr="004558B1">
        <w:rPr>
          <w:sz w:val="20"/>
          <w:lang w:val="fr-CA"/>
        </w:rPr>
        <w:t>, pour les intimés le Tribunal des professions et le procureur général du Québec.</w:t>
      </w:r>
    </w:p>
    <w:p w:rsidR="004558B1" w:rsidRPr="004558B1" w:rsidRDefault="004558B1" w:rsidP="004558B1">
      <w:pPr>
        <w:pStyle w:val="SCCNormalDoubleSpacing"/>
        <w:spacing w:line="240" w:lineRule="auto"/>
        <w:rPr>
          <w:i/>
          <w:sz w:val="20"/>
          <w:lang w:val="fr-CA"/>
        </w:rPr>
      </w:pPr>
    </w:p>
    <w:p w:rsidR="004558B1" w:rsidRPr="004558B1" w:rsidRDefault="004558B1" w:rsidP="004558B1">
      <w:pPr>
        <w:pStyle w:val="SCCNormalDoubleSpacing"/>
        <w:spacing w:line="240" w:lineRule="auto"/>
        <w:rPr>
          <w:sz w:val="20"/>
          <w:lang w:val="fr-CA"/>
        </w:rPr>
      </w:pPr>
      <w:r w:rsidRPr="004558B1">
        <w:rPr>
          <w:i/>
          <w:sz w:val="20"/>
          <w:lang w:val="fr-CA"/>
        </w:rPr>
        <w:tab/>
        <w:t>Babak Barin</w:t>
      </w:r>
      <w:r w:rsidRPr="004558B1">
        <w:rPr>
          <w:sz w:val="20"/>
          <w:lang w:val="fr-CA"/>
        </w:rPr>
        <w:t xml:space="preserve"> et </w:t>
      </w:r>
      <w:r w:rsidRPr="004558B1">
        <w:rPr>
          <w:i/>
          <w:sz w:val="20"/>
          <w:lang w:val="fr-CA"/>
        </w:rPr>
        <w:t>Frédéric Côté</w:t>
      </w:r>
      <w:r w:rsidRPr="004558B1">
        <w:rPr>
          <w:sz w:val="20"/>
          <w:lang w:val="fr-CA"/>
        </w:rPr>
        <w:t>, pour l’intervenante la Fédération des ordres professionnels de juristes du Canada.</w:t>
      </w:r>
    </w:p>
    <w:p w:rsidR="004558B1" w:rsidRPr="004558B1" w:rsidRDefault="004558B1" w:rsidP="004558B1">
      <w:pPr>
        <w:pStyle w:val="SCCNormalDoubleSpacing"/>
        <w:spacing w:line="240" w:lineRule="auto"/>
        <w:rPr>
          <w:i/>
          <w:sz w:val="20"/>
          <w:lang w:val="fr-CA"/>
        </w:rPr>
      </w:pPr>
    </w:p>
    <w:p w:rsidR="004558B1" w:rsidRPr="004558B1" w:rsidRDefault="004558B1" w:rsidP="004558B1">
      <w:pPr>
        <w:pStyle w:val="SCCNormalDoubleSpacing"/>
        <w:spacing w:line="240" w:lineRule="auto"/>
        <w:rPr>
          <w:sz w:val="20"/>
          <w:lang w:val="fr-CA"/>
        </w:rPr>
      </w:pPr>
      <w:r w:rsidRPr="004558B1">
        <w:rPr>
          <w:i/>
          <w:sz w:val="20"/>
          <w:lang w:val="fr-CA"/>
        </w:rPr>
        <w:tab/>
        <w:t>David Grossman, Sylvain Lussier</w:t>
      </w:r>
      <w:r w:rsidRPr="004558B1">
        <w:rPr>
          <w:sz w:val="20"/>
          <w:lang w:val="fr-CA"/>
        </w:rPr>
        <w:t xml:space="preserve">, </w:t>
      </w:r>
      <w:r w:rsidRPr="004558B1">
        <w:rPr>
          <w:i/>
          <w:sz w:val="20"/>
          <w:lang w:val="fr-CA"/>
        </w:rPr>
        <w:t>Julien Morissette</w:t>
      </w:r>
      <w:r w:rsidRPr="004558B1">
        <w:rPr>
          <w:sz w:val="20"/>
          <w:lang w:val="fr-CA"/>
        </w:rPr>
        <w:t xml:space="preserve"> et </w:t>
      </w:r>
      <w:r w:rsidRPr="004558B1">
        <w:rPr>
          <w:i/>
          <w:sz w:val="20"/>
          <w:lang w:val="fr-CA"/>
        </w:rPr>
        <w:t>Annie Gallant</w:t>
      </w:r>
      <w:r w:rsidRPr="004558B1">
        <w:rPr>
          <w:sz w:val="20"/>
          <w:lang w:val="fr-CA"/>
        </w:rPr>
        <w:t>, pour l’intervenante l’Association canadienne des libertés civiles.</w:t>
      </w:r>
    </w:p>
    <w:p w:rsidR="004558B1" w:rsidRPr="004558B1" w:rsidRDefault="004558B1" w:rsidP="004558B1">
      <w:pPr>
        <w:pStyle w:val="SCCNormalDoubleSpacing"/>
        <w:spacing w:line="240" w:lineRule="auto"/>
        <w:rPr>
          <w:i/>
          <w:sz w:val="20"/>
          <w:lang w:val="fr-CA"/>
        </w:rPr>
      </w:pPr>
    </w:p>
    <w:p w:rsidR="004558B1" w:rsidRPr="004558B1" w:rsidRDefault="004558B1" w:rsidP="004558B1">
      <w:pPr>
        <w:pStyle w:val="SCCNormalDoubleSpacing"/>
        <w:spacing w:line="240" w:lineRule="auto"/>
        <w:rPr>
          <w:sz w:val="20"/>
          <w:lang w:val="fr-CA"/>
        </w:rPr>
      </w:pPr>
      <w:r w:rsidRPr="004558B1">
        <w:rPr>
          <w:i/>
          <w:sz w:val="20"/>
          <w:lang w:val="fr-CA"/>
        </w:rPr>
        <w:lastRenderedPageBreak/>
        <w:tab/>
        <w:t>Mathieu Bouchard</w:t>
      </w:r>
      <w:r w:rsidRPr="004558B1">
        <w:rPr>
          <w:sz w:val="20"/>
          <w:lang w:val="fr-CA"/>
        </w:rPr>
        <w:t xml:space="preserve"> et </w:t>
      </w:r>
      <w:r w:rsidRPr="004558B1">
        <w:rPr>
          <w:i/>
          <w:sz w:val="20"/>
          <w:lang w:val="fr-CA"/>
        </w:rPr>
        <w:t>Audrey Boctor</w:t>
      </w:r>
      <w:r w:rsidRPr="004558B1">
        <w:rPr>
          <w:sz w:val="20"/>
          <w:lang w:val="fr-CA"/>
        </w:rPr>
        <w:t>, pour l’intervenante l’Association du Jeune Barreau de Montréal.</w:t>
      </w:r>
    </w:p>
    <w:p w:rsidR="004558B1" w:rsidRPr="004558B1" w:rsidRDefault="004558B1" w:rsidP="004558B1">
      <w:pPr>
        <w:pStyle w:val="SCCLawFirm"/>
        <w:spacing w:line="240" w:lineRule="auto"/>
        <w:rPr>
          <w:sz w:val="20"/>
          <w:lang w:val="fr-CA"/>
        </w:rPr>
      </w:pPr>
    </w:p>
    <w:p w:rsidR="004558B1" w:rsidRPr="004558B1" w:rsidRDefault="004558B1" w:rsidP="004558B1">
      <w:pPr>
        <w:pStyle w:val="SCCLawFirm"/>
        <w:spacing w:line="240" w:lineRule="auto"/>
        <w:rPr>
          <w:sz w:val="20"/>
          <w:lang w:val="fr-CA"/>
        </w:rPr>
      </w:pPr>
      <w:r w:rsidRPr="004558B1">
        <w:rPr>
          <w:sz w:val="20"/>
          <w:lang w:val="fr-CA"/>
        </w:rPr>
        <w:tab/>
        <w:t>Procureur de l’appelant : Sophie Dormeau, Outremont.</w:t>
      </w:r>
    </w:p>
    <w:p w:rsidR="004558B1" w:rsidRPr="004558B1" w:rsidRDefault="004558B1" w:rsidP="004558B1">
      <w:pPr>
        <w:pStyle w:val="SCCLawFirm"/>
        <w:spacing w:line="240" w:lineRule="auto"/>
        <w:rPr>
          <w:sz w:val="20"/>
          <w:lang w:val="fr-CA"/>
        </w:rPr>
      </w:pPr>
    </w:p>
    <w:p w:rsidR="004558B1" w:rsidRPr="004558B1" w:rsidRDefault="004558B1" w:rsidP="004558B1">
      <w:pPr>
        <w:pStyle w:val="SCCLawFirm"/>
        <w:spacing w:line="240" w:lineRule="auto"/>
        <w:rPr>
          <w:sz w:val="20"/>
          <w:lang w:val="fr-CA"/>
        </w:rPr>
      </w:pPr>
      <w:r w:rsidRPr="004558B1">
        <w:rPr>
          <w:sz w:val="20"/>
          <w:lang w:val="fr-CA"/>
        </w:rPr>
        <w:tab/>
        <w:t>Procureurs de l’intimé Pierre Bernard, ès qualités de syndic adjoint du Barreau du Québec : Mercier Leduc, Montréal.</w:t>
      </w:r>
    </w:p>
    <w:p w:rsidR="004558B1" w:rsidRPr="004558B1" w:rsidRDefault="004558B1" w:rsidP="004558B1">
      <w:pPr>
        <w:pStyle w:val="SCCLawFirm"/>
        <w:spacing w:line="240" w:lineRule="auto"/>
        <w:rPr>
          <w:sz w:val="20"/>
          <w:lang w:val="fr-CA"/>
        </w:rPr>
      </w:pPr>
    </w:p>
    <w:p w:rsidR="004558B1" w:rsidRPr="004558B1" w:rsidRDefault="004558B1" w:rsidP="004558B1">
      <w:pPr>
        <w:pStyle w:val="SCCLawFirm"/>
        <w:spacing w:line="240" w:lineRule="auto"/>
        <w:rPr>
          <w:sz w:val="20"/>
          <w:lang w:val="fr-CA"/>
        </w:rPr>
      </w:pPr>
      <w:r w:rsidRPr="004558B1">
        <w:rPr>
          <w:sz w:val="20"/>
          <w:lang w:val="fr-CA"/>
        </w:rPr>
        <w:tab/>
        <w:t>Procureur des intimés le Tribunal des professions et le procureur général du Québec : Procureur général du Québec, Sainte</w:t>
      </w:r>
      <w:r w:rsidRPr="004558B1">
        <w:rPr>
          <w:sz w:val="20"/>
          <w:lang w:val="fr-CA"/>
        </w:rPr>
        <w:noBreakHyphen/>
        <w:t>Foy.</w:t>
      </w:r>
    </w:p>
    <w:p w:rsidR="004558B1" w:rsidRPr="004558B1" w:rsidRDefault="004558B1" w:rsidP="004558B1">
      <w:pPr>
        <w:pStyle w:val="SCCLawFirm"/>
        <w:spacing w:line="240" w:lineRule="auto"/>
        <w:rPr>
          <w:sz w:val="20"/>
          <w:lang w:val="fr-CA"/>
        </w:rPr>
      </w:pPr>
    </w:p>
    <w:p w:rsidR="004558B1" w:rsidRPr="004558B1" w:rsidRDefault="004558B1" w:rsidP="004558B1">
      <w:pPr>
        <w:pStyle w:val="SCCLawFirm"/>
        <w:spacing w:line="240" w:lineRule="auto"/>
        <w:rPr>
          <w:sz w:val="20"/>
          <w:lang w:val="fr-CA"/>
        </w:rPr>
      </w:pPr>
      <w:r w:rsidRPr="004558B1">
        <w:rPr>
          <w:sz w:val="20"/>
          <w:lang w:val="fr-CA"/>
        </w:rPr>
        <w:tab/>
        <w:t>Procureurs de l’intervenante la Fédération des ordres professionnels de juristes du Canada : BCF, Montréal.</w:t>
      </w:r>
    </w:p>
    <w:p w:rsidR="004558B1" w:rsidRPr="004558B1" w:rsidRDefault="004558B1" w:rsidP="004558B1">
      <w:pPr>
        <w:pStyle w:val="SCCLawFirm"/>
        <w:spacing w:line="240" w:lineRule="auto"/>
        <w:rPr>
          <w:sz w:val="20"/>
          <w:lang w:val="fr-CA"/>
        </w:rPr>
      </w:pPr>
    </w:p>
    <w:p w:rsidR="004558B1" w:rsidRPr="004558B1" w:rsidRDefault="004558B1" w:rsidP="004558B1">
      <w:pPr>
        <w:pStyle w:val="SCCLawFirm"/>
        <w:spacing w:line="240" w:lineRule="auto"/>
        <w:rPr>
          <w:sz w:val="20"/>
          <w:lang w:val="fr-CA"/>
        </w:rPr>
      </w:pPr>
      <w:r w:rsidRPr="004558B1">
        <w:rPr>
          <w:sz w:val="20"/>
          <w:lang w:val="fr-CA"/>
        </w:rPr>
        <w:tab/>
        <w:t>Procureurs de l’intervenante l’Association canadienne des libertés civiles : Osler, Hoskin &amp; Harcourt, Montréal.</w:t>
      </w:r>
    </w:p>
    <w:p w:rsidR="004558B1" w:rsidRPr="004558B1" w:rsidRDefault="004558B1" w:rsidP="004558B1">
      <w:pPr>
        <w:pStyle w:val="SCCLawFirm"/>
        <w:spacing w:line="240" w:lineRule="auto"/>
        <w:rPr>
          <w:sz w:val="20"/>
          <w:lang w:val="fr-CA"/>
        </w:rPr>
      </w:pPr>
    </w:p>
    <w:p w:rsidR="004558B1" w:rsidRPr="004558B1" w:rsidRDefault="004558B1" w:rsidP="004558B1">
      <w:pPr>
        <w:pStyle w:val="SCCLawFirm"/>
        <w:spacing w:line="240" w:lineRule="auto"/>
        <w:rPr>
          <w:sz w:val="20"/>
          <w:lang w:val="fr-CA"/>
        </w:rPr>
      </w:pPr>
      <w:r w:rsidRPr="004558B1">
        <w:rPr>
          <w:sz w:val="20"/>
          <w:lang w:val="fr-CA"/>
        </w:rPr>
        <w:tab/>
        <w:t>Procureurs de l’intervenante l’Association du Jeune Barreau de Montréal : Irving Mitchell Kalichman, Westmount.</w:t>
      </w:r>
    </w:p>
    <w:p w:rsidR="00DD0B49" w:rsidRPr="00121545" w:rsidRDefault="00DD0B49" w:rsidP="00DD0B49">
      <w:pPr>
        <w:rPr>
          <w:rFonts w:cs="Times New Roman"/>
          <w:sz w:val="20"/>
          <w:szCs w:val="20"/>
        </w:rPr>
      </w:pPr>
      <w:r w:rsidRPr="00121545">
        <w:rPr>
          <w:rFonts w:cs="Times New Roman"/>
          <w:sz w:val="20"/>
          <w:szCs w:val="20"/>
        </w:rPr>
        <w:t>________________________</w:t>
      </w:r>
    </w:p>
    <w:p w:rsidR="00DD0B49" w:rsidRPr="00121545" w:rsidRDefault="00DD0B49" w:rsidP="00DD0B49">
      <w:pPr>
        <w:rPr>
          <w:rFonts w:cs="Times New Roman"/>
          <w:sz w:val="20"/>
          <w:szCs w:val="20"/>
        </w:rPr>
      </w:pPr>
    </w:p>
    <w:p w:rsidR="004558B1" w:rsidRPr="0049740D" w:rsidRDefault="004558B1" w:rsidP="004558B1">
      <w:pPr>
        <w:jc w:val="both"/>
        <w:rPr>
          <w:sz w:val="20"/>
          <w:szCs w:val="20"/>
        </w:rPr>
      </w:pPr>
      <w:r w:rsidRPr="0049740D">
        <w:rPr>
          <w:sz w:val="20"/>
          <w:szCs w:val="20"/>
        </w:rPr>
        <w:t>Present:  McLachlin C.J. and Binnie, LeBel, Fish, Abella, Rothstein and Cromwell JJ.</w:t>
      </w:r>
    </w:p>
    <w:p w:rsidR="004558B1" w:rsidRPr="004558B1" w:rsidRDefault="004558B1" w:rsidP="004558B1">
      <w:pPr>
        <w:pStyle w:val="SCCLowerCourtNameLowercase"/>
        <w:spacing w:line="240" w:lineRule="auto"/>
        <w:rPr>
          <w:sz w:val="20"/>
          <w:lang w:val="en-CA"/>
        </w:rPr>
      </w:pPr>
    </w:p>
    <w:p w:rsidR="004558B1" w:rsidRPr="0049740D" w:rsidRDefault="004558B1" w:rsidP="004558B1">
      <w:pPr>
        <w:pStyle w:val="SCCNormalDoubleSpacing"/>
        <w:spacing w:line="240" w:lineRule="auto"/>
        <w:rPr>
          <w:i/>
          <w:sz w:val="20"/>
        </w:rPr>
      </w:pPr>
      <w:r w:rsidRPr="0049740D">
        <w:rPr>
          <w:i/>
          <w:sz w:val="20"/>
        </w:rPr>
        <w:tab/>
        <w:t xml:space="preserve">Administrative law — Judicial review — Standard of review — Disciplinary council — Lawyer challenging constitutionality of council’s decision — Proper approach to judicial review of discretionary administrative decisions engaging Charter protections — Whether </w:t>
      </w:r>
      <w:r w:rsidRPr="0049740D">
        <w:rPr>
          <w:i/>
          <w:spacing w:val="-3"/>
          <w:sz w:val="20"/>
          <w:lang w:val="en-GB"/>
        </w:rPr>
        <w:t>framework developed in R. v. Oakes appropriate to determine if discretionary administrative decisions comply with Canadian Charter of Rights and Freedoms</w:t>
      </w:r>
      <w:r w:rsidRPr="0049740D">
        <w:rPr>
          <w:i/>
          <w:sz w:val="20"/>
        </w:rPr>
        <w:t>.</w:t>
      </w:r>
    </w:p>
    <w:p w:rsidR="004558B1" w:rsidRDefault="004558B1" w:rsidP="004558B1">
      <w:pPr>
        <w:pStyle w:val="SCCNormalDoubleSpacing"/>
        <w:spacing w:line="240" w:lineRule="auto"/>
        <w:rPr>
          <w:i/>
          <w:sz w:val="20"/>
        </w:rPr>
      </w:pPr>
    </w:p>
    <w:p w:rsidR="004558B1" w:rsidRPr="0049740D" w:rsidRDefault="004558B1" w:rsidP="004558B1">
      <w:pPr>
        <w:pStyle w:val="SCCNormalDoubleSpacing"/>
        <w:spacing w:line="240" w:lineRule="auto"/>
        <w:rPr>
          <w:i/>
          <w:sz w:val="20"/>
        </w:rPr>
      </w:pPr>
      <w:r w:rsidRPr="0049740D">
        <w:rPr>
          <w:i/>
          <w:sz w:val="20"/>
        </w:rPr>
        <w:tab/>
        <w:t xml:space="preserve">Law of professions — Discipline — Barristers and solicitors — Lawyer writing private letter to judge and criticizing him — Disciplinary council finding lawyer in breach of duty to </w:t>
      </w:r>
      <w:r w:rsidRPr="0049740D">
        <w:rPr>
          <w:i/>
          <w:sz w:val="20"/>
          <w:lang w:val="en-US"/>
        </w:rPr>
        <w:t xml:space="preserve">behave with objectivity, moderation and dignity and reprimanding him </w:t>
      </w:r>
      <w:r w:rsidRPr="0049740D">
        <w:rPr>
          <w:i/>
          <w:sz w:val="20"/>
        </w:rPr>
        <w:t>— Whether council properly balanced relevant Charter values with statutory objectives — Whether decision reasonable — Code of ethics of advocates, R.R.Q. 1981, c. B-1., r.1, art. 2.03.</w:t>
      </w:r>
    </w:p>
    <w:p w:rsidR="004558B1" w:rsidRDefault="004558B1" w:rsidP="004558B1">
      <w:pPr>
        <w:pStyle w:val="SCCNormalDoubleSpacing"/>
        <w:spacing w:line="240" w:lineRule="auto"/>
        <w:rPr>
          <w:sz w:val="20"/>
        </w:rPr>
      </w:pPr>
    </w:p>
    <w:p w:rsidR="004558B1" w:rsidRPr="0049740D" w:rsidRDefault="004558B1" w:rsidP="004558B1">
      <w:pPr>
        <w:pStyle w:val="SCCNormalDoubleSpacing"/>
        <w:spacing w:line="240" w:lineRule="auto"/>
        <w:rPr>
          <w:sz w:val="20"/>
          <w:lang w:val="en-US"/>
        </w:rPr>
      </w:pPr>
      <w:r w:rsidRPr="0049740D">
        <w:rPr>
          <w:sz w:val="20"/>
        </w:rPr>
        <w:tab/>
        <w:t xml:space="preserve">D </w:t>
      </w:r>
      <w:r w:rsidRPr="0049740D">
        <w:rPr>
          <w:sz w:val="20"/>
          <w:lang w:val="en-US"/>
        </w:rPr>
        <w:t xml:space="preserve">appeared before a judge of the Superior Court of Quebec on behalf of a client.  In the course of D’s argument, the judge criticized D.  In his written reasons rejecting D’s application, the judge levied further criticism, accusing D of using bombastic rhetoric and hyperbole, of engaging in idle quibbling, of being impudent and of doing nothing to help his client discharge his burden.  D then wrote a private letter to the judge calling him loathsome, arrogant and fundamentally unjust, and accusing him of hiding behind his status like a coward, of having a chronic inability to master any social skills, of being pedantic, aggressive and petty, and of having a propensity to use his court to launch ugly, vulgar and mean personal attacks. </w:t>
      </w:r>
    </w:p>
    <w:p w:rsidR="004558B1" w:rsidRDefault="004558B1" w:rsidP="004558B1">
      <w:pPr>
        <w:pStyle w:val="SCCNormalDoubleSpacing"/>
        <w:spacing w:line="240" w:lineRule="auto"/>
        <w:rPr>
          <w:sz w:val="20"/>
          <w:lang w:val="en-US"/>
        </w:rPr>
      </w:pPr>
    </w:p>
    <w:p w:rsidR="004558B1" w:rsidRPr="0049740D" w:rsidRDefault="004558B1" w:rsidP="004558B1">
      <w:pPr>
        <w:pStyle w:val="SCCNormalDoubleSpacing"/>
        <w:spacing w:line="240" w:lineRule="auto"/>
        <w:rPr>
          <w:sz w:val="20"/>
          <w:lang w:val="en-US"/>
        </w:rPr>
      </w:pPr>
      <w:r w:rsidRPr="0049740D">
        <w:rPr>
          <w:sz w:val="20"/>
          <w:lang w:val="en-US"/>
        </w:rPr>
        <w:tab/>
        <w:t xml:space="preserve">The Assistant Syndic of the Barreau du Québec filed a complaint against D based on that letter alleging that D had violated art. 2.03 of the </w:t>
      </w:r>
      <w:r w:rsidRPr="0049740D">
        <w:rPr>
          <w:i/>
          <w:sz w:val="20"/>
          <w:lang w:val="en-US"/>
        </w:rPr>
        <w:t>Code of ethics of advocates</w:t>
      </w:r>
      <w:r w:rsidRPr="0049740D">
        <w:rPr>
          <w:sz w:val="20"/>
          <w:lang w:val="en-US"/>
        </w:rPr>
        <w:t>, which states that the conduct of advocates “must bear the stamp of objectivity, moderation and dignity”.  The Disciplinary Council of the Barreau du Québec found that the letter was likely to offend, rude and insulting, that the statements had little expressive value, and that the judge’s conduct, which resulted in a reprimand from the Canadian Judicial Council, could not be relied on as justification for it.  The Council rejected D’s argument that art. 2.03 violated s. 2(</w:t>
      </w:r>
      <w:r w:rsidRPr="0049740D">
        <w:rPr>
          <w:i/>
          <w:sz w:val="20"/>
          <w:lang w:val="en-US"/>
        </w:rPr>
        <w:t>b</w:t>
      </w:r>
      <w:r w:rsidRPr="0049740D">
        <w:rPr>
          <w:sz w:val="20"/>
          <w:lang w:val="en-US"/>
        </w:rPr>
        <w:t xml:space="preserve">) of the </w:t>
      </w:r>
      <w:r w:rsidRPr="0049740D">
        <w:rPr>
          <w:i/>
          <w:sz w:val="20"/>
          <w:lang w:val="en-US"/>
        </w:rPr>
        <w:t>Canadian Charter of Rights and Freedoms</w:t>
      </w:r>
      <w:r w:rsidRPr="0049740D">
        <w:rPr>
          <w:sz w:val="20"/>
          <w:lang w:val="en-US"/>
        </w:rPr>
        <w:t xml:space="preserve">, finding that the limitation on freedom of expression was reasonable.  Based on the seriousness of D’s conduct, the Council reprimanded D and suspended his ability to practice law for 21 days.  On appeal to the Tribunal des professions, D abandoned his constitutional challenge to the specific provision, arguing instead that the sanction itself violated his freedom of expression.  The Tribunal found that D had exceeded the objectivity, moderation and dignity expected of him and that the decision to sanction D was a minimal restriction on his freedom of expression.  On judicial review, the Superior Court of Quebec upheld the decision of the Tribunal. </w:t>
      </w:r>
    </w:p>
    <w:p w:rsidR="004558B1" w:rsidRDefault="004558B1" w:rsidP="004558B1">
      <w:pPr>
        <w:pStyle w:val="SCCNormalDoubleSpacing"/>
        <w:spacing w:line="240" w:lineRule="auto"/>
        <w:rPr>
          <w:sz w:val="20"/>
          <w:lang w:val="en-US"/>
        </w:rPr>
      </w:pPr>
    </w:p>
    <w:p w:rsidR="004558B1" w:rsidRPr="0049740D" w:rsidRDefault="004558B1" w:rsidP="004558B1">
      <w:pPr>
        <w:pStyle w:val="SCCNormalDoubleSpacing"/>
        <w:spacing w:line="240" w:lineRule="auto"/>
        <w:rPr>
          <w:sz w:val="20"/>
        </w:rPr>
      </w:pPr>
      <w:r w:rsidRPr="0049740D">
        <w:rPr>
          <w:sz w:val="20"/>
          <w:lang w:val="en-US"/>
        </w:rPr>
        <w:tab/>
        <w:t xml:space="preserve">Before the Quebec Court of Appeal, D no longer appealed the actual sanction of 21 days, challenging only the decision to reprimand him as a violation of the </w:t>
      </w:r>
      <w:r w:rsidRPr="0049740D">
        <w:rPr>
          <w:i/>
          <w:sz w:val="20"/>
          <w:lang w:val="en-US"/>
        </w:rPr>
        <w:t>Charter</w:t>
      </w:r>
      <w:r w:rsidRPr="0049740D">
        <w:rPr>
          <w:sz w:val="20"/>
          <w:lang w:val="en-US"/>
        </w:rPr>
        <w:t xml:space="preserve">.  The Court of Appeal applied a full </w:t>
      </w:r>
      <w:r w:rsidRPr="0049740D">
        <w:rPr>
          <w:i/>
          <w:sz w:val="20"/>
          <w:lang w:val="en-US"/>
        </w:rPr>
        <w:t>Oakes</w:t>
      </w:r>
      <w:r w:rsidRPr="0049740D">
        <w:rPr>
          <w:sz w:val="20"/>
          <w:lang w:val="en-US"/>
        </w:rPr>
        <w:t xml:space="preserve"> analysis under s. 1 of the </w:t>
      </w:r>
      <w:r w:rsidRPr="0049740D">
        <w:rPr>
          <w:i/>
          <w:sz w:val="20"/>
          <w:lang w:val="en-US"/>
        </w:rPr>
        <w:t>Charter</w:t>
      </w:r>
      <w:r w:rsidRPr="0049740D">
        <w:rPr>
          <w:sz w:val="20"/>
        </w:rPr>
        <w:t xml:space="preserve"> </w:t>
      </w:r>
      <w:r w:rsidRPr="0049740D">
        <w:rPr>
          <w:sz w:val="20"/>
          <w:lang w:val="en-US"/>
        </w:rPr>
        <w:t xml:space="preserve">and upheld the reprimand.  It found that D’s letter had limited importance compared to the values </w:t>
      </w:r>
      <w:r w:rsidRPr="0049740D">
        <w:rPr>
          <w:sz w:val="20"/>
          <w:lang w:val="en-US"/>
        </w:rPr>
        <w:lastRenderedPageBreak/>
        <w:t>underlying freedom of expression, that the Council’s decision had a rational connection to the important objective of protecting the public and that the effects of the decision were proportionate to its objectives.</w:t>
      </w:r>
    </w:p>
    <w:p w:rsidR="004558B1" w:rsidRDefault="004558B1" w:rsidP="004558B1">
      <w:pPr>
        <w:pStyle w:val="SCCNormalDoubleSpacing"/>
        <w:spacing w:line="240" w:lineRule="auto"/>
        <w:outlineLvl w:val="0"/>
        <w:rPr>
          <w:sz w:val="20"/>
        </w:rPr>
      </w:pPr>
    </w:p>
    <w:p w:rsidR="004558B1" w:rsidRPr="0049740D" w:rsidRDefault="004558B1" w:rsidP="004558B1">
      <w:pPr>
        <w:pStyle w:val="SCCNormalDoubleSpacing"/>
        <w:spacing w:line="240" w:lineRule="auto"/>
        <w:outlineLvl w:val="0"/>
        <w:rPr>
          <w:sz w:val="20"/>
        </w:rPr>
      </w:pPr>
      <w:r w:rsidRPr="0049740D">
        <w:rPr>
          <w:sz w:val="20"/>
        </w:rPr>
        <w:tab/>
      </w:r>
      <w:r w:rsidRPr="0049740D">
        <w:rPr>
          <w:i/>
          <w:sz w:val="20"/>
        </w:rPr>
        <w:t>Held:</w:t>
      </w:r>
      <w:r w:rsidRPr="0049740D">
        <w:rPr>
          <w:sz w:val="20"/>
        </w:rPr>
        <w:t xml:space="preserve">  The appeal from the result should be dismissed.</w:t>
      </w:r>
    </w:p>
    <w:p w:rsidR="004558B1" w:rsidRDefault="004558B1" w:rsidP="004558B1">
      <w:pPr>
        <w:pStyle w:val="SCCNormalDoubleSpacing"/>
        <w:spacing w:line="240" w:lineRule="auto"/>
        <w:rPr>
          <w:sz w:val="20"/>
        </w:rPr>
      </w:pPr>
    </w:p>
    <w:p w:rsidR="004558B1" w:rsidRPr="0049740D" w:rsidRDefault="004558B1" w:rsidP="004558B1">
      <w:pPr>
        <w:pStyle w:val="SCCNormalDoubleSpacing"/>
        <w:spacing w:line="240" w:lineRule="auto"/>
        <w:rPr>
          <w:sz w:val="20"/>
          <w:lang w:val="en-US"/>
        </w:rPr>
      </w:pPr>
      <w:r w:rsidRPr="0049740D">
        <w:rPr>
          <w:sz w:val="20"/>
        </w:rPr>
        <w:tab/>
      </w:r>
      <w:r w:rsidRPr="0049740D">
        <w:rPr>
          <w:sz w:val="20"/>
          <w:lang w:val="en-US"/>
        </w:rPr>
        <w:t xml:space="preserve">To determine whether administrative decision-makers have exercised their statutory discretion in accordance with </w:t>
      </w:r>
      <w:r w:rsidRPr="0049740D">
        <w:rPr>
          <w:i/>
          <w:sz w:val="20"/>
          <w:lang w:val="en-US"/>
        </w:rPr>
        <w:t>Charter</w:t>
      </w:r>
      <w:r w:rsidRPr="0049740D">
        <w:rPr>
          <w:sz w:val="20"/>
          <w:lang w:val="en-US"/>
        </w:rPr>
        <w:t xml:space="preserve"> protections, the review should be in accordance with an administrative law approach, not a s. 1 </w:t>
      </w:r>
      <w:r w:rsidRPr="0049740D">
        <w:rPr>
          <w:i/>
          <w:sz w:val="20"/>
          <w:lang w:val="en-US"/>
        </w:rPr>
        <w:t xml:space="preserve">Oakes </w:t>
      </w:r>
      <w:r w:rsidRPr="0049740D">
        <w:rPr>
          <w:sz w:val="20"/>
          <w:lang w:val="en-US"/>
        </w:rPr>
        <w:t>analysis. The standard of review is reasonableness.</w:t>
      </w:r>
    </w:p>
    <w:p w:rsidR="004558B1" w:rsidRDefault="004558B1" w:rsidP="004558B1">
      <w:pPr>
        <w:pStyle w:val="SCCNormalDoubleSpacing"/>
        <w:spacing w:line="240" w:lineRule="auto"/>
        <w:rPr>
          <w:sz w:val="20"/>
          <w:lang w:val="en-US"/>
        </w:rPr>
      </w:pPr>
    </w:p>
    <w:p w:rsidR="004558B1" w:rsidRPr="0049740D" w:rsidRDefault="004558B1" w:rsidP="004558B1">
      <w:pPr>
        <w:pStyle w:val="SCCNormalDoubleSpacing"/>
        <w:spacing w:line="240" w:lineRule="auto"/>
        <w:rPr>
          <w:sz w:val="20"/>
          <w:lang w:val="en-US"/>
        </w:rPr>
      </w:pPr>
      <w:r w:rsidRPr="0049740D">
        <w:rPr>
          <w:sz w:val="20"/>
          <w:lang w:val="en-US"/>
        </w:rPr>
        <w:tab/>
        <w:t xml:space="preserve">In assessing whether a law violates the </w:t>
      </w:r>
      <w:r w:rsidRPr="0049740D">
        <w:rPr>
          <w:i/>
          <w:sz w:val="20"/>
          <w:lang w:val="en-US"/>
        </w:rPr>
        <w:t>Charter</w:t>
      </w:r>
      <w:r w:rsidRPr="0049740D">
        <w:rPr>
          <w:sz w:val="20"/>
          <w:lang w:val="en-US"/>
        </w:rPr>
        <w:t xml:space="preserve">, we are balancing the government’s pressing and substantial objectives against the extent to which they interfere with the </w:t>
      </w:r>
      <w:r w:rsidRPr="0049740D">
        <w:rPr>
          <w:i/>
          <w:sz w:val="20"/>
          <w:lang w:val="en-US"/>
        </w:rPr>
        <w:t>Charter</w:t>
      </w:r>
      <w:r w:rsidRPr="0049740D">
        <w:rPr>
          <w:sz w:val="20"/>
          <w:lang w:val="en-US"/>
        </w:rPr>
        <w:t xml:space="preserve"> right at issue.  If the law interferes with the right no more than is reasonably necessary to achieve the objectives, it will be found to be proportionate, and, therefore, a reasonable limit under s. 1.  But in assessing whether an adjudicated decision violates the </w:t>
      </w:r>
      <w:r w:rsidRPr="0049740D">
        <w:rPr>
          <w:i/>
          <w:sz w:val="20"/>
          <w:lang w:val="en-US"/>
        </w:rPr>
        <w:t>Charter</w:t>
      </w:r>
      <w:r w:rsidRPr="0049740D">
        <w:rPr>
          <w:sz w:val="20"/>
          <w:lang w:val="en-US"/>
        </w:rPr>
        <w:t xml:space="preserve">, we are engaged in balancing somewhat different but related considerations, namely, has the decision-maker disproportionately, and therefore unreasonably, limited a </w:t>
      </w:r>
      <w:r w:rsidRPr="0049740D">
        <w:rPr>
          <w:i/>
          <w:sz w:val="20"/>
          <w:lang w:val="en-US"/>
        </w:rPr>
        <w:t>Charter</w:t>
      </w:r>
      <w:r w:rsidRPr="0049740D">
        <w:rPr>
          <w:sz w:val="20"/>
          <w:lang w:val="en-US"/>
        </w:rPr>
        <w:t xml:space="preserve"> right.  In both cases, we are looking for whether there is an appropriate balance between rights and objectives, and the purpose of both exercises is to ensure that the rights at issue are not unreasonably limited. </w:t>
      </w:r>
    </w:p>
    <w:p w:rsidR="004558B1" w:rsidRDefault="004558B1" w:rsidP="004558B1">
      <w:pPr>
        <w:pStyle w:val="SCCNormalDoubleSpacing"/>
        <w:spacing w:line="240" w:lineRule="auto"/>
        <w:rPr>
          <w:sz w:val="20"/>
        </w:rPr>
      </w:pPr>
    </w:p>
    <w:p w:rsidR="004558B1" w:rsidRPr="0049740D" w:rsidRDefault="004558B1" w:rsidP="004558B1">
      <w:pPr>
        <w:pStyle w:val="SCCNormalDoubleSpacing"/>
        <w:spacing w:line="240" w:lineRule="auto"/>
        <w:rPr>
          <w:sz w:val="20"/>
        </w:rPr>
      </w:pPr>
      <w:r w:rsidRPr="0049740D">
        <w:rPr>
          <w:sz w:val="20"/>
        </w:rPr>
        <w:tab/>
      </w:r>
      <w:r w:rsidRPr="0049740D">
        <w:rPr>
          <w:sz w:val="20"/>
          <w:lang w:val="en-US"/>
        </w:rPr>
        <w:t xml:space="preserve">There is nothing in the administrative law approach which is inherently inconsistent with the strong protection of the </w:t>
      </w:r>
      <w:r w:rsidRPr="0049740D">
        <w:rPr>
          <w:i/>
          <w:sz w:val="20"/>
          <w:lang w:val="en-US"/>
        </w:rPr>
        <w:t>Charter</w:t>
      </w:r>
      <w:r w:rsidRPr="0049740D">
        <w:rPr>
          <w:sz w:val="20"/>
          <w:lang w:val="en-US"/>
        </w:rPr>
        <w:t xml:space="preserve">’s guarantees and values. </w:t>
      </w:r>
      <w:r w:rsidRPr="0049740D">
        <w:rPr>
          <w:sz w:val="20"/>
        </w:rPr>
        <w:t xml:space="preserve"> An </w:t>
      </w:r>
      <w:r w:rsidRPr="0049740D">
        <w:rPr>
          <w:sz w:val="20"/>
          <w:lang w:val="en-US"/>
        </w:rPr>
        <w:t xml:space="preserve">administrative law approach </w:t>
      </w:r>
      <w:r w:rsidRPr="0049740D">
        <w:rPr>
          <w:sz w:val="20"/>
        </w:rPr>
        <w:t xml:space="preserve">recognizes that administrative decision-makers are both bound by fundamental values and empowered to adjudicate them, and that administrative </w:t>
      </w:r>
      <w:r w:rsidRPr="0049740D">
        <w:rPr>
          <w:sz w:val="20"/>
          <w:lang w:val="en-US"/>
        </w:rPr>
        <w:t>discretion is exercised in light of constitutional guarantees and the values they reflect</w:t>
      </w:r>
      <w:r w:rsidRPr="0049740D">
        <w:rPr>
          <w:sz w:val="20"/>
        </w:rPr>
        <w:t xml:space="preserve">.  An administrative decision-maker exercising a discretionary power under his or her home statute, has, by virtue of expertise and specialization, particular familiarity with the competing considerations at play in weighing </w:t>
      </w:r>
      <w:r w:rsidRPr="0049740D">
        <w:rPr>
          <w:i/>
          <w:sz w:val="20"/>
        </w:rPr>
        <w:t>Charter</w:t>
      </w:r>
      <w:r w:rsidRPr="0049740D">
        <w:rPr>
          <w:sz w:val="20"/>
        </w:rPr>
        <w:t xml:space="preserve"> values </w:t>
      </w:r>
      <w:r w:rsidRPr="0049740D">
        <w:rPr>
          <w:sz w:val="20"/>
          <w:lang w:val="en-US"/>
        </w:rPr>
        <w:t xml:space="preserve">and will generally be in the best position to consider the impact of the relevant </w:t>
      </w:r>
      <w:r w:rsidRPr="0049740D">
        <w:rPr>
          <w:i/>
          <w:sz w:val="20"/>
          <w:lang w:val="en-US"/>
        </w:rPr>
        <w:t>Charter</w:t>
      </w:r>
      <w:r w:rsidRPr="0049740D">
        <w:rPr>
          <w:sz w:val="20"/>
          <w:lang w:val="en-US"/>
        </w:rPr>
        <w:t xml:space="preserve"> guarantee on the specific facts of the case.</w:t>
      </w:r>
      <w:r w:rsidRPr="0049740D">
        <w:rPr>
          <w:sz w:val="20"/>
        </w:rPr>
        <w:t xml:space="preserve"> </w:t>
      </w:r>
      <w:r w:rsidRPr="0049740D">
        <w:rPr>
          <w:sz w:val="20"/>
          <w:lang w:val="en-US"/>
        </w:rPr>
        <w:t xml:space="preserve"> Under a robust conception of administrative law, discretion is exercised in light of constitutional guarantees and the values they reflect.  </w:t>
      </w:r>
    </w:p>
    <w:p w:rsidR="004558B1" w:rsidRDefault="004558B1" w:rsidP="004558B1">
      <w:pPr>
        <w:pStyle w:val="SCCNormalDoubleSpacing"/>
        <w:spacing w:line="240" w:lineRule="auto"/>
        <w:rPr>
          <w:sz w:val="20"/>
        </w:rPr>
      </w:pPr>
    </w:p>
    <w:p w:rsidR="004558B1" w:rsidRPr="0049740D" w:rsidRDefault="004558B1" w:rsidP="004558B1">
      <w:pPr>
        <w:pStyle w:val="SCCNormalDoubleSpacing"/>
        <w:spacing w:line="240" w:lineRule="auto"/>
        <w:rPr>
          <w:sz w:val="20"/>
        </w:rPr>
      </w:pPr>
      <w:r w:rsidRPr="0049740D">
        <w:rPr>
          <w:sz w:val="20"/>
        </w:rPr>
        <w:tab/>
        <w:t xml:space="preserve">When applying </w:t>
      </w:r>
      <w:r w:rsidRPr="0049740D">
        <w:rPr>
          <w:i/>
          <w:sz w:val="20"/>
        </w:rPr>
        <w:t>Charter</w:t>
      </w:r>
      <w:r w:rsidRPr="0049740D">
        <w:rPr>
          <w:sz w:val="20"/>
        </w:rPr>
        <w:t xml:space="preserve"> values in the exercise of statutory discretion, an administrative decision-maker must balance </w:t>
      </w:r>
      <w:r w:rsidRPr="0049740D">
        <w:rPr>
          <w:i/>
          <w:sz w:val="20"/>
        </w:rPr>
        <w:t>Charter</w:t>
      </w:r>
      <w:r w:rsidRPr="0049740D">
        <w:rPr>
          <w:sz w:val="20"/>
        </w:rPr>
        <w:t xml:space="preserve"> values with the statutory objectives by asking how the </w:t>
      </w:r>
      <w:r w:rsidRPr="0049740D">
        <w:rPr>
          <w:i/>
          <w:sz w:val="20"/>
        </w:rPr>
        <w:t>Charter</w:t>
      </w:r>
      <w:r w:rsidRPr="0049740D">
        <w:rPr>
          <w:sz w:val="20"/>
        </w:rPr>
        <w:t xml:space="preserve"> value at issue will best be protected in light of those objectives.  </w:t>
      </w:r>
      <w:r w:rsidRPr="0049740D">
        <w:rPr>
          <w:sz w:val="20"/>
          <w:lang w:val="en-US"/>
        </w:rPr>
        <w:t xml:space="preserve">This is at the core of the proportionality exercise, and requires the decision-maker to balance the severity of the interference of the </w:t>
      </w:r>
      <w:r w:rsidRPr="0049740D">
        <w:rPr>
          <w:i/>
          <w:sz w:val="20"/>
          <w:lang w:val="en-US"/>
        </w:rPr>
        <w:t xml:space="preserve">Charter </w:t>
      </w:r>
      <w:r w:rsidRPr="0049740D">
        <w:rPr>
          <w:sz w:val="20"/>
          <w:lang w:val="en-US"/>
        </w:rPr>
        <w:t xml:space="preserve">protection with the statutory objectives.  </w:t>
      </w:r>
    </w:p>
    <w:p w:rsidR="004558B1" w:rsidRDefault="004558B1" w:rsidP="004558B1">
      <w:pPr>
        <w:pStyle w:val="SCCNormalDoubleSpacing"/>
        <w:spacing w:line="240" w:lineRule="auto"/>
        <w:rPr>
          <w:sz w:val="20"/>
        </w:rPr>
      </w:pPr>
    </w:p>
    <w:p w:rsidR="004558B1" w:rsidRPr="0049740D" w:rsidRDefault="004558B1" w:rsidP="004558B1">
      <w:pPr>
        <w:pStyle w:val="SCCNormalDoubleSpacing"/>
        <w:spacing w:line="240" w:lineRule="auto"/>
        <w:rPr>
          <w:sz w:val="20"/>
        </w:rPr>
      </w:pPr>
      <w:r w:rsidRPr="0049740D">
        <w:rPr>
          <w:sz w:val="20"/>
        </w:rPr>
        <w:tab/>
        <w:t>On judicial review, the question becomes whether</w:t>
      </w:r>
      <w:r w:rsidRPr="0049740D">
        <w:rPr>
          <w:sz w:val="20"/>
          <w:lang w:val="en-US"/>
        </w:rPr>
        <w:t xml:space="preserve">, in assessing the impact of the relevant </w:t>
      </w:r>
      <w:r w:rsidRPr="0049740D">
        <w:rPr>
          <w:i/>
          <w:sz w:val="20"/>
          <w:lang w:val="en-US"/>
        </w:rPr>
        <w:t>Charter</w:t>
      </w:r>
      <w:r w:rsidRPr="0049740D">
        <w:rPr>
          <w:sz w:val="20"/>
          <w:lang w:val="en-US"/>
        </w:rPr>
        <w:t xml:space="preserve"> protection and given the nature of the decision and the statutory and factual contexts, the decision reflects a proportionate balancing of the </w:t>
      </w:r>
      <w:r w:rsidRPr="0049740D">
        <w:rPr>
          <w:i/>
          <w:sz w:val="20"/>
          <w:lang w:val="en-US"/>
        </w:rPr>
        <w:t xml:space="preserve">Charter </w:t>
      </w:r>
      <w:r w:rsidRPr="0049740D">
        <w:rPr>
          <w:sz w:val="20"/>
          <w:lang w:val="en-US"/>
        </w:rPr>
        <w:t xml:space="preserve">rights and values at play.  Though this judicial review is conducted within the administrative framework, there is nonetheless conceptual harmony between a reasonableness review and the </w:t>
      </w:r>
      <w:r w:rsidRPr="0049740D">
        <w:rPr>
          <w:i/>
          <w:sz w:val="20"/>
          <w:lang w:val="en-US"/>
        </w:rPr>
        <w:t xml:space="preserve">Oakes </w:t>
      </w:r>
      <w:r w:rsidRPr="0049740D">
        <w:rPr>
          <w:sz w:val="20"/>
          <w:lang w:val="en-US"/>
        </w:rPr>
        <w:t xml:space="preserve">framework, since both contemplate giving a “margin of appreciation”, or deference, to administrative and legislative bodies in balancing </w:t>
      </w:r>
      <w:r w:rsidRPr="0049740D">
        <w:rPr>
          <w:i/>
          <w:sz w:val="20"/>
          <w:lang w:val="en-US"/>
        </w:rPr>
        <w:t xml:space="preserve">Charter </w:t>
      </w:r>
      <w:r w:rsidRPr="0049740D">
        <w:rPr>
          <w:sz w:val="20"/>
          <w:lang w:val="en-US"/>
        </w:rPr>
        <w:t xml:space="preserve">values against broader objectives.  In the </w:t>
      </w:r>
      <w:r w:rsidRPr="0049740D">
        <w:rPr>
          <w:i/>
          <w:sz w:val="20"/>
          <w:lang w:val="en-US"/>
        </w:rPr>
        <w:t>Charter</w:t>
      </w:r>
      <w:r w:rsidRPr="0049740D">
        <w:rPr>
          <w:sz w:val="20"/>
          <w:lang w:val="en-US"/>
        </w:rPr>
        <w:t xml:space="preserve"> context, the reasonableness analysis is one that centres on proportionality, that is, on ensuring that the decision interferes with the relevant </w:t>
      </w:r>
      <w:r w:rsidRPr="0049740D">
        <w:rPr>
          <w:i/>
          <w:sz w:val="20"/>
          <w:lang w:val="en-US"/>
        </w:rPr>
        <w:t>Charter</w:t>
      </w:r>
      <w:r w:rsidRPr="0049740D">
        <w:rPr>
          <w:sz w:val="20"/>
          <w:lang w:val="en-US"/>
        </w:rPr>
        <w:t xml:space="preserve"> guarantee no more than is necessary given the statutory objectives.  If the decision is disproportionately impairing of the guarantee, it is unreasonable.  If, on the other hand, it reflects a proper balance of the mandate with </w:t>
      </w:r>
      <w:r w:rsidRPr="0049740D">
        <w:rPr>
          <w:i/>
          <w:sz w:val="20"/>
          <w:lang w:val="en-US"/>
        </w:rPr>
        <w:t>Charter</w:t>
      </w:r>
      <w:r w:rsidRPr="0049740D">
        <w:rPr>
          <w:sz w:val="20"/>
          <w:lang w:val="en-US"/>
        </w:rPr>
        <w:t xml:space="preserve"> protection, it is a reasonable one.  But both decision-makers and reviewing courts must remain conscious of the fundamental importance of </w:t>
      </w:r>
      <w:r w:rsidRPr="0049740D">
        <w:rPr>
          <w:i/>
          <w:sz w:val="20"/>
          <w:lang w:val="en-US"/>
        </w:rPr>
        <w:t>Charter</w:t>
      </w:r>
      <w:r w:rsidRPr="0049740D">
        <w:rPr>
          <w:sz w:val="20"/>
          <w:lang w:val="en-US"/>
        </w:rPr>
        <w:t xml:space="preserve"> values in the analysis.</w:t>
      </w:r>
    </w:p>
    <w:p w:rsidR="004558B1" w:rsidRDefault="004558B1" w:rsidP="004558B1">
      <w:pPr>
        <w:pStyle w:val="SCCNormalDoubleSpacing"/>
        <w:spacing w:line="240" w:lineRule="auto"/>
        <w:rPr>
          <w:sz w:val="20"/>
          <w:lang w:val="en-US"/>
        </w:rPr>
      </w:pPr>
    </w:p>
    <w:p w:rsidR="004558B1" w:rsidRPr="0049740D" w:rsidRDefault="004558B1" w:rsidP="004558B1">
      <w:pPr>
        <w:pStyle w:val="SCCNormalDoubleSpacing"/>
        <w:spacing w:line="240" w:lineRule="auto"/>
        <w:rPr>
          <w:sz w:val="20"/>
          <w:lang w:val="en-US"/>
        </w:rPr>
      </w:pPr>
      <w:r w:rsidRPr="0049740D">
        <w:rPr>
          <w:sz w:val="20"/>
          <w:lang w:val="en-US"/>
        </w:rPr>
        <w:tab/>
        <w:t xml:space="preserve">Here, the decision to suspend D for 21 days was not before the Court. The only issue was whether the Council’s decision to reprimand D reflected a proportionate balancing of the lawyer’s expressive rights with its statutory mandate to ensure that lawyers behave with “objectivity, moderation and dignity” in accordance with art. 2.03 of the </w:t>
      </w:r>
      <w:r w:rsidRPr="0049740D">
        <w:rPr>
          <w:i/>
          <w:sz w:val="20"/>
          <w:lang w:val="en-US"/>
        </w:rPr>
        <w:t>Code of ethics.</w:t>
      </w:r>
      <w:r w:rsidRPr="0049740D">
        <w:rPr>
          <w:sz w:val="20"/>
        </w:rPr>
        <w:t xml:space="preserve">  In</w:t>
      </w:r>
      <w:r w:rsidRPr="0049740D">
        <w:rPr>
          <w:sz w:val="20"/>
          <w:lang w:val="en-US"/>
        </w:rPr>
        <w:t xml:space="preserve"> dealing with the appropriate boundaries of civility for a lawyer, the severity of the conduct must be interpreted in light of the expressive rights guaranteed by the </w:t>
      </w:r>
      <w:r w:rsidRPr="0049740D">
        <w:rPr>
          <w:i/>
          <w:sz w:val="20"/>
          <w:lang w:val="en-US"/>
        </w:rPr>
        <w:t>Charter</w:t>
      </w:r>
      <w:r w:rsidRPr="0049740D">
        <w:rPr>
          <w:sz w:val="20"/>
          <w:lang w:val="en-US"/>
        </w:rPr>
        <w:t xml:space="preserve">, and, in particular, the public benefit in ensuring the right of lawyers to express themselves about the justice system in general and judges in particular.  </w:t>
      </w:r>
      <w:r w:rsidRPr="0049740D">
        <w:rPr>
          <w:sz w:val="20"/>
        </w:rPr>
        <w:t>We are, in other words, balancing the fundamental importance of open, and even forceful, criticism of our public institutions with the need to ensure civility in the profession. Disciplinary bodies must therefore demonstrate that they have given due regard to the importance of the expressive rights at issue, both in light of an individual lawyer’s right to expression and the public’s interest in open discussion.  As with all disciplinary decisions, this balancing is a fact-dependent and discretionary exercise.</w:t>
      </w:r>
      <w:r w:rsidRPr="0049740D">
        <w:rPr>
          <w:sz w:val="20"/>
          <w:lang w:val="en-US"/>
        </w:rPr>
        <w:t xml:space="preserve"> </w:t>
      </w:r>
    </w:p>
    <w:p w:rsidR="004558B1" w:rsidRDefault="004558B1" w:rsidP="004558B1">
      <w:pPr>
        <w:pStyle w:val="SCCNormalDoubleSpacing"/>
        <w:spacing w:line="240" w:lineRule="auto"/>
        <w:rPr>
          <w:sz w:val="20"/>
          <w:lang w:val="en-US"/>
        </w:rPr>
      </w:pPr>
    </w:p>
    <w:p w:rsidR="004558B1" w:rsidRPr="0049740D" w:rsidRDefault="004558B1" w:rsidP="004558B1">
      <w:pPr>
        <w:pStyle w:val="SCCNormalDoubleSpacing"/>
        <w:spacing w:line="240" w:lineRule="auto"/>
        <w:rPr>
          <w:sz w:val="20"/>
        </w:rPr>
      </w:pPr>
      <w:r w:rsidRPr="0049740D">
        <w:rPr>
          <w:sz w:val="20"/>
          <w:lang w:val="en-US"/>
        </w:rPr>
        <w:tab/>
      </w:r>
      <w:r w:rsidRPr="0049740D">
        <w:rPr>
          <w:sz w:val="20"/>
        </w:rPr>
        <w:t xml:space="preserve">Proper respect for these expressive rights may involve disciplinary bodies tolerating a degree of discordant criticism.  The fact that a lawyer is criticizing a judge, a tenured and independent participant in the justice system, may raise, not lower, the threshold for limiting a lawyer’s expressive rights under the </w:t>
      </w:r>
      <w:r w:rsidRPr="0049740D">
        <w:rPr>
          <w:i/>
          <w:sz w:val="20"/>
        </w:rPr>
        <w:t>Charter</w:t>
      </w:r>
      <w:r w:rsidRPr="0049740D">
        <w:rPr>
          <w:sz w:val="20"/>
        </w:rPr>
        <w:t xml:space="preserve">. This does not, however, argue for an unlimited right on the part of lawyers to breach the legitimate public expectation that they will behave with civility.  Lawyers potentially face criticisms and pressures on a daily basis.  They are expected by the public, on whose behalf they serve, to endure them with civility and dignity.  This is not always easy where the lawyer feels he or she has been unfairly provoked, as in this case.  But it is precisely when a lawyer’s equilibrium is unduly tested that he or she is particularly called upon to behave with transcendent civility.  On the other hand, lawyers should not be expected to behave like verbal eunuchs.  They not only have a right to speak their minds freely, they arguably have a duty to do so.  But they are constrained by their profession to do so with dignified restraint.  </w:t>
      </w:r>
    </w:p>
    <w:p w:rsidR="004558B1" w:rsidRDefault="004558B1" w:rsidP="004558B1">
      <w:pPr>
        <w:pStyle w:val="SCCNormalDoubleSpacing"/>
        <w:spacing w:line="240" w:lineRule="auto"/>
        <w:rPr>
          <w:sz w:val="20"/>
        </w:rPr>
      </w:pPr>
    </w:p>
    <w:p w:rsidR="004558B1" w:rsidRPr="0049740D" w:rsidRDefault="004558B1" w:rsidP="004558B1">
      <w:pPr>
        <w:pStyle w:val="SCCNormalDoubleSpacing"/>
        <w:spacing w:line="240" w:lineRule="auto"/>
        <w:rPr>
          <w:sz w:val="20"/>
          <w:lang w:val="en-US"/>
        </w:rPr>
      </w:pPr>
      <w:r w:rsidRPr="0049740D">
        <w:rPr>
          <w:sz w:val="20"/>
        </w:rPr>
        <w:tab/>
        <w:t>A reprimand for a lawyer does not automatically flow from criticizing a judge or the judicial system.  Such criticism, even when it is expressed vigorously, can be constructive.  However in the context of disciplinary hearings, such criticism will be measured against the public’s reasonable expectations of a lawyer’s professionalism.  As the Disciplinary Council found, D’s letter was outside those expectations. His displeasure with the judge was justifiable, but the extent of the response was not.</w:t>
      </w:r>
      <w:r w:rsidRPr="0049740D">
        <w:rPr>
          <w:sz w:val="20"/>
          <w:lang w:val="en-US"/>
        </w:rPr>
        <w:t xml:space="preserve"> </w:t>
      </w:r>
    </w:p>
    <w:p w:rsidR="004558B1" w:rsidRDefault="004558B1" w:rsidP="004558B1">
      <w:pPr>
        <w:pStyle w:val="SCCNormalDoubleSpacing"/>
        <w:spacing w:line="240" w:lineRule="auto"/>
        <w:rPr>
          <w:sz w:val="20"/>
          <w:lang w:val="en-US"/>
        </w:rPr>
      </w:pPr>
    </w:p>
    <w:p w:rsidR="004558B1" w:rsidRDefault="004558B1" w:rsidP="004558B1">
      <w:pPr>
        <w:pStyle w:val="SCCNormalDoubleSpacing"/>
        <w:spacing w:line="240" w:lineRule="auto"/>
        <w:rPr>
          <w:sz w:val="20"/>
          <w:lang w:val="en-US"/>
        </w:rPr>
      </w:pPr>
      <w:r w:rsidRPr="0049740D">
        <w:rPr>
          <w:sz w:val="20"/>
          <w:lang w:val="en-US"/>
        </w:rPr>
        <w:tab/>
      </w:r>
      <w:r w:rsidRPr="0049740D">
        <w:rPr>
          <w:sz w:val="20"/>
        </w:rPr>
        <w:t xml:space="preserve">In light of the excessive degree of vituperation in the letter’s context and tone, the Council’s decision that D’s letter warranted a reprimand represented a proportional balancing of </w:t>
      </w:r>
      <w:r w:rsidRPr="0049740D">
        <w:rPr>
          <w:sz w:val="20"/>
          <w:lang w:val="en-US"/>
        </w:rPr>
        <w:t>D’s expressive rights with the statutory objective of ensuring that lawyers behave with “objectivity, moderation and dignity”.  The decision is, as a result, a reasonable one</w:t>
      </w:r>
      <w:r w:rsidRPr="0049740D">
        <w:rPr>
          <w:sz w:val="20"/>
        </w:rPr>
        <w:t>.</w:t>
      </w:r>
      <w:r w:rsidRPr="0049740D">
        <w:rPr>
          <w:sz w:val="20"/>
          <w:lang w:val="en-US"/>
        </w:rPr>
        <w:t xml:space="preserve"> </w:t>
      </w:r>
    </w:p>
    <w:p w:rsidR="004558B1" w:rsidRDefault="004558B1" w:rsidP="004558B1">
      <w:pPr>
        <w:pStyle w:val="SCCNormalDoubleSpacing"/>
        <w:spacing w:line="240" w:lineRule="auto"/>
        <w:rPr>
          <w:sz w:val="20"/>
        </w:rPr>
      </w:pPr>
    </w:p>
    <w:p w:rsidR="004558B1" w:rsidRPr="0049740D" w:rsidRDefault="004558B1" w:rsidP="004558B1">
      <w:pPr>
        <w:pStyle w:val="SCCNormalDoubleSpacing"/>
        <w:spacing w:line="240" w:lineRule="auto"/>
        <w:rPr>
          <w:sz w:val="20"/>
          <w:lang w:val="en-US"/>
        </w:rPr>
      </w:pPr>
      <w:r w:rsidRPr="0049740D">
        <w:rPr>
          <w:sz w:val="20"/>
        </w:rPr>
        <w:tab/>
        <w:t>APPEAL from a judgment of the Quebec Court of Appeal (Rochon, Dufresne and Léger JJ.A.), 2010 QCCA 24, [2010] R.J.Q. 77, 326 D.L.R. (4th) 749, [2010] Q.J. No. 88 (QL), 2010 CarswellQue 13368, affirming a decision of Déziel J., 2008 QCCS 2450 (CanLII), [2008] J.Q. n</w:t>
      </w:r>
      <w:r w:rsidRPr="0049740D">
        <w:rPr>
          <w:sz w:val="20"/>
          <w:vertAlign w:val="superscript"/>
        </w:rPr>
        <w:t>o</w:t>
      </w:r>
      <w:r w:rsidRPr="0049740D">
        <w:rPr>
          <w:sz w:val="20"/>
        </w:rPr>
        <w:t xml:space="preserve"> 5222 (QL), 2008 CarswellQue 5285, dismissing an application for judicial review of a decision of the Tribunal des professions, 2007 QCTP 152 (CanLII), [2007] D.T.P.Q. n</w:t>
      </w:r>
      <w:r w:rsidRPr="0049740D">
        <w:rPr>
          <w:sz w:val="20"/>
          <w:vertAlign w:val="superscript"/>
        </w:rPr>
        <w:t>o</w:t>
      </w:r>
      <w:r w:rsidRPr="0049740D">
        <w:rPr>
          <w:sz w:val="20"/>
        </w:rPr>
        <w:t xml:space="preserve"> 152 (QL).  </w:t>
      </w:r>
      <w:r w:rsidRPr="0049740D">
        <w:rPr>
          <w:sz w:val="20"/>
          <w:lang w:val="en-US"/>
        </w:rPr>
        <w:t>Appeal dismissed.</w:t>
      </w:r>
    </w:p>
    <w:p w:rsidR="004558B1" w:rsidRDefault="004558B1" w:rsidP="004558B1">
      <w:pPr>
        <w:pStyle w:val="SCCNormalDoubleSpacing"/>
        <w:spacing w:line="240" w:lineRule="auto"/>
        <w:rPr>
          <w:i/>
          <w:sz w:val="20"/>
          <w:lang w:val="en-US"/>
        </w:rPr>
      </w:pPr>
    </w:p>
    <w:p w:rsidR="004558B1" w:rsidRPr="004558B1" w:rsidRDefault="004558B1" w:rsidP="004558B1">
      <w:pPr>
        <w:pStyle w:val="SCCNormalDoubleSpacing"/>
        <w:spacing w:line="240" w:lineRule="auto"/>
        <w:rPr>
          <w:sz w:val="20"/>
        </w:rPr>
      </w:pPr>
      <w:r w:rsidRPr="0049740D">
        <w:rPr>
          <w:i/>
          <w:sz w:val="20"/>
          <w:lang w:val="en-US"/>
        </w:rPr>
        <w:tab/>
      </w:r>
      <w:r w:rsidRPr="004558B1">
        <w:rPr>
          <w:i/>
          <w:sz w:val="20"/>
        </w:rPr>
        <w:t>Sophie Dormeau and Sophie Préfontaine</w:t>
      </w:r>
      <w:r w:rsidRPr="004558B1">
        <w:rPr>
          <w:sz w:val="20"/>
        </w:rPr>
        <w:t>, for the appellant.</w:t>
      </w:r>
    </w:p>
    <w:p w:rsidR="004558B1" w:rsidRPr="004558B1" w:rsidRDefault="004558B1" w:rsidP="004558B1">
      <w:pPr>
        <w:pStyle w:val="SCCNormalDoubleSpacing"/>
        <w:spacing w:line="240" w:lineRule="auto"/>
        <w:rPr>
          <w:i/>
          <w:sz w:val="20"/>
        </w:rPr>
      </w:pPr>
    </w:p>
    <w:p w:rsidR="004558B1" w:rsidRPr="0049740D" w:rsidRDefault="004558B1" w:rsidP="004558B1">
      <w:pPr>
        <w:pStyle w:val="SCCNormalDoubleSpacing"/>
        <w:spacing w:line="240" w:lineRule="auto"/>
        <w:rPr>
          <w:sz w:val="20"/>
        </w:rPr>
      </w:pPr>
      <w:r w:rsidRPr="004558B1">
        <w:rPr>
          <w:i/>
          <w:sz w:val="20"/>
        </w:rPr>
        <w:tab/>
      </w:r>
      <w:r w:rsidRPr="0049740D">
        <w:rPr>
          <w:i/>
          <w:sz w:val="20"/>
        </w:rPr>
        <w:t>Claude G. Leduc</w:t>
      </w:r>
      <w:r w:rsidRPr="0049740D">
        <w:rPr>
          <w:sz w:val="20"/>
        </w:rPr>
        <w:t xml:space="preserve"> and </w:t>
      </w:r>
      <w:r w:rsidRPr="0049740D">
        <w:rPr>
          <w:i/>
          <w:sz w:val="20"/>
        </w:rPr>
        <w:t>Luce Bastien</w:t>
      </w:r>
      <w:r w:rsidRPr="0049740D">
        <w:rPr>
          <w:sz w:val="20"/>
        </w:rPr>
        <w:t>, for the respondent Pierre Bernard, in his capacity as Assistant Syndic of the Barreau du Québec.</w:t>
      </w:r>
    </w:p>
    <w:p w:rsidR="004558B1" w:rsidRDefault="004558B1" w:rsidP="004558B1">
      <w:pPr>
        <w:pStyle w:val="SCCNormalDoubleSpacing"/>
        <w:spacing w:line="240" w:lineRule="auto"/>
        <w:rPr>
          <w:i/>
          <w:sz w:val="20"/>
        </w:rPr>
      </w:pPr>
    </w:p>
    <w:p w:rsidR="004558B1" w:rsidRPr="0049740D" w:rsidRDefault="004558B1" w:rsidP="004558B1">
      <w:pPr>
        <w:pStyle w:val="SCCNormalDoubleSpacing"/>
        <w:spacing w:line="240" w:lineRule="auto"/>
        <w:rPr>
          <w:sz w:val="20"/>
        </w:rPr>
      </w:pPr>
      <w:r w:rsidRPr="0049740D">
        <w:rPr>
          <w:i/>
          <w:sz w:val="20"/>
        </w:rPr>
        <w:tab/>
        <w:t>Dominique A. Jobin</w:t>
      </w:r>
      <w:r w:rsidRPr="0049740D">
        <w:rPr>
          <w:sz w:val="20"/>
        </w:rPr>
        <w:t xml:space="preserve"> and </w:t>
      </w:r>
      <w:r w:rsidRPr="0049740D">
        <w:rPr>
          <w:i/>
          <w:sz w:val="20"/>
        </w:rPr>
        <w:t>Noémi Potvin</w:t>
      </w:r>
      <w:r w:rsidRPr="0049740D">
        <w:rPr>
          <w:sz w:val="20"/>
        </w:rPr>
        <w:t>, for the respondents Tribunal des professions and the Attorney General of Quebec.</w:t>
      </w:r>
    </w:p>
    <w:p w:rsidR="004558B1" w:rsidRDefault="004558B1" w:rsidP="004558B1">
      <w:pPr>
        <w:pStyle w:val="SCCNormalDoubleSpacing"/>
        <w:spacing w:line="240" w:lineRule="auto"/>
        <w:rPr>
          <w:i/>
          <w:sz w:val="20"/>
        </w:rPr>
      </w:pPr>
    </w:p>
    <w:p w:rsidR="004558B1" w:rsidRPr="0049740D" w:rsidRDefault="004558B1" w:rsidP="004558B1">
      <w:pPr>
        <w:pStyle w:val="SCCNormalDoubleSpacing"/>
        <w:spacing w:line="240" w:lineRule="auto"/>
        <w:rPr>
          <w:sz w:val="20"/>
        </w:rPr>
      </w:pPr>
      <w:r w:rsidRPr="0049740D">
        <w:rPr>
          <w:i/>
          <w:sz w:val="20"/>
        </w:rPr>
        <w:tab/>
        <w:t>Babak Barin</w:t>
      </w:r>
      <w:r w:rsidRPr="0049740D">
        <w:rPr>
          <w:sz w:val="20"/>
        </w:rPr>
        <w:t xml:space="preserve"> and </w:t>
      </w:r>
      <w:r w:rsidRPr="0049740D">
        <w:rPr>
          <w:i/>
          <w:sz w:val="20"/>
        </w:rPr>
        <w:t>Frédéric Côté</w:t>
      </w:r>
      <w:r w:rsidRPr="0049740D">
        <w:rPr>
          <w:sz w:val="20"/>
        </w:rPr>
        <w:t>, for the intervener the Federation of Law Societies of Canada.</w:t>
      </w:r>
    </w:p>
    <w:p w:rsidR="004558B1" w:rsidRDefault="004558B1" w:rsidP="004558B1">
      <w:pPr>
        <w:pStyle w:val="SCCNormalDoubleSpacing"/>
        <w:spacing w:line="240" w:lineRule="auto"/>
        <w:rPr>
          <w:i/>
          <w:sz w:val="20"/>
        </w:rPr>
      </w:pPr>
    </w:p>
    <w:p w:rsidR="004558B1" w:rsidRPr="0049740D" w:rsidRDefault="004558B1" w:rsidP="004558B1">
      <w:pPr>
        <w:pStyle w:val="SCCNormalDoubleSpacing"/>
        <w:spacing w:line="240" w:lineRule="auto"/>
        <w:rPr>
          <w:sz w:val="20"/>
        </w:rPr>
      </w:pPr>
      <w:r w:rsidRPr="0049740D">
        <w:rPr>
          <w:i/>
          <w:sz w:val="20"/>
        </w:rPr>
        <w:tab/>
        <w:t>David Grossman, Sylvain Lussier</w:t>
      </w:r>
      <w:r w:rsidRPr="0049740D">
        <w:rPr>
          <w:sz w:val="20"/>
        </w:rPr>
        <w:t xml:space="preserve">, </w:t>
      </w:r>
      <w:r w:rsidRPr="0049740D">
        <w:rPr>
          <w:i/>
          <w:sz w:val="20"/>
        </w:rPr>
        <w:t>Julien Morissette</w:t>
      </w:r>
      <w:r w:rsidRPr="0049740D">
        <w:rPr>
          <w:sz w:val="20"/>
        </w:rPr>
        <w:t xml:space="preserve"> and </w:t>
      </w:r>
      <w:r w:rsidRPr="0049740D">
        <w:rPr>
          <w:i/>
          <w:sz w:val="20"/>
        </w:rPr>
        <w:t>Annie Gallant</w:t>
      </w:r>
      <w:r w:rsidRPr="0049740D">
        <w:rPr>
          <w:sz w:val="20"/>
        </w:rPr>
        <w:t>, for the intervener the Canadian Civil Liberties Association.</w:t>
      </w:r>
    </w:p>
    <w:p w:rsidR="004558B1" w:rsidRDefault="004558B1" w:rsidP="004558B1">
      <w:pPr>
        <w:pStyle w:val="SCCNormalDoubleSpacing"/>
        <w:spacing w:line="240" w:lineRule="auto"/>
        <w:rPr>
          <w:i/>
          <w:sz w:val="20"/>
        </w:rPr>
      </w:pPr>
    </w:p>
    <w:p w:rsidR="004558B1" w:rsidRPr="0049740D" w:rsidRDefault="004558B1" w:rsidP="004558B1">
      <w:pPr>
        <w:pStyle w:val="SCCNormalDoubleSpacing"/>
        <w:spacing w:line="240" w:lineRule="auto"/>
        <w:rPr>
          <w:sz w:val="20"/>
        </w:rPr>
      </w:pPr>
      <w:r w:rsidRPr="0049740D">
        <w:rPr>
          <w:i/>
          <w:sz w:val="20"/>
        </w:rPr>
        <w:tab/>
        <w:t>Mathieu Bouchard</w:t>
      </w:r>
      <w:r w:rsidRPr="0049740D">
        <w:rPr>
          <w:sz w:val="20"/>
        </w:rPr>
        <w:t xml:space="preserve"> and </w:t>
      </w:r>
      <w:r w:rsidRPr="0049740D">
        <w:rPr>
          <w:i/>
          <w:sz w:val="20"/>
        </w:rPr>
        <w:t>Audrey Boctor</w:t>
      </w:r>
      <w:r w:rsidRPr="0049740D">
        <w:rPr>
          <w:sz w:val="20"/>
        </w:rPr>
        <w:t>, for the intervener the Young Bar Association of Montreal.</w:t>
      </w:r>
    </w:p>
    <w:p w:rsidR="004558B1" w:rsidRDefault="004558B1" w:rsidP="004558B1">
      <w:pPr>
        <w:pStyle w:val="SCCLawFirm"/>
        <w:spacing w:line="240" w:lineRule="auto"/>
        <w:rPr>
          <w:sz w:val="20"/>
        </w:rPr>
      </w:pPr>
    </w:p>
    <w:p w:rsidR="004558B1" w:rsidRPr="0049740D" w:rsidRDefault="004558B1" w:rsidP="004558B1">
      <w:pPr>
        <w:pStyle w:val="SCCLawFirm"/>
        <w:spacing w:line="240" w:lineRule="auto"/>
        <w:rPr>
          <w:sz w:val="20"/>
        </w:rPr>
      </w:pPr>
      <w:r w:rsidRPr="0049740D">
        <w:rPr>
          <w:sz w:val="20"/>
        </w:rPr>
        <w:tab/>
        <w:t>Solicitor for the appellant:  Sophie Dormeau, Outremont.</w:t>
      </w:r>
    </w:p>
    <w:p w:rsidR="004558B1" w:rsidRDefault="004558B1" w:rsidP="004558B1">
      <w:pPr>
        <w:pStyle w:val="SCCLawFirm"/>
        <w:spacing w:line="240" w:lineRule="auto"/>
        <w:rPr>
          <w:sz w:val="20"/>
        </w:rPr>
      </w:pPr>
    </w:p>
    <w:p w:rsidR="004558B1" w:rsidRPr="0049740D" w:rsidRDefault="004558B1" w:rsidP="004558B1">
      <w:pPr>
        <w:pStyle w:val="SCCLawFirm"/>
        <w:spacing w:line="240" w:lineRule="auto"/>
        <w:rPr>
          <w:sz w:val="20"/>
        </w:rPr>
      </w:pPr>
      <w:r w:rsidRPr="0049740D">
        <w:rPr>
          <w:sz w:val="20"/>
        </w:rPr>
        <w:tab/>
        <w:t>Solicitors for the respondent Pierre Bernard, in his capacity as Assistant Syndic of the Barreau du Québec:  Mercier Leduc, Montréal.</w:t>
      </w:r>
    </w:p>
    <w:p w:rsidR="004558B1" w:rsidRDefault="004558B1" w:rsidP="004558B1">
      <w:pPr>
        <w:pStyle w:val="SCCLawFirm"/>
        <w:spacing w:line="240" w:lineRule="auto"/>
        <w:rPr>
          <w:sz w:val="20"/>
        </w:rPr>
      </w:pPr>
    </w:p>
    <w:p w:rsidR="004558B1" w:rsidRPr="0049740D" w:rsidRDefault="004558B1" w:rsidP="004558B1">
      <w:pPr>
        <w:pStyle w:val="SCCLawFirm"/>
        <w:spacing w:line="240" w:lineRule="auto"/>
        <w:rPr>
          <w:sz w:val="20"/>
        </w:rPr>
      </w:pPr>
      <w:r w:rsidRPr="0049740D">
        <w:rPr>
          <w:sz w:val="20"/>
        </w:rPr>
        <w:tab/>
        <w:t>Solicitor for the respondents Tribunal des professions and the Attorney General of Quebec:  Attorney General of Quebec, Sainte</w:t>
      </w:r>
      <w:r w:rsidRPr="0049740D">
        <w:rPr>
          <w:sz w:val="20"/>
        </w:rPr>
        <w:noBreakHyphen/>
        <w:t>Foy.</w:t>
      </w:r>
    </w:p>
    <w:p w:rsidR="004558B1" w:rsidRDefault="004558B1" w:rsidP="004558B1">
      <w:pPr>
        <w:pStyle w:val="SCCLawFirm"/>
        <w:spacing w:line="240" w:lineRule="auto"/>
        <w:rPr>
          <w:sz w:val="20"/>
        </w:rPr>
      </w:pPr>
    </w:p>
    <w:p w:rsidR="004558B1" w:rsidRPr="0049740D" w:rsidRDefault="004558B1" w:rsidP="004558B1">
      <w:pPr>
        <w:pStyle w:val="SCCLawFirm"/>
        <w:spacing w:line="240" w:lineRule="auto"/>
        <w:rPr>
          <w:sz w:val="20"/>
        </w:rPr>
      </w:pPr>
      <w:r w:rsidRPr="0049740D">
        <w:rPr>
          <w:sz w:val="20"/>
        </w:rPr>
        <w:tab/>
        <w:t>Solicitors for the intervener the Federation of Law Societies of Canada:  BCF, Montréal.</w:t>
      </w:r>
    </w:p>
    <w:p w:rsidR="004558B1" w:rsidRDefault="004558B1" w:rsidP="004558B1">
      <w:pPr>
        <w:pStyle w:val="SCCLawFirm"/>
        <w:spacing w:line="240" w:lineRule="auto"/>
        <w:rPr>
          <w:sz w:val="20"/>
        </w:rPr>
      </w:pPr>
    </w:p>
    <w:p w:rsidR="004558B1" w:rsidRDefault="004558B1">
      <w:pPr>
        <w:rPr>
          <w:rFonts w:eastAsia="Times New Roman" w:cs="Times New Roman"/>
          <w:i/>
          <w:sz w:val="20"/>
          <w:szCs w:val="20"/>
          <w:lang w:eastAsia="en-CA"/>
        </w:rPr>
      </w:pPr>
      <w:r>
        <w:rPr>
          <w:sz w:val="20"/>
        </w:rPr>
        <w:br w:type="page"/>
      </w:r>
    </w:p>
    <w:p w:rsidR="004558B1" w:rsidRPr="0049740D" w:rsidRDefault="004558B1" w:rsidP="004558B1">
      <w:pPr>
        <w:pStyle w:val="SCCLawFirm"/>
        <w:spacing w:line="240" w:lineRule="auto"/>
        <w:rPr>
          <w:sz w:val="20"/>
        </w:rPr>
      </w:pPr>
      <w:r w:rsidRPr="0049740D">
        <w:rPr>
          <w:sz w:val="20"/>
        </w:rPr>
        <w:lastRenderedPageBreak/>
        <w:tab/>
        <w:t>Solicitors for the intervener the Canadian Civil Liberties Association:  Osler, Hoskin &amp; Harcourt, Montréal.</w:t>
      </w:r>
    </w:p>
    <w:p w:rsidR="004558B1" w:rsidRDefault="004558B1" w:rsidP="004558B1">
      <w:pPr>
        <w:pStyle w:val="SCCLawFirm"/>
        <w:spacing w:line="240" w:lineRule="auto"/>
        <w:rPr>
          <w:sz w:val="20"/>
        </w:rPr>
      </w:pPr>
    </w:p>
    <w:p w:rsidR="004558B1" w:rsidRDefault="004558B1" w:rsidP="004558B1">
      <w:pPr>
        <w:pStyle w:val="SCCLawFirm"/>
        <w:spacing w:line="240" w:lineRule="auto"/>
        <w:rPr>
          <w:sz w:val="20"/>
        </w:rPr>
      </w:pPr>
      <w:r w:rsidRPr="0049740D">
        <w:rPr>
          <w:sz w:val="20"/>
        </w:rPr>
        <w:tab/>
        <w:t>Solicitors for the intervener the Young Bar Association of Montreal:  Irving Mitchell Kalichman, Westmount.</w:t>
      </w:r>
    </w:p>
    <w:p w:rsidR="004558B1" w:rsidRPr="004558B1" w:rsidRDefault="004558B1" w:rsidP="00DD0B49">
      <w:pPr>
        <w:rPr>
          <w:rFonts w:cs="Times New Roman"/>
          <w:sz w:val="20"/>
          <w:szCs w:val="20"/>
        </w:rPr>
      </w:pPr>
    </w:p>
    <w:p w:rsidR="005C6840" w:rsidRDefault="0011031E" w:rsidP="005C6840">
      <w:pPr>
        <w:rPr>
          <w:lang w:val="fr-CA"/>
        </w:rPr>
      </w:pPr>
      <w:r w:rsidRPr="0011031E">
        <w:rPr>
          <w:rFonts w:cs="Times New Roman"/>
          <w:sz w:val="20"/>
          <w:szCs w:val="20"/>
          <w:lang w:val="fr-CA"/>
        </w:rPr>
        <w:pict>
          <v:rect id="_x0000_i1078" style="width:144.3pt;height:1pt" o:hrpct="300" o:hralign="center" o:hrstd="t" o:hrnoshade="t" o:hr="t" fillcolor="black [3213]" stroked="f"/>
        </w:pict>
      </w:r>
      <w:r w:rsidR="005C6840">
        <w:rPr>
          <w:lang w:val="fr-CA"/>
        </w:rPr>
        <w:br w:type="page"/>
      </w:r>
    </w:p>
    <w:p w:rsidR="00D56FDA" w:rsidRPr="00437838" w:rsidRDefault="00D56FDA" w:rsidP="00D56FDA">
      <w:pPr>
        <w:ind w:left="720" w:hanging="720"/>
        <w:rPr>
          <w:rFonts w:eastAsia="Calibri" w:cs="Times New Roman"/>
          <w:sz w:val="20"/>
          <w:szCs w:val="20"/>
        </w:rPr>
      </w:pPr>
      <w:r w:rsidRPr="00437838">
        <w:rPr>
          <w:rFonts w:eastAsia="Calibri" w:cs="Times New Roman"/>
          <w:i/>
          <w:sz w:val="20"/>
          <w:szCs w:val="20"/>
        </w:rPr>
        <w:lastRenderedPageBreak/>
        <w:t xml:space="preserve">Manasie Ipeelee v. Her Majesty the Queen </w:t>
      </w:r>
      <w:r w:rsidRPr="00437838">
        <w:rPr>
          <w:rFonts w:eastAsia="Calibri" w:cs="Times New Roman"/>
          <w:sz w:val="20"/>
          <w:szCs w:val="20"/>
        </w:rPr>
        <w:t>(Ont.) (33650)</w:t>
      </w:r>
    </w:p>
    <w:p w:rsidR="00D6109D" w:rsidRPr="00437838" w:rsidRDefault="00D6109D" w:rsidP="00D6109D">
      <w:pPr>
        <w:ind w:left="720" w:hanging="720"/>
        <w:rPr>
          <w:rFonts w:eastAsia="Calibri" w:cs="Times New Roman"/>
          <w:sz w:val="20"/>
          <w:szCs w:val="20"/>
        </w:rPr>
      </w:pPr>
      <w:r w:rsidRPr="00437838">
        <w:rPr>
          <w:rFonts w:eastAsia="Calibri" w:cs="Times New Roman"/>
          <w:i/>
          <w:sz w:val="20"/>
          <w:szCs w:val="20"/>
        </w:rPr>
        <w:t xml:space="preserve">Her Majesty the Queen v. Frank Ralph Ladue </w:t>
      </w:r>
      <w:r w:rsidRPr="00437838">
        <w:rPr>
          <w:rFonts w:eastAsia="Calibri" w:cs="Times New Roman"/>
          <w:sz w:val="20"/>
          <w:szCs w:val="20"/>
        </w:rPr>
        <w:t>(B.C.) (34245)</w:t>
      </w:r>
    </w:p>
    <w:p w:rsidR="0015683B" w:rsidRPr="00E54934" w:rsidRDefault="0015683B" w:rsidP="0015683B">
      <w:pPr>
        <w:jc w:val="both"/>
        <w:rPr>
          <w:b/>
          <w:sz w:val="20"/>
          <w:szCs w:val="20"/>
        </w:rPr>
      </w:pPr>
      <w:r w:rsidRPr="00F74220">
        <w:rPr>
          <w:b/>
          <w:sz w:val="20"/>
          <w:szCs w:val="20"/>
        </w:rPr>
        <w:t xml:space="preserve">Indexed as:  </w:t>
      </w:r>
      <w:r w:rsidRPr="0015683B">
        <w:rPr>
          <w:rStyle w:val="SCCAppellantForIndexChar"/>
          <w:rFonts w:eastAsia="Calibri"/>
          <w:sz w:val="20"/>
          <w:lang w:val="en-CA"/>
        </w:rPr>
        <w:t xml:space="preserve">R. </w:t>
      </w:r>
      <w:r w:rsidRPr="0015683B">
        <w:rPr>
          <w:rStyle w:val="SCCAppellantForIndexChar"/>
          <w:rFonts w:eastAsia="Calibri"/>
          <w:i/>
          <w:sz w:val="20"/>
          <w:lang w:val="en-CA"/>
        </w:rPr>
        <w:t xml:space="preserve">v. </w:t>
      </w:r>
      <w:r w:rsidRPr="0015683B">
        <w:rPr>
          <w:rStyle w:val="SCCAppellantForIndexChar"/>
          <w:rFonts w:eastAsia="Calibri"/>
          <w:sz w:val="20"/>
          <w:lang w:val="en-CA"/>
        </w:rPr>
        <w:t xml:space="preserve">Ipeelee / </w:t>
      </w:r>
      <w:r w:rsidRPr="00E54934">
        <w:rPr>
          <w:b/>
          <w:sz w:val="20"/>
          <w:szCs w:val="20"/>
        </w:rPr>
        <w:t>Répertorié : </w:t>
      </w:r>
      <w:r w:rsidRPr="0015683B">
        <w:rPr>
          <w:rStyle w:val="SCCAppellantForIndexChar"/>
          <w:rFonts w:eastAsia="Calibri"/>
          <w:sz w:val="20"/>
          <w:lang w:val="en-CA"/>
        </w:rPr>
        <w:t xml:space="preserve">R. </w:t>
      </w:r>
      <w:r w:rsidRPr="0015683B">
        <w:rPr>
          <w:rStyle w:val="SCCAppellantForIndexChar"/>
          <w:rFonts w:eastAsia="Calibri"/>
          <w:i/>
          <w:sz w:val="20"/>
          <w:lang w:val="en-CA"/>
        </w:rPr>
        <w:t xml:space="preserve">c. </w:t>
      </w:r>
      <w:r w:rsidRPr="0015683B">
        <w:rPr>
          <w:rStyle w:val="SCCAppellantForIndexChar"/>
          <w:rFonts w:eastAsia="Calibri"/>
          <w:sz w:val="20"/>
          <w:lang w:val="en-CA"/>
        </w:rPr>
        <w:t>Ipeelee</w:t>
      </w:r>
    </w:p>
    <w:p w:rsidR="005C6840" w:rsidRPr="0015683B" w:rsidRDefault="005C6840" w:rsidP="005C6840">
      <w:pPr>
        <w:pStyle w:val="SCCSystemYear"/>
        <w:jc w:val="both"/>
        <w:rPr>
          <w:sz w:val="20"/>
        </w:rPr>
      </w:pPr>
      <w:r w:rsidRPr="0015683B">
        <w:rPr>
          <w:sz w:val="20"/>
        </w:rPr>
        <w:t>Neutral citation:  201</w:t>
      </w:r>
      <w:r w:rsidR="00D56FDA" w:rsidRPr="0015683B">
        <w:rPr>
          <w:sz w:val="20"/>
        </w:rPr>
        <w:t>2</w:t>
      </w:r>
      <w:r w:rsidRPr="0015683B">
        <w:rPr>
          <w:sz w:val="20"/>
        </w:rPr>
        <w:t xml:space="preserve"> SCC </w:t>
      </w:r>
      <w:r w:rsidR="00D56FDA" w:rsidRPr="0015683B">
        <w:rPr>
          <w:sz w:val="20"/>
        </w:rPr>
        <w:t>13</w:t>
      </w:r>
      <w:r w:rsidRPr="0015683B">
        <w:rPr>
          <w:sz w:val="20"/>
        </w:rPr>
        <w:t xml:space="preserve"> / Référence neutre : 201</w:t>
      </w:r>
      <w:r w:rsidR="00D56FDA" w:rsidRPr="0015683B">
        <w:rPr>
          <w:sz w:val="20"/>
        </w:rPr>
        <w:t>2</w:t>
      </w:r>
      <w:r w:rsidRPr="0015683B">
        <w:rPr>
          <w:sz w:val="20"/>
        </w:rPr>
        <w:t xml:space="preserve"> CSC </w:t>
      </w:r>
      <w:r w:rsidR="00D56FDA" w:rsidRPr="0015683B">
        <w:rPr>
          <w:sz w:val="20"/>
        </w:rPr>
        <w:t>13</w:t>
      </w:r>
    </w:p>
    <w:p w:rsidR="005C6840" w:rsidRPr="0015683B" w:rsidRDefault="005C6840" w:rsidP="005C6840">
      <w:pPr>
        <w:rPr>
          <w:sz w:val="20"/>
          <w:szCs w:val="20"/>
          <w:lang w:val="fr-CA"/>
        </w:rPr>
      </w:pPr>
      <w:r w:rsidRPr="0015683B">
        <w:rPr>
          <w:sz w:val="20"/>
          <w:szCs w:val="20"/>
          <w:lang w:val="fr-CA"/>
        </w:rPr>
        <w:t xml:space="preserve">Hearing:  </w:t>
      </w:r>
      <w:r w:rsidR="0015683B" w:rsidRPr="0015683B">
        <w:rPr>
          <w:sz w:val="20"/>
          <w:szCs w:val="20"/>
          <w:lang w:val="fr-CA"/>
        </w:rPr>
        <w:t>October</w:t>
      </w:r>
      <w:r w:rsidRPr="0015683B">
        <w:rPr>
          <w:sz w:val="20"/>
          <w:szCs w:val="20"/>
          <w:lang w:val="fr-CA"/>
        </w:rPr>
        <w:t xml:space="preserve"> 1</w:t>
      </w:r>
      <w:r w:rsidR="0015683B" w:rsidRPr="0015683B">
        <w:rPr>
          <w:sz w:val="20"/>
          <w:szCs w:val="20"/>
          <w:lang w:val="fr-CA"/>
        </w:rPr>
        <w:t>7</w:t>
      </w:r>
      <w:r w:rsidRPr="0015683B">
        <w:rPr>
          <w:sz w:val="20"/>
          <w:szCs w:val="20"/>
          <w:lang w:val="fr-CA"/>
        </w:rPr>
        <w:t>, 201</w:t>
      </w:r>
      <w:r w:rsidR="0015683B" w:rsidRPr="0015683B">
        <w:rPr>
          <w:sz w:val="20"/>
          <w:szCs w:val="20"/>
          <w:lang w:val="fr-CA"/>
        </w:rPr>
        <w:t>1</w:t>
      </w:r>
      <w:r w:rsidRPr="0015683B">
        <w:rPr>
          <w:sz w:val="20"/>
          <w:szCs w:val="20"/>
          <w:lang w:val="fr-CA"/>
        </w:rPr>
        <w:t xml:space="preserve"> / Judgment:  </w:t>
      </w:r>
      <w:r w:rsidR="00D56FDA" w:rsidRPr="0015683B">
        <w:rPr>
          <w:sz w:val="20"/>
          <w:szCs w:val="20"/>
          <w:lang w:val="fr-CA"/>
        </w:rPr>
        <w:t xml:space="preserve">March </w:t>
      </w:r>
      <w:r w:rsidRPr="0015683B">
        <w:rPr>
          <w:sz w:val="20"/>
          <w:szCs w:val="20"/>
          <w:lang w:val="fr-CA"/>
        </w:rPr>
        <w:t>2</w:t>
      </w:r>
      <w:r w:rsidR="00D56FDA" w:rsidRPr="0015683B">
        <w:rPr>
          <w:sz w:val="20"/>
          <w:szCs w:val="20"/>
          <w:lang w:val="fr-CA"/>
        </w:rPr>
        <w:t>3</w:t>
      </w:r>
      <w:r w:rsidRPr="0015683B">
        <w:rPr>
          <w:sz w:val="20"/>
          <w:szCs w:val="20"/>
          <w:lang w:val="fr-CA"/>
        </w:rPr>
        <w:t>, 201</w:t>
      </w:r>
      <w:r w:rsidR="00D56FDA" w:rsidRPr="0015683B">
        <w:rPr>
          <w:sz w:val="20"/>
          <w:szCs w:val="20"/>
          <w:lang w:val="fr-CA"/>
        </w:rPr>
        <w:t>2</w:t>
      </w:r>
    </w:p>
    <w:p w:rsidR="005C6840" w:rsidRPr="003B3977" w:rsidRDefault="005C6840" w:rsidP="005C6840">
      <w:pPr>
        <w:rPr>
          <w:sz w:val="20"/>
          <w:szCs w:val="20"/>
          <w:lang w:val="fr-CA"/>
        </w:rPr>
      </w:pPr>
      <w:r w:rsidRPr="003B3977">
        <w:rPr>
          <w:sz w:val="20"/>
          <w:szCs w:val="20"/>
          <w:lang w:val="fr-CA"/>
        </w:rPr>
        <w:t>Audition : Le 1</w:t>
      </w:r>
      <w:r w:rsidR="0015683B">
        <w:rPr>
          <w:sz w:val="20"/>
          <w:szCs w:val="20"/>
          <w:lang w:val="fr-CA"/>
        </w:rPr>
        <w:t>7</w:t>
      </w:r>
      <w:r w:rsidRPr="003B3977">
        <w:rPr>
          <w:sz w:val="20"/>
          <w:szCs w:val="20"/>
          <w:lang w:val="fr-CA"/>
        </w:rPr>
        <w:t xml:space="preserve"> </w:t>
      </w:r>
      <w:r w:rsidR="0015683B">
        <w:rPr>
          <w:sz w:val="20"/>
          <w:szCs w:val="20"/>
          <w:lang w:val="fr-CA"/>
        </w:rPr>
        <w:t>octobre</w:t>
      </w:r>
      <w:r w:rsidRPr="003B3977">
        <w:rPr>
          <w:sz w:val="20"/>
          <w:szCs w:val="20"/>
          <w:lang w:val="fr-CA"/>
        </w:rPr>
        <w:t xml:space="preserve"> 201</w:t>
      </w:r>
      <w:r w:rsidR="0015683B">
        <w:rPr>
          <w:sz w:val="20"/>
          <w:szCs w:val="20"/>
          <w:lang w:val="fr-CA"/>
        </w:rPr>
        <w:t>1</w:t>
      </w:r>
      <w:r w:rsidRPr="003B3977">
        <w:rPr>
          <w:sz w:val="20"/>
          <w:szCs w:val="20"/>
          <w:lang w:val="fr-CA"/>
        </w:rPr>
        <w:t xml:space="preserve"> / Jugement : Le 2</w:t>
      </w:r>
      <w:r w:rsidR="00D56FDA">
        <w:rPr>
          <w:sz w:val="20"/>
          <w:szCs w:val="20"/>
          <w:lang w:val="fr-CA"/>
        </w:rPr>
        <w:t>3 mars</w:t>
      </w:r>
      <w:r w:rsidRPr="003B3977">
        <w:rPr>
          <w:sz w:val="20"/>
          <w:szCs w:val="20"/>
          <w:lang w:val="fr-CA"/>
        </w:rPr>
        <w:t xml:space="preserve"> 201</w:t>
      </w:r>
      <w:r w:rsidR="00D56FDA">
        <w:rPr>
          <w:sz w:val="20"/>
          <w:szCs w:val="20"/>
          <w:lang w:val="fr-CA"/>
        </w:rPr>
        <w:t>2</w:t>
      </w:r>
    </w:p>
    <w:p w:rsidR="005C6840" w:rsidRPr="003B3977" w:rsidRDefault="0011031E" w:rsidP="005C6840">
      <w:pPr>
        <w:rPr>
          <w:sz w:val="20"/>
          <w:szCs w:val="20"/>
          <w:lang w:val="fr-CA"/>
        </w:rPr>
      </w:pPr>
      <w:r w:rsidRPr="0011031E">
        <w:rPr>
          <w:i/>
          <w:sz w:val="20"/>
          <w:szCs w:val="20"/>
        </w:rPr>
        <w:pict>
          <v:rect id="_x0000_i1079"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15683B" w:rsidRPr="00F74220" w:rsidRDefault="0015683B" w:rsidP="0015683B">
      <w:pPr>
        <w:jc w:val="both"/>
        <w:rPr>
          <w:sz w:val="20"/>
          <w:szCs w:val="20"/>
        </w:rPr>
      </w:pPr>
      <w:r w:rsidRPr="00F74220">
        <w:rPr>
          <w:sz w:val="20"/>
          <w:szCs w:val="20"/>
        </w:rPr>
        <w:t>Present:  McLachlin C.J. and Binnie, LeBel, Deschamps, Fish, Abella and Rothstein JJ.</w:t>
      </w:r>
    </w:p>
    <w:p w:rsidR="0015683B" w:rsidRPr="0015683B" w:rsidRDefault="0015683B" w:rsidP="0015683B">
      <w:pPr>
        <w:pStyle w:val="SCCLowerCourtNameLowercase"/>
        <w:spacing w:line="240" w:lineRule="auto"/>
        <w:rPr>
          <w:sz w:val="20"/>
          <w:lang w:val="en-CA"/>
        </w:rPr>
      </w:pPr>
    </w:p>
    <w:p w:rsidR="0015683B" w:rsidRPr="00F74220" w:rsidRDefault="0015683B" w:rsidP="0015683B">
      <w:pPr>
        <w:pStyle w:val="SCCNormalDoubleSpacing"/>
        <w:spacing w:line="240" w:lineRule="auto"/>
        <w:rPr>
          <w:i/>
          <w:sz w:val="20"/>
        </w:rPr>
      </w:pPr>
      <w:r w:rsidRPr="00F74220">
        <w:rPr>
          <w:i/>
          <w:sz w:val="20"/>
        </w:rPr>
        <w:tab/>
        <w:t>Criminal law — Sentencing — Aboriginal offenders — Breach of condition of long</w:t>
      </w:r>
      <w:r w:rsidRPr="00F74220">
        <w:rPr>
          <w:i/>
          <w:sz w:val="20"/>
        </w:rPr>
        <w:noBreakHyphen/>
        <w:t>term supervision order — Principles governing sentencing of Aboriginal offenders — Whether principles outlined in R. v. Gladue apply to breach of long</w:t>
      </w:r>
      <w:r w:rsidRPr="00F74220">
        <w:rPr>
          <w:i/>
          <w:sz w:val="20"/>
        </w:rPr>
        <w:noBreakHyphen/>
        <w:t>term supervision order — Criminal Code, R.S.C. 1985, c. C</w:t>
      </w:r>
      <w:r w:rsidRPr="00F74220">
        <w:rPr>
          <w:i/>
          <w:sz w:val="20"/>
        </w:rPr>
        <w:noBreakHyphen/>
        <w:t>46, s. 718.2(e).</w:t>
      </w:r>
    </w:p>
    <w:p w:rsidR="0015683B" w:rsidRDefault="0015683B" w:rsidP="0015683B">
      <w:pPr>
        <w:pStyle w:val="SCCNormalDoubleSpacing"/>
        <w:spacing w:line="240" w:lineRule="auto"/>
        <w:rPr>
          <w:sz w:val="20"/>
        </w:rPr>
      </w:pPr>
    </w:p>
    <w:p w:rsidR="0015683B" w:rsidRPr="00F74220" w:rsidRDefault="0015683B" w:rsidP="0015683B">
      <w:pPr>
        <w:pStyle w:val="SCCNormalDoubleSpacing"/>
        <w:spacing w:line="240" w:lineRule="auto"/>
        <w:rPr>
          <w:sz w:val="20"/>
        </w:rPr>
      </w:pPr>
      <w:r w:rsidRPr="00F74220">
        <w:rPr>
          <w:sz w:val="20"/>
        </w:rPr>
        <w:tab/>
        <w:t>These two appeals involve Aboriginal offenders with long criminal records.  Both Aboriginal offenders were declared long</w:t>
      </w:r>
      <w:r w:rsidRPr="00F74220">
        <w:rPr>
          <w:sz w:val="20"/>
        </w:rPr>
        <w:noBreakHyphen/>
        <w:t>term offenders and had long</w:t>
      </w:r>
      <w:r w:rsidRPr="00F74220">
        <w:rPr>
          <w:sz w:val="20"/>
        </w:rPr>
        <w:noBreakHyphen/>
        <w:t>term supervision orders (“LTSO”) imposed.  The offender I is an alcoholic with a history of committing violent offences when intoxicated.  He was sentenced to six years’ imprisonment followed by an LTSO after being designated a long</w:t>
      </w:r>
      <w:r w:rsidRPr="00F74220">
        <w:rPr>
          <w:sz w:val="20"/>
        </w:rPr>
        <w:noBreakHyphen/>
        <w:t>term offender.  After his release from prison, I committed an offence while intoxicated thereby breaching a condition of his LTSO.  He was sentenced to three years’ imprisonment, less six months of pre</w:t>
      </w:r>
      <w:r w:rsidRPr="00F74220">
        <w:rPr>
          <w:sz w:val="20"/>
        </w:rPr>
        <w:noBreakHyphen/>
        <w:t>sentence custody at a 1:1 credit rate.  The Court of Appeal dismissed the appeal brought by I.  The offender L is addicted to drugs and alcohol and has a history of committing sexual assaults when intoxicated.  L was sentenced to three years’ imprisonment followed by an LTSO after being designated a long</w:t>
      </w:r>
      <w:r w:rsidRPr="00F74220">
        <w:rPr>
          <w:sz w:val="20"/>
        </w:rPr>
        <w:noBreakHyphen/>
        <w:t>term offender.  After his release from prison, he failed a urinalysis test; thereby breaching a condition of his LTSO.  L was sentenced to three years’ imprisonment, less five months of pre</w:t>
      </w:r>
      <w:r w:rsidRPr="00F74220">
        <w:rPr>
          <w:sz w:val="20"/>
        </w:rPr>
        <w:noBreakHyphen/>
        <w:t>sentence custody at a 1.5:1 rate.  A majority of the Court of Appeal allowed L’s appeal and reduced the sentence to one year’s imprisonment.</w:t>
      </w:r>
    </w:p>
    <w:p w:rsidR="0015683B" w:rsidRDefault="0015683B" w:rsidP="0015683B">
      <w:pPr>
        <w:pStyle w:val="SCCNormalDoubleSpacing"/>
        <w:spacing w:line="240" w:lineRule="auto"/>
        <w:rPr>
          <w:sz w:val="20"/>
        </w:rPr>
      </w:pPr>
    </w:p>
    <w:p w:rsidR="0015683B" w:rsidRPr="00F74220" w:rsidRDefault="0015683B" w:rsidP="0015683B">
      <w:pPr>
        <w:pStyle w:val="SCCNormalDoubleSpacing"/>
        <w:spacing w:line="240" w:lineRule="auto"/>
        <w:rPr>
          <w:sz w:val="20"/>
        </w:rPr>
      </w:pPr>
      <w:r w:rsidRPr="00F74220">
        <w:rPr>
          <w:sz w:val="20"/>
        </w:rPr>
        <w:tab/>
      </w:r>
      <w:r w:rsidRPr="00F74220">
        <w:rPr>
          <w:rStyle w:val="QuoteChar"/>
          <w:sz w:val="20"/>
        </w:rPr>
        <w:t>Held (Rothstein J. dissenting in part):</w:t>
      </w:r>
      <w:r w:rsidRPr="00F74220">
        <w:rPr>
          <w:sz w:val="20"/>
        </w:rPr>
        <w:t xml:space="preserve">  The appeal should be allowed in </w:t>
      </w:r>
      <w:r w:rsidRPr="00F74220">
        <w:rPr>
          <w:i/>
          <w:sz w:val="20"/>
        </w:rPr>
        <w:t>Ipeelee</w:t>
      </w:r>
      <w:r w:rsidRPr="00F74220">
        <w:rPr>
          <w:sz w:val="20"/>
        </w:rPr>
        <w:t xml:space="preserve">.  The appeal should be dismissed in </w:t>
      </w:r>
      <w:r w:rsidRPr="00F74220">
        <w:rPr>
          <w:i/>
          <w:sz w:val="20"/>
        </w:rPr>
        <w:t>Ladue</w:t>
      </w:r>
      <w:r w:rsidRPr="00F74220">
        <w:rPr>
          <w:sz w:val="20"/>
        </w:rPr>
        <w:t>.</w:t>
      </w:r>
    </w:p>
    <w:p w:rsidR="0015683B" w:rsidRDefault="0015683B" w:rsidP="0015683B">
      <w:pPr>
        <w:pStyle w:val="SCCNormalDoubleSpacing"/>
        <w:spacing w:line="240" w:lineRule="auto"/>
        <w:rPr>
          <w:i/>
          <w:sz w:val="20"/>
        </w:rPr>
      </w:pPr>
    </w:p>
    <w:p w:rsidR="0015683B" w:rsidRPr="00F74220" w:rsidRDefault="0015683B" w:rsidP="0015683B">
      <w:pPr>
        <w:pStyle w:val="SCCNormalDoubleSpacing"/>
        <w:spacing w:line="240" w:lineRule="auto"/>
        <w:rPr>
          <w:sz w:val="20"/>
        </w:rPr>
      </w:pPr>
      <w:r w:rsidRPr="00F74220">
        <w:rPr>
          <w:i/>
          <w:sz w:val="20"/>
        </w:rPr>
        <w:tab/>
        <w:t>Per</w:t>
      </w:r>
      <w:r w:rsidRPr="00F74220">
        <w:rPr>
          <w:sz w:val="20"/>
        </w:rPr>
        <w:t xml:space="preserve">:  McLachlin C.J. and Binnie, </w:t>
      </w:r>
      <w:r w:rsidRPr="00F74220">
        <w:rPr>
          <w:b/>
          <w:sz w:val="20"/>
        </w:rPr>
        <w:t>LeBel</w:t>
      </w:r>
      <w:r w:rsidRPr="00F74220">
        <w:rPr>
          <w:sz w:val="20"/>
        </w:rPr>
        <w:t>, Deschamps, Fish and Abella JJ.</w:t>
      </w:r>
    </w:p>
    <w:p w:rsidR="0015683B" w:rsidRDefault="0015683B" w:rsidP="0015683B">
      <w:pPr>
        <w:pStyle w:val="SCCNormalDoubleSpacing"/>
        <w:spacing w:line="240" w:lineRule="auto"/>
        <w:rPr>
          <w:sz w:val="20"/>
        </w:rPr>
      </w:pPr>
    </w:p>
    <w:p w:rsidR="0015683B" w:rsidRPr="00F74220" w:rsidRDefault="0015683B" w:rsidP="0015683B">
      <w:pPr>
        <w:pStyle w:val="SCCNormalDoubleSpacing"/>
        <w:spacing w:line="240" w:lineRule="auto"/>
        <w:rPr>
          <w:sz w:val="20"/>
        </w:rPr>
      </w:pPr>
      <w:r w:rsidRPr="00F74220">
        <w:rPr>
          <w:sz w:val="20"/>
        </w:rPr>
        <w:tab/>
        <w:t xml:space="preserve">The central issue in these appeals is how to determine a fit sentence for a breach of an LTSO in the case of an Aboriginal offender in particular.  Trial judges enjoy a broad discretion in the sentencing process.  A sentencing judge has a duty to apply all of the principles mandated by ss. 718.1 and 718.2 of the </w:t>
      </w:r>
      <w:r w:rsidRPr="00F74220">
        <w:rPr>
          <w:i/>
          <w:sz w:val="20"/>
        </w:rPr>
        <w:t>Criminal Code</w:t>
      </w:r>
      <w:r w:rsidRPr="00F74220">
        <w:rPr>
          <w:sz w:val="20"/>
        </w:rPr>
        <w:t xml:space="preserve"> in order to devise a fit and proper sentence which respects the well</w:t>
      </w:r>
      <w:r w:rsidRPr="00F74220">
        <w:rPr>
          <w:sz w:val="20"/>
        </w:rPr>
        <w:noBreakHyphen/>
        <w:t xml:space="preserve">established principles and objectives of sentencing set out in Part XXIII of the  </w:t>
      </w:r>
      <w:r w:rsidRPr="00F74220">
        <w:rPr>
          <w:i/>
          <w:sz w:val="20"/>
        </w:rPr>
        <w:t>Criminal Code</w:t>
      </w:r>
      <w:r w:rsidRPr="00F74220">
        <w:rPr>
          <w:sz w:val="20"/>
        </w:rPr>
        <w:t xml:space="preserve">.  Proportionality is the </w:t>
      </w:r>
      <w:r w:rsidRPr="00F74220">
        <w:rPr>
          <w:i/>
          <w:sz w:val="20"/>
        </w:rPr>
        <w:t>sine qua non</w:t>
      </w:r>
      <w:r w:rsidRPr="00F74220">
        <w:rPr>
          <w:sz w:val="20"/>
        </w:rPr>
        <w:t xml:space="preserve"> of a just sanction.  Proportionality, the fundamental principle of sentencing, is intimately tied to the fundamental purpose of sentencing — the maintenance of a just, peaceful and safe society through the imposition of just sanctions.  An appellate court must be satisfied that the sentence under review is proportionate to both the gravity of the offence and the degree of responsibility of the offender.</w:t>
      </w:r>
    </w:p>
    <w:p w:rsidR="0015683B" w:rsidRDefault="0015683B" w:rsidP="0015683B">
      <w:pPr>
        <w:pStyle w:val="SCCNormalDoubleSpacing"/>
        <w:spacing w:line="240" w:lineRule="auto"/>
        <w:rPr>
          <w:sz w:val="20"/>
        </w:rPr>
      </w:pPr>
    </w:p>
    <w:p w:rsidR="0015683B" w:rsidRPr="00F74220" w:rsidRDefault="0015683B" w:rsidP="0015683B">
      <w:pPr>
        <w:pStyle w:val="SCCNormalDoubleSpacing"/>
        <w:spacing w:line="240" w:lineRule="auto"/>
        <w:rPr>
          <w:sz w:val="20"/>
        </w:rPr>
      </w:pPr>
      <w:r w:rsidRPr="00F74220">
        <w:rPr>
          <w:sz w:val="20"/>
        </w:rPr>
        <w:tab/>
        <w:t>The purpose of an LTSO is two</w:t>
      </w:r>
      <w:r w:rsidRPr="00F74220">
        <w:rPr>
          <w:sz w:val="20"/>
        </w:rPr>
        <w:noBreakHyphen/>
        <w:t>fold: to protect the public and to rehabilitate offenders and reintegrate them into the community.  It is the sentencing judge’s duty, adopting a contextual approach, to determine which sentencing options will be proportionate to both the gravity of the offence and the degree of responsibility of the offender.  Sentencing is an individual process.  The severity of a given breach will ultimately depend on all of the circumstances, including the nature of the condition breached, how that condition is tied to managing the particular offender’s risk of re</w:t>
      </w:r>
      <w:r w:rsidRPr="00F74220">
        <w:rPr>
          <w:sz w:val="20"/>
        </w:rPr>
        <w:noBreakHyphen/>
        <w:t>offence, and the circumstances of the breach.</w:t>
      </w:r>
    </w:p>
    <w:p w:rsidR="0015683B" w:rsidRDefault="0015683B" w:rsidP="0015683B">
      <w:pPr>
        <w:pStyle w:val="SCCNormalDoubleSpacing"/>
        <w:spacing w:line="240" w:lineRule="auto"/>
        <w:rPr>
          <w:sz w:val="20"/>
        </w:rPr>
      </w:pPr>
    </w:p>
    <w:p w:rsidR="0015683B" w:rsidRPr="00F74220" w:rsidRDefault="0015683B" w:rsidP="0015683B">
      <w:pPr>
        <w:pStyle w:val="SCCNormalDoubleSpacing"/>
        <w:spacing w:line="240" w:lineRule="auto"/>
        <w:rPr>
          <w:sz w:val="20"/>
        </w:rPr>
      </w:pPr>
      <w:r w:rsidRPr="00F74220">
        <w:rPr>
          <w:sz w:val="20"/>
        </w:rPr>
        <w:tab/>
        <w:t>Section 718.2(</w:t>
      </w:r>
      <w:r w:rsidRPr="00F74220">
        <w:rPr>
          <w:i/>
          <w:sz w:val="20"/>
        </w:rPr>
        <w:t>e</w:t>
      </w:r>
      <w:r w:rsidRPr="00F74220">
        <w:rPr>
          <w:sz w:val="20"/>
        </w:rPr>
        <w:t xml:space="preserve">) of the </w:t>
      </w:r>
      <w:r w:rsidRPr="00F74220">
        <w:rPr>
          <w:i/>
          <w:sz w:val="20"/>
        </w:rPr>
        <w:t>Criminal Code</w:t>
      </w:r>
      <w:r w:rsidRPr="00F74220">
        <w:rPr>
          <w:sz w:val="20"/>
        </w:rPr>
        <w:t xml:space="preserve"> is a remedial provision designed to ameliorate the serious problem of overrepresentation of Aboriginal people in Canadian prisons, and to encourage sentencing judges to have recourse to a restorative approach to sentencing.  Courts must ensure that a formalistic approach to parity in sentencing does not undermine the remedial purpose of s. 718.2(</w:t>
      </w:r>
      <w:r w:rsidRPr="00F74220">
        <w:rPr>
          <w:i/>
          <w:sz w:val="20"/>
        </w:rPr>
        <w:t>e</w:t>
      </w:r>
      <w:r w:rsidRPr="00F74220">
        <w:rPr>
          <w:sz w:val="20"/>
        </w:rPr>
        <w:t>).  Section 718.2(</w:t>
      </w:r>
      <w:r w:rsidRPr="00F74220">
        <w:rPr>
          <w:i/>
          <w:sz w:val="20"/>
        </w:rPr>
        <w:t>e</w:t>
      </w:r>
      <w:r w:rsidRPr="00F74220">
        <w:rPr>
          <w:sz w:val="20"/>
        </w:rPr>
        <w:t>) does more than affirm existing principles of sentencing; it calls upon judges to use a different method of analysis in determining a fit sentence for Aboriginal offenders.  The enactment of s. 718.2(</w:t>
      </w:r>
      <w:r w:rsidRPr="00F74220">
        <w:rPr>
          <w:i/>
          <w:sz w:val="20"/>
        </w:rPr>
        <w:t>e</w:t>
      </w:r>
      <w:r w:rsidRPr="00F74220">
        <w:rPr>
          <w:sz w:val="20"/>
        </w:rPr>
        <w:t>) is a specific direction by Parliament to pay particular attention to the circumstances of Aboriginal offenders during the sentencing process because those circumstances are unique and different from those of non</w:t>
      </w:r>
      <w:r w:rsidRPr="00F74220">
        <w:rPr>
          <w:sz w:val="20"/>
        </w:rPr>
        <w:noBreakHyphen/>
        <w:t xml:space="preserve">Aboriginal offenders.  To the extent that current sentencing practices do not further the </w:t>
      </w:r>
      <w:r w:rsidRPr="00F74220">
        <w:rPr>
          <w:sz w:val="20"/>
        </w:rPr>
        <w:lastRenderedPageBreak/>
        <w:t>objectives of deterring criminality and rehabilitating offenders, those practices must change so as to meet the needs of Aboriginal offenders and their communities.  Sentencing judges, as front</w:t>
      </w:r>
      <w:r w:rsidRPr="00F74220">
        <w:rPr>
          <w:sz w:val="20"/>
        </w:rPr>
        <w:noBreakHyphen/>
        <w:t>line workers in the criminal justice system, are in the best position to re</w:t>
      </w:r>
      <w:r w:rsidRPr="00F74220">
        <w:rPr>
          <w:sz w:val="20"/>
        </w:rPr>
        <w:noBreakHyphen/>
        <w:t>evaluate these criteria to ensure that they are not contributing to ongoing systemic racial discrimination.  Just sanctions are those that do not operate in a discriminatory manner.</w:t>
      </w:r>
    </w:p>
    <w:p w:rsidR="0015683B" w:rsidRDefault="0015683B" w:rsidP="0015683B">
      <w:pPr>
        <w:pStyle w:val="SCCNormalDoubleSpacing"/>
        <w:spacing w:line="240" w:lineRule="auto"/>
        <w:rPr>
          <w:sz w:val="20"/>
        </w:rPr>
      </w:pPr>
    </w:p>
    <w:p w:rsidR="0015683B" w:rsidRPr="00F74220" w:rsidRDefault="0015683B" w:rsidP="0015683B">
      <w:pPr>
        <w:pStyle w:val="SCCNormalDoubleSpacing"/>
        <w:spacing w:line="240" w:lineRule="auto"/>
        <w:rPr>
          <w:sz w:val="20"/>
        </w:rPr>
      </w:pPr>
      <w:r w:rsidRPr="00F74220">
        <w:rPr>
          <w:sz w:val="20"/>
        </w:rPr>
        <w:tab/>
        <w:t xml:space="preserve">When sentencing an Aboriginal offender, a judge must consider the factors outlined in </w:t>
      </w:r>
      <w:r w:rsidRPr="00F74220">
        <w:rPr>
          <w:i/>
          <w:sz w:val="20"/>
        </w:rPr>
        <w:t>R. v. Gladue</w:t>
      </w:r>
      <w:r w:rsidRPr="00F74220">
        <w:rPr>
          <w:sz w:val="20"/>
        </w:rPr>
        <w:t xml:space="preserve">, [1999] 1 S.C.R. 688:  (a) the unique systemic or background factors which may have played a part in bringing the particular Aboriginal offender before the courts; and (b) the types of sentencing procedures and sanctions which may be appropriate in the circumstances for the offender because of his or her particular Aboriginal heritage or connection.  Systemic and background factors may bear on the culpability of the offender, to the extent that they shed light on his or her level of moral blameworthiness.  Failing to take these circumstances into account would violate the fundamental principle of sentencing — that the sentence must be proportionate to the gravity of the offence and the degree of responsibility of the offender.  The </w:t>
      </w:r>
      <w:r w:rsidRPr="00F74220">
        <w:rPr>
          <w:i/>
          <w:sz w:val="20"/>
        </w:rPr>
        <w:t>Gladue</w:t>
      </w:r>
      <w:r w:rsidRPr="00F74220">
        <w:rPr>
          <w:sz w:val="20"/>
        </w:rPr>
        <w:t xml:space="preserve"> principles direct sentencing judges to abandon the presumption that all offenders and all communities share the same values when it comes to sentencing and to recognize that, given these fundamentally different world views, different or alternative sanctions may more effectively achieve the objectives of sentencing in a particular community.  The principles from </w:t>
      </w:r>
      <w:r w:rsidRPr="00F74220">
        <w:rPr>
          <w:i/>
          <w:sz w:val="20"/>
        </w:rPr>
        <w:t>Gladue</w:t>
      </w:r>
      <w:r w:rsidRPr="00F74220">
        <w:rPr>
          <w:sz w:val="20"/>
        </w:rPr>
        <w:t xml:space="preserve"> are entirely consistent with the requirement that sentencing judges engage in an individualized assessment of all of the relevant factors and circumstances, including the status and life experiences, of the person standing before them.  </w:t>
      </w:r>
      <w:r w:rsidRPr="00F74220">
        <w:rPr>
          <w:i/>
          <w:sz w:val="20"/>
        </w:rPr>
        <w:t xml:space="preserve">Gladue </w:t>
      </w:r>
      <w:r w:rsidRPr="00F74220">
        <w:rPr>
          <w:sz w:val="20"/>
        </w:rPr>
        <w:t>affirms this requirement and recognizes that, up to this point, Canadian courts have failed to take into account the unique circumstances of Aboriginal offenders that bear on the sentencing process.  Section 718.2(</w:t>
      </w:r>
      <w:r w:rsidRPr="00F74220">
        <w:rPr>
          <w:i/>
          <w:sz w:val="20"/>
        </w:rPr>
        <w:t>e</w:t>
      </w:r>
      <w:r w:rsidRPr="00F74220">
        <w:rPr>
          <w:sz w:val="20"/>
        </w:rPr>
        <w:t xml:space="preserve">) is intended to remedy this failure by directing judges to craft sentences in a manner that is meaningful to Aboriginal peoples. </w:t>
      </w:r>
    </w:p>
    <w:p w:rsidR="0015683B" w:rsidRDefault="0015683B" w:rsidP="0015683B">
      <w:pPr>
        <w:pStyle w:val="SCCNormalDoubleSpacing"/>
        <w:spacing w:line="240" w:lineRule="auto"/>
        <w:rPr>
          <w:sz w:val="20"/>
        </w:rPr>
      </w:pPr>
    </w:p>
    <w:p w:rsidR="0015683B" w:rsidRPr="00F74220" w:rsidRDefault="0015683B" w:rsidP="0015683B">
      <w:pPr>
        <w:pStyle w:val="SCCNormalDoubleSpacing"/>
        <w:spacing w:line="240" w:lineRule="auto"/>
        <w:rPr>
          <w:sz w:val="20"/>
        </w:rPr>
      </w:pPr>
      <w:r w:rsidRPr="00F74220">
        <w:rPr>
          <w:sz w:val="20"/>
        </w:rPr>
        <w:tab/>
        <w:t>When sentencing an Aboriginal offender, courts must take judicial notice of such matters as the history of colonialism, displacement, and residential schools and how that history continues to translate into lower educational attainment, lower incomes, higher unemployment, higher rates of substance abuse and suicide, and of course higher levels of incarceration for Aboriginal peoples.  These matters provide the necessary context for understanding and evaluating the case</w:t>
      </w:r>
      <w:r w:rsidRPr="00F74220">
        <w:rPr>
          <w:sz w:val="20"/>
        </w:rPr>
        <w:noBreakHyphen/>
        <w:t xml:space="preserve">specific information presented by counsel.  However, these matters, on their own, do not necessarily justify a different sentence for Aboriginal offenders.  Furthermore, there is nothing in the </w:t>
      </w:r>
      <w:r w:rsidRPr="00F74220">
        <w:rPr>
          <w:i/>
          <w:sz w:val="20"/>
        </w:rPr>
        <w:t>Gladue</w:t>
      </w:r>
      <w:r w:rsidRPr="00F74220">
        <w:rPr>
          <w:sz w:val="20"/>
        </w:rPr>
        <w:t xml:space="preserve"> decision which would indicate that background and systemic factors should not also be taken into account for other, non</w:t>
      </w:r>
      <w:r w:rsidRPr="00F74220">
        <w:rPr>
          <w:sz w:val="20"/>
        </w:rPr>
        <w:noBreakHyphen/>
        <w:t>Aboriginal offenders.  The parity principle which is contained in s. 718.2(</w:t>
      </w:r>
      <w:r w:rsidRPr="00F74220">
        <w:rPr>
          <w:i/>
          <w:sz w:val="20"/>
        </w:rPr>
        <w:t>b</w:t>
      </w:r>
      <w:r w:rsidRPr="00F74220">
        <w:rPr>
          <w:sz w:val="20"/>
        </w:rPr>
        <w:t xml:space="preserve">) means that any disparity between sanctions for different offenders needs to be justified.  To the extent that the application of the </w:t>
      </w:r>
      <w:r w:rsidRPr="00F74220">
        <w:rPr>
          <w:i/>
          <w:sz w:val="20"/>
        </w:rPr>
        <w:t>Gladue</w:t>
      </w:r>
      <w:r w:rsidRPr="00F74220">
        <w:rPr>
          <w:sz w:val="20"/>
        </w:rPr>
        <w:t xml:space="preserve">  principles lead to different sanctions for Aboriginal offenders, those sanctions will be justified based on their unique circumstances — circumstances which are rationally related to the sentencing process.  Counsel has a duty to bring individualized information before the court in every case, unless the offender expressly waives his right to have it considered.  A </w:t>
      </w:r>
      <w:r w:rsidRPr="00F74220">
        <w:rPr>
          <w:i/>
          <w:sz w:val="20"/>
        </w:rPr>
        <w:t>Gladue</w:t>
      </w:r>
      <w:r w:rsidRPr="00F74220">
        <w:rPr>
          <w:sz w:val="20"/>
        </w:rPr>
        <w:t xml:space="preserve"> report, which contains case</w:t>
      </w:r>
      <w:r w:rsidRPr="00F74220">
        <w:rPr>
          <w:sz w:val="20"/>
        </w:rPr>
        <w:noBreakHyphen/>
        <w:t xml:space="preserve">specific information, is tailored to the specific circumstances of the Aboriginal offender.  A </w:t>
      </w:r>
      <w:r w:rsidRPr="00F74220">
        <w:rPr>
          <w:i/>
          <w:sz w:val="20"/>
        </w:rPr>
        <w:t>Gladue</w:t>
      </w:r>
      <w:r w:rsidRPr="00F74220">
        <w:rPr>
          <w:sz w:val="20"/>
        </w:rPr>
        <w:t xml:space="preserve"> report is an indispensable sentencing tool to be provided at a sentencing hearing for an Aboriginal offender and it is also indispensable to a judge in fulfilling his duties under s. 718.2(</w:t>
      </w:r>
      <w:r w:rsidRPr="00F74220">
        <w:rPr>
          <w:i/>
          <w:sz w:val="20"/>
        </w:rPr>
        <w:t>e</w:t>
      </w:r>
      <w:r w:rsidRPr="00F74220">
        <w:rPr>
          <w:sz w:val="20"/>
        </w:rPr>
        <w:t xml:space="preserve">) of the </w:t>
      </w:r>
      <w:r w:rsidRPr="00F74220">
        <w:rPr>
          <w:i/>
          <w:sz w:val="20"/>
        </w:rPr>
        <w:t>Criminal Code</w:t>
      </w:r>
      <w:r w:rsidRPr="00F74220">
        <w:rPr>
          <w:sz w:val="20"/>
        </w:rPr>
        <w:t xml:space="preserve">.  </w:t>
      </w:r>
    </w:p>
    <w:p w:rsidR="0015683B" w:rsidRDefault="0015683B" w:rsidP="0015683B">
      <w:pPr>
        <w:pStyle w:val="SCCNormalDoubleSpacing"/>
        <w:spacing w:line="240" w:lineRule="auto"/>
        <w:rPr>
          <w:sz w:val="20"/>
        </w:rPr>
      </w:pPr>
    </w:p>
    <w:p w:rsidR="0015683B" w:rsidRPr="00F74220" w:rsidRDefault="0015683B" w:rsidP="0015683B">
      <w:pPr>
        <w:pStyle w:val="SCCNormalDoubleSpacing"/>
        <w:spacing w:line="240" w:lineRule="auto"/>
        <w:rPr>
          <w:sz w:val="20"/>
        </w:rPr>
      </w:pPr>
      <w:r w:rsidRPr="00F74220">
        <w:rPr>
          <w:sz w:val="20"/>
        </w:rPr>
        <w:tab/>
        <w:t>The sentencing judge has a statutory duty, imposed by s. 718.2(</w:t>
      </w:r>
      <w:r w:rsidRPr="00F74220">
        <w:rPr>
          <w:i/>
          <w:sz w:val="20"/>
        </w:rPr>
        <w:t>e</w:t>
      </w:r>
      <w:r w:rsidRPr="00F74220">
        <w:rPr>
          <w:sz w:val="20"/>
        </w:rPr>
        <w:t xml:space="preserve">) of the </w:t>
      </w:r>
      <w:r w:rsidRPr="00F74220">
        <w:rPr>
          <w:i/>
          <w:sz w:val="20"/>
        </w:rPr>
        <w:t>Criminal Code</w:t>
      </w:r>
      <w:r w:rsidRPr="00F74220">
        <w:rPr>
          <w:sz w:val="20"/>
        </w:rPr>
        <w:t xml:space="preserve">, to consider the unique circumstances of Aboriginal offenders.  If the sentencing judge fails to apply the </w:t>
      </w:r>
      <w:r w:rsidRPr="00F74220">
        <w:rPr>
          <w:i/>
          <w:sz w:val="20"/>
        </w:rPr>
        <w:t>Gladue</w:t>
      </w:r>
      <w:r w:rsidRPr="00F74220">
        <w:rPr>
          <w:sz w:val="20"/>
        </w:rPr>
        <w:t xml:space="preserve"> principles in any case involving an Aboriginal offender this would run afoul of this statutory obligation.  Furthermore, the failure to apply the </w:t>
      </w:r>
      <w:r w:rsidRPr="00F74220">
        <w:rPr>
          <w:i/>
          <w:sz w:val="20"/>
        </w:rPr>
        <w:t>Gladue</w:t>
      </w:r>
      <w:r w:rsidRPr="00F74220">
        <w:rPr>
          <w:sz w:val="20"/>
        </w:rPr>
        <w:t xml:space="preserve"> principles in any case would also result in a sentence that is not fit and is not consistent with the fundamental principle of proportionality.  Therefore, application of the </w:t>
      </w:r>
      <w:r w:rsidRPr="00F74220">
        <w:rPr>
          <w:i/>
          <w:sz w:val="20"/>
        </w:rPr>
        <w:t xml:space="preserve">Gladue </w:t>
      </w:r>
      <w:r w:rsidRPr="00F74220">
        <w:rPr>
          <w:sz w:val="20"/>
        </w:rPr>
        <w:t xml:space="preserve">principles is required in every case involving an Aboriginal offender, including the breach of an LTSO, and a failure to do so constitutes an error justifying appellate intervention. </w:t>
      </w:r>
    </w:p>
    <w:p w:rsidR="0015683B" w:rsidRDefault="0015683B" w:rsidP="0015683B">
      <w:pPr>
        <w:pStyle w:val="SCCNormalDoubleSpacing"/>
        <w:spacing w:line="240" w:lineRule="auto"/>
        <w:rPr>
          <w:sz w:val="20"/>
        </w:rPr>
      </w:pPr>
    </w:p>
    <w:p w:rsidR="0015683B" w:rsidRPr="00F74220" w:rsidRDefault="0015683B" w:rsidP="0015683B">
      <w:pPr>
        <w:pStyle w:val="SCCNormalDoubleSpacing"/>
        <w:spacing w:line="240" w:lineRule="auto"/>
        <w:rPr>
          <w:sz w:val="20"/>
        </w:rPr>
      </w:pPr>
      <w:r w:rsidRPr="00F74220">
        <w:rPr>
          <w:sz w:val="20"/>
        </w:rPr>
        <w:tab/>
        <w:t>In the instant case of I, the courts below made several errors in principle warranting appellate intervention.  The courts below erred in concluding that rehabilitation was not a relevant sentencing objective.  As a result of this error, the courts below gave only attenuated consideration to I’s circumstances as an Aboriginal offender.  A sentence of one years’ imprisonment should be substituted.  In the instant case of L, the decision of the majority of the Court of Appeal is well founded and adequately reflects the principles and objectives of sentencing.  The appeal is dismissed and the sentence of one years’ imprisonment is affirmed.</w:t>
      </w:r>
    </w:p>
    <w:p w:rsidR="0015683B" w:rsidRDefault="0015683B" w:rsidP="0015683B">
      <w:pPr>
        <w:pStyle w:val="SCCNormalDoubleSpacing"/>
        <w:spacing w:line="240" w:lineRule="auto"/>
        <w:rPr>
          <w:i/>
          <w:sz w:val="20"/>
        </w:rPr>
      </w:pPr>
    </w:p>
    <w:p w:rsidR="0015683B" w:rsidRPr="00F74220" w:rsidRDefault="0015683B" w:rsidP="0015683B">
      <w:pPr>
        <w:pStyle w:val="SCCNormalDoubleSpacing"/>
        <w:spacing w:line="240" w:lineRule="auto"/>
        <w:rPr>
          <w:sz w:val="20"/>
        </w:rPr>
      </w:pPr>
      <w:r w:rsidRPr="00F74220">
        <w:rPr>
          <w:i/>
          <w:sz w:val="20"/>
        </w:rPr>
        <w:tab/>
        <w:t>Per</w:t>
      </w:r>
      <w:r w:rsidRPr="00F74220">
        <w:rPr>
          <w:sz w:val="20"/>
        </w:rPr>
        <w:t xml:space="preserve"> Rothstein J. (dissenting in part):  In sentencing for the breach of a condition of a LTSO, which is central to the risk of the long</w:t>
      </w:r>
      <w:r w:rsidRPr="00F74220">
        <w:rPr>
          <w:sz w:val="20"/>
        </w:rPr>
        <w:noBreakHyphen/>
        <w:t xml:space="preserve">term offender violently reoffending, the protection of the public, more so than the rehabilitation or </w:t>
      </w:r>
      <w:r w:rsidRPr="00F74220">
        <w:rPr>
          <w:sz w:val="20"/>
        </w:rPr>
        <w:lastRenderedPageBreak/>
        <w:t>reintegration of the offender, must be the dominant consideration of the sentencing judge in the determination of a fit and proper sentence.  The majority in this case, does not specifically address the issue of the sentencing of Aboriginal offenders who have been found to be long</w:t>
      </w:r>
      <w:r w:rsidRPr="00F74220">
        <w:rPr>
          <w:sz w:val="20"/>
        </w:rPr>
        <w:noBreakHyphen/>
        <w:t>term offenders and have been found guilty of breaching a condition of a LTSO.  They have not taken account of the difference between the objectives and requirements of LTSOs for long</w:t>
      </w:r>
      <w:r w:rsidRPr="00F74220">
        <w:rPr>
          <w:sz w:val="20"/>
        </w:rPr>
        <w:noBreakHyphen/>
        <w:t>term offenders who abide by the conditions of their LTSO and the objectives and requirements of sentencing long</w:t>
      </w:r>
      <w:r w:rsidRPr="00F74220">
        <w:rPr>
          <w:sz w:val="20"/>
        </w:rPr>
        <w:noBreakHyphen/>
        <w:t xml:space="preserve">term offenders who have breached a condition of their LTSO.  </w:t>
      </w:r>
    </w:p>
    <w:p w:rsidR="0015683B" w:rsidRDefault="0015683B" w:rsidP="0015683B">
      <w:pPr>
        <w:pStyle w:val="SCCNormalDoubleSpacing"/>
        <w:spacing w:line="240" w:lineRule="auto"/>
        <w:rPr>
          <w:sz w:val="20"/>
        </w:rPr>
      </w:pPr>
    </w:p>
    <w:p w:rsidR="0015683B" w:rsidRPr="00F74220" w:rsidRDefault="0015683B" w:rsidP="0015683B">
      <w:pPr>
        <w:pStyle w:val="SCCNormalDoubleSpacing"/>
        <w:spacing w:line="240" w:lineRule="auto"/>
        <w:rPr>
          <w:sz w:val="20"/>
        </w:rPr>
      </w:pPr>
      <w:r w:rsidRPr="00F74220">
        <w:rPr>
          <w:sz w:val="20"/>
        </w:rPr>
        <w:tab/>
        <w:t>The breach of a LTSO raises serious concerns that rehabilitation and reintegration are not being achieved and calls into doubt whether, despite supervision, the long</w:t>
      </w:r>
      <w:r w:rsidRPr="00F74220">
        <w:rPr>
          <w:sz w:val="20"/>
        </w:rPr>
        <w:noBreakHyphen/>
        <w:t>term offender has demonstrated that the substantial risk of reoffending in a violent manner in the community by the long</w:t>
      </w:r>
      <w:r w:rsidRPr="00F74220">
        <w:rPr>
          <w:sz w:val="20"/>
        </w:rPr>
        <w:noBreakHyphen/>
        <w:t xml:space="preserve">term offender can be adequately managed.  Section 753.3(1) of the </w:t>
      </w:r>
      <w:r w:rsidRPr="00F74220">
        <w:rPr>
          <w:i/>
          <w:sz w:val="20"/>
        </w:rPr>
        <w:t>Criminal Code</w:t>
      </w:r>
      <w:r w:rsidRPr="00F74220">
        <w:rPr>
          <w:sz w:val="20"/>
        </w:rPr>
        <w:t xml:space="preserve"> provides that a breach of a LTSO constitutes an indictable offence, as opposed to a hybrid offence, with a maximum sentence of ten years.  The maximum term is for the breach of the LTSO exclusively and is not dependant on the long</w:t>
      </w:r>
      <w:r w:rsidRPr="00F74220">
        <w:rPr>
          <w:sz w:val="20"/>
        </w:rPr>
        <w:noBreakHyphen/>
        <w:t>term offender having been found guilty of another substantive offence, violent or otherwise.  The necessary implication is that Parliament viewed breaches of LTSOs as posing such risk to the protection of society that long</w:t>
      </w:r>
      <w:r w:rsidRPr="00F74220">
        <w:rPr>
          <w:sz w:val="20"/>
        </w:rPr>
        <w:noBreakHyphen/>
        <w:t>term offenders may have to be separated from society for a significant period of time.  Where a breach is central to the substantial risk of reoffending, such as where alcohol or substance consumption has been found to be the trigger for violent offences by the long</w:t>
      </w:r>
      <w:r w:rsidRPr="00F74220">
        <w:rPr>
          <w:sz w:val="20"/>
        </w:rPr>
        <w:noBreakHyphen/>
        <w:t xml:space="preserve">term offender, the breach must be considered to be very serious.  </w:t>
      </w:r>
    </w:p>
    <w:p w:rsidR="0015683B" w:rsidRDefault="0015683B" w:rsidP="0015683B">
      <w:pPr>
        <w:pStyle w:val="SCCNormalDoubleSpacing"/>
        <w:spacing w:line="240" w:lineRule="auto"/>
        <w:rPr>
          <w:sz w:val="20"/>
        </w:rPr>
      </w:pPr>
    </w:p>
    <w:p w:rsidR="0015683B" w:rsidRPr="00F74220" w:rsidRDefault="0015683B" w:rsidP="0015683B">
      <w:pPr>
        <w:pStyle w:val="SCCNormalDoubleSpacing"/>
        <w:spacing w:line="240" w:lineRule="auto"/>
        <w:rPr>
          <w:sz w:val="20"/>
        </w:rPr>
      </w:pPr>
      <w:r w:rsidRPr="00F74220">
        <w:rPr>
          <w:sz w:val="20"/>
        </w:rPr>
        <w:tab/>
        <w:t>Section 718.2(</w:t>
      </w:r>
      <w:r w:rsidRPr="00F74220">
        <w:rPr>
          <w:i/>
          <w:sz w:val="20"/>
        </w:rPr>
        <w:t>e</w:t>
      </w:r>
      <w:r w:rsidRPr="00F74220">
        <w:rPr>
          <w:sz w:val="20"/>
        </w:rPr>
        <w:t xml:space="preserve">) of the </w:t>
      </w:r>
      <w:r w:rsidRPr="00F74220">
        <w:rPr>
          <w:i/>
          <w:sz w:val="20"/>
        </w:rPr>
        <w:t xml:space="preserve">Criminal Code </w:t>
      </w:r>
      <w:r w:rsidRPr="00F74220">
        <w:rPr>
          <w:sz w:val="20"/>
        </w:rPr>
        <w:t>requires a sentencing judge to consider background and systemic factors in crafting a sentence, and all available sanctions other than imprisonment that are reasonable in the circumstances for all offenders, with particular attention to  Aboriginal offenders, including long</w:t>
      </w:r>
      <w:r w:rsidRPr="00F74220">
        <w:rPr>
          <w:sz w:val="20"/>
        </w:rPr>
        <w:noBreakHyphen/>
        <w:t>term Aboriginal offenders.  As with all sentencing, this must be done with regard to the particular individual, the threat they pose, and their chances of rehabilitation and reintegration.  Evaluating these options lies within the discretion of the sentencing judge.  In the case of long</w:t>
      </w:r>
      <w:r w:rsidRPr="00F74220">
        <w:rPr>
          <w:sz w:val="20"/>
        </w:rPr>
        <w:noBreakHyphen/>
        <w:t>term offenders, the paramount consideration is the protection of society.  This applies to all long</w:t>
      </w:r>
      <w:r w:rsidRPr="00F74220">
        <w:rPr>
          <w:sz w:val="20"/>
        </w:rPr>
        <w:noBreakHyphen/>
        <w:t>term offenders, including Aboriginal long</w:t>
      </w:r>
      <w:r w:rsidRPr="00F74220">
        <w:rPr>
          <w:sz w:val="20"/>
        </w:rPr>
        <w:noBreakHyphen/>
        <w:t xml:space="preserve">term offenders who have compromised the management of their risk of reoffending by breaching a condition of their LTSO.  </w:t>
      </w:r>
    </w:p>
    <w:p w:rsidR="0015683B" w:rsidRDefault="0015683B" w:rsidP="0015683B">
      <w:pPr>
        <w:pStyle w:val="SCCNormalDoubleSpacing"/>
        <w:spacing w:line="240" w:lineRule="auto"/>
        <w:rPr>
          <w:sz w:val="20"/>
        </w:rPr>
      </w:pPr>
    </w:p>
    <w:p w:rsidR="0015683B" w:rsidRPr="00F74220" w:rsidRDefault="0015683B" w:rsidP="0015683B">
      <w:pPr>
        <w:pStyle w:val="SCCNormalDoubleSpacing"/>
        <w:spacing w:line="240" w:lineRule="auto"/>
        <w:rPr>
          <w:sz w:val="20"/>
        </w:rPr>
      </w:pPr>
      <w:r w:rsidRPr="00F74220">
        <w:rPr>
          <w:sz w:val="20"/>
        </w:rPr>
        <w:tab/>
        <w:t>Once an Aboriginal individual is found to be a long</w:t>
      </w:r>
      <w:r w:rsidRPr="00F74220">
        <w:rPr>
          <w:sz w:val="20"/>
        </w:rPr>
        <w:noBreakHyphen/>
        <w:t>term offender, and the offender has breached one or more conditions of his or her LTSO, alternatives to a significant prison term will be limited.  The alternatives to imprisonment must be viable and the sentencing judge must be satisfied that they are consistent with protection of society.  Alternatives may include returning Aboriginal offenders to their communities.  However, as in all cases, this must be done with protection of the public as the paramount concern; Aboriginal communities are not a separate category entitled to less protection because the offender is Aboriginal.  Where the breach of a LTSO goes to the control of the Aboriginal offender in the community, rehabilitation and reintegration into society will have faltered, if not failed.  In such case, the sentencing judge may have no alternative but to separate the Aboriginal long</w:t>
      </w:r>
      <w:r w:rsidRPr="00F74220">
        <w:rPr>
          <w:sz w:val="20"/>
        </w:rPr>
        <w:noBreakHyphen/>
        <w:t>term offender from society for a significant period of time.  Nevertheless, during the period of incarceration, the Aboriginal status of the long</w:t>
      </w:r>
      <w:r w:rsidRPr="00F74220">
        <w:rPr>
          <w:sz w:val="20"/>
        </w:rPr>
        <w:noBreakHyphen/>
        <w:t>term offender should be taken into account for the purpose of providing appropriate programs that are intended to rehabilitate the offender so that upon release, the substantial risk of re</w:t>
      </w:r>
      <w:r w:rsidRPr="00F74220">
        <w:rPr>
          <w:sz w:val="20"/>
        </w:rPr>
        <w:noBreakHyphen/>
        <w:t>offending may be controlled.</w:t>
      </w:r>
    </w:p>
    <w:p w:rsidR="0015683B" w:rsidRDefault="0015683B" w:rsidP="0015683B">
      <w:pPr>
        <w:pStyle w:val="SCCNormalDoubleSpacing"/>
        <w:spacing w:line="240" w:lineRule="auto"/>
        <w:rPr>
          <w:sz w:val="20"/>
        </w:rPr>
      </w:pPr>
    </w:p>
    <w:p w:rsidR="0015683B" w:rsidRPr="00F74220" w:rsidRDefault="0015683B" w:rsidP="0015683B">
      <w:pPr>
        <w:pStyle w:val="SCCNormalDoubleSpacing"/>
        <w:spacing w:line="240" w:lineRule="auto"/>
        <w:rPr>
          <w:sz w:val="20"/>
        </w:rPr>
      </w:pPr>
      <w:r w:rsidRPr="00F74220">
        <w:rPr>
          <w:sz w:val="20"/>
        </w:rPr>
        <w:tab/>
        <w:t>In this case, it has not been shown that the sentence imposed on the offender I was demonstrably unfit and the appeal should be dismissed.  The sentencing judge’s findings demonstrate a thorough appreciation of the circumstances.  He properly recognized that protection of the public was the paramount concern in breaches of LTSOs.  As a long</w:t>
      </w:r>
      <w:r w:rsidRPr="00F74220">
        <w:rPr>
          <w:sz w:val="20"/>
        </w:rPr>
        <w:noBreakHyphen/>
        <w:t xml:space="preserve">term offender, I has been found to show a pattern of repetitive behaviour with a likelihood of causing death or physical or psychological injury or a likelihood of causing injury, pain or other evil to other persons in the future through failure to control his sexual impulses.  His alcohol consumption is central to such behaviour.  </w:t>
      </w:r>
    </w:p>
    <w:p w:rsidR="0015683B" w:rsidRDefault="0015683B" w:rsidP="0015683B">
      <w:pPr>
        <w:pStyle w:val="SCCNormalDoubleSpacing"/>
        <w:spacing w:line="240" w:lineRule="auto"/>
        <w:rPr>
          <w:sz w:val="20"/>
        </w:rPr>
      </w:pPr>
    </w:p>
    <w:p w:rsidR="0015683B" w:rsidRDefault="0015683B" w:rsidP="0015683B">
      <w:pPr>
        <w:pStyle w:val="SCCNormalDoubleSpacing"/>
        <w:spacing w:line="240" w:lineRule="auto"/>
        <w:rPr>
          <w:sz w:val="20"/>
        </w:rPr>
      </w:pPr>
      <w:r w:rsidRPr="00F74220">
        <w:rPr>
          <w:sz w:val="20"/>
        </w:rPr>
        <w:tab/>
        <w:t>With respect to the offender L, one year imprisonment was a fit and proper sentence and the appeal should be dismissed.  The sentencing judge did not err in focussing on protection of society as the paramount consideration in her sentencing decision.  The sentencing judge found that the only way to protect the community, given L’s high risk of re</w:t>
      </w:r>
      <w:r w:rsidRPr="00F74220">
        <w:rPr>
          <w:sz w:val="20"/>
        </w:rPr>
        <w:noBreakHyphen/>
        <w:t>offending sexually and moderate to high risk of re</w:t>
      </w:r>
      <w:r w:rsidRPr="00F74220">
        <w:rPr>
          <w:sz w:val="20"/>
        </w:rPr>
        <w:noBreakHyphen/>
        <w:t xml:space="preserve">offending violently, was to emphasize the objective of isolation.  She noted that even if L did not commit a substantive offence, his breach was serious.  But this was a case where there was a realistic opportunity for rehabilitation that was denied L because of a “bureaucratic error”.  The sentencing judge does not appear to have considered that it was this error that caused L to be sent to a residential halfway house, which </w:t>
      </w:r>
      <w:r w:rsidRPr="00F74220">
        <w:rPr>
          <w:sz w:val="20"/>
        </w:rPr>
        <w:lastRenderedPageBreak/>
        <w:t xml:space="preserve">apparently tolerates serious drug abusers and does not provide programs for Aboriginal offenders.  This failure meant that L’s moral blameworthiness was not properly assessed. </w:t>
      </w:r>
    </w:p>
    <w:p w:rsidR="0015683B" w:rsidRPr="00F74220" w:rsidRDefault="0015683B" w:rsidP="0015683B">
      <w:pPr>
        <w:pStyle w:val="SCCNormalDoubleSpacing"/>
        <w:spacing w:line="240" w:lineRule="auto"/>
        <w:rPr>
          <w:sz w:val="20"/>
        </w:rPr>
      </w:pPr>
    </w:p>
    <w:p w:rsidR="0015683B" w:rsidRPr="00F74220" w:rsidRDefault="0015683B" w:rsidP="0015683B">
      <w:pPr>
        <w:pStyle w:val="SCCNormalDoubleSpacing"/>
        <w:spacing w:line="240" w:lineRule="auto"/>
        <w:rPr>
          <w:sz w:val="20"/>
        </w:rPr>
      </w:pPr>
      <w:r w:rsidRPr="00F74220">
        <w:rPr>
          <w:sz w:val="20"/>
        </w:rPr>
        <w:tab/>
        <w:t xml:space="preserve">APPEAL from a judgment of the Ontario Court of Appeal </w:t>
      </w:r>
      <w:r w:rsidR="0011031E" w:rsidRPr="00F74220">
        <w:rPr>
          <w:sz w:val="20"/>
        </w:rPr>
        <w:fldChar w:fldCharType="begin"/>
      </w:r>
      <w:r w:rsidRPr="00F74220">
        <w:rPr>
          <w:sz w:val="20"/>
        </w:rPr>
        <w:instrText xml:space="preserve"> SEQ CHAPTER \h \r 1</w:instrText>
      </w:r>
      <w:r w:rsidR="0011031E" w:rsidRPr="00F74220">
        <w:rPr>
          <w:sz w:val="20"/>
        </w:rPr>
        <w:fldChar w:fldCharType="end"/>
      </w:r>
      <w:r w:rsidRPr="00F74220">
        <w:rPr>
          <w:sz w:val="20"/>
        </w:rPr>
        <w:t xml:space="preserve">(Laskin, Sharpe and Cronk JJ.A.), </w:t>
      </w:r>
      <w:r w:rsidR="0011031E" w:rsidRPr="00F74220">
        <w:rPr>
          <w:sz w:val="20"/>
        </w:rPr>
        <w:fldChar w:fldCharType="begin"/>
      </w:r>
      <w:r w:rsidRPr="00F74220">
        <w:rPr>
          <w:sz w:val="20"/>
        </w:rPr>
        <w:instrText xml:space="preserve"> SEQ CHAPTER \h \r 1</w:instrText>
      </w:r>
      <w:r w:rsidR="0011031E" w:rsidRPr="00F74220">
        <w:rPr>
          <w:sz w:val="20"/>
        </w:rPr>
        <w:fldChar w:fldCharType="end"/>
      </w:r>
      <w:r w:rsidRPr="00F74220">
        <w:rPr>
          <w:sz w:val="20"/>
        </w:rPr>
        <w:t xml:space="preserve">2009 ONCA 892, 99 O.R. (3d) 419, 264 O.A.C. 392, [2009] O.J. No. 5402 (QL), 2009 CarswellOnt 7783, affirming a decision of Megginson J., </w:t>
      </w:r>
      <w:r w:rsidR="0011031E" w:rsidRPr="00F74220">
        <w:rPr>
          <w:sz w:val="20"/>
        </w:rPr>
        <w:fldChar w:fldCharType="begin"/>
      </w:r>
      <w:r w:rsidRPr="00F74220">
        <w:rPr>
          <w:sz w:val="20"/>
        </w:rPr>
        <w:instrText xml:space="preserve"> SEQ CHAPTER \h \r 1</w:instrText>
      </w:r>
      <w:r w:rsidR="0011031E" w:rsidRPr="00F74220">
        <w:rPr>
          <w:sz w:val="20"/>
        </w:rPr>
        <w:fldChar w:fldCharType="end"/>
      </w:r>
      <w:r w:rsidRPr="00F74220">
        <w:rPr>
          <w:sz w:val="20"/>
        </w:rPr>
        <w:t>2009 CarswellOnt 7864.  Appeal allowed, Rothstein J. dissenting.</w:t>
      </w:r>
    </w:p>
    <w:p w:rsidR="0015683B" w:rsidRDefault="0015683B" w:rsidP="0015683B">
      <w:pPr>
        <w:tabs>
          <w:tab w:val="left" w:pos="1170"/>
        </w:tabs>
        <w:jc w:val="both"/>
        <w:rPr>
          <w:sz w:val="20"/>
        </w:rPr>
      </w:pPr>
    </w:p>
    <w:p w:rsidR="0015683B" w:rsidRPr="00F74220" w:rsidRDefault="0015683B" w:rsidP="0015683B">
      <w:pPr>
        <w:tabs>
          <w:tab w:val="left" w:pos="1170"/>
        </w:tabs>
        <w:jc w:val="both"/>
        <w:rPr>
          <w:sz w:val="20"/>
          <w:szCs w:val="20"/>
        </w:rPr>
      </w:pPr>
      <w:r w:rsidRPr="00F74220">
        <w:rPr>
          <w:sz w:val="20"/>
          <w:szCs w:val="20"/>
        </w:rPr>
        <w:tab/>
        <w:t>APPEAL from a judgment of the British Columbia Court of Appeal (</w:t>
      </w:r>
      <w:r w:rsidR="0011031E" w:rsidRPr="00F74220">
        <w:rPr>
          <w:sz w:val="20"/>
          <w:szCs w:val="20"/>
        </w:rPr>
        <w:fldChar w:fldCharType="begin"/>
      </w:r>
      <w:r w:rsidRPr="00F74220">
        <w:rPr>
          <w:sz w:val="20"/>
          <w:szCs w:val="20"/>
        </w:rPr>
        <w:instrText xml:space="preserve"> SEQ CHAPTER \h \r 1</w:instrText>
      </w:r>
      <w:r w:rsidR="0011031E" w:rsidRPr="00F74220">
        <w:rPr>
          <w:sz w:val="20"/>
          <w:szCs w:val="20"/>
        </w:rPr>
        <w:fldChar w:fldCharType="end"/>
      </w:r>
      <w:r w:rsidRPr="00F74220">
        <w:rPr>
          <w:sz w:val="20"/>
          <w:szCs w:val="20"/>
        </w:rPr>
        <w:t xml:space="preserve">Levine, Chiasson and Bennett JJ.A.), </w:t>
      </w:r>
      <w:r w:rsidR="0011031E" w:rsidRPr="00F74220">
        <w:rPr>
          <w:sz w:val="20"/>
          <w:szCs w:val="20"/>
        </w:rPr>
        <w:fldChar w:fldCharType="begin"/>
      </w:r>
      <w:r w:rsidRPr="00F74220">
        <w:rPr>
          <w:sz w:val="20"/>
          <w:szCs w:val="20"/>
        </w:rPr>
        <w:instrText xml:space="preserve"> SEQ CHAPTER \h \r 1</w:instrText>
      </w:r>
      <w:r w:rsidR="0011031E" w:rsidRPr="00F74220">
        <w:rPr>
          <w:sz w:val="20"/>
          <w:szCs w:val="20"/>
        </w:rPr>
        <w:fldChar w:fldCharType="end"/>
      </w:r>
      <w:r w:rsidRPr="00F74220">
        <w:rPr>
          <w:sz w:val="20"/>
          <w:szCs w:val="20"/>
        </w:rPr>
        <w:t xml:space="preserve">2011 BCCA 101, 302 B.C.A.C. 93, 511 W.A.C. 93, 271 C.C.C. (3d) 90, [2011] 2 C.N.L.R. 277, [2011] B.C.J. No. 366 (QL), 2011 CarswellBC 428, reversing a decision of </w:t>
      </w:r>
      <w:r w:rsidR="0011031E" w:rsidRPr="00F74220">
        <w:rPr>
          <w:sz w:val="20"/>
          <w:szCs w:val="20"/>
        </w:rPr>
        <w:fldChar w:fldCharType="begin"/>
      </w:r>
      <w:r w:rsidRPr="00F74220">
        <w:rPr>
          <w:sz w:val="20"/>
          <w:szCs w:val="20"/>
        </w:rPr>
        <w:instrText xml:space="preserve"> SEQ CHAPTER \h \r 1</w:instrText>
      </w:r>
      <w:r w:rsidR="0011031E" w:rsidRPr="00F74220">
        <w:rPr>
          <w:sz w:val="20"/>
          <w:szCs w:val="20"/>
        </w:rPr>
        <w:fldChar w:fldCharType="end"/>
      </w:r>
      <w:r w:rsidRPr="00F74220">
        <w:rPr>
          <w:sz w:val="20"/>
          <w:szCs w:val="20"/>
        </w:rPr>
        <w:t xml:space="preserve">Bagnall Prov. Ct. J., </w:t>
      </w:r>
      <w:r w:rsidR="0011031E" w:rsidRPr="00F74220">
        <w:rPr>
          <w:sz w:val="20"/>
          <w:szCs w:val="20"/>
        </w:rPr>
        <w:fldChar w:fldCharType="begin"/>
      </w:r>
      <w:r w:rsidRPr="00F74220">
        <w:rPr>
          <w:sz w:val="20"/>
          <w:szCs w:val="20"/>
        </w:rPr>
        <w:instrText xml:space="preserve"> SEQ CHAPTER \h \r 1</w:instrText>
      </w:r>
      <w:r w:rsidR="0011031E" w:rsidRPr="00F74220">
        <w:rPr>
          <w:sz w:val="20"/>
          <w:szCs w:val="20"/>
        </w:rPr>
        <w:fldChar w:fldCharType="end"/>
      </w:r>
      <w:r w:rsidRPr="00F74220">
        <w:rPr>
          <w:sz w:val="20"/>
          <w:szCs w:val="20"/>
        </w:rPr>
        <w:t>2010 BCPC 410, [2010] B.C.J. No. 2824 (QL), 2010 CarswellBC 3822.  Appeal dismissed.</w:t>
      </w:r>
    </w:p>
    <w:p w:rsidR="0015683B" w:rsidRDefault="0015683B" w:rsidP="0015683B">
      <w:pPr>
        <w:pStyle w:val="SCCNormalDoubleSpacing"/>
        <w:spacing w:line="240" w:lineRule="auto"/>
        <w:rPr>
          <w:rStyle w:val="SCCCounselNameChar"/>
          <w:sz w:val="20"/>
        </w:rPr>
      </w:pPr>
    </w:p>
    <w:p w:rsidR="0015683B" w:rsidRPr="00F74220" w:rsidRDefault="0015683B" w:rsidP="0015683B">
      <w:pPr>
        <w:pStyle w:val="SCCNormalDoubleSpacing"/>
        <w:spacing w:line="240" w:lineRule="auto"/>
        <w:rPr>
          <w:sz w:val="20"/>
        </w:rPr>
      </w:pPr>
      <w:r w:rsidRPr="00F74220">
        <w:rPr>
          <w:rStyle w:val="SCCCounselNameChar"/>
          <w:sz w:val="20"/>
        </w:rPr>
        <w:tab/>
        <w:t>Fergus J. (Chip) O’Connor</w:t>
      </w:r>
      <w:r w:rsidRPr="00F74220">
        <w:rPr>
          <w:rStyle w:val="SCCCounselPartyRoleChar"/>
          <w:sz w:val="20"/>
        </w:rPr>
        <w:t>, for the appellant Manasie Ipeelee.</w:t>
      </w:r>
    </w:p>
    <w:p w:rsidR="0015683B" w:rsidRDefault="0015683B" w:rsidP="0015683B">
      <w:pPr>
        <w:pStyle w:val="SCCNormalDoubleSpacing"/>
        <w:spacing w:line="240" w:lineRule="auto"/>
        <w:rPr>
          <w:rStyle w:val="SCCCounselNameChar"/>
          <w:sz w:val="20"/>
        </w:rPr>
      </w:pPr>
    </w:p>
    <w:p w:rsidR="0015683B" w:rsidRPr="00F74220" w:rsidRDefault="0015683B" w:rsidP="0015683B">
      <w:pPr>
        <w:pStyle w:val="SCCNormalDoubleSpacing"/>
        <w:spacing w:line="240" w:lineRule="auto"/>
        <w:rPr>
          <w:sz w:val="20"/>
        </w:rPr>
      </w:pPr>
      <w:r w:rsidRPr="00F74220">
        <w:rPr>
          <w:rStyle w:val="SCCCounselNameChar"/>
          <w:sz w:val="20"/>
        </w:rPr>
        <w:tab/>
        <w:t>Gillian E. Roberts</w:t>
      </w:r>
      <w:r w:rsidRPr="00F74220">
        <w:rPr>
          <w:rStyle w:val="SCCCounselPartyRoleChar"/>
          <w:sz w:val="20"/>
        </w:rPr>
        <w:t>, for the respondent Her Majesty the Queen.</w:t>
      </w:r>
    </w:p>
    <w:p w:rsidR="0015683B" w:rsidRDefault="0015683B" w:rsidP="0015683B">
      <w:pPr>
        <w:pStyle w:val="SCCNormalDoubleSpacing"/>
        <w:spacing w:line="240" w:lineRule="auto"/>
        <w:rPr>
          <w:rStyle w:val="SCCCounselNameChar"/>
          <w:sz w:val="20"/>
        </w:rPr>
      </w:pPr>
    </w:p>
    <w:p w:rsidR="0015683B" w:rsidRPr="00F74220" w:rsidRDefault="0015683B" w:rsidP="0015683B">
      <w:pPr>
        <w:pStyle w:val="SCCNormalDoubleSpacing"/>
        <w:spacing w:line="240" w:lineRule="auto"/>
        <w:rPr>
          <w:sz w:val="20"/>
        </w:rPr>
      </w:pPr>
      <w:r w:rsidRPr="00F74220">
        <w:rPr>
          <w:rStyle w:val="SCCCounselNameChar"/>
          <w:sz w:val="20"/>
        </w:rPr>
        <w:tab/>
        <w:t>Susanne Boucher</w:t>
      </w:r>
      <w:r w:rsidRPr="00F74220">
        <w:rPr>
          <w:rStyle w:val="SCCCounselPartyRoleChar"/>
          <w:sz w:val="20"/>
        </w:rPr>
        <w:t xml:space="preserve"> and </w:t>
      </w:r>
      <w:r w:rsidRPr="00F74220">
        <w:rPr>
          <w:rStyle w:val="SCCCounselPartyRoleChar"/>
          <w:i/>
          <w:sz w:val="20"/>
        </w:rPr>
        <w:t>François Lacasse</w:t>
      </w:r>
      <w:r w:rsidRPr="00F74220">
        <w:rPr>
          <w:rStyle w:val="SCCCounselPartyRoleChar"/>
          <w:sz w:val="20"/>
        </w:rPr>
        <w:t>, for the intervener the Director of Public Prosecutions.</w:t>
      </w:r>
    </w:p>
    <w:p w:rsidR="0015683B" w:rsidRDefault="0015683B" w:rsidP="0015683B">
      <w:pPr>
        <w:pStyle w:val="SCCNormalDoubleSpacing"/>
        <w:spacing w:line="240" w:lineRule="auto"/>
        <w:rPr>
          <w:rStyle w:val="SCCCounselNameChar"/>
          <w:sz w:val="20"/>
        </w:rPr>
      </w:pPr>
    </w:p>
    <w:p w:rsidR="0015683B" w:rsidRPr="00F74220" w:rsidRDefault="0015683B" w:rsidP="0015683B">
      <w:pPr>
        <w:pStyle w:val="SCCNormalDoubleSpacing"/>
        <w:spacing w:line="240" w:lineRule="auto"/>
        <w:rPr>
          <w:sz w:val="20"/>
        </w:rPr>
      </w:pPr>
      <w:r w:rsidRPr="00F74220">
        <w:rPr>
          <w:rStyle w:val="SCCCounselNameChar"/>
          <w:sz w:val="20"/>
        </w:rPr>
        <w:tab/>
        <w:t>Jonathan Rudin</w:t>
      </w:r>
      <w:r w:rsidRPr="0015683B">
        <w:rPr>
          <w:rStyle w:val="SCCCounselSeparatorChar"/>
          <w:sz w:val="20"/>
          <w:lang w:val="en-CA"/>
        </w:rPr>
        <w:t xml:space="preserve"> and </w:t>
      </w:r>
      <w:r w:rsidRPr="00F74220">
        <w:rPr>
          <w:rStyle w:val="SCCCounselNameChar"/>
          <w:sz w:val="20"/>
        </w:rPr>
        <w:t>Amanda Driscoll</w:t>
      </w:r>
      <w:r w:rsidRPr="00F74220">
        <w:rPr>
          <w:rStyle w:val="SCCCounselPartyRoleChar"/>
          <w:sz w:val="20"/>
        </w:rPr>
        <w:t>, for the intervener the Aboriginal Legal Services of Toronto Inc.</w:t>
      </w:r>
    </w:p>
    <w:p w:rsidR="0015683B" w:rsidRDefault="0015683B" w:rsidP="0015683B">
      <w:pPr>
        <w:pStyle w:val="SCCNormalDoubleSpacing"/>
        <w:spacing w:line="240" w:lineRule="auto"/>
        <w:rPr>
          <w:rStyle w:val="SCCCounselNameChar"/>
          <w:sz w:val="20"/>
        </w:rPr>
      </w:pPr>
    </w:p>
    <w:p w:rsidR="0015683B" w:rsidRPr="00F74220" w:rsidRDefault="0015683B" w:rsidP="0015683B">
      <w:pPr>
        <w:pStyle w:val="SCCNormalDoubleSpacing"/>
        <w:spacing w:line="240" w:lineRule="auto"/>
        <w:rPr>
          <w:sz w:val="20"/>
        </w:rPr>
      </w:pPr>
      <w:r w:rsidRPr="00F74220">
        <w:rPr>
          <w:rStyle w:val="SCCCounselNameChar"/>
          <w:sz w:val="20"/>
        </w:rPr>
        <w:tab/>
        <w:t>Mary T. Ainslie</w:t>
      </w:r>
      <w:r w:rsidRPr="00F74220">
        <w:rPr>
          <w:rStyle w:val="SCCCounselPartyRoleChar"/>
          <w:sz w:val="20"/>
        </w:rPr>
        <w:t>, for the appellant Her Majesty the Queen.</w:t>
      </w:r>
    </w:p>
    <w:p w:rsidR="0015683B" w:rsidRDefault="0015683B" w:rsidP="0015683B">
      <w:pPr>
        <w:pStyle w:val="SCCNormalDoubleSpacing"/>
        <w:spacing w:line="240" w:lineRule="auto"/>
        <w:rPr>
          <w:rStyle w:val="SCCCounselNameChar"/>
          <w:sz w:val="20"/>
        </w:rPr>
      </w:pPr>
    </w:p>
    <w:p w:rsidR="0015683B" w:rsidRPr="00F74220" w:rsidRDefault="0015683B" w:rsidP="0015683B">
      <w:pPr>
        <w:pStyle w:val="SCCNormalDoubleSpacing"/>
        <w:spacing w:line="240" w:lineRule="auto"/>
        <w:rPr>
          <w:sz w:val="20"/>
        </w:rPr>
      </w:pPr>
      <w:r w:rsidRPr="00F74220">
        <w:rPr>
          <w:rStyle w:val="SCCCounselNameChar"/>
          <w:sz w:val="20"/>
        </w:rPr>
        <w:tab/>
        <w:t>Hovan M. Patey,</w:t>
      </w:r>
      <w:r w:rsidRPr="0015683B">
        <w:rPr>
          <w:rStyle w:val="SCCCounselSeparatorChar"/>
          <w:sz w:val="20"/>
          <w:lang w:val="en-CA"/>
        </w:rPr>
        <w:t xml:space="preserve"> </w:t>
      </w:r>
      <w:r w:rsidRPr="00F74220">
        <w:rPr>
          <w:i/>
          <w:sz w:val="20"/>
          <w:lang w:val="en-US"/>
        </w:rPr>
        <w:t>Laurence D. Myers</w:t>
      </w:r>
      <w:r w:rsidRPr="00F74220">
        <w:rPr>
          <w:sz w:val="20"/>
          <w:lang w:val="en-US"/>
        </w:rPr>
        <w:t xml:space="preserve">, </w:t>
      </w:r>
      <w:r w:rsidRPr="00F74220">
        <w:rPr>
          <w:i/>
          <w:sz w:val="20"/>
          <w:lang w:val="en-US"/>
        </w:rPr>
        <w:t>Q.C.</w:t>
      </w:r>
      <w:r w:rsidRPr="00F74220">
        <w:rPr>
          <w:sz w:val="20"/>
          <w:lang w:val="en-US"/>
        </w:rPr>
        <w:t>, an</w:t>
      </w:r>
      <w:r w:rsidRPr="0015683B">
        <w:rPr>
          <w:rStyle w:val="SCCCounselSeparatorChar"/>
          <w:sz w:val="20"/>
          <w:lang w:val="en-CA"/>
        </w:rPr>
        <w:t xml:space="preserve">d </w:t>
      </w:r>
      <w:r w:rsidRPr="00F74220">
        <w:rPr>
          <w:rStyle w:val="SCCCounselNameChar"/>
          <w:sz w:val="20"/>
        </w:rPr>
        <w:t>Kristy L. Neurauter</w:t>
      </w:r>
      <w:r w:rsidRPr="00F74220">
        <w:rPr>
          <w:rStyle w:val="SCCCounselPartyRoleChar"/>
          <w:sz w:val="20"/>
        </w:rPr>
        <w:t>, for the respondent Frank Ralph Ladue.</w:t>
      </w:r>
    </w:p>
    <w:p w:rsidR="0015683B" w:rsidRDefault="0015683B" w:rsidP="0015683B">
      <w:pPr>
        <w:pStyle w:val="SCCNormalDoubleSpacing"/>
        <w:spacing w:line="240" w:lineRule="auto"/>
        <w:rPr>
          <w:rStyle w:val="SCCCounselNameChar"/>
          <w:sz w:val="20"/>
        </w:rPr>
      </w:pPr>
    </w:p>
    <w:p w:rsidR="0015683B" w:rsidRPr="00F74220" w:rsidRDefault="0015683B" w:rsidP="0015683B">
      <w:pPr>
        <w:pStyle w:val="SCCNormalDoubleSpacing"/>
        <w:spacing w:line="240" w:lineRule="auto"/>
        <w:rPr>
          <w:sz w:val="20"/>
        </w:rPr>
      </w:pPr>
      <w:r w:rsidRPr="00F74220">
        <w:rPr>
          <w:rStyle w:val="SCCCounselNameChar"/>
          <w:sz w:val="20"/>
        </w:rPr>
        <w:tab/>
      </w:r>
      <w:r w:rsidRPr="0015683B">
        <w:rPr>
          <w:rStyle w:val="SCCCounselNameChar"/>
          <w:i w:val="0"/>
          <w:sz w:val="20"/>
        </w:rPr>
        <w:t>Written submissions only by</w:t>
      </w:r>
      <w:r w:rsidRPr="00F74220">
        <w:rPr>
          <w:rStyle w:val="SCCCounselNameChar"/>
          <w:sz w:val="20"/>
        </w:rPr>
        <w:t xml:space="preserve"> Kent Roach and Kelly Doctor</w:t>
      </w:r>
      <w:r w:rsidRPr="00F74220">
        <w:rPr>
          <w:rStyle w:val="SCCCounselPartyRoleChar"/>
          <w:sz w:val="20"/>
        </w:rPr>
        <w:t>, for the intervener the British Columbia Civil Liberties Association.</w:t>
      </w:r>
    </w:p>
    <w:p w:rsidR="0015683B" w:rsidRDefault="0015683B" w:rsidP="0015683B">
      <w:pPr>
        <w:pStyle w:val="SCCNormalDoubleSpacing"/>
        <w:spacing w:line="240" w:lineRule="auto"/>
        <w:rPr>
          <w:rStyle w:val="SCCCounselNameChar"/>
          <w:sz w:val="20"/>
        </w:rPr>
      </w:pPr>
    </w:p>
    <w:p w:rsidR="0015683B" w:rsidRPr="00F74220" w:rsidRDefault="0015683B" w:rsidP="0015683B">
      <w:pPr>
        <w:pStyle w:val="SCCNormalDoubleSpacing"/>
        <w:spacing w:line="240" w:lineRule="auto"/>
        <w:rPr>
          <w:sz w:val="20"/>
        </w:rPr>
      </w:pPr>
      <w:r w:rsidRPr="00F74220">
        <w:rPr>
          <w:rStyle w:val="SCCCounselNameChar"/>
          <w:sz w:val="20"/>
        </w:rPr>
        <w:tab/>
      </w:r>
      <w:r w:rsidRPr="0015683B">
        <w:rPr>
          <w:rStyle w:val="SCCCounselNameChar"/>
          <w:i w:val="0"/>
          <w:sz w:val="20"/>
        </w:rPr>
        <w:t>Written submissions only by</w:t>
      </w:r>
      <w:r w:rsidRPr="00F74220">
        <w:rPr>
          <w:rStyle w:val="SCCCounselNameChar"/>
          <w:sz w:val="20"/>
        </w:rPr>
        <w:t xml:space="preserve"> Clayton C. Ruby</w:t>
      </w:r>
      <w:r w:rsidRPr="0015683B">
        <w:rPr>
          <w:rStyle w:val="SCCCounselSeparatorChar"/>
          <w:sz w:val="20"/>
          <w:lang w:val="en-CA"/>
        </w:rPr>
        <w:t xml:space="preserve">, </w:t>
      </w:r>
      <w:r w:rsidRPr="00F74220">
        <w:rPr>
          <w:rStyle w:val="SCCCounselNameChar"/>
          <w:sz w:val="20"/>
        </w:rPr>
        <w:t>Nader R. Hasan</w:t>
      </w:r>
      <w:r w:rsidRPr="0015683B">
        <w:rPr>
          <w:rStyle w:val="SCCCounselSeparatorChar"/>
          <w:sz w:val="20"/>
          <w:lang w:val="en-CA"/>
        </w:rPr>
        <w:t xml:space="preserve"> and </w:t>
      </w:r>
      <w:r w:rsidRPr="00F74220">
        <w:rPr>
          <w:rStyle w:val="SCCCounselNameChar"/>
          <w:sz w:val="20"/>
        </w:rPr>
        <w:t>Gerald J. Chan</w:t>
      </w:r>
      <w:r w:rsidRPr="00F74220">
        <w:rPr>
          <w:rStyle w:val="SCCCounselPartyRoleChar"/>
          <w:sz w:val="20"/>
        </w:rPr>
        <w:t>, for the intervener the Canadian Civil Liberties Association.</w:t>
      </w:r>
    </w:p>
    <w:p w:rsidR="0015683B" w:rsidRDefault="0015683B" w:rsidP="0015683B">
      <w:pPr>
        <w:pStyle w:val="SCCLawFirm"/>
        <w:spacing w:line="240" w:lineRule="auto"/>
        <w:rPr>
          <w:sz w:val="20"/>
        </w:rPr>
      </w:pPr>
    </w:p>
    <w:p w:rsidR="0015683B" w:rsidRPr="00F74220" w:rsidRDefault="0015683B" w:rsidP="0015683B">
      <w:pPr>
        <w:pStyle w:val="SCCLawFirm"/>
        <w:spacing w:line="240" w:lineRule="auto"/>
        <w:rPr>
          <w:sz w:val="20"/>
        </w:rPr>
      </w:pPr>
      <w:r w:rsidRPr="00F74220">
        <w:rPr>
          <w:sz w:val="20"/>
        </w:rPr>
        <w:tab/>
        <w:t>Solicitor for the appellant Manasie Ipeelee:  Fergus J. (Chip) O’Connor, Kingston.</w:t>
      </w:r>
    </w:p>
    <w:p w:rsidR="0015683B" w:rsidRDefault="0015683B" w:rsidP="0015683B">
      <w:pPr>
        <w:pStyle w:val="SCCLawFirm"/>
        <w:spacing w:line="240" w:lineRule="auto"/>
        <w:rPr>
          <w:sz w:val="20"/>
        </w:rPr>
      </w:pPr>
    </w:p>
    <w:p w:rsidR="0015683B" w:rsidRPr="00F74220" w:rsidRDefault="0015683B" w:rsidP="0015683B">
      <w:pPr>
        <w:pStyle w:val="SCCLawFirm"/>
        <w:spacing w:line="240" w:lineRule="auto"/>
        <w:rPr>
          <w:sz w:val="20"/>
        </w:rPr>
      </w:pPr>
      <w:r w:rsidRPr="00F74220">
        <w:rPr>
          <w:sz w:val="20"/>
        </w:rPr>
        <w:tab/>
        <w:t>Solicitor for the respondent Her Majesty the Queen:  Attorney General of Ontario, Toronto.</w:t>
      </w:r>
    </w:p>
    <w:p w:rsidR="0015683B" w:rsidRDefault="0015683B" w:rsidP="0015683B">
      <w:pPr>
        <w:pStyle w:val="SCCLawFirm"/>
        <w:spacing w:line="240" w:lineRule="auto"/>
        <w:rPr>
          <w:sz w:val="20"/>
        </w:rPr>
      </w:pPr>
    </w:p>
    <w:p w:rsidR="0015683B" w:rsidRPr="00F74220" w:rsidRDefault="0015683B" w:rsidP="0015683B">
      <w:pPr>
        <w:pStyle w:val="SCCLawFirm"/>
        <w:spacing w:line="240" w:lineRule="auto"/>
        <w:rPr>
          <w:sz w:val="20"/>
        </w:rPr>
      </w:pPr>
      <w:r w:rsidRPr="00F74220">
        <w:rPr>
          <w:sz w:val="20"/>
        </w:rPr>
        <w:tab/>
        <w:t>Solicitor for the intervener the Director of Public Prosecutions:  Public Prosecution Service of Canada, Iqaluit.</w:t>
      </w:r>
    </w:p>
    <w:p w:rsidR="0015683B" w:rsidRDefault="0015683B" w:rsidP="0015683B">
      <w:pPr>
        <w:pStyle w:val="SCCLawFirm"/>
        <w:spacing w:line="240" w:lineRule="auto"/>
        <w:rPr>
          <w:sz w:val="20"/>
        </w:rPr>
      </w:pPr>
    </w:p>
    <w:p w:rsidR="0015683B" w:rsidRPr="00F74220" w:rsidRDefault="0015683B" w:rsidP="0015683B">
      <w:pPr>
        <w:pStyle w:val="SCCLawFirm"/>
        <w:spacing w:line="240" w:lineRule="auto"/>
        <w:rPr>
          <w:sz w:val="20"/>
        </w:rPr>
      </w:pPr>
      <w:r w:rsidRPr="00F74220">
        <w:rPr>
          <w:sz w:val="20"/>
        </w:rPr>
        <w:tab/>
        <w:t>Solicitors for the intervener the Aboriginal Legal Services of Toronto Inc.:  Aboriginal Legal Services of Toronto Inc., Toronto.</w:t>
      </w:r>
    </w:p>
    <w:p w:rsidR="0015683B" w:rsidRDefault="0015683B" w:rsidP="0015683B">
      <w:pPr>
        <w:pStyle w:val="SCCLawFirm"/>
        <w:spacing w:line="240" w:lineRule="auto"/>
        <w:rPr>
          <w:sz w:val="20"/>
        </w:rPr>
      </w:pPr>
    </w:p>
    <w:p w:rsidR="0015683B" w:rsidRPr="00F74220" w:rsidRDefault="0015683B" w:rsidP="0015683B">
      <w:pPr>
        <w:pStyle w:val="SCCLawFirm"/>
        <w:spacing w:line="240" w:lineRule="auto"/>
        <w:rPr>
          <w:sz w:val="20"/>
        </w:rPr>
      </w:pPr>
      <w:r w:rsidRPr="00F74220">
        <w:rPr>
          <w:sz w:val="20"/>
        </w:rPr>
        <w:tab/>
        <w:t>Solicitor for the appellant Her Majesty the Queen:  Attorney General of British Columbia, Vancouver.</w:t>
      </w:r>
    </w:p>
    <w:p w:rsidR="0015683B" w:rsidRDefault="0015683B" w:rsidP="0015683B">
      <w:pPr>
        <w:pStyle w:val="SCCLawFirm"/>
        <w:spacing w:line="240" w:lineRule="auto"/>
        <w:rPr>
          <w:sz w:val="20"/>
        </w:rPr>
      </w:pPr>
    </w:p>
    <w:p w:rsidR="0015683B" w:rsidRPr="00F74220" w:rsidRDefault="0015683B" w:rsidP="0015683B">
      <w:pPr>
        <w:pStyle w:val="SCCLawFirm"/>
        <w:spacing w:line="240" w:lineRule="auto"/>
        <w:rPr>
          <w:sz w:val="20"/>
        </w:rPr>
      </w:pPr>
      <w:r w:rsidRPr="00F74220">
        <w:rPr>
          <w:sz w:val="20"/>
        </w:rPr>
        <w:tab/>
        <w:t>Solicitors for the respondent Frank Ralph Ladue:  Myers, McMurdo &amp; Karp, Vancouver.</w:t>
      </w:r>
    </w:p>
    <w:p w:rsidR="0015683B" w:rsidRDefault="0015683B" w:rsidP="0015683B">
      <w:pPr>
        <w:pStyle w:val="SCCLawFirm"/>
        <w:spacing w:line="240" w:lineRule="auto"/>
        <w:rPr>
          <w:sz w:val="20"/>
        </w:rPr>
      </w:pPr>
    </w:p>
    <w:p w:rsidR="0015683B" w:rsidRPr="00F74220" w:rsidRDefault="0015683B" w:rsidP="0015683B">
      <w:pPr>
        <w:pStyle w:val="SCCLawFirm"/>
        <w:spacing w:line="240" w:lineRule="auto"/>
        <w:rPr>
          <w:sz w:val="20"/>
        </w:rPr>
      </w:pPr>
      <w:r w:rsidRPr="00F74220">
        <w:rPr>
          <w:sz w:val="20"/>
        </w:rPr>
        <w:tab/>
        <w:t>Solicitor for the intervener the British Columbia Civil Liberties Association:  University of Toronto, Toronto.</w:t>
      </w:r>
    </w:p>
    <w:p w:rsidR="0015683B" w:rsidRDefault="0015683B" w:rsidP="0015683B">
      <w:pPr>
        <w:pStyle w:val="SCCLawFirm"/>
        <w:spacing w:line="240" w:lineRule="auto"/>
        <w:rPr>
          <w:sz w:val="20"/>
        </w:rPr>
      </w:pPr>
    </w:p>
    <w:p w:rsidR="0015683B" w:rsidRDefault="0015683B" w:rsidP="0015683B">
      <w:pPr>
        <w:pStyle w:val="SCCLawFirm"/>
        <w:spacing w:line="240" w:lineRule="auto"/>
        <w:rPr>
          <w:sz w:val="20"/>
        </w:rPr>
      </w:pPr>
      <w:r w:rsidRPr="00F74220">
        <w:rPr>
          <w:sz w:val="20"/>
        </w:rPr>
        <w:tab/>
        <w:t>Solicitors for the intervener the Canadian Civil Liberties Association:  Ruby, Shiller, Chan, Toronto.</w:t>
      </w:r>
    </w:p>
    <w:p w:rsidR="003B3977" w:rsidRPr="00D1702A" w:rsidRDefault="003B3977" w:rsidP="003B3977">
      <w:pPr>
        <w:rPr>
          <w:sz w:val="20"/>
          <w:szCs w:val="20"/>
          <w:lang w:val="fr-CA"/>
        </w:rPr>
      </w:pPr>
      <w:r w:rsidRPr="00D1702A">
        <w:rPr>
          <w:sz w:val="20"/>
          <w:szCs w:val="20"/>
          <w:lang w:val="fr-CA"/>
        </w:rPr>
        <w:t>________________________</w:t>
      </w:r>
    </w:p>
    <w:p w:rsidR="003B3977" w:rsidRPr="00D1702A" w:rsidRDefault="003B3977" w:rsidP="003B3977">
      <w:pPr>
        <w:rPr>
          <w:sz w:val="20"/>
          <w:szCs w:val="20"/>
          <w:lang w:val="fr-CA"/>
        </w:rPr>
      </w:pPr>
    </w:p>
    <w:p w:rsidR="00D1702A" w:rsidRPr="00D1702A" w:rsidRDefault="00D1702A" w:rsidP="00D1702A">
      <w:pPr>
        <w:jc w:val="both"/>
        <w:rPr>
          <w:sz w:val="20"/>
          <w:szCs w:val="20"/>
          <w:lang w:val="fr-CA"/>
        </w:rPr>
      </w:pPr>
      <w:r w:rsidRPr="00D1702A">
        <w:rPr>
          <w:sz w:val="20"/>
          <w:szCs w:val="20"/>
          <w:lang w:val="fr-CA"/>
        </w:rPr>
        <w:t>Présents : La juge en chef McLachlin et les juges Binnie, LeBel, Deschamps, Fish, Abella et Rothstein.</w:t>
      </w:r>
    </w:p>
    <w:p w:rsidR="00D1702A" w:rsidRDefault="00D1702A" w:rsidP="00D1702A">
      <w:pPr>
        <w:pStyle w:val="SCCLowerCourtNameLowercase"/>
        <w:spacing w:line="240" w:lineRule="auto"/>
        <w:rPr>
          <w:sz w:val="20"/>
        </w:rPr>
      </w:pPr>
    </w:p>
    <w:p w:rsidR="00D1702A" w:rsidRPr="00E54934" w:rsidRDefault="00D1702A" w:rsidP="00D1702A">
      <w:pPr>
        <w:pStyle w:val="SCCNormalDoubleSpacing"/>
        <w:spacing w:line="240" w:lineRule="auto"/>
        <w:rPr>
          <w:sz w:val="20"/>
          <w:lang w:val="fr-FR"/>
        </w:rPr>
      </w:pPr>
      <w:r w:rsidRPr="00D1702A">
        <w:rPr>
          <w:i/>
          <w:sz w:val="20"/>
          <w:lang w:val="fr-CA"/>
        </w:rPr>
        <w:tab/>
        <w:t>Droit criminel — Détermination de la peine — Délinquants autochtones — Manquement à une condition d’une ordonnance de surveillance de longue durée — Principes régissant la détermination de la peine à infliger à un délinquant autochtone — Les principes formulés dans R. c. Gladue s’appliquent</w:t>
      </w:r>
      <w:r w:rsidRPr="00D1702A">
        <w:rPr>
          <w:i/>
          <w:sz w:val="20"/>
          <w:lang w:val="fr-CA"/>
        </w:rPr>
        <w:noBreakHyphen/>
        <w:t>ils à la violation d’une ordonnance de surveillance de longue durée? — Code criminel, L.R.C. 1985, ch. </w:t>
      </w:r>
      <w:r w:rsidRPr="00E54934">
        <w:rPr>
          <w:i/>
          <w:sz w:val="20"/>
          <w:lang w:val="fr-FR"/>
        </w:rPr>
        <w:t>C</w:t>
      </w:r>
      <w:r w:rsidRPr="00E54934">
        <w:rPr>
          <w:i/>
          <w:sz w:val="20"/>
          <w:lang w:val="fr-FR"/>
        </w:rPr>
        <w:noBreakHyphen/>
        <w:t>46, art. 718.2e).</w:t>
      </w:r>
      <w:r w:rsidRPr="00E54934">
        <w:rPr>
          <w:sz w:val="20"/>
          <w:lang w:val="fr-FR"/>
        </w:rPr>
        <w:t xml:space="preserve"> </w:t>
      </w:r>
    </w:p>
    <w:p w:rsidR="00D1702A" w:rsidRDefault="00D1702A" w:rsidP="00D1702A">
      <w:pPr>
        <w:pStyle w:val="SCCNormalDoubleSpacing"/>
        <w:spacing w:line="240" w:lineRule="auto"/>
        <w:rPr>
          <w:sz w:val="20"/>
          <w:lang w:val="fr-FR"/>
        </w:rPr>
      </w:pPr>
    </w:p>
    <w:p w:rsidR="00D1702A" w:rsidRPr="00D1702A" w:rsidRDefault="00D1702A" w:rsidP="00D1702A">
      <w:pPr>
        <w:pStyle w:val="SCCNormalDoubleSpacing"/>
        <w:spacing w:line="240" w:lineRule="auto"/>
        <w:rPr>
          <w:sz w:val="20"/>
          <w:lang w:val="fr-CA"/>
        </w:rPr>
      </w:pPr>
      <w:r w:rsidRPr="00E54934">
        <w:rPr>
          <w:sz w:val="20"/>
          <w:lang w:val="fr-FR"/>
        </w:rPr>
        <w:tab/>
        <w:t xml:space="preserve">Les deux pourvois mettent en cause des délinquants autochtones au casier judiciaire chargé.  Les deux délinquants autochtones concernés ont été déclarés délinquants à contrôler et se sont vu imposer des ordonnances de surveillance de longue durée (« OSLD »).  Le délinquant I est un alcoolique qui a commis par le passé des infractions avec violence sous l’effet de l’alcool.  Il a été condamné à une peine de six ans d’emprisonnement suivis d’une surveillance de longue durée après avoir été déclaré délinquant à contrôler.  Après sa libération, I a commis une infraction alors qu’il était en état d’ébriété, manquant ainsi à une condition de son OSLD.  I a été condamné à une peine d’emprisonnement de trois ans, à laquelle six mois ont été retranchés pour sa période d’incarcération présentencielle, selon un ratio de 1:1.  La Cour d’appel a rejeté le pourvoi de I.  Le délinquant L souffre d’une dépendance aux drogues et à l’alcool et a commis par le passé des agressions sexuelles sous l’effet de ces substances.  L a été condamné à une peine de trois ans d’emprisonnement suivie d’une surveillance de longue durée après avoir été déclaré délinquant à contrôler.  Après sa libération, L a échoué à un test d’analyse d’urine, manquant par le fait même à une condition de son OSLD.  L a été condamné à trois ans d’emprisonnement, dont 1,5 jour a été retranché pour chaque jour de ses cinq mois de détention présentencielle.  Les juges majoritaires de la Cour d’appel ont accueilli son appel et réduit sa peine à un an d’emprisonnement. </w:t>
      </w:r>
    </w:p>
    <w:p w:rsidR="00D1702A" w:rsidRDefault="00D1702A" w:rsidP="00D1702A">
      <w:pPr>
        <w:pStyle w:val="SCCNormalDoubleSpacing"/>
        <w:spacing w:line="240" w:lineRule="auto"/>
        <w:rPr>
          <w:rStyle w:val="QuoteChar"/>
          <w:lang w:val="fr-FR"/>
        </w:rPr>
      </w:pPr>
    </w:p>
    <w:p w:rsidR="00D1702A" w:rsidRPr="00E54934" w:rsidRDefault="00D1702A" w:rsidP="00D1702A">
      <w:pPr>
        <w:pStyle w:val="SCCNormalDoubleSpacing"/>
        <w:spacing w:line="240" w:lineRule="auto"/>
        <w:rPr>
          <w:sz w:val="20"/>
          <w:lang w:val="fr-FR"/>
        </w:rPr>
      </w:pPr>
      <w:r w:rsidRPr="00E54934">
        <w:rPr>
          <w:rStyle w:val="QuoteChar"/>
          <w:sz w:val="20"/>
          <w:lang w:val="fr-FR"/>
        </w:rPr>
        <w:tab/>
        <w:t>Arrêt (le juge Rothstein est dissident en partie) :</w:t>
      </w:r>
      <w:r w:rsidRPr="00E54934">
        <w:rPr>
          <w:sz w:val="20"/>
          <w:lang w:val="fr-FR"/>
        </w:rPr>
        <w:t xml:space="preserve"> Le pourvoi est accueilli dans l’affaire </w:t>
      </w:r>
      <w:r w:rsidRPr="00E54934">
        <w:rPr>
          <w:i/>
          <w:sz w:val="20"/>
          <w:lang w:val="fr-FR"/>
        </w:rPr>
        <w:t>Ipeelee</w:t>
      </w:r>
      <w:r w:rsidRPr="00E54934">
        <w:rPr>
          <w:sz w:val="20"/>
          <w:lang w:val="fr-FR"/>
        </w:rPr>
        <w:t xml:space="preserve">.  Le pourvoi est rejeté dans l’affaire </w:t>
      </w:r>
      <w:r w:rsidRPr="00E54934">
        <w:rPr>
          <w:i/>
          <w:sz w:val="20"/>
          <w:lang w:val="fr-FR"/>
        </w:rPr>
        <w:t>Ladue</w:t>
      </w:r>
      <w:r w:rsidRPr="00E54934">
        <w:rPr>
          <w:sz w:val="20"/>
          <w:lang w:val="fr-FR"/>
        </w:rPr>
        <w:t>.</w:t>
      </w:r>
    </w:p>
    <w:p w:rsidR="00D1702A" w:rsidRDefault="00D1702A" w:rsidP="00D1702A">
      <w:pPr>
        <w:pStyle w:val="SCCNormalDoubleSpacing"/>
        <w:spacing w:line="240" w:lineRule="auto"/>
        <w:rPr>
          <w:i/>
          <w:sz w:val="20"/>
          <w:lang w:val="fr-FR"/>
        </w:rPr>
      </w:pPr>
    </w:p>
    <w:p w:rsidR="00D1702A" w:rsidRPr="00E54934" w:rsidRDefault="00D1702A" w:rsidP="00D1702A">
      <w:pPr>
        <w:pStyle w:val="SCCNormalDoubleSpacing"/>
        <w:spacing w:line="240" w:lineRule="auto"/>
        <w:rPr>
          <w:sz w:val="20"/>
          <w:lang w:val="fr-FR"/>
        </w:rPr>
      </w:pPr>
      <w:r w:rsidRPr="00E54934">
        <w:rPr>
          <w:i/>
          <w:sz w:val="20"/>
          <w:lang w:val="fr-FR"/>
        </w:rPr>
        <w:tab/>
        <w:t xml:space="preserve">La </w:t>
      </w:r>
      <w:r w:rsidRPr="00E54934">
        <w:rPr>
          <w:sz w:val="20"/>
          <w:lang w:val="fr-FR"/>
        </w:rPr>
        <w:t xml:space="preserve">juge en chef McLachlin et les juges Binnie, </w:t>
      </w:r>
      <w:r w:rsidRPr="00E54934">
        <w:rPr>
          <w:b/>
          <w:sz w:val="20"/>
          <w:lang w:val="fr-FR"/>
        </w:rPr>
        <w:t>LeBel</w:t>
      </w:r>
      <w:r w:rsidRPr="00E54934">
        <w:rPr>
          <w:sz w:val="20"/>
          <w:lang w:val="fr-FR"/>
        </w:rPr>
        <w:t>, Deschamps, Fish et Abella</w:t>
      </w:r>
    </w:p>
    <w:p w:rsidR="00D1702A" w:rsidRDefault="00D1702A" w:rsidP="00D1702A">
      <w:pPr>
        <w:pStyle w:val="SCCNormalDoubleSpacing"/>
        <w:spacing w:line="240" w:lineRule="auto"/>
        <w:rPr>
          <w:sz w:val="20"/>
          <w:lang w:val="fr-FR"/>
        </w:rPr>
      </w:pPr>
    </w:p>
    <w:p w:rsidR="00D1702A" w:rsidRPr="00E54934" w:rsidRDefault="00D1702A" w:rsidP="00D1702A">
      <w:pPr>
        <w:pStyle w:val="SCCNormalDoubleSpacing"/>
        <w:spacing w:line="240" w:lineRule="auto"/>
        <w:rPr>
          <w:sz w:val="20"/>
          <w:lang w:val="fr-FR"/>
        </w:rPr>
      </w:pPr>
      <w:r w:rsidRPr="00E54934">
        <w:rPr>
          <w:sz w:val="20"/>
          <w:lang w:val="fr-FR"/>
        </w:rPr>
        <w:tab/>
        <w:t xml:space="preserve">La principale question que soulèvent les pourvois est de savoir comment déterminer une peine appropriée pour la violation d’une OSLD dans le cas d’un délinquant autochtone en particulier.  Les juges de première instance jouissent d’un large pouvoir discrétionnaire dans la détermination de la peine.  Le juge chargé d’imposer la peine doit appliquer tous les principes prescrits par les art. 718.1 et 718.2 du </w:t>
      </w:r>
      <w:r w:rsidRPr="00E54934">
        <w:rPr>
          <w:i/>
          <w:sz w:val="20"/>
          <w:lang w:val="fr-FR"/>
        </w:rPr>
        <w:t>Code criminel</w:t>
      </w:r>
      <w:r w:rsidRPr="00E54934">
        <w:rPr>
          <w:sz w:val="20"/>
          <w:lang w:val="fr-FR"/>
        </w:rPr>
        <w:t xml:space="preserve"> pour concevoir une peine juste et appropriée qui respecte les principes et objectifs bien établis de détermination de la peine énoncés à la partie XXIII du </w:t>
      </w:r>
      <w:r w:rsidRPr="00E54934">
        <w:rPr>
          <w:i/>
          <w:sz w:val="20"/>
          <w:lang w:val="fr-FR"/>
        </w:rPr>
        <w:t>Code criminel</w:t>
      </w:r>
      <w:r w:rsidRPr="00E54934">
        <w:rPr>
          <w:sz w:val="20"/>
          <w:lang w:val="fr-FR"/>
        </w:rPr>
        <w:t xml:space="preserve">.  La proportionnalité est la condition </w:t>
      </w:r>
      <w:r w:rsidRPr="00E54934">
        <w:rPr>
          <w:i/>
          <w:sz w:val="20"/>
          <w:lang w:val="fr-FR"/>
        </w:rPr>
        <w:t>sine qua non</w:t>
      </w:r>
      <w:r w:rsidRPr="00E54934">
        <w:rPr>
          <w:sz w:val="20"/>
          <w:lang w:val="fr-FR"/>
        </w:rPr>
        <w:t xml:space="preserve"> d’une sanction juste.  La proportionnalité — le principe fondamental de la détermination de la peine — est intimement liée à son objectif essentiel — le maintien d’une société juste, paisible et sûre par l’imposition de sanctions justes.  La cour d’appel doit être convaincue que la peine contestée est proportionnelle à la fois à la gravité de l’infraction</w:t>
      </w:r>
      <w:r w:rsidRPr="00E54934">
        <w:rPr>
          <w:i/>
          <w:sz w:val="20"/>
          <w:lang w:val="fr-FR"/>
        </w:rPr>
        <w:t xml:space="preserve"> </w:t>
      </w:r>
      <w:r w:rsidRPr="00E54934">
        <w:rPr>
          <w:sz w:val="20"/>
          <w:lang w:val="fr-FR"/>
        </w:rPr>
        <w:t xml:space="preserve">et au degré de responsabilité du délinquant. </w:t>
      </w:r>
    </w:p>
    <w:p w:rsidR="00D1702A" w:rsidRDefault="00D1702A" w:rsidP="00D1702A">
      <w:pPr>
        <w:pStyle w:val="SCCNormalDoubleSpacing"/>
        <w:spacing w:line="240" w:lineRule="auto"/>
        <w:rPr>
          <w:sz w:val="20"/>
          <w:lang w:val="fr-FR"/>
        </w:rPr>
      </w:pPr>
    </w:p>
    <w:p w:rsidR="00D1702A" w:rsidRPr="00E54934" w:rsidRDefault="00D1702A" w:rsidP="00D1702A">
      <w:pPr>
        <w:pStyle w:val="SCCNormalDoubleSpacing"/>
        <w:spacing w:line="240" w:lineRule="auto"/>
        <w:rPr>
          <w:sz w:val="20"/>
          <w:lang w:val="fr-FR"/>
        </w:rPr>
      </w:pPr>
      <w:r w:rsidRPr="00E54934">
        <w:rPr>
          <w:sz w:val="20"/>
          <w:lang w:val="fr-FR"/>
        </w:rPr>
        <w:tab/>
        <w:t xml:space="preserve">L’OSLD poursuit un double objectif : la protection du public ainsi que la réadaptation des délinquants et leur réinsertion dans la collectivité.  Il appartient au juge de la peine de déterminer, en adoptant une approche contextuelle, laquelle des sanctions possibles est proportionnelle à la fois à la gravité de l’infraction et au degré de responsabilité du délinquant.  La détermination de la peine est un processus individualisé.  La gravité d’un manquement donné dépend en dernière analyse de toutes les circonstances, dont la nature de la condition violée, le lien entre cette condition et la gestion du risque de récidive du délinquant et les circonstances de la violation. </w:t>
      </w:r>
    </w:p>
    <w:p w:rsidR="00D1702A" w:rsidRDefault="00D1702A" w:rsidP="00D1702A">
      <w:pPr>
        <w:pStyle w:val="SCCNormalDoubleSpacing"/>
        <w:spacing w:line="240" w:lineRule="auto"/>
        <w:rPr>
          <w:sz w:val="20"/>
          <w:lang w:val="fr-FR"/>
        </w:rPr>
      </w:pPr>
    </w:p>
    <w:p w:rsidR="00D1702A" w:rsidRPr="00D1702A" w:rsidRDefault="00D1702A" w:rsidP="00D1702A">
      <w:pPr>
        <w:pStyle w:val="SCCNormalDoubleSpacing"/>
        <w:spacing w:line="240" w:lineRule="auto"/>
        <w:rPr>
          <w:sz w:val="20"/>
          <w:lang w:val="fr-CA"/>
        </w:rPr>
      </w:pPr>
      <w:r w:rsidRPr="00E54934">
        <w:rPr>
          <w:sz w:val="20"/>
          <w:lang w:val="fr-FR"/>
        </w:rPr>
        <w:tab/>
        <w:t>L’alinéa 718.2</w:t>
      </w:r>
      <w:r w:rsidRPr="00E54934">
        <w:rPr>
          <w:i/>
          <w:sz w:val="20"/>
          <w:lang w:val="fr-FR"/>
        </w:rPr>
        <w:t>e</w:t>
      </w:r>
      <w:r w:rsidRPr="00E54934">
        <w:rPr>
          <w:sz w:val="20"/>
          <w:lang w:val="fr-FR"/>
        </w:rPr>
        <w:t xml:space="preserve">) du </w:t>
      </w:r>
      <w:r w:rsidRPr="00E54934">
        <w:rPr>
          <w:i/>
          <w:sz w:val="20"/>
          <w:lang w:val="fr-FR"/>
        </w:rPr>
        <w:t>Code criminel</w:t>
      </w:r>
      <w:r w:rsidRPr="00E54934">
        <w:rPr>
          <w:sz w:val="20"/>
          <w:lang w:val="fr-FR"/>
        </w:rPr>
        <w:t xml:space="preserve"> est une disposition réparatrice destinée à </w:t>
      </w:r>
      <w:r w:rsidRPr="00D1702A">
        <w:rPr>
          <w:sz w:val="20"/>
          <w:lang w:val="fr-CA"/>
        </w:rPr>
        <w:t>remédier au grave problème de la surreprésentation des Autochtones dans les prisons canadiennes et à encourager le juge à aborder la détermination de la peine dans une perspective corrective.  Les tribunaux doivent veiller à ce qu’une application formaliste du principe de parité dans l’imposition des peines ne fasse pas échec à l’objectif réparateur de l’al. 718.2</w:t>
      </w:r>
      <w:r w:rsidRPr="00D1702A">
        <w:rPr>
          <w:i/>
          <w:sz w:val="20"/>
          <w:lang w:val="fr-CA"/>
        </w:rPr>
        <w:t>e</w:t>
      </w:r>
      <w:r w:rsidRPr="00D1702A">
        <w:rPr>
          <w:sz w:val="20"/>
          <w:lang w:val="fr-CA"/>
        </w:rPr>
        <w:t>).  L’alinéa 718.2</w:t>
      </w:r>
      <w:r w:rsidRPr="00D1702A">
        <w:rPr>
          <w:i/>
          <w:sz w:val="20"/>
          <w:lang w:val="fr-CA"/>
        </w:rPr>
        <w:t>e</w:t>
      </w:r>
      <w:r w:rsidRPr="00D1702A">
        <w:rPr>
          <w:sz w:val="20"/>
          <w:lang w:val="fr-CA"/>
        </w:rPr>
        <w:t xml:space="preserve">) ne se borne pas à confirmer les principes existants de détermination de la peine; elle invite les juges à utiliser une méthode d’analyse différente pour déterminer la peine appropriée dans le cas d’un délinquant autochtone.  </w:t>
      </w:r>
      <w:r w:rsidRPr="00E54934">
        <w:rPr>
          <w:sz w:val="20"/>
          <w:lang w:val="fr-FR"/>
        </w:rPr>
        <w:t>En adoptant l’al. 718.2</w:t>
      </w:r>
      <w:r w:rsidRPr="00E54934">
        <w:rPr>
          <w:i/>
          <w:sz w:val="20"/>
          <w:lang w:val="fr-FR"/>
        </w:rPr>
        <w:t>e</w:t>
      </w:r>
      <w:r w:rsidRPr="00E54934">
        <w:rPr>
          <w:sz w:val="20"/>
          <w:lang w:val="fr-FR"/>
        </w:rPr>
        <w:t xml:space="preserve">), le législateur donne </w:t>
      </w:r>
      <w:r w:rsidRPr="00D1702A">
        <w:rPr>
          <w:sz w:val="20"/>
          <w:lang w:val="fr-CA"/>
        </w:rPr>
        <w:t>aux juges chargés de déterminer la peine une directive précise les invitant à porter une attention particulière aux circonstances dans lesquelles se trouvent les délinquants autochtones, parce qu’elles sont particulières et différentes de celles dans lesquelles se trouvent les non</w:t>
      </w:r>
      <w:r w:rsidRPr="00D1702A">
        <w:rPr>
          <w:sz w:val="20"/>
          <w:lang w:val="fr-CA"/>
        </w:rPr>
        <w:noBreakHyphen/>
        <w:t>Autochtones.  Dans la mesure où elles ne favorisent par la réalisation des objectifs de prévention de la criminalité et de réadaptation des délinquants, les pratiques actuelles de détermination de la peine doivent être modifiées de façon à répondre aux besoins des délinquants autochtones et de leurs collectivités.  Intervenants de première ligne dans le système de justice pénale, les juges de détermination de la peine sont les mieux placés pour réévaluer ces critères de façon qu’ils ne contribuent pas à la persistance de la discrimination raciale systémique.  Des sanctions justes ne sont pas discriminatoires.</w:t>
      </w:r>
    </w:p>
    <w:p w:rsidR="00D1702A" w:rsidRPr="00D1702A" w:rsidRDefault="00D1702A" w:rsidP="00D1702A">
      <w:pPr>
        <w:pStyle w:val="SCCNormalDoubleSpacing"/>
        <w:spacing w:line="240" w:lineRule="auto"/>
        <w:rPr>
          <w:sz w:val="20"/>
          <w:lang w:val="fr-CA"/>
        </w:rPr>
      </w:pPr>
    </w:p>
    <w:p w:rsidR="00D1702A" w:rsidRPr="00D1702A" w:rsidRDefault="00D1702A" w:rsidP="00D1702A">
      <w:pPr>
        <w:pStyle w:val="SCCNormalDoubleSpacing"/>
        <w:spacing w:line="240" w:lineRule="auto"/>
        <w:rPr>
          <w:sz w:val="20"/>
          <w:lang w:val="fr-CA"/>
        </w:rPr>
      </w:pPr>
      <w:r w:rsidRPr="00D1702A">
        <w:rPr>
          <w:sz w:val="20"/>
          <w:lang w:val="fr-CA"/>
        </w:rPr>
        <w:tab/>
        <w:t xml:space="preserve">Le juge qui </w:t>
      </w:r>
      <w:r w:rsidRPr="00E54934">
        <w:rPr>
          <w:sz w:val="20"/>
          <w:lang w:val="fr-FR"/>
        </w:rPr>
        <w:t>détermine</w:t>
      </w:r>
      <w:r w:rsidRPr="00D1702A">
        <w:rPr>
          <w:sz w:val="20"/>
          <w:lang w:val="fr-CA"/>
        </w:rPr>
        <w:t xml:space="preserve"> la peine à infliger à un délinquant autochtone doit tenir compte des facteurs énoncés dans </w:t>
      </w:r>
      <w:r w:rsidRPr="00D1702A">
        <w:rPr>
          <w:i/>
          <w:sz w:val="20"/>
          <w:lang w:val="fr-CA"/>
        </w:rPr>
        <w:t>R. c.</w:t>
      </w:r>
      <w:r w:rsidRPr="00D1702A">
        <w:rPr>
          <w:sz w:val="20"/>
          <w:lang w:val="fr-CA"/>
        </w:rPr>
        <w:t xml:space="preserve"> </w:t>
      </w:r>
      <w:r w:rsidRPr="00D1702A">
        <w:rPr>
          <w:i/>
          <w:sz w:val="20"/>
          <w:lang w:val="fr-CA"/>
        </w:rPr>
        <w:t>Gladue</w:t>
      </w:r>
      <w:r w:rsidRPr="00D1702A">
        <w:rPr>
          <w:sz w:val="20"/>
          <w:lang w:val="fr-CA"/>
        </w:rPr>
        <w:t>, [1999] 1 R.C.S. 688 : (a) </w:t>
      </w:r>
      <w:r w:rsidR="0011031E" w:rsidRPr="00E54934">
        <w:rPr>
          <w:sz w:val="20"/>
        </w:rPr>
        <w:fldChar w:fldCharType="begin"/>
      </w:r>
      <w:r w:rsidRPr="00D1702A">
        <w:rPr>
          <w:sz w:val="20"/>
          <w:lang w:val="fr-CA"/>
        </w:rPr>
        <w:instrText xml:space="preserve"> SEQ CHAPTER \h \r 1</w:instrText>
      </w:r>
      <w:r w:rsidR="0011031E" w:rsidRPr="00E54934">
        <w:rPr>
          <w:sz w:val="20"/>
        </w:rPr>
        <w:fldChar w:fldCharType="end"/>
      </w:r>
      <w:r w:rsidRPr="00D1702A">
        <w:rPr>
          <w:sz w:val="20"/>
          <w:lang w:val="fr-CA"/>
        </w:rPr>
        <w:t xml:space="preserve">les facteurs systémiques ou historiques distinctifs qui peuvent être une des </w:t>
      </w:r>
      <w:r w:rsidRPr="00D1702A">
        <w:rPr>
          <w:sz w:val="20"/>
          <w:lang w:val="fr-CA"/>
        </w:rPr>
        <w:lastRenderedPageBreak/>
        <w:t>raisons pour lesquelles le délinquant autochtone se retrouve devant les tribunaux; et (b) </w:t>
      </w:r>
      <w:r w:rsidR="0011031E" w:rsidRPr="00E54934">
        <w:rPr>
          <w:sz w:val="20"/>
        </w:rPr>
        <w:fldChar w:fldCharType="begin"/>
      </w:r>
      <w:r w:rsidRPr="00D1702A">
        <w:rPr>
          <w:sz w:val="20"/>
          <w:lang w:val="fr-CA"/>
        </w:rPr>
        <w:instrText xml:space="preserve"> SEQ CHAPTER \h \r 1</w:instrText>
      </w:r>
      <w:r w:rsidR="0011031E" w:rsidRPr="00E54934">
        <w:rPr>
          <w:sz w:val="20"/>
        </w:rPr>
        <w:fldChar w:fldCharType="end"/>
      </w:r>
      <w:r w:rsidRPr="00D1702A">
        <w:rPr>
          <w:sz w:val="20"/>
          <w:lang w:val="fr-CA"/>
        </w:rPr>
        <w:t xml:space="preserve">les types de procédures de détermination de la peine et de sanctions qui, dans les circonstances, peuvent être appropriées à l’égard du délinquant en raison de son héritage ou de ses attaches autochtones.  Les facteurs systémiques et historiques peuvent influer sur la culpabilité du délinquant, dans la mesure où ils mettent en lumière son degré de culpabilité morale.  Ne pas tenir compte de ces circonstances contreviendrait au principe fondamental de détermination de la peine — la proportionnalité de la peine à la gravité de l’infraction et au degré de responsabilité du délinquant.  Les principes énoncés dans </w:t>
      </w:r>
      <w:r w:rsidRPr="00D1702A">
        <w:rPr>
          <w:i/>
          <w:sz w:val="20"/>
          <w:lang w:val="fr-CA"/>
        </w:rPr>
        <w:t>Gladue</w:t>
      </w:r>
      <w:r w:rsidRPr="00D1702A">
        <w:rPr>
          <w:sz w:val="20"/>
          <w:lang w:val="fr-CA"/>
        </w:rPr>
        <w:t xml:space="preserve"> obligent les juges, lorsqu’ils déterminent la peine, à éviter de présumer que tous les délinquants et toutes les collectivités partagent les mêmes valeurs, et à reconnaître que, compte tenu de la présence de conceptions du monde foncièrement différentes, l’imposition de sanctions différentes ou substitutives peut permettre d’atteindre plus efficacement les objectifs de détermination de la peine dans une collectivité donnée.  Les principes formulés dans </w:t>
      </w:r>
      <w:r w:rsidRPr="00D1702A">
        <w:rPr>
          <w:i/>
          <w:sz w:val="20"/>
          <w:lang w:val="fr-CA"/>
        </w:rPr>
        <w:t>Gladue</w:t>
      </w:r>
      <w:r w:rsidRPr="00D1702A">
        <w:rPr>
          <w:sz w:val="20"/>
          <w:lang w:val="fr-CA"/>
        </w:rPr>
        <w:t xml:space="preserve"> respectent entièrement l’exigence selon laquelle ces juges doivent examiner tous les facteurs et toutes les circonstances propres à la personne qui se trouve devant eux, y compris sa situation et son vécu.  Dans l’arrêt </w:t>
      </w:r>
      <w:r w:rsidRPr="00D1702A">
        <w:rPr>
          <w:i/>
          <w:sz w:val="20"/>
          <w:lang w:val="fr-CA"/>
        </w:rPr>
        <w:t>Gladue</w:t>
      </w:r>
      <w:r w:rsidRPr="00D1702A">
        <w:rPr>
          <w:sz w:val="20"/>
          <w:lang w:val="fr-CA"/>
        </w:rPr>
        <w:t>, la Cour a réaffirmé cette exigence et a reconnu que les tribunaux canadiens n’avaient jusqu’alors pas tenu compte des circonstances particulières propres aux délinquants autochtones, malgré leur pertinence dans l’imposition de la peine.  L’alinéa 718.2</w:t>
      </w:r>
      <w:r w:rsidRPr="00D1702A">
        <w:rPr>
          <w:i/>
          <w:sz w:val="20"/>
          <w:lang w:val="fr-CA"/>
        </w:rPr>
        <w:t>e</w:t>
      </w:r>
      <w:r w:rsidRPr="00D1702A">
        <w:rPr>
          <w:sz w:val="20"/>
          <w:lang w:val="fr-CA"/>
        </w:rPr>
        <w:t xml:space="preserve">) vise à remédier à ce défaut en prescrivant aux juges d’adapter les sanctions </w:t>
      </w:r>
      <w:r w:rsidR="0011031E" w:rsidRPr="00E54934">
        <w:rPr>
          <w:sz w:val="20"/>
        </w:rPr>
        <w:fldChar w:fldCharType="begin"/>
      </w:r>
      <w:r w:rsidRPr="00D1702A">
        <w:rPr>
          <w:sz w:val="20"/>
          <w:lang w:val="fr-CA"/>
        </w:rPr>
        <w:instrText xml:space="preserve"> SEQ CHAPTER \h \r 1</w:instrText>
      </w:r>
      <w:r w:rsidR="0011031E" w:rsidRPr="00E54934">
        <w:rPr>
          <w:sz w:val="20"/>
        </w:rPr>
        <w:fldChar w:fldCharType="end"/>
      </w:r>
      <w:r w:rsidRPr="00E54934">
        <w:rPr>
          <w:sz w:val="20"/>
          <w:lang w:val="fr-FR"/>
        </w:rPr>
        <w:t>à la situation des</w:t>
      </w:r>
      <w:r w:rsidRPr="00D1702A">
        <w:rPr>
          <w:sz w:val="20"/>
          <w:lang w:val="fr-CA"/>
        </w:rPr>
        <w:t xml:space="preserve"> peuples autochtones. </w:t>
      </w:r>
    </w:p>
    <w:p w:rsidR="00D1702A" w:rsidRPr="00D1702A" w:rsidRDefault="00D1702A" w:rsidP="00D1702A">
      <w:pPr>
        <w:pStyle w:val="SCCNormalDoubleSpacing"/>
        <w:spacing w:line="240" w:lineRule="auto"/>
        <w:rPr>
          <w:sz w:val="20"/>
          <w:lang w:val="fr-CA"/>
        </w:rPr>
      </w:pPr>
    </w:p>
    <w:p w:rsidR="00D1702A" w:rsidRPr="00D1702A" w:rsidRDefault="00D1702A" w:rsidP="00D1702A">
      <w:pPr>
        <w:pStyle w:val="SCCNormalDoubleSpacing"/>
        <w:spacing w:line="240" w:lineRule="auto"/>
        <w:rPr>
          <w:sz w:val="20"/>
          <w:lang w:val="fr-CA"/>
        </w:rPr>
      </w:pPr>
      <w:r w:rsidRPr="00D1702A">
        <w:rPr>
          <w:sz w:val="20"/>
          <w:lang w:val="fr-CA"/>
        </w:rPr>
        <w:tab/>
        <w:t xml:space="preserve">Lorsqu’ils déterminent la peine à infliger à un délinquant autochtone, les tribunaux doivent prendre connaissance d’office de questions telles que l’histoire de la colonisation, des déplacements de populations et des pensionnats et la façon dont ces événements se traduisent encore aujourd’hui chez les peuples autochtones par un faible niveau de scolarisation, des revenus peu élevés, un taux de chômage important, des abus graves d’alcool ou d’autres drogues, un taux élevé de suicide et, bien entendu, un taux élevé d’incarcération.  </w:t>
      </w:r>
      <w:r w:rsidRPr="00E54934">
        <w:rPr>
          <w:sz w:val="20"/>
          <w:lang w:val="fr-FR"/>
        </w:rPr>
        <w:t xml:space="preserve">Ces facteurs </w:t>
      </w:r>
      <w:r w:rsidRPr="00D1702A">
        <w:rPr>
          <w:sz w:val="20"/>
          <w:lang w:val="fr-CA"/>
        </w:rPr>
        <w:t>établissent le cadre contextuel nécessaire à la compréhension et à l’évaluation des renseignements propres à l’affaire fournis par les avocats.  Ces facteurs ne justifient cependant pas nécessairement à eux seuls l’imposition d’une peine différente aux délinquants autochtones.  De plus, rien dans l’arrêt </w:t>
      </w:r>
      <w:r w:rsidRPr="00D1702A">
        <w:rPr>
          <w:i/>
          <w:sz w:val="20"/>
          <w:lang w:val="fr-CA"/>
        </w:rPr>
        <w:t>Gladue</w:t>
      </w:r>
      <w:r w:rsidRPr="00D1702A">
        <w:rPr>
          <w:sz w:val="20"/>
          <w:lang w:val="fr-CA"/>
        </w:rPr>
        <w:t xml:space="preserve"> n’indique que les facteurs historiques et systémiques ne devraient pas également être pris en considération dans le cas d’autres délinquants, non autochtones.  </w:t>
      </w:r>
      <w:r w:rsidRPr="00E54934">
        <w:rPr>
          <w:sz w:val="20"/>
          <w:lang w:val="fr-FR"/>
        </w:rPr>
        <w:t>Le principe de parité énoncé à l’al. 718.2</w:t>
      </w:r>
      <w:r w:rsidRPr="00E54934">
        <w:rPr>
          <w:i/>
          <w:sz w:val="20"/>
          <w:lang w:val="fr-FR"/>
        </w:rPr>
        <w:t>b</w:t>
      </w:r>
      <w:r w:rsidRPr="00E54934">
        <w:rPr>
          <w:sz w:val="20"/>
          <w:lang w:val="fr-FR"/>
        </w:rPr>
        <w:t xml:space="preserve">) </w:t>
      </w:r>
      <w:r w:rsidRPr="00D1702A">
        <w:rPr>
          <w:sz w:val="20"/>
          <w:lang w:val="fr-CA"/>
        </w:rPr>
        <w:t xml:space="preserve">exige que toute disparité entre les sanctions imposées à différents délinquants soit justifiée.  Dans la mesure où l’application des principes formulés dans </w:t>
      </w:r>
      <w:r w:rsidRPr="00D1702A">
        <w:rPr>
          <w:i/>
          <w:sz w:val="20"/>
          <w:lang w:val="fr-CA"/>
        </w:rPr>
        <w:t>Gladue</w:t>
      </w:r>
      <w:r w:rsidRPr="00D1702A">
        <w:rPr>
          <w:sz w:val="20"/>
          <w:lang w:val="fr-CA"/>
        </w:rPr>
        <w:t xml:space="preserve"> mène à l’imposition de sanctions différentes aux délinquants autochtones, ces sanctions se justifieront en raison des circonstances particulières dans lesquelles ils se trouvent — des circonstances rationnellement liées au processus de détermination de la peine.  Il est de la responsabilité de l’avocat de fournir les renseignements propres à l’affaire dans tous les cas, à moins que le délinquant ne renonce expressément à son droit à l’examen de cette information.  Un rapport semblable à celui décrit dans </w:t>
      </w:r>
      <w:r w:rsidRPr="00D1702A">
        <w:rPr>
          <w:i/>
          <w:sz w:val="20"/>
          <w:lang w:val="fr-CA"/>
        </w:rPr>
        <w:t>Gladue</w:t>
      </w:r>
      <w:r w:rsidRPr="00D1702A">
        <w:rPr>
          <w:sz w:val="20"/>
          <w:lang w:val="fr-CA"/>
        </w:rPr>
        <w:t>, qui contient des renseignements propres à l’affaire, est adapté à la situation particulière du délinquant autochtone.  Ce rapport est un outil essentiel de détermination de la peine qu’on doit présenter à l’audience de détermination de la peine d’un délinquant autochtone et il aussi indispensable au juge pour l’exécution des obligations que lui impose l’al. 718.1</w:t>
      </w:r>
      <w:r w:rsidRPr="00D1702A">
        <w:rPr>
          <w:i/>
          <w:sz w:val="20"/>
          <w:lang w:val="fr-CA"/>
        </w:rPr>
        <w:t>e</w:t>
      </w:r>
      <w:r w:rsidRPr="00D1702A">
        <w:rPr>
          <w:sz w:val="20"/>
          <w:lang w:val="fr-CA"/>
        </w:rPr>
        <w:t xml:space="preserve">) du </w:t>
      </w:r>
      <w:r w:rsidRPr="00D1702A">
        <w:rPr>
          <w:i/>
          <w:sz w:val="20"/>
          <w:lang w:val="fr-CA"/>
        </w:rPr>
        <w:t>Code criminel</w:t>
      </w:r>
      <w:r w:rsidRPr="00D1702A">
        <w:rPr>
          <w:sz w:val="20"/>
          <w:lang w:val="fr-CA"/>
        </w:rPr>
        <w:t xml:space="preserve">.  </w:t>
      </w:r>
    </w:p>
    <w:p w:rsidR="00D1702A" w:rsidRPr="00D1702A" w:rsidRDefault="00D1702A" w:rsidP="00D1702A">
      <w:pPr>
        <w:pStyle w:val="SCCNormalDoubleSpacing"/>
        <w:spacing w:line="240" w:lineRule="auto"/>
        <w:rPr>
          <w:sz w:val="20"/>
          <w:lang w:val="fr-CA"/>
        </w:rPr>
      </w:pPr>
    </w:p>
    <w:p w:rsidR="00D1702A" w:rsidRPr="00E54934" w:rsidRDefault="00D1702A" w:rsidP="00D1702A">
      <w:pPr>
        <w:pStyle w:val="SCCNormalDoubleSpacing"/>
        <w:spacing w:line="240" w:lineRule="auto"/>
        <w:rPr>
          <w:sz w:val="20"/>
          <w:lang w:val="fr-FR"/>
        </w:rPr>
      </w:pPr>
      <w:r w:rsidRPr="00D1702A">
        <w:rPr>
          <w:sz w:val="20"/>
          <w:lang w:val="fr-CA"/>
        </w:rPr>
        <w:tab/>
        <w:t>Le juge chargé d’imposer la peine a l’obligation légale de tenir compte des circonstances particulières propres aux délinquants autochtones, comme l’al. 718.2</w:t>
      </w:r>
      <w:r w:rsidRPr="00D1702A">
        <w:rPr>
          <w:i/>
          <w:sz w:val="20"/>
          <w:lang w:val="fr-CA"/>
        </w:rPr>
        <w:t>e</w:t>
      </w:r>
      <w:r w:rsidRPr="00D1702A">
        <w:rPr>
          <w:sz w:val="20"/>
          <w:lang w:val="fr-CA"/>
        </w:rPr>
        <w:t xml:space="preserve">) du </w:t>
      </w:r>
      <w:r w:rsidRPr="00D1702A">
        <w:rPr>
          <w:i/>
          <w:sz w:val="20"/>
          <w:lang w:val="fr-CA"/>
        </w:rPr>
        <w:t xml:space="preserve">Code criminel </w:t>
      </w:r>
      <w:r w:rsidRPr="00D1702A">
        <w:rPr>
          <w:sz w:val="20"/>
          <w:lang w:val="fr-CA"/>
        </w:rPr>
        <w:t xml:space="preserve">le prévoit.  </w:t>
      </w:r>
      <w:r w:rsidRPr="00E54934">
        <w:rPr>
          <w:sz w:val="20"/>
          <w:lang w:val="fr-FR"/>
        </w:rPr>
        <w:t xml:space="preserve">Le défaut du juge d’appliquer </w:t>
      </w:r>
      <w:r w:rsidRPr="00D1702A">
        <w:rPr>
          <w:sz w:val="20"/>
          <w:lang w:val="fr-CA"/>
        </w:rPr>
        <w:t>les principes établis par </w:t>
      </w:r>
      <w:r w:rsidRPr="00D1702A">
        <w:rPr>
          <w:i/>
          <w:sz w:val="20"/>
          <w:lang w:val="fr-CA"/>
        </w:rPr>
        <w:t>Gladue</w:t>
      </w:r>
      <w:r w:rsidRPr="00D1702A">
        <w:rPr>
          <w:sz w:val="20"/>
          <w:lang w:val="fr-CA"/>
        </w:rPr>
        <w:t xml:space="preserve"> dans une affaire mettant en cause un délinquant autochtone contrevient à cette obligation.  En outre, ce défaut entraînerait aussi l’imposition d’une peine injuste et incompatible avec le principe fondamental de la proportionnalité.  En conséquence, l’application des principes établis dans </w:t>
      </w:r>
      <w:r w:rsidRPr="00D1702A">
        <w:rPr>
          <w:i/>
          <w:sz w:val="20"/>
          <w:lang w:val="fr-CA"/>
        </w:rPr>
        <w:t xml:space="preserve">Gladue </w:t>
      </w:r>
      <w:r w:rsidRPr="00D1702A">
        <w:rPr>
          <w:sz w:val="20"/>
          <w:lang w:val="fr-CA"/>
        </w:rPr>
        <w:t>est requise dans tous les cas où un délinquant autochtone est en cause, y compris dans le contexte d’un manquement à une OSLD, et le non</w:t>
      </w:r>
      <w:r w:rsidRPr="00D1702A">
        <w:rPr>
          <w:sz w:val="20"/>
          <w:lang w:val="fr-CA"/>
        </w:rPr>
        <w:noBreakHyphen/>
        <w:t xml:space="preserve">respect de cette exigence constitue une erreur justifiant une intervention en appel. </w:t>
      </w:r>
    </w:p>
    <w:p w:rsidR="00D1702A" w:rsidRDefault="00D1702A" w:rsidP="00D1702A">
      <w:pPr>
        <w:pStyle w:val="SCCNormalDoubleSpacing"/>
        <w:spacing w:line="240" w:lineRule="auto"/>
        <w:rPr>
          <w:sz w:val="20"/>
          <w:lang w:val="fr-FR"/>
        </w:rPr>
      </w:pPr>
    </w:p>
    <w:p w:rsidR="00D1702A" w:rsidRPr="00E54934" w:rsidRDefault="00D1702A" w:rsidP="00D1702A">
      <w:pPr>
        <w:pStyle w:val="SCCNormalDoubleSpacing"/>
        <w:spacing w:line="240" w:lineRule="auto"/>
        <w:rPr>
          <w:sz w:val="20"/>
          <w:lang w:val="fr-FR"/>
        </w:rPr>
      </w:pPr>
      <w:r w:rsidRPr="00E54934">
        <w:rPr>
          <w:sz w:val="20"/>
          <w:lang w:val="fr-FR"/>
        </w:rPr>
        <w:tab/>
        <w:t xml:space="preserve">Dans le cas de I, </w:t>
      </w:r>
      <w:r w:rsidRPr="00D1702A">
        <w:rPr>
          <w:sz w:val="20"/>
          <w:lang w:val="fr-CA"/>
        </w:rPr>
        <w:t xml:space="preserve">les cours d’instance inférieure ont commis plusieurs erreurs de principe justifiant une intervention en appel.  </w:t>
      </w:r>
      <w:r w:rsidRPr="00E54934">
        <w:rPr>
          <w:sz w:val="20"/>
          <w:lang w:val="fr-FR"/>
        </w:rPr>
        <w:t xml:space="preserve">Elles ont conclu à tort </w:t>
      </w:r>
      <w:r w:rsidRPr="00D1702A">
        <w:rPr>
          <w:sz w:val="20"/>
          <w:lang w:val="fr-CA"/>
        </w:rPr>
        <w:t xml:space="preserve">que la réadaptation ne constituait pas un objectif pertinent dans la détermination de la peine.  </w:t>
      </w:r>
      <w:r w:rsidRPr="00E54934">
        <w:rPr>
          <w:sz w:val="20"/>
          <w:lang w:val="fr-FR"/>
        </w:rPr>
        <w:t>E</w:t>
      </w:r>
      <w:r w:rsidRPr="00D1702A">
        <w:rPr>
          <w:sz w:val="20"/>
          <w:lang w:val="fr-CA"/>
        </w:rPr>
        <w:t>n raison de cette erreur, les cours d’instance inférieure n’ont accordé qu’une importance atténuée à la situation de I en tant que délinquant autochtone</w:t>
      </w:r>
      <w:r w:rsidRPr="00E54934">
        <w:rPr>
          <w:sz w:val="20"/>
          <w:lang w:val="fr-FR"/>
        </w:rPr>
        <w:t xml:space="preserve">.  Il convient de remplacer la peine imposée par un an d’emprisonnement.  Dans le cas de L, l’arrêt majoritaire de la Cour d’appel est bien fondé et </w:t>
      </w:r>
      <w:r w:rsidRPr="00D1702A">
        <w:rPr>
          <w:sz w:val="20"/>
          <w:lang w:val="fr-CA"/>
        </w:rPr>
        <w:t>reflète adéquatement les principes et les objectifs de détermination de la peine</w:t>
      </w:r>
      <w:r w:rsidRPr="00E54934">
        <w:rPr>
          <w:sz w:val="20"/>
          <w:lang w:val="fr-FR"/>
        </w:rPr>
        <w:t xml:space="preserve">.  Le pourvoi est rejeté, et la peine de un an d’emprisonnement confirmée. </w:t>
      </w:r>
    </w:p>
    <w:p w:rsidR="00D1702A" w:rsidRPr="00D1702A" w:rsidRDefault="00D1702A" w:rsidP="00D1702A">
      <w:pPr>
        <w:pStyle w:val="SCCNormalDoubleSpacing"/>
        <w:spacing w:line="240" w:lineRule="auto"/>
        <w:rPr>
          <w:i/>
          <w:sz w:val="20"/>
          <w:lang w:val="fr-CA"/>
        </w:rPr>
      </w:pPr>
    </w:p>
    <w:p w:rsidR="00D1702A" w:rsidRPr="00E54934" w:rsidRDefault="00D1702A" w:rsidP="00D1702A">
      <w:pPr>
        <w:pStyle w:val="SCCNormalDoubleSpacing"/>
        <w:spacing w:line="240" w:lineRule="auto"/>
        <w:rPr>
          <w:sz w:val="20"/>
          <w:lang w:val="fr-FR"/>
        </w:rPr>
      </w:pPr>
      <w:r w:rsidRPr="00D1702A">
        <w:rPr>
          <w:i/>
          <w:sz w:val="20"/>
          <w:lang w:val="fr-CA"/>
        </w:rPr>
        <w:tab/>
      </w:r>
      <w:r w:rsidRPr="00E54934">
        <w:rPr>
          <w:i/>
          <w:sz w:val="20"/>
          <w:lang w:val="fr-FR"/>
        </w:rPr>
        <w:t>Le</w:t>
      </w:r>
      <w:r w:rsidRPr="00E54934">
        <w:rPr>
          <w:sz w:val="20"/>
          <w:lang w:val="fr-FR"/>
        </w:rPr>
        <w:t xml:space="preserve"> juge Rothstein (dissident en partie) : L</w:t>
      </w:r>
      <w:r w:rsidRPr="00D1702A">
        <w:rPr>
          <w:sz w:val="20"/>
          <w:lang w:val="fr-CA"/>
        </w:rPr>
        <w:t xml:space="preserve">orsqu’un juge détermine la peine à infliger pour défaut de se conformer à une condition d’une OSLD se rapportant à un élément central du risque de récidive violente du délinquant </w:t>
      </w:r>
      <w:r w:rsidRPr="00D1702A">
        <w:rPr>
          <w:sz w:val="20"/>
          <w:lang w:val="fr-CA"/>
        </w:rPr>
        <w:lastRenderedPageBreak/>
        <w:t xml:space="preserve">à contrôler, la protection du public — plus encore que la réadaptation ou la réinsertion du délinquant — doit constituer le critère dominant dans la détermination d’une peine juste et appropriée.  </w:t>
      </w:r>
      <w:r w:rsidRPr="00E54934">
        <w:rPr>
          <w:sz w:val="20"/>
          <w:lang w:val="fr-FR"/>
        </w:rPr>
        <w:t xml:space="preserve">Les juges majoritaires en l’espèce </w:t>
      </w:r>
      <w:r w:rsidRPr="00D1702A">
        <w:rPr>
          <w:sz w:val="20"/>
          <w:lang w:val="fr-CA"/>
        </w:rPr>
        <w:t xml:space="preserve">ne traitent pas expressément de la question de la détermination de la peine à infliger aux Autochtones qui ont été déclarés délinquants à contrôler et reconnus coupables d’un manquement à une condition d’une </w:t>
      </w:r>
      <w:bookmarkStart w:id="2" w:name="OLE_LINK2"/>
      <w:r w:rsidRPr="00D1702A">
        <w:rPr>
          <w:sz w:val="20"/>
          <w:lang w:val="fr-CA"/>
        </w:rPr>
        <w:t xml:space="preserve">OSLD.  </w:t>
      </w:r>
      <w:bookmarkEnd w:id="2"/>
      <w:r w:rsidRPr="00D1702A">
        <w:rPr>
          <w:sz w:val="20"/>
          <w:lang w:val="fr-CA"/>
        </w:rPr>
        <w:t>Ils n’ont pas tenu compte de la différence entre, d’une part, les objectifs et les exigences des OSLD pour les délinquants à contrôler qui respectent les conditions de leur OSLD et, d’autre part, les objectifs et les exigences applicables dans la détermination de la peine à infliger aux délinquants à contrôler qui ont enfreint une condition de leur OSLD.</w:t>
      </w:r>
      <w:r w:rsidRPr="00E54934">
        <w:rPr>
          <w:sz w:val="20"/>
          <w:lang w:val="fr-FR"/>
        </w:rPr>
        <w:t xml:space="preserve"> </w:t>
      </w:r>
    </w:p>
    <w:p w:rsidR="00D1702A" w:rsidRPr="00D1702A" w:rsidRDefault="00D1702A" w:rsidP="00D1702A">
      <w:pPr>
        <w:pStyle w:val="SCCNormalDoubleSpacing"/>
        <w:spacing w:line="240" w:lineRule="auto"/>
        <w:rPr>
          <w:sz w:val="20"/>
          <w:lang w:val="fr-CA"/>
        </w:rPr>
      </w:pPr>
    </w:p>
    <w:p w:rsidR="00D1702A" w:rsidRPr="00E54934" w:rsidRDefault="00D1702A" w:rsidP="00D1702A">
      <w:pPr>
        <w:pStyle w:val="SCCNormalDoubleSpacing"/>
        <w:spacing w:line="240" w:lineRule="auto"/>
        <w:rPr>
          <w:sz w:val="20"/>
          <w:lang w:val="fr-FR"/>
        </w:rPr>
      </w:pPr>
      <w:r w:rsidRPr="00D1702A">
        <w:rPr>
          <w:sz w:val="20"/>
          <w:lang w:val="fr-CA"/>
        </w:rPr>
        <w:tab/>
        <w:t xml:space="preserve">Le défaut de se conformer à une OSLD permet de douter sérieusement de la réalisation des objectifs de réadaptation et de réinsertion et soulève la question de savoir si, bien que sous surveillance, le délinquant à contrôler a démontré que le risque élevé de récidive violente qu’il représente au sein de la collectivité peut être maîtrisé adéquatement.  </w:t>
      </w:r>
      <w:r w:rsidRPr="00E54934">
        <w:rPr>
          <w:sz w:val="20"/>
          <w:lang w:val="fr-FR"/>
        </w:rPr>
        <w:t>A</w:t>
      </w:r>
      <w:r w:rsidRPr="00D1702A">
        <w:rPr>
          <w:sz w:val="20"/>
          <w:lang w:val="fr-CA"/>
        </w:rPr>
        <w:t xml:space="preserve">ux termes du par. 753.3(1) du </w:t>
      </w:r>
      <w:r w:rsidRPr="00D1702A">
        <w:rPr>
          <w:i/>
          <w:sz w:val="20"/>
          <w:lang w:val="fr-CA"/>
        </w:rPr>
        <w:t>Code criminel</w:t>
      </w:r>
      <w:r w:rsidRPr="00D1702A">
        <w:rPr>
          <w:sz w:val="20"/>
          <w:lang w:val="fr-CA"/>
        </w:rPr>
        <w:t xml:space="preserve">, le défaut de se conformer à une OSLD constitue un acte criminel, et non une infraction mixte, et est punissable d’un emprisonnement maximal de dix ans.  Le seul défaut de se conformer à l’OSLD rend le délinquant à contrôler passible de cette peine maximale, sans qu’il soit nécessaire qu’il ait été déclaré coupable d’une autre infraction substantielle, violente ou autre.  Cela signifie nécessairement que, pour le législateur, les délinquants à contrôler qui font défaut de se conformer à une OSLD présentent un tel risque pour la protection de la société qu’ils peuvent devoir être isolés de la société pendant une période assez longue.  </w:t>
      </w:r>
      <w:r w:rsidRPr="00E54934">
        <w:rPr>
          <w:sz w:val="20"/>
          <w:lang w:val="fr-FR"/>
        </w:rPr>
        <w:t>S</w:t>
      </w:r>
      <w:r w:rsidRPr="00D1702A">
        <w:rPr>
          <w:sz w:val="20"/>
          <w:lang w:val="fr-CA"/>
        </w:rPr>
        <w:t>i le manquement concerne un élément central du risque élevé de récidive, par exemple lorsqu’il a été jugé que la consommation d’alcool ou de drogues amène le délinquant à contrôler à commettre des infractions avec violence, on doit considérer qu’il s’agit d’un manquement très grave.</w:t>
      </w:r>
    </w:p>
    <w:p w:rsidR="00D1702A" w:rsidRDefault="00D1702A" w:rsidP="00D1702A">
      <w:pPr>
        <w:pStyle w:val="SCCNormalDoubleSpacing"/>
        <w:spacing w:line="240" w:lineRule="auto"/>
        <w:rPr>
          <w:sz w:val="20"/>
          <w:lang w:val="fr-FR"/>
        </w:rPr>
      </w:pPr>
    </w:p>
    <w:p w:rsidR="00D1702A" w:rsidRPr="00E54934" w:rsidRDefault="00D1702A" w:rsidP="00D1702A">
      <w:pPr>
        <w:pStyle w:val="SCCNormalDoubleSpacing"/>
        <w:spacing w:line="240" w:lineRule="auto"/>
        <w:rPr>
          <w:sz w:val="20"/>
          <w:lang w:val="fr-FR"/>
        </w:rPr>
      </w:pPr>
      <w:r w:rsidRPr="00E54934">
        <w:rPr>
          <w:sz w:val="20"/>
          <w:lang w:val="fr-FR"/>
        </w:rPr>
        <w:tab/>
      </w:r>
      <w:r w:rsidRPr="00D1702A">
        <w:rPr>
          <w:sz w:val="20"/>
          <w:lang w:val="fr-CA"/>
        </w:rPr>
        <w:t>L’alinéa</w:t>
      </w:r>
      <w:r w:rsidRPr="00E54934">
        <w:rPr>
          <w:sz w:val="20"/>
          <w:lang w:val="fr-FR"/>
        </w:rPr>
        <w:t> 718.2</w:t>
      </w:r>
      <w:r w:rsidRPr="00E54934">
        <w:rPr>
          <w:i/>
          <w:sz w:val="20"/>
          <w:lang w:val="fr-FR"/>
        </w:rPr>
        <w:t>e</w:t>
      </w:r>
      <w:r w:rsidRPr="00E54934">
        <w:rPr>
          <w:sz w:val="20"/>
          <w:lang w:val="fr-FR"/>
        </w:rPr>
        <w:t xml:space="preserve">) du </w:t>
      </w:r>
      <w:r w:rsidRPr="00E54934">
        <w:rPr>
          <w:i/>
          <w:sz w:val="20"/>
          <w:lang w:val="fr-FR"/>
        </w:rPr>
        <w:t xml:space="preserve">Code criminel </w:t>
      </w:r>
      <w:r w:rsidRPr="00D1702A">
        <w:rPr>
          <w:sz w:val="20"/>
          <w:lang w:val="fr-CA"/>
        </w:rPr>
        <w:t>oblige le juge chargé de la détermination de la peine à tenir compte des facteurs historiques et systémiques, et de toutes les sanctions substitutives applicables qui sont justifiées dans les circonstances, plus particulièrement en ce qui concerne les délinquants autochtones, y compris les délinquants autochtones à contrôler</w:t>
      </w:r>
      <w:r w:rsidRPr="00E54934">
        <w:rPr>
          <w:sz w:val="20"/>
          <w:lang w:val="fr-FR"/>
        </w:rPr>
        <w:t xml:space="preserve">.  </w:t>
      </w:r>
      <w:r w:rsidRPr="00D1702A">
        <w:rPr>
          <w:sz w:val="20"/>
          <w:lang w:val="fr-CA"/>
        </w:rPr>
        <w:t xml:space="preserve">Comme c’est toujours le cas en matière de détermination de la peine, il faut tenir compte, à cet égard, du délinquant en cause, du risque qu’il représente et de ses chances de réadaptation et de réinsertion.  L’évaluation de ces solutions de rechange relève du pouvoir discrétionnaire du juge chargé d’infliger la peine.  </w:t>
      </w:r>
      <w:r w:rsidRPr="00E54934">
        <w:rPr>
          <w:sz w:val="20"/>
          <w:lang w:val="fr-FR"/>
        </w:rPr>
        <w:t>L</w:t>
      </w:r>
      <w:r w:rsidRPr="00D1702A">
        <w:rPr>
          <w:sz w:val="20"/>
          <w:lang w:val="fr-CA"/>
        </w:rPr>
        <w:t>e critère déterminant dans le cas des délinquants à contrôler est la protection de la société.  Ce critère s’applique à tous délinquants à contrôler, y compris aux délinquants autochtones à contrôler qui ont compromis la gestion de leur risque de récidive en ne respectant pas une condition de leur OSLD.</w:t>
      </w:r>
      <w:r w:rsidRPr="00E54934">
        <w:rPr>
          <w:sz w:val="20"/>
          <w:lang w:val="fr-FR"/>
        </w:rPr>
        <w:t xml:space="preserve"> </w:t>
      </w:r>
    </w:p>
    <w:p w:rsidR="00D1702A" w:rsidRDefault="00D1702A" w:rsidP="00D1702A">
      <w:pPr>
        <w:pStyle w:val="SCCNormalDoubleSpacing"/>
        <w:spacing w:line="240" w:lineRule="auto"/>
        <w:rPr>
          <w:sz w:val="20"/>
          <w:lang w:val="fr-FR"/>
        </w:rPr>
      </w:pPr>
    </w:p>
    <w:p w:rsidR="00D1702A" w:rsidRPr="00E54934" w:rsidRDefault="00D1702A" w:rsidP="00D1702A">
      <w:pPr>
        <w:pStyle w:val="SCCNormalDoubleSpacing"/>
        <w:spacing w:line="240" w:lineRule="auto"/>
        <w:rPr>
          <w:sz w:val="20"/>
          <w:lang w:val="fr-FR"/>
        </w:rPr>
      </w:pPr>
      <w:r w:rsidRPr="00E54934">
        <w:rPr>
          <w:sz w:val="20"/>
          <w:lang w:val="fr-FR"/>
        </w:rPr>
        <w:tab/>
        <w:t>L</w:t>
      </w:r>
      <w:r w:rsidRPr="00D1702A">
        <w:rPr>
          <w:sz w:val="20"/>
          <w:lang w:val="fr-CA"/>
        </w:rPr>
        <w:t xml:space="preserve">orsqu’un Autochtone déclaré délinquant à contrôler a manqué à une ou à plusieurs conditions de son OSLD, les solutions autres qu’une période d’emprisonnement importante seront limitées.  </w:t>
      </w:r>
      <w:r w:rsidRPr="00E54934">
        <w:rPr>
          <w:sz w:val="20"/>
          <w:lang w:val="fr-FR"/>
        </w:rPr>
        <w:t xml:space="preserve">Les solutions de rechange à l’emprisonnement doivent être valables et le juge </w:t>
      </w:r>
      <w:r w:rsidRPr="00D1702A">
        <w:rPr>
          <w:sz w:val="20"/>
          <w:lang w:val="fr-CA"/>
        </w:rPr>
        <w:t>chargé d’infliger la peine doit être convaincu qu’elles sont compatibles avec la protection de la société.  L’une des solutions de rechange possibles pourrait consister à renvoyer le délinquant autochtone dans sa collectivité.  Cependant, comme c’est toujours le cas, le critère déterminant dans le choix de cette sanction doit demeurer la protection du public; les collectivités autochtones ne forment pas une catégorie distincte qui aurait droit à une protection moindre du fait que le délinquant est un Autochtone.  Lorsque le manquement à une OSLD touche à la maîtrise du risque que représente le délinquant autochtone dans la collectivité, sa réadaptation et sa réinsertion sociale seront compromises, sinon condamnées à l’échec.  En pareil cas, il se peut que le juge chargé d’infliger la peine n’ait d’autre choix que d’isoler le délinquant autochtone à contrôler de la société pendant une période assez longue.  Durant son incarcération, il faudrait néanmoins prendre en considération le statut d’Autochtone du délinquant à contrôler afin de lui offrir des programmes appropriés favorisant sa réadaptation, de sorte que le risque élevé de récidive qu’il présente puisse être maîtrisé au moment de sa libération.</w:t>
      </w:r>
    </w:p>
    <w:p w:rsidR="00D1702A" w:rsidRDefault="00D1702A" w:rsidP="00D1702A">
      <w:pPr>
        <w:pStyle w:val="SCCNormalDoubleSpacing"/>
        <w:spacing w:line="240" w:lineRule="auto"/>
        <w:rPr>
          <w:sz w:val="20"/>
          <w:lang w:val="fr-FR"/>
        </w:rPr>
      </w:pPr>
    </w:p>
    <w:p w:rsidR="00D1702A" w:rsidRPr="00E54934" w:rsidRDefault="00D1702A" w:rsidP="00D1702A">
      <w:pPr>
        <w:pStyle w:val="SCCNormalDoubleSpacing"/>
        <w:spacing w:line="240" w:lineRule="auto"/>
        <w:rPr>
          <w:sz w:val="20"/>
          <w:lang w:val="fr-FR"/>
        </w:rPr>
      </w:pPr>
      <w:r w:rsidRPr="00E54934">
        <w:rPr>
          <w:sz w:val="20"/>
          <w:lang w:val="fr-FR"/>
        </w:rPr>
        <w:tab/>
        <w:t xml:space="preserve">En l’espèce, il n’a pas été </w:t>
      </w:r>
      <w:r w:rsidRPr="00D1702A">
        <w:rPr>
          <w:sz w:val="20"/>
          <w:lang w:val="fr-CA"/>
        </w:rPr>
        <w:t>démontré</w:t>
      </w:r>
      <w:r w:rsidRPr="00E54934">
        <w:rPr>
          <w:sz w:val="20"/>
          <w:lang w:val="fr-FR"/>
        </w:rPr>
        <w:t xml:space="preserve"> que </w:t>
      </w:r>
      <w:r w:rsidRPr="00D1702A">
        <w:rPr>
          <w:sz w:val="20"/>
          <w:lang w:val="fr-CA"/>
        </w:rPr>
        <w:t>la peine infligée au délinquant I n’était manifestement pas indiquée et le pourvoi doit être rejeté.  Les conclusions du</w:t>
      </w:r>
      <w:r w:rsidRPr="00E54934">
        <w:rPr>
          <w:sz w:val="20"/>
          <w:lang w:val="fr-FR"/>
        </w:rPr>
        <w:t xml:space="preserve"> juge ayant prononcé la peine </w:t>
      </w:r>
      <w:r w:rsidRPr="00D1702A">
        <w:rPr>
          <w:sz w:val="20"/>
          <w:lang w:val="fr-CA"/>
        </w:rPr>
        <w:t xml:space="preserve">témoignent d’un examen approfondi des circonstances.  </w:t>
      </w:r>
      <w:r w:rsidRPr="00E54934">
        <w:rPr>
          <w:sz w:val="20"/>
          <w:lang w:val="fr-FR"/>
        </w:rPr>
        <w:t xml:space="preserve">Il a reconnu à bon droit </w:t>
      </w:r>
      <w:r w:rsidRPr="00D1702A">
        <w:rPr>
          <w:sz w:val="20"/>
          <w:lang w:val="fr-CA"/>
        </w:rPr>
        <w:t>que la protection du public était le facteur déterminant en cas de manquement à une OSLD.  Si I a été déclaré délinquant à contrôler, c’est qu’il a été établi soit qu’il avait accompli des actes répétitifs permettant de croire qu’il causerait vraisemblablement la mort de quelque autre personne, ou des sévices ou des dommages psychologiques à d’autres personnes, soit que son incapacité de maîtriser ses impulsions sexuelles laissait prévoir que vraisemblablement il causerait à l’avenir des sévices ou autres maux à d’autres personnes.  Sa consommation d’alcool est un élément essentiel de ces comportements.</w:t>
      </w:r>
      <w:r w:rsidRPr="00E54934">
        <w:rPr>
          <w:sz w:val="20"/>
          <w:lang w:val="fr-FR"/>
        </w:rPr>
        <w:t xml:space="preserve">  </w:t>
      </w:r>
    </w:p>
    <w:p w:rsidR="00D1702A" w:rsidRDefault="00D1702A" w:rsidP="00D1702A">
      <w:pPr>
        <w:pStyle w:val="SCCNormalDoubleSpacing"/>
        <w:spacing w:line="240" w:lineRule="auto"/>
        <w:rPr>
          <w:sz w:val="20"/>
          <w:lang w:val="fr-FR"/>
        </w:rPr>
      </w:pPr>
    </w:p>
    <w:p w:rsidR="00D1702A" w:rsidRPr="00D1702A" w:rsidRDefault="00D1702A" w:rsidP="00D1702A">
      <w:pPr>
        <w:pStyle w:val="SCCNormalDoubleSpacing"/>
        <w:spacing w:line="240" w:lineRule="auto"/>
        <w:rPr>
          <w:sz w:val="20"/>
          <w:lang w:val="fr-CA"/>
        </w:rPr>
      </w:pPr>
      <w:r w:rsidRPr="00E54934">
        <w:rPr>
          <w:sz w:val="20"/>
          <w:lang w:val="fr-FR"/>
        </w:rPr>
        <w:lastRenderedPageBreak/>
        <w:tab/>
        <w:t xml:space="preserve">Une peine d’emprisonnement de un an constitue une peine juste et appropriée dans le cas du délinquant L et il faut rejeter le pourvoi.  </w:t>
      </w:r>
      <w:r w:rsidRPr="00D1702A">
        <w:rPr>
          <w:sz w:val="20"/>
          <w:lang w:val="fr-CA"/>
        </w:rPr>
        <w:t>La juge de détermination de la peine n’a pas commis d’erreur en insistant sur la protection de la société qui constituait, selon elle, le critère déterminant dans sa décision.  Selon la juge de détermination de la peine, comme L présente un risque élevé de récidive sexuelle et un risque modéré à élevé de récidive violente, la seule façon de protéger la société était de privilégier l’objectif d’isolement.  Elle a souligné que, bien que L n’ait pas commis d’infraction substantielle, son manquement était grave.  Toutefois, en l’espèce, L a été privé d’une possibilité réaliste de réadaptation à cause d’une « erreur administrative ».  La juge de détermination de la peine ne semble pas avoir pris en considération le fait que c’est cette erreur qui était à l’origine du transfert de L à une maison de transition qui tolère apparemment les grands toxicomanes et qui n’offre pas de programmes pour les délinquants autochtones.  La culpabilité morale de L n’a donc pas été évaluée correctement.</w:t>
      </w:r>
    </w:p>
    <w:p w:rsidR="00D1702A" w:rsidRPr="00E54934" w:rsidRDefault="00D1702A" w:rsidP="00D1702A">
      <w:pPr>
        <w:pStyle w:val="SCCNormalDoubleSpacing"/>
        <w:spacing w:line="240" w:lineRule="auto"/>
        <w:rPr>
          <w:sz w:val="20"/>
          <w:lang w:val="fr-FR"/>
        </w:rPr>
      </w:pPr>
    </w:p>
    <w:p w:rsidR="00D1702A" w:rsidRPr="00D1702A" w:rsidRDefault="00D1702A" w:rsidP="00D1702A">
      <w:pPr>
        <w:pStyle w:val="SCCNormalDoubleSpacing"/>
        <w:spacing w:line="240" w:lineRule="auto"/>
        <w:rPr>
          <w:sz w:val="20"/>
          <w:lang w:val="fr-CA"/>
        </w:rPr>
      </w:pPr>
      <w:r w:rsidRPr="00D1702A">
        <w:rPr>
          <w:sz w:val="20"/>
          <w:lang w:val="fr-CA"/>
        </w:rPr>
        <w:tab/>
        <w:t xml:space="preserve">POURVOI contre un arrêt de la Cour d’appel de l’Ontario </w:t>
      </w:r>
      <w:r w:rsidR="0011031E" w:rsidRPr="00E54934">
        <w:rPr>
          <w:sz w:val="20"/>
        </w:rPr>
        <w:fldChar w:fldCharType="begin"/>
      </w:r>
      <w:r w:rsidRPr="00D1702A">
        <w:rPr>
          <w:sz w:val="20"/>
          <w:lang w:val="fr-CA"/>
        </w:rPr>
        <w:instrText xml:space="preserve"> SEQ CHAPTER \h \r 1</w:instrText>
      </w:r>
      <w:r w:rsidR="0011031E" w:rsidRPr="00E54934">
        <w:rPr>
          <w:sz w:val="20"/>
        </w:rPr>
        <w:fldChar w:fldCharType="end"/>
      </w:r>
      <w:r w:rsidRPr="00D1702A">
        <w:rPr>
          <w:sz w:val="20"/>
          <w:lang w:val="fr-CA"/>
        </w:rPr>
        <w:t xml:space="preserve">(les juges Laskin, Sharpe et Cronk), </w:t>
      </w:r>
      <w:r w:rsidR="0011031E" w:rsidRPr="00E54934">
        <w:rPr>
          <w:sz w:val="20"/>
        </w:rPr>
        <w:fldChar w:fldCharType="begin"/>
      </w:r>
      <w:r w:rsidRPr="00D1702A">
        <w:rPr>
          <w:sz w:val="20"/>
          <w:lang w:val="fr-CA"/>
        </w:rPr>
        <w:instrText xml:space="preserve"> SEQ CHAPTER \h \r 1</w:instrText>
      </w:r>
      <w:r w:rsidR="0011031E" w:rsidRPr="00E54934">
        <w:rPr>
          <w:sz w:val="20"/>
        </w:rPr>
        <w:fldChar w:fldCharType="end"/>
      </w:r>
      <w:r w:rsidRPr="00D1702A">
        <w:rPr>
          <w:sz w:val="20"/>
          <w:lang w:val="fr-CA"/>
        </w:rPr>
        <w:t xml:space="preserve">2009 ONCA 892, 99 O.R. (3d) 419, 264 O.A.C. 392, [2009] O.J. No. 5402 (QL), 2009 CarswellOnt 7783, qui a confirmé une décision du juge Megginson, </w:t>
      </w:r>
      <w:r w:rsidR="0011031E" w:rsidRPr="00E54934">
        <w:rPr>
          <w:sz w:val="20"/>
        </w:rPr>
        <w:fldChar w:fldCharType="begin"/>
      </w:r>
      <w:r w:rsidRPr="00D1702A">
        <w:rPr>
          <w:sz w:val="20"/>
          <w:lang w:val="fr-CA"/>
        </w:rPr>
        <w:instrText xml:space="preserve"> SEQ CHAPTER \h \r 1</w:instrText>
      </w:r>
      <w:r w:rsidR="0011031E" w:rsidRPr="00E54934">
        <w:rPr>
          <w:sz w:val="20"/>
        </w:rPr>
        <w:fldChar w:fldCharType="end"/>
      </w:r>
      <w:r w:rsidRPr="00D1702A">
        <w:rPr>
          <w:sz w:val="20"/>
          <w:lang w:val="fr-CA"/>
        </w:rPr>
        <w:t>2009 CarswellOnt 7864.  Pourvoi accueilli, le juge Rothstein est dissident.</w:t>
      </w:r>
    </w:p>
    <w:p w:rsidR="00D1702A" w:rsidRPr="00D1702A" w:rsidRDefault="00D1702A" w:rsidP="00D1702A">
      <w:pPr>
        <w:pStyle w:val="SCCNormalDoubleSpacing"/>
        <w:spacing w:line="240" w:lineRule="auto"/>
        <w:rPr>
          <w:sz w:val="20"/>
          <w:lang w:val="fr-CA"/>
        </w:rPr>
      </w:pPr>
    </w:p>
    <w:p w:rsidR="00D1702A" w:rsidRPr="00D1702A" w:rsidRDefault="00D1702A" w:rsidP="00D1702A">
      <w:pPr>
        <w:pStyle w:val="SCCNormalDoubleSpacing"/>
        <w:spacing w:line="240" w:lineRule="auto"/>
        <w:rPr>
          <w:sz w:val="20"/>
          <w:lang w:val="fr-CA"/>
        </w:rPr>
      </w:pPr>
      <w:r w:rsidRPr="00D1702A">
        <w:rPr>
          <w:sz w:val="20"/>
          <w:lang w:val="fr-CA"/>
        </w:rPr>
        <w:tab/>
        <w:t>POURVOI contre un arrêt de la Cour d’appel de la Colombie</w:t>
      </w:r>
      <w:r w:rsidRPr="00D1702A">
        <w:rPr>
          <w:sz w:val="20"/>
          <w:lang w:val="fr-CA"/>
        </w:rPr>
        <w:noBreakHyphen/>
        <w:t xml:space="preserve">Britannique (les juges </w:t>
      </w:r>
      <w:r w:rsidR="0011031E" w:rsidRPr="00E54934">
        <w:rPr>
          <w:sz w:val="20"/>
        </w:rPr>
        <w:fldChar w:fldCharType="begin"/>
      </w:r>
      <w:r w:rsidRPr="00D1702A">
        <w:rPr>
          <w:sz w:val="20"/>
          <w:lang w:val="fr-CA"/>
        </w:rPr>
        <w:instrText xml:space="preserve"> SEQ CHAPTER \h \r 1</w:instrText>
      </w:r>
      <w:r w:rsidR="0011031E" w:rsidRPr="00E54934">
        <w:rPr>
          <w:sz w:val="20"/>
        </w:rPr>
        <w:fldChar w:fldCharType="end"/>
      </w:r>
      <w:r w:rsidRPr="00D1702A">
        <w:rPr>
          <w:sz w:val="20"/>
          <w:lang w:val="fr-CA"/>
        </w:rPr>
        <w:t xml:space="preserve">Levine, Chiasson et Bennett), </w:t>
      </w:r>
      <w:r w:rsidR="0011031E" w:rsidRPr="00E54934">
        <w:rPr>
          <w:sz w:val="20"/>
        </w:rPr>
        <w:fldChar w:fldCharType="begin"/>
      </w:r>
      <w:r w:rsidRPr="00D1702A">
        <w:rPr>
          <w:sz w:val="20"/>
          <w:lang w:val="fr-CA"/>
        </w:rPr>
        <w:instrText xml:space="preserve"> SEQ CHAPTER \h \r 1</w:instrText>
      </w:r>
      <w:r w:rsidR="0011031E" w:rsidRPr="00E54934">
        <w:rPr>
          <w:sz w:val="20"/>
        </w:rPr>
        <w:fldChar w:fldCharType="end"/>
      </w:r>
      <w:r w:rsidRPr="00D1702A">
        <w:rPr>
          <w:sz w:val="20"/>
          <w:lang w:val="fr-CA"/>
        </w:rPr>
        <w:t xml:space="preserve">2011 BCCA 101, 302 B.C.A.C. 93, 511 W.A.C. 93, 271 C.C.C. (3d) 90, [2011] 2 C.N.L.R. 277, [2011] B.C.J. No. 366 (QL), 2011 CarswellBC 428, qui a infirmé une décision de la juge </w:t>
      </w:r>
      <w:r w:rsidR="0011031E" w:rsidRPr="00E54934">
        <w:rPr>
          <w:sz w:val="20"/>
        </w:rPr>
        <w:fldChar w:fldCharType="begin"/>
      </w:r>
      <w:r w:rsidRPr="00D1702A">
        <w:rPr>
          <w:sz w:val="20"/>
          <w:lang w:val="fr-CA"/>
        </w:rPr>
        <w:instrText xml:space="preserve"> SEQ CHAPTER \h \r 1</w:instrText>
      </w:r>
      <w:r w:rsidR="0011031E" w:rsidRPr="00E54934">
        <w:rPr>
          <w:sz w:val="20"/>
        </w:rPr>
        <w:fldChar w:fldCharType="end"/>
      </w:r>
      <w:r w:rsidRPr="00D1702A">
        <w:rPr>
          <w:sz w:val="20"/>
          <w:lang w:val="fr-CA"/>
        </w:rPr>
        <w:t xml:space="preserve">Bagnall, </w:t>
      </w:r>
      <w:r w:rsidR="0011031E" w:rsidRPr="00E54934">
        <w:rPr>
          <w:sz w:val="20"/>
        </w:rPr>
        <w:fldChar w:fldCharType="begin"/>
      </w:r>
      <w:r w:rsidRPr="00D1702A">
        <w:rPr>
          <w:sz w:val="20"/>
          <w:lang w:val="fr-CA"/>
        </w:rPr>
        <w:instrText xml:space="preserve"> SEQ CHAPTER \h \r 1</w:instrText>
      </w:r>
      <w:r w:rsidR="0011031E" w:rsidRPr="00E54934">
        <w:rPr>
          <w:sz w:val="20"/>
        </w:rPr>
        <w:fldChar w:fldCharType="end"/>
      </w:r>
      <w:r w:rsidRPr="00D1702A">
        <w:rPr>
          <w:sz w:val="20"/>
          <w:lang w:val="fr-CA"/>
        </w:rPr>
        <w:t>2010 BCPC 410, [2010] B.C.J. No. 2824 (QL), 2010 CarswellBC 3822.  Pourvoi rejeté.</w:t>
      </w:r>
    </w:p>
    <w:p w:rsidR="00D1702A" w:rsidRPr="00D1702A" w:rsidRDefault="00D1702A" w:rsidP="00D1702A">
      <w:pPr>
        <w:pStyle w:val="SCCNormalDoubleSpacing"/>
        <w:spacing w:line="240" w:lineRule="auto"/>
        <w:rPr>
          <w:sz w:val="20"/>
          <w:lang w:val="fr-CA"/>
        </w:rPr>
      </w:pPr>
    </w:p>
    <w:p w:rsidR="00D1702A" w:rsidRPr="00D1702A" w:rsidRDefault="00D1702A" w:rsidP="00D1702A">
      <w:pPr>
        <w:pStyle w:val="SCCNormalDoubleSpacing"/>
        <w:spacing w:line="240" w:lineRule="auto"/>
        <w:rPr>
          <w:sz w:val="20"/>
          <w:lang w:val="fr-CA"/>
        </w:rPr>
      </w:pPr>
      <w:r w:rsidRPr="00D1702A">
        <w:rPr>
          <w:rStyle w:val="SCCCounselNameChar"/>
          <w:sz w:val="20"/>
          <w:lang w:val="fr-CA"/>
        </w:rPr>
        <w:tab/>
        <w:t>Fergus J. (Chip) O’Connor</w:t>
      </w:r>
      <w:r w:rsidRPr="00D1702A">
        <w:rPr>
          <w:rStyle w:val="SCCCounselPartyRoleChar"/>
          <w:sz w:val="20"/>
          <w:lang w:val="fr-CA"/>
        </w:rPr>
        <w:t>, pour l’appelant Manasie Ipeelee.</w:t>
      </w:r>
    </w:p>
    <w:p w:rsidR="00D1702A" w:rsidRPr="00D1702A" w:rsidRDefault="00D1702A" w:rsidP="00D1702A">
      <w:pPr>
        <w:pStyle w:val="SCCNormalDoubleSpacing"/>
        <w:spacing w:line="240" w:lineRule="auto"/>
        <w:rPr>
          <w:rStyle w:val="SCCCounselNameChar"/>
          <w:sz w:val="20"/>
          <w:lang w:val="fr-CA"/>
        </w:rPr>
      </w:pPr>
    </w:p>
    <w:p w:rsidR="00D1702A" w:rsidRPr="00D1702A" w:rsidRDefault="00D1702A" w:rsidP="00D1702A">
      <w:pPr>
        <w:pStyle w:val="SCCNormalDoubleSpacing"/>
        <w:spacing w:line="240" w:lineRule="auto"/>
        <w:rPr>
          <w:sz w:val="20"/>
          <w:lang w:val="fr-CA"/>
        </w:rPr>
      </w:pPr>
      <w:r w:rsidRPr="00D1702A">
        <w:rPr>
          <w:rStyle w:val="SCCCounselNameChar"/>
          <w:sz w:val="20"/>
          <w:lang w:val="fr-CA"/>
        </w:rPr>
        <w:tab/>
        <w:t>Gillian E. Roberts</w:t>
      </w:r>
      <w:r w:rsidRPr="00D1702A">
        <w:rPr>
          <w:rStyle w:val="SCCCounselPartyRoleChar"/>
          <w:sz w:val="20"/>
          <w:lang w:val="fr-CA"/>
        </w:rPr>
        <w:t>, pour l’intimée Sa Majesté la Reine.</w:t>
      </w:r>
    </w:p>
    <w:p w:rsidR="00D1702A" w:rsidRPr="00D1702A" w:rsidRDefault="00D1702A" w:rsidP="00D1702A">
      <w:pPr>
        <w:pStyle w:val="SCCNormalDoubleSpacing"/>
        <w:spacing w:line="240" w:lineRule="auto"/>
        <w:rPr>
          <w:rStyle w:val="SCCCounselNameChar"/>
          <w:sz w:val="20"/>
          <w:lang w:val="fr-CA"/>
        </w:rPr>
      </w:pPr>
    </w:p>
    <w:p w:rsidR="00D1702A" w:rsidRPr="00D1702A" w:rsidRDefault="00D1702A" w:rsidP="00D1702A">
      <w:pPr>
        <w:pStyle w:val="SCCNormalDoubleSpacing"/>
        <w:spacing w:line="240" w:lineRule="auto"/>
        <w:rPr>
          <w:sz w:val="20"/>
          <w:lang w:val="fr-CA"/>
        </w:rPr>
      </w:pPr>
      <w:r w:rsidRPr="00D1702A">
        <w:rPr>
          <w:rStyle w:val="SCCCounselNameChar"/>
          <w:sz w:val="20"/>
          <w:lang w:val="fr-CA"/>
        </w:rPr>
        <w:tab/>
        <w:t>Susanne Boucher et François Lacasse</w:t>
      </w:r>
      <w:r w:rsidRPr="00D1702A">
        <w:rPr>
          <w:rStyle w:val="SCCCounselPartyRoleChar"/>
          <w:sz w:val="20"/>
          <w:lang w:val="fr-CA"/>
        </w:rPr>
        <w:t>, pour l’intervenant le directeur des poursuites pénales.</w:t>
      </w:r>
    </w:p>
    <w:p w:rsidR="00D1702A" w:rsidRPr="00D1702A" w:rsidRDefault="00D1702A" w:rsidP="00D1702A">
      <w:pPr>
        <w:pStyle w:val="SCCNormalDoubleSpacing"/>
        <w:spacing w:line="240" w:lineRule="auto"/>
        <w:rPr>
          <w:rStyle w:val="SCCCounselNameChar"/>
          <w:sz w:val="20"/>
          <w:lang w:val="fr-CA"/>
        </w:rPr>
      </w:pPr>
    </w:p>
    <w:p w:rsidR="00D1702A" w:rsidRPr="00D1702A" w:rsidRDefault="00D1702A" w:rsidP="00D1702A">
      <w:pPr>
        <w:pStyle w:val="SCCNormalDoubleSpacing"/>
        <w:spacing w:line="240" w:lineRule="auto"/>
        <w:rPr>
          <w:sz w:val="20"/>
          <w:lang w:val="fr-CA"/>
        </w:rPr>
      </w:pPr>
      <w:r w:rsidRPr="00D1702A">
        <w:rPr>
          <w:rStyle w:val="SCCCounselNameChar"/>
          <w:sz w:val="20"/>
          <w:lang w:val="fr-CA"/>
        </w:rPr>
        <w:tab/>
        <w:t>Jonathan Rudin</w:t>
      </w:r>
      <w:r w:rsidRPr="00E54934">
        <w:rPr>
          <w:rStyle w:val="SCCCounselSeparatorChar"/>
          <w:sz w:val="20"/>
        </w:rPr>
        <w:t xml:space="preserve"> et </w:t>
      </w:r>
      <w:r w:rsidRPr="00D1702A">
        <w:rPr>
          <w:rStyle w:val="SCCCounselNameChar"/>
          <w:sz w:val="20"/>
          <w:lang w:val="fr-CA"/>
        </w:rPr>
        <w:t>Amanda Driscoll</w:t>
      </w:r>
      <w:r w:rsidRPr="00D1702A">
        <w:rPr>
          <w:rStyle w:val="SCCCounselPartyRoleChar"/>
          <w:sz w:val="20"/>
          <w:lang w:val="fr-CA"/>
        </w:rPr>
        <w:t>, pour l’intervenante Aboriginal Legal Services of Toronto Inc.</w:t>
      </w:r>
    </w:p>
    <w:p w:rsidR="00D1702A" w:rsidRPr="00D1702A" w:rsidRDefault="00D1702A" w:rsidP="00D1702A">
      <w:pPr>
        <w:pStyle w:val="SCCNormalDoubleSpacing"/>
        <w:spacing w:line="240" w:lineRule="auto"/>
        <w:rPr>
          <w:rStyle w:val="SCCCounselNameChar"/>
          <w:sz w:val="20"/>
          <w:lang w:val="fr-CA"/>
        </w:rPr>
      </w:pPr>
    </w:p>
    <w:p w:rsidR="00D1702A" w:rsidRPr="00D1702A" w:rsidRDefault="00D1702A" w:rsidP="00D1702A">
      <w:pPr>
        <w:pStyle w:val="SCCNormalDoubleSpacing"/>
        <w:spacing w:line="240" w:lineRule="auto"/>
        <w:rPr>
          <w:sz w:val="20"/>
          <w:lang w:val="fr-CA"/>
        </w:rPr>
      </w:pPr>
      <w:r w:rsidRPr="00D1702A">
        <w:rPr>
          <w:rStyle w:val="SCCCounselNameChar"/>
          <w:sz w:val="20"/>
          <w:lang w:val="fr-CA"/>
        </w:rPr>
        <w:tab/>
        <w:t>Mary T. Ainslie</w:t>
      </w:r>
      <w:r w:rsidRPr="00D1702A">
        <w:rPr>
          <w:rStyle w:val="SCCCounselPartyRoleChar"/>
          <w:sz w:val="20"/>
          <w:lang w:val="fr-CA"/>
        </w:rPr>
        <w:t>, pour l’appelante Sa Majesté la Reine.</w:t>
      </w:r>
    </w:p>
    <w:p w:rsidR="00D1702A" w:rsidRPr="00D1702A" w:rsidRDefault="00D1702A" w:rsidP="00D1702A">
      <w:pPr>
        <w:pStyle w:val="SCCNormalDoubleSpacing"/>
        <w:spacing w:line="240" w:lineRule="auto"/>
        <w:rPr>
          <w:rStyle w:val="SCCCounselNameChar"/>
          <w:sz w:val="20"/>
          <w:lang w:val="fr-CA"/>
        </w:rPr>
      </w:pPr>
    </w:p>
    <w:p w:rsidR="00D1702A" w:rsidRPr="00D1702A" w:rsidRDefault="00D1702A" w:rsidP="00D1702A">
      <w:pPr>
        <w:pStyle w:val="SCCNormalDoubleSpacing"/>
        <w:spacing w:line="240" w:lineRule="auto"/>
        <w:rPr>
          <w:sz w:val="20"/>
          <w:lang w:val="fr-CA"/>
        </w:rPr>
      </w:pPr>
      <w:r w:rsidRPr="00D1702A">
        <w:rPr>
          <w:rStyle w:val="SCCCounselNameChar"/>
          <w:sz w:val="20"/>
          <w:lang w:val="fr-CA"/>
        </w:rPr>
        <w:tab/>
        <w:t>Hovan M. Patey,</w:t>
      </w:r>
      <w:r w:rsidRPr="00E54934">
        <w:rPr>
          <w:rStyle w:val="SCCCounselSeparatorChar"/>
          <w:sz w:val="20"/>
        </w:rPr>
        <w:t xml:space="preserve"> </w:t>
      </w:r>
      <w:r w:rsidRPr="00D1702A">
        <w:rPr>
          <w:i/>
          <w:sz w:val="20"/>
          <w:lang w:val="fr-CA"/>
        </w:rPr>
        <w:t>Laurence D. Myers</w:t>
      </w:r>
      <w:r w:rsidRPr="00D1702A">
        <w:rPr>
          <w:sz w:val="20"/>
          <w:lang w:val="fr-CA"/>
        </w:rPr>
        <w:t xml:space="preserve">, </w:t>
      </w:r>
      <w:r w:rsidRPr="00D1702A">
        <w:rPr>
          <w:i/>
          <w:sz w:val="20"/>
          <w:lang w:val="fr-CA"/>
        </w:rPr>
        <w:t>c.r.</w:t>
      </w:r>
      <w:r w:rsidRPr="00D1702A">
        <w:rPr>
          <w:sz w:val="20"/>
          <w:lang w:val="fr-CA"/>
        </w:rPr>
        <w:t xml:space="preserve">, </w:t>
      </w:r>
      <w:r w:rsidRPr="00E54934">
        <w:rPr>
          <w:rStyle w:val="SCCCounselSeparatorChar"/>
          <w:sz w:val="20"/>
        </w:rPr>
        <w:t xml:space="preserve">et </w:t>
      </w:r>
      <w:r w:rsidRPr="00D1702A">
        <w:rPr>
          <w:rStyle w:val="SCCCounselNameChar"/>
          <w:sz w:val="20"/>
          <w:lang w:val="fr-CA"/>
        </w:rPr>
        <w:t>Kristy L. Neurauter</w:t>
      </w:r>
      <w:r w:rsidRPr="00D1702A">
        <w:rPr>
          <w:rStyle w:val="SCCCounselPartyRoleChar"/>
          <w:sz w:val="20"/>
          <w:lang w:val="fr-CA"/>
        </w:rPr>
        <w:t>, pour l’intimé Frank Ralph Ladue.</w:t>
      </w:r>
    </w:p>
    <w:p w:rsidR="00D1702A" w:rsidRPr="00D1702A" w:rsidRDefault="00D1702A" w:rsidP="00D1702A">
      <w:pPr>
        <w:pStyle w:val="SCCNormalDoubleSpacing"/>
        <w:spacing w:line="240" w:lineRule="auto"/>
        <w:rPr>
          <w:rStyle w:val="SCCCounselNameChar"/>
          <w:sz w:val="20"/>
          <w:lang w:val="fr-CA"/>
        </w:rPr>
      </w:pPr>
    </w:p>
    <w:p w:rsidR="00D1702A" w:rsidRPr="00D1702A" w:rsidRDefault="00D1702A" w:rsidP="00D1702A">
      <w:pPr>
        <w:pStyle w:val="SCCNormalDoubleSpacing"/>
        <w:spacing w:line="240" w:lineRule="auto"/>
        <w:rPr>
          <w:sz w:val="20"/>
          <w:lang w:val="fr-CA"/>
        </w:rPr>
      </w:pPr>
      <w:r w:rsidRPr="00D1702A">
        <w:rPr>
          <w:rStyle w:val="SCCCounselNameChar"/>
          <w:sz w:val="20"/>
          <w:lang w:val="fr-CA"/>
        </w:rPr>
        <w:tab/>
      </w:r>
      <w:r w:rsidRPr="00D1702A">
        <w:rPr>
          <w:rStyle w:val="SCCCounselNameChar"/>
          <w:i w:val="0"/>
          <w:sz w:val="20"/>
          <w:lang w:val="fr-CA"/>
        </w:rPr>
        <w:t>Argumentation écrite seulement par</w:t>
      </w:r>
      <w:r w:rsidRPr="00D1702A">
        <w:rPr>
          <w:rStyle w:val="SCCCounselNameChar"/>
          <w:sz w:val="20"/>
          <w:lang w:val="fr-CA"/>
        </w:rPr>
        <w:t xml:space="preserve"> Kent Roach et Kelly Doctor</w:t>
      </w:r>
      <w:r w:rsidRPr="00D1702A">
        <w:rPr>
          <w:rStyle w:val="SCCCounselPartyRoleChar"/>
          <w:sz w:val="20"/>
          <w:lang w:val="fr-CA"/>
        </w:rPr>
        <w:t>, pour l’intervenante l’Association des libertés civiles de la Colombie</w:t>
      </w:r>
      <w:r w:rsidRPr="00D1702A">
        <w:rPr>
          <w:rStyle w:val="SCCCounselPartyRoleChar"/>
          <w:sz w:val="20"/>
          <w:lang w:val="fr-CA"/>
        </w:rPr>
        <w:noBreakHyphen/>
        <w:t>Britannique.</w:t>
      </w:r>
    </w:p>
    <w:p w:rsidR="00D1702A" w:rsidRPr="00D1702A" w:rsidRDefault="00D1702A" w:rsidP="00D1702A">
      <w:pPr>
        <w:pStyle w:val="SCCNormalDoubleSpacing"/>
        <w:spacing w:line="240" w:lineRule="auto"/>
        <w:rPr>
          <w:rStyle w:val="SCCCounselNameChar"/>
          <w:sz w:val="20"/>
          <w:lang w:val="fr-CA"/>
        </w:rPr>
      </w:pPr>
    </w:p>
    <w:p w:rsidR="00D1702A" w:rsidRPr="00D1702A" w:rsidRDefault="00D1702A" w:rsidP="00D1702A">
      <w:pPr>
        <w:pStyle w:val="SCCNormalDoubleSpacing"/>
        <w:spacing w:line="240" w:lineRule="auto"/>
        <w:rPr>
          <w:sz w:val="20"/>
          <w:lang w:val="fr-CA"/>
        </w:rPr>
      </w:pPr>
      <w:r w:rsidRPr="00D1702A">
        <w:rPr>
          <w:rStyle w:val="SCCCounselNameChar"/>
          <w:sz w:val="20"/>
          <w:lang w:val="fr-CA"/>
        </w:rPr>
        <w:tab/>
      </w:r>
      <w:r w:rsidRPr="00D1702A">
        <w:rPr>
          <w:rStyle w:val="SCCCounselNameChar"/>
          <w:i w:val="0"/>
          <w:sz w:val="20"/>
          <w:lang w:val="fr-CA"/>
        </w:rPr>
        <w:t>Argumentation écrite seulement par</w:t>
      </w:r>
      <w:r w:rsidRPr="00D1702A">
        <w:rPr>
          <w:rStyle w:val="SCCCounselNameChar"/>
          <w:sz w:val="20"/>
          <w:lang w:val="fr-CA"/>
        </w:rPr>
        <w:t xml:space="preserve"> Clayton C. Ruby</w:t>
      </w:r>
      <w:r w:rsidRPr="00E54934">
        <w:rPr>
          <w:rStyle w:val="SCCCounselSeparatorChar"/>
          <w:sz w:val="20"/>
        </w:rPr>
        <w:t xml:space="preserve">, </w:t>
      </w:r>
      <w:r w:rsidRPr="00D1702A">
        <w:rPr>
          <w:rStyle w:val="SCCCounselNameChar"/>
          <w:sz w:val="20"/>
          <w:lang w:val="fr-CA"/>
        </w:rPr>
        <w:t>Nader R. Hasan</w:t>
      </w:r>
      <w:r w:rsidRPr="00E54934">
        <w:rPr>
          <w:rStyle w:val="SCCCounselSeparatorChar"/>
          <w:sz w:val="20"/>
        </w:rPr>
        <w:t xml:space="preserve"> et </w:t>
      </w:r>
      <w:r w:rsidRPr="00D1702A">
        <w:rPr>
          <w:rStyle w:val="SCCCounselNameChar"/>
          <w:sz w:val="20"/>
          <w:lang w:val="fr-CA"/>
        </w:rPr>
        <w:t>Gerald J. Chan</w:t>
      </w:r>
      <w:r w:rsidRPr="00D1702A">
        <w:rPr>
          <w:rStyle w:val="SCCCounselPartyRoleChar"/>
          <w:sz w:val="20"/>
          <w:lang w:val="fr-CA"/>
        </w:rPr>
        <w:t>, pour l’intervenante l’Association canadienne des libertés civiles.</w:t>
      </w:r>
    </w:p>
    <w:p w:rsidR="00D1702A" w:rsidRPr="00D1702A" w:rsidRDefault="00D1702A" w:rsidP="00D1702A">
      <w:pPr>
        <w:pStyle w:val="SCCLawFirm"/>
        <w:spacing w:line="240" w:lineRule="auto"/>
        <w:rPr>
          <w:sz w:val="20"/>
          <w:lang w:val="fr-CA"/>
        </w:rPr>
      </w:pPr>
    </w:p>
    <w:p w:rsidR="00D1702A" w:rsidRPr="00D1702A" w:rsidRDefault="00D1702A" w:rsidP="00D1702A">
      <w:pPr>
        <w:pStyle w:val="SCCLawFirm"/>
        <w:spacing w:line="240" w:lineRule="auto"/>
        <w:rPr>
          <w:sz w:val="20"/>
          <w:lang w:val="fr-CA"/>
        </w:rPr>
      </w:pPr>
      <w:r w:rsidRPr="00D1702A">
        <w:rPr>
          <w:sz w:val="20"/>
          <w:lang w:val="fr-CA"/>
        </w:rPr>
        <w:tab/>
        <w:t>Procureur de l’appelant Manasie Ipeelee : Fergus J. (Chip) O’Connor, Kingston.</w:t>
      </w:r>
    </w:p>
    <w:p w:rsidR="00D1702A" w:rsidRPr="00D1702A" w:rsidRDefault="00D1702A" w:rsidP="00D1702A">
      <w:pPr>
        <w:pStyle w:val="SCCLawFirm"/>
        <w:spacing w:line="240" w:lineRule="auto"/>
        <w:rPr>
          <w:sz w:val="20"/>
          <w:lang w:val="fr-CA"/>
        </w:rPr>
      </w:pPr>
    </w:p>
    <w:p w:rsidR="00D1702A" w:rsidRPr="00D1702A" w:rsidRDefault="00D1702A" w:rsidP="00D1702A">
      <w:pPr>
        <w:pStyle w:val="SCCLawFirm"/>
        <w:spacing w:line="240" w:lineRule="auto"/>
        <w:rPr>
          <w:sz w:val="20"/>
          <w:lang w:val="fr-CA"/>
        </w:rPr>
      </w:pPr>
      <w:r w:rsidRPr="00D1702A">
        <w:rPr>
          <w:sz w:val="20"/>
          <w:lang w:val="fr-CA"/>
        </w:rPr>
        <w:tab/>
        <w:t>Procureur de l’intimée Sa Majesté la Reine : Procureur général de l’Ontario, Toronto.</w:t>
      </w:r>
    </w:p>
    <w:p w:rsidR="00D1702A" w:rsidRPr="00D1702A" w:rsidRDefault="00D1702A" w:rsidP="00D1702A">
      <w:pPr>
        <w:pStyle w:val="SCCLawFirm"/>
        <w:spacing w:line="240" w:lineRule="auto"/>
        <w:rPr>
          <w:sz w:val="20"/>
          <w:lang w:val="fr-CA"/>
        </w:rPr>
      </w:pPr>
    </w:p>
    <w:p w:rsidR="00D1702A" w:rsidRPr="00D1702A" w:rsidRDefault="00D1702A" w:rsidP="00D1702A">
      <w:pPr>
        <w:pStyle w:val="SCCLawFirm"/>
        <w:spacing w:line="240" w:lineRule="auto"/>
        <w:rPr>
          <w:sz w:val="20"/>
          <w:lang w:val="fr-CA"/>
        </w:rPr>
      </w:pPr>
      <w:r w:rsidRPr="00D1702A">
        <w:rPr>
          <w:sz w:val="20"/>
          <w:lang w:val="fr-CA"/>
        </w:rPr>
        <w:tab/>
        <w:t>Procureur de l’intervenant le directeur des poursuites pénales : Service des poursuites pénales du Canada, Iqaluit.</w:t>
      </w:r>
    </w:p>
    <w:p w:rsidR="00D1702A" w:rsidRPr="00D1702A" w:rsidRDefault="00D1702A" w:rsidP="00D1702A">
      <w:pPr>
        <w:pStyle w:val="SCCLawFirm"/>
        <w:spacing w:line="240" w:lineRule="auto"/>
        <w:rPr>
          <w:sz w:val="20"/>
          <w:lang w:val="fr-CA"/>
        </w:rPr>
      </w:pPr>
    </w:p>
    <w:p w:rsidR="00D1702A" w:rsidRPr="00D1702A" w:rsidRDefault="00D1702A" w:rsidP="00D1702A">
      <w:pPr>
        <w:pStyle w:val="SCCLawFirm"/>
        <w:spacing w:line="240" w:lineRule="auto"/>
        <w:rPr>
          <w:sz w:val="20"/>
          <w:lang w:val="fr-CA"/>
        </w:rPr>
      </w:pPr>
      <w:r w:rsidRPr="00D1702A">
        <w:rPr>
          <w:sz w:val="20"/>
          <w:lang w:val="fr-CA"/>
        </w:rPr>
        <w:tab/>
        <w:t>Procureurs de l’intervenante Aboriginal Legal Services of Toronto Inc. : Aboriginal Legal Services of Toronto Inc., Toronto.</w:t>
      </w:r>
    </w:p>
    <w:p w:rsidR="00D1702A" w:rsidRPr="00D1702A" w:rsidRDefault="00D1702A" w:rsidP="00D1702A">
      <w:pPr>
        <w:pStyle w:val="SCCLawFirm"/>
        <w:spacing w:line="240" w:lineRule="auto"/>
        <w:rPr>
          <w:sz w:val="20"/>
          <w:lang w:val="fr-CA"/>
        </w:rPr>
      </w:pPr>
    </w:p>
    <w:p w:rsidR="00D1702A" w:rsidRPr="00D1702A" w:rsidRDefault="00D1702A" w:rsidP="00D1702A">
      <w:pPr>
        <w:pStyle w:val="SCCLawFirm"/>
        <w:spacing w:line="240" w:lineRule="auto"/>
        <w:rPr>
          <w:sz w:val="20"/>
          <w:lang w:val="fr-CA"/>
        </w:rPr>
      </w:pPr>
      <w:r w:rsidRPr="00D1702A">
        <w:rPr>
          <w:sz w:val="20"/>
          <w:lang w:val="fr-CA"/>
        </w:rPr>
        <w:tab/>
        <w:t>Procureur de l’appelante Sa Majesté la Reine : Procureur général de la Colombie</w:t>
      </w:r>
      <w:r w:rsidRPr="00D1702A">
        <w:rPr>
          <w:sz w:val="20"/>
          <w:lang w:val="fr-CA"/>
        </w:rPr>
        <w:noBreakHyphen/>
        <w:t>Britannique, Vancouver.</w:t>
      </w:r>
    </w:p>
    <w:p w:rsidR="00D1702A" w:rsidRPr="00D1702A" w:rsidRDefault="00D1702A" w:rsidP="00D1702A">
      <w:pPr>
        <w:pStyle w:val="SCCLawFirm"/>
        <w:spacing w:line="240" w:lineRule="auto"/>
        <w:rPr>
          <w:sz w:val="20"/>
          <w:lang w:val="fr-CA"/>
        </w:rPr>
      </w:pPr>
    </w:p>
    <w:p w:rsidR="00D1702A" w:rsidRPr="00D1702A" w:rsidRDefault="00D1702A" w:rsidP="00D1702A">
      <w:pPr>
        <w:pStyle w:val="SCCLawFirm"/>
        <w:spacing w:line="240" w:lineRule="auto"/>
        <w:rPr>
          <w:sz w:val="20"/>
          <w:lang w:val="fr-CA"/>
        </w:rPr>
      </w:pPr>
      <w:r w:rsidRPr="00D1702A">
        <w:rPr>
          <w:sz w:val="20"/>
          <w:lang w:val="fr-CA"/>
        </w:rPr>
        <w:tab/>
        <w:t>Procureurs de l’intimé Frank Ralph Ladue : Myers, McMurdo &amp; Karp, Vancouver.</w:t>
      </w:r>
    </w:p>
    <w:p w:rsidR="00D1702A" w:rsidRPr="00D1702A" w:rsidRDefault="00D1702A" w:rsidP="00D1702A">
      <w:pPr>
        <w:pStyle w:val="SCCLawFirm"/>
        <w:spacing w:line="240" w:lineRule="auto"/>
        <w:rPr>
          <w:sz w:val="20"/>
          <w:lang w:val="fr-CA"/>
        </w:rPr>
      </w:pPr>
    </w:p>
    <w:p w:rsidR="00D1702A" w:rsidRDefault="00D1702A">
      <w:pPr>
        <w:rPr>
          <w:rFonts w:eastAsia="Times New Roman" w:cs="Times New Roman"/>
          <w:i/>
          <w:sz w:val="20"/>
          <w:szCs w:val="20"/>
          <w:lang w:val="fr-CA" w:eastAsia="en-CA"/>
        </w:rPr>
      </w:pPr>
      <w:r>
        <w:rPr>
          <w:sz w:val="20"/>
          <w:lang w:val="fr-CA"/>
        </w:rPr>
        <w:br w:type="page"/>
      </w:r>
    </w:p>
    <w:p w:rsidR="00D1702A" w:rsidRPr="00D1702A" w:rsidRDefault="00D1702A" w:rsidP="00D1702A">
      <w:pPr>
        <w:pStyle w:val="SCCLawFirm"/>
        <w:spacing w:line="240" w:lineRule="auto"/>
        <w:rPr>
          <w:sz w:val="20"/>
          <w:lang w:val="fr-CA"/>
        </w:rPr>
      </w:pPr>
      <w:r w:rsidRPr="00D1702A">
        <w:rPr>
          <w:sz w:val="20"/>
          <w:lang w:val="fr-CA"/>
        </w:rPr>
        <w:lastRenderedPageBreak/>
        <w:tab/>
        <w:t>Procureur de l’intervenante l’Association des libertés civiles de la Colombie</w:t>
      </w:r>
      <w:r w:rsidRPr="00D1702A">
        <w:rPr>
          <w:sz w:val="20"/>
          <w:lang w:val="fr-CA"/>
        </w:rPr>
        <w:noBreakHyphen/>
        <w:t>Britannique : University of Toronto, Toronto.</w:t>
      </w:r>
    </w:p>
    <w:p w:rsidR="00D1702A" w:rsidRPr="00D1702A" w:rsidRDefault="00D1702A" w:rsidP="00D1702A">
      <w:pPr>
        <w:pStyle w:val="SCCLawFirm"/>
        <w:spacing w:line="240" w:lineRule="auto"/>
        <w:rPr>
          <w:sz w:val="20"/>
          <w:lang w:val="fr-CA"/>
        </w:rPr>
      </w:pPr>
    </w:p>
    <w:p w:rsidR="00D1702A" w:rsidRPr="00D1702A" w:rsidRDefault="00D1702A" w:rsidP="00D1702A">
      <w:pPr>
        <w:pStyle w:val="SCCLawFirm"/>
        <w:spacing w:line="240" w:lineRule="auto"/>
        <w:rPr>
          <w:sz w:val="20"/>
          <w:lang w:val="fr-CA"/>
        </w:rPr>
      </w:pPr>
      <w:r w:rsidRPr="00D1702A">
        <w:rPr>
          <w:sz w:val="20"/>
          <w:lang w:val="fr-CA"/>
        </w:rPr>
        <w:tab/>
        <w:t>Procureurs de l’intervenante l’Association canadienne des libertés civiles : Ruby, Shiller, Chan, Toronto.</w:t>
      </w:r>
    </w:p>
    <w:p w:rsidR="00197CDB" w:rsidRPr="00D1702A" w:rsidRDefault="00197CDB" w:rsidP="003B3977">
      <w:pPr>
        <w:rPr>
          <w:sz w:val="20"/>
          <w:szCs w:val="20"/>
          <w:lang w:val="fr-CA"/>
        </w:rPr>
      </w:pPr>
    </w:p>
    <w:p w:rsidR="00197CDB" w:rsidRPr="00D1702A" w:rsidRDefault="0011031E" w:rsidP="003B3977">
      <w:pPr>
        <w:rPr>
          <w:sz w:val="20"/>
          <w:szCs w:val="20"/>
          <w:lang w:val="fr-CA"/>
        </w:rPr>
      </w:pPr>
      <w:r w:rsidRPr="0011031E">
        <w:rPr>
          <w:rFonts w:cs="Times New Roman"/>
          <w:sz w:val="20"/>
          <w:szCs w:val="20"/>
          <w:lang w:val="fr-CA"/>
        </w:rPr>
        <w:pict>
          <v:rect id="_x0000_i1080" style="width:144.3pt;height:1pt" o:hrpct="300" o:hralign="center" o:hrstd="t" o:hrnoshade="t" o:hr="t" fillcolor="black [3213]" stroked="f"/>
        </w:pict>
      </w:r>
    </w:p>
    <w:p w:rsidR="00197CDB" w:rsidRPr="00D1702A" w:rsidRDefault="00197CDB" w:rsidP="003B3977">
      <w:pPr>
        <w:rPr>
          <w:sz w:val="20"/>
          <w:szCs w:val="20"/>
          <w:lang w:val="fr-CA"/>
        </w:rPr>
      </w:pPr>
    </w:p>
    <w:p w:rsidR="00197CDB" w:rsidRPr="00D1702A" w:rsidRDefault="00197CDB" w:rsidP="003B3977">
      <w:pPr>
        <w:rPr>
          <w:sz w:val="20"/>
          <w:szCs w:val="20"/>
          <w:lang w:val="fr-CA"/>
        </w:rPr>
      </w:pPr>
    </w:p>
    <w:p w:rsidR="00197CDB" w:rsidRPr="00D1702A" w:rsidRDefault="00197CDB" w:rsidP="003B3977">
      <w:pPr>
        <w:rPr>
          <w:sz w:val="20"/>
          <w:szCs w:val="20"/>
          <w:lang w:val="fr-CA"/>
        </w:rPr>
      </w:pPr>
    </w:p>
    <w:p w:rsidR="005C6840" w:rsidRPr="00D1702A" w:rsidRDefault="005C6840" w:rsidP="005C6840">
      <w:pPr>
        <w:jc w:val="both"/>
        <w:rPr>
          <w:sz w:val="20"/>
          <w:szCs w:val="20"/>
          <w:lang w:val="fr-CA"/>
        </w:rPr>
      </w:pPr>
    </w:p>
    <w:p w:rsidR="00102926" w:rsidRPr="00D1702A" w:rsidRDefault="00102926" w:rsidP="00782AE4">
      <w:pPr>
        <w:jc w:val="both"/>
        <w:rPr>
          <w:sz w:val="20"/>
          <w:szCs w:val="20"/>
          <w:lang w:val="fr-CA"/>
        </w:rPr>
        <w:sectPr w:rsidR="00102926" w:rsidRPr="00D1702A"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p w:rsidR="00E903A1" w:rsidRPr="002E0C7E" w:rsidRDefault="0011031E"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4"/>
      <w:footerReference w:type="default" r:id="rId5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567" w:rsidRDefault="00D56567" w:rsidP="00A87207">
      <w:r>
        <w:separator/>
      </w:r>
    </w:p>
  </w:endnote>
  <w:endnote w:type="continuationSeparator" w:id="0">
    <w:p w:rsidR="00D56567" w:rsidRDefault="00D56567"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11031E">
    <w:pPr>
      <w:pStyle w:val="Footer"/>
      <w:rPr>
        <w:lang w:val="fr-CA"/>
      </w:rPr>
    </w:pPr>
    <w:r w:rsidRPr="0011031E">
      <w:rPr>
        <w:lang w:val="fr-CA"/>
      </w:rPr>
      <w:pict>
        <v:rect id="_x0000_i1054" style="width:480.95pt;height:1pt" o:hralign="center" o:hrstd="t" o:hrnoshade="t" o:hr="t" fillcolor="black [3213]" stroked="f"/>
      </w:pict>
    </w:r>
  </w:p>
  <w:p w:rsidR="00D56567" w:rsidRDefault="00D56567" w:rsidP="00245129">
    <w:pPr>
      <w:tabs>
        <w:tab w:val="center" w:pos="4680"/>
      </w:tabs>
    </w:pPr>
    <w:r>
      <w:tab/>
    </w:r>
    <w:r w:rsidRPr="0009648D">
      <w:t xml:space="preserve">- </w:t>
    </w:r>
    <w:fldSimple w:instr=" PAGE   \* MERGEFORMAT ">
      <w:r w:rsidR="007D5BF8">
        <w:rPr>
          <w:noProof/>
        </w:rPr>
        <w:t>384</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6567"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6567" w:rsidRDefault="00D56567">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11031E" w:rsidP="00755F22">
    <w:pPr>
      <w:tabs>
        <w:tab w:val="left" w:pos="-1440"/>
        <w:tab w:val="left" w:pos="-720"/>
      </w:tabs>
    </w:pPr>
    <w:r>
      <w:pict>
        <v:rect id="_x0000_i1063" style="width:480.95pt;height:1pt" o:hralign="center" o:hrstd="t" o:hrnoshade="t" o:hr="t" fillcolor="black [3213]" stroked="f"/>
      </w:pict>
    </w:r>
  </w:p>
  <w:p w:rsidR="00D56567" w:rsidRDefault="00D56567" w:rsidP="00EB2B90">
    <w:pPr>
      <w:tabs>
        <w:tab w:val="center" w:pos="4680"/>
      </w:tabs>
    </w:pPr>
    <w:r>
      <w:tab/>
      <w:t xml:space="preserve">- </w:t>
    </w:r>
    <w:fldSimple w:instr=" PAGE   \* MERGEFORMAT ">
      <w:r w:rsidR="007D5BF8">
        <w:rPr>
          <w:noProof/>
        </w:rPr>
        <w:t>401</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11031E" w:rsidP="00EB2B90">
    <w:pPr>
      <w:tabs>
        <w:tab w:val="center" w:pos="4680"/>
      </w:tabs>
    </w:pPr>
    <w:r>
      <w:pict>
        <v:rect id="_x0000_i1064" style="width:480.95pt;height:1pt" o:hralign="center" o:hrstd="t" o:hrnoshade="t" o:hr="t" fillcolor="black [3213]" stroked="f"/>
      </w:pict>
    </w:r>
  </w:p>
  <w:p w:rsidR="00D56567" w:rsidRPr="0031432F" w:rsidRDefault="00D56567" w:rsidP="00EB2B90">
    <w:pPr>
      <w:tabs>
        <w:tab w:val="center" w:pos="4680"/>
      </w:tabs>
    </w:pPr>
    <w:r>
      <w:tab/>
      <w:t xml:space="preserve">- </w:t>
    </w:r>
    <w:fldSimple w:instr=" PAGE   \* MERGEFORMAT ">
      <w:r w:rsidR="007D5BF8">
        <w:rPr>
          <w:noProof/>
        </w:rPr>
        <w:t>396</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6567"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6567" w:rsidRDefault="00D56567">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11031E" w:rsidP="00732DB7">
    <w:r>
      <w:pict>
        <v:rect id="_x0000_i1070" style="width:480.95pt;height:1pt" o:hralign="center" o:hrstd="t" o:hrnoshade="t" o:hr="t" fillcolor="black" stroked="f"/>
      </w:pict>
    </w:r>
  </w:p>
  <w:p w:rsidR="00D56567" w:rsidRDefault="00D56567">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11031E">
    <w:pPr>
      <w:pStyle w:val="Footer"/>
    </w:pPr>
    <w:r>
      <w:pict>
        <v:rect id="_x0000_i1071" style="width:480.95pt;height:1pt" o:hralign="center" o:hrstd="t" o:hrnoshade="t" o:hr="t" fillcolor="black" stroked="f"/>
      </w:pict>
    </w:r>
  </w:p>
  <w:p w:rsidR="00D56567" w:rsidRPr="00283C52" w:rsidRDefault="00D56567">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6567"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6567" w:rsidRDefault="00D5656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11031E" w:rsidP="00732DB7">
    <w:r>
      <w:pict>
        <v:rect id="_x0000_i1075" style="width:480.95pt;height:1pt" o:hralign="center" o:hrstd="t" o:hrnoshade="t" o:hr="t" fillcolor="black" stroked="f"/>
      </w:pict>
    </w:r>
  </w:p>
  <w:p w:rsidR="00D56567" w:rsidRDefault="00D56567">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11031E">
    <w:pPr>
      <w:pStyle w:val="Footer"/>
    </w:pPr>
    <w:r>
      <w:pict>
        <v:rect id="_x0000_i1076" style="width:480.95pt;height:1pt" o:hralign="center" o:hrstd="t" o:hrnoshade="t" o:hr="t" fillcolor="black [3213]" stroked="f"/>
      </w:pict>
    </w:r>
  </w:p>
  <w:p w:rsidR="00D56567" w:rsidRPr="003C2C0F" w:rsidRDefault="00D56567" w:rsidP="00697C62">
    <w:pPr>
      <w:tabs>
        <w:tab w:val="center" w:pos="4680"/>
      </w:tabs>
    </w:pPr>
    <w:r>
      <w:tab/>
      <w:t xml:space="preserve">- </w:t>
    </w:r>
    <w:fldSimple w:instr=" PAGE   \* MERGEFORMAT ">
      <w:r w:rsidR="007D5BF8">
        <w:rPr>
          <w:noProof/>
        </w:rPr>
        <w:t>409</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6567"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6567" w:rsidRDefault="00D56567">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56567" w:rsidRDefault="001103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1" style="width:480.95pt;height:1pt" o:hralign="center" o:hrstd="t" o:hrnoshade="t" o:hr="t" fillcolor="black [3213]" stroked="f"/>
      </w:pict>
    </w:r>
  </w:p>
  <w:p w:rsidR="00D56567" w:rsidRDefault="00D56567" w:rsidP="00782AE4">
    <w:pPr>
      <w:tabs>
        <w:tab w:val="center" w:pos="4680"/>
      </w:tabs>
    </w:pPr>
    <w:r>
      <w:tab/>
      <w:t xml:space="preserve">- </w:t>
    </w:r>
    <w:r w:rsidR="0011031E" w:rsidRPr="001775C1">
      <w:rPr>
        <w:szCs w:val="24"/>
      </w:rPr>
      <w:fldChar w:fldCharType="begin"/>
    </w:r>
    <w:r w:rsidRPr="001775C1">
      <w:rPr>
        <w:szCs w:val="24"/>
      </w:rPr>
      <w:instrText xml:space="preserve"> PAGE   \* MERGEFORMAT </w:instrText>
    </w:r>
    <w:r w:rsidR="0011031E" w:rsidRPr="001775C1">
      <w:rPr>
        <w:szCs w:val="24"/>
      </w:rPr>
      <w:fldChar w:fldCharType="separate"/>
    </w:r>
    <w:r w:rsidR="007D5BF8">
      <w:rPr>
        <w:noProof/>
        <w:szCs w:val="24"/>
      </w:rPr>
      <w:t>425</w:t>
    </w:r>
    <w:r w:rsidR="0011031E"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11031E" w:rsidP="00782AE4">
    <w:pPr>
      <w:tabs>
        <w:tab w:val="center" w:pos="4680"/>
      </w:tabs>
    </w:pPr>
    <w:r>
      <w:pict>
        <v:rect id="_x0000_i1082" style="width:480.95pt;height:1pt" o:hralign="center" o:hrstd="t" o:hrnoshade="t" o:hr="t" fillcolor="black [3213]" stroked="f"/>
      </w:pict>
    </w:r>
  </w:p>
  <w:p w:rsidR="00D56567" w:rsidRDefault="00D56567" w:rsidP="00782AE4">
    <w:pPr>
      <w:tabs>
        <w:tab w:val="center" w:pos="4680"/>
      </w:tabs>
    </w:pPr>
    <w:r>
      <w:tab/>
      <w:t xml:space="preserve">- </w:t>
    </w:r>
    <w:r w:rsidR="0011031E" w:rsidRPr="001775C1">
      <w:rPr>
        <w:szCs w:val="24"/>
      </w:rPr>
      <w:fldChar w:fldCharType="begin"/>
    </w:r>
    <w:r w:rsidRPr="001775C1">
      <w:rPr>
        <w:szCs w:val="24"/>
      </w:rPr>
      <w:instrText xml:space="preserve"> PAGE   \* MERGEFORMAT </w:instrText>
    </w:r>
    <w:r w:rsidR="0011031E" w:rsidRPr="001775C1">
      <w:rPr>
        <w:szCs w:val="24"/>
      </w:rPr>
      <w:fldChar w:fldCharType="separate"/>
    </w:r>
    <w:r w:rsidR="007D5BF8">
      <w:rPr>
        <w:noProof/>
        <w:szCs w:val="24"/>
      </w:rPr>
      <w:t>410</w:t>
    </w:r>
    <w:r w:rsidR="0011031E"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Pr="00924065" w:rsidRDefault="00D56567"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11031E" w:rsidP="00A87207">
    <w:pPr>
      <w:pStyle w:val="Footer"/>
    </w:pPr>
    <w:r>
      <w:pict>
        <v:rect id="_x0000_i1034" style="width:480.95pt;height:1pt" o:hralign="center" o:hrstd="t" o:hrnoshade="t" o:hr="t" fillcolor="black [3213]" stroked="f"/>
      </w:pict>
    </w:r>
  </w:p>
  <w:p w:rsidR="00D56567" w:rsidRPr="00B7374B" w:rsidRDefault="00D56567" w:rsidP="00B7374B">
    <w:pPr>
      <w:tabs>
        <w:tab w:val="center" w:pos="4680"/>
      </w:tabs>
      <w:rPr>
        <w:szCs w:val="24"/>
      </w:rPr>
    </w:pPr>
    <w:r w:rsidRPr="00954D22">
      <w:rPr>
        <w:szCs w:val="24"/>
      </w:rPr>
      <w:tab/>
      <w:t xml:space="preserve">- </w:t>
    </w:r>
    <w:r w:rsidR="0011031E" w:rsidRPr="00954D22">
      <w:rPr>
        <w:szCs w:val="24"/>
      </w:rPr>
      <w:fldChar w:fldCharType="begin"/>
    </w:r>
    <w:r w:rsidRPr="00954D22">
      <w:rPr>
        <w:szCs w:val="24"/>
      </w:rPr>
      <w:instrText xml:space="preserve"> PAGE   \* MERGEFORMAT </w:instrText>
    </w:r>
    <w:r w:rsidR="0011031E" w:rsidRPr="00954D22">
      <w:rPr>
        <w:szCs w:val="24"/>
      </w:rPr>
      <w:fldChar w:fldCharType="separate"/>
    </w:r>
    <w:r w:rsidR="007D5BF8">
      <w:rPr>
        <w:noProof/>
        <w:szCs w:val="24"/>
      </w:rPr>
      <w:t>382</w:t>
    </w:r>
    <w:r w:rsidR="0011031E"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11031E" w:rsidP="00755F22">
    <w:pPr>
      <w:tabs>
        <w:tab w:val="left" w:pos="-1440"/>
        <w:tab w:val="left" w:pos="-720"/>
      </w:tabs>
    </w:pPr>
    <w:r>
      <w:pict>
        <v:rect id="_x0000_i1035" style="width:480.95pt;height:1pt" o:hralign="center" o:hrstd="t" o:hrnoshade="t" o:hr="t" fillcolor="black [3213]" stroked="f"/>
      </w:pict>
    </w:r>
  </w:p>
  <w:p w:rsidR="00D56567" w:rsidRPr="00954D22" w:rsidRDefault="00D56567" w:rsidP="00B7374B">
    <w:pPr>
      <w:tabs>
        <w:tab w:val="center" w:pos="4680"/>
      </w:tabs>
      <w:rPr>
        <w:szCs w:val="24"/>
      </w:rPr>
    </w:pPr>
    <w:r w:rsidRPr="00954D22">
      <w:rPr>
        <w:szCs w:val="24"/>
      </w:rPr>
      <w:tab/>
      <w:t xml:space="preserve">- </w:t>
    </w:r>
    <w:r w:rsidR="0011031E">
      <w:rPr>
        <w:szCs w:val="24"/>
      </w:rPr>
      <w:fldChar w:fldCharType="begin"/>
    </w:r>
    <w:r>
      <w:rPr>
        <w:szCs w:val="24"/>
      </w:rPr>
      <w:instrText xml:space="preserve"> PAGE   \* MERGEFORMAT </w:instrText>
    </w:r>
    <w:r w:rsidR="0011031E">
      <w:rPr>
        <w:szCs w:val="24"/>
      </w:rPr>
      <w:fldChar w:fldCharType="separate"/>
    </w:r>
    <w:r w:rsidR="007D5BF8">
      <w:rPr>
        <w:noProof/>
        <w:szCs w:val="24"/>
      </w:rPr>
      <w:t>381</w:t>
    </w:r>
    <w:r w:rsidR="0011031E">
      <w:rPr>
        <w:szCs w:val="24"/>
      </w:rPr>
      <w:fldChar w:fldCharType="end"/>
    </w:r>
    <w:r w:rsidRPr="00954D22">
      <w:rPr>
        <w:szCs w:val="24"/>
      </w:rPr>
      <w:t xml:space="preserve"> -</w:t>
    </w:r>
  </w:p>
  <w:p w:rsidR="00D56567" w:rsidRDefault="00D5656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11031E" w:rsidP="00A87207">
    <w:pPr>
      <w:pStyle w:val="Footer"/>
    </w:pPr>
    <w:r>
      <w:pict>
        <v:rect id="_x0000_i1037" style="width:480.95pt;height:1pt" o:hralign="center" o:hrstd="t" o:hrnoshade="t" o:hr="t" fillcolor="black [3213]" stroked="f"/>
      </w:pict>
    </w:r>
  </w:p>
  <w:p w:rsidR="00D56567" w:rsidRPr="00B7374B" w:rsidRDefault="00D56567" w:rsidP="00B7374B">
    <w:pPr>
      <w:tabs>
        <w:tab w:val="center" w:pos="4680"/>
      </w:tabs>
      <w:rPr>
        <w:szCs w:val="24"/>
      </w:rPr>
    </w:pPr>
    <w:r w:rsidRPr="00954D22">
      <w:rPr>
        <w:szCs w:val="24"/>
      </w:rPr>
      <w:tab/>
      <w:t xml:space="preserve">- </w:t>
    </w:r>
    <w:r w:rsidR="0011031E" w:rsidRPr="00954D22">
      <w:rPr>
        <w:szCs w:val="24"/>
      </w:rPr>
      <w:fldChar w:fldCharType="begin"/>
    </w:r>
    <w:r w:rsidRPr="00954D22">
      <w:rPr>
        <w:szCs w:val="24"/>
      </w:rPr>
      <w:instrText xml:space="preserve"> PAGE   \* MERGEFORMAT </w:instrText>
    </w:r>
    <w:r w:rsidR="0011031E" w:rsidRPr="00954D22">
      <w:rPr>
        <w:szCs w:val="24"/>
      </w:rPr>
      <w:fldChar w:fldCharType="separate"/>
    </w:r>
    <w:r>
      <w:rPr>
        <w:noProof/>
        <w:szCs w:val="24"/>
      </w:rPr>
      <w:t>384</w:t>
    </w:r>
    <w:r w:rsidR="0011031E"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11031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8" style="width:480.95pt;height:1pt" o:hralign="center" o:hrstd="t" o:hrnoshade="t" o:hr="t" fillcolor="black [3213]" stroked="f"/>
      </w:pict>
    </w:r>
  </w:p>
  <w:p w:rsidR="00D56567" w:rsidRPr="00954D22" w:rsidRDefault="00D56567" w:rsidP="00B7374B">
    <w:pPr>
      <w:tabs>
        <w:tab w:val="center" w:pos="4680"/>
      </w:tabs>
      <w:rPr>
        <w:szCs w:val="24"/>
      </w:rPr>
    </w:pPr>
    <w:r w:rsidRPr="00954D22">
      <w:rPr>
        <w:szCs w:val="24"/>
      </w:rPr>
      <w:tab/>
      <w:t xml:space="preserve">- </w:t>
    </w:r>
    <w:r w:rsidR="0011031E" w:rsidRPr="00954D22">
      <w:rPr>
        <w:szCs w:val="24"/>
      </w:rPr>
      <w:fldChar w:fldCharType="begin"/>
    </w:r>
    <w:r w:rsidRPr="00954D22">
      <w:rPr>
        <w:szCs w:val="24"/>
      </w:rPr>
      <w:instrText xml:space="preserve"> PAGE   \* MERGEFORMAT </w:instrText>
    </w:r>
    <w:r w:rsidR="0011031E" w:rsidRPr="00954D22">
      <w:rPr>
        <w:szCs w:val="24"/>
      </w:rPr>
      <w:fldChar w:fldCharType="separate"/>
    </w:r>
    <w:r w:rsidR="007D5BF8">
      <w:rPr>
        <w:noProof/>
        <w:szCs w:val="24"/>
      </w:rPr>
      <w:t>383</w:t>
    </w:r>
    <w:r w:rsidR="0011031E"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56567"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56567" w:rsidRDefault="00D56567">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1103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1031E">
      <w:rPr>
        <w:lang w:val="fr-CA"/>
      </w:rPr>
      <w:pict>
        <v:rect id="_x0000_i1053" style="width:480.95pt;height:1pt" o:hralign="center" o:hrstd="t" o:hrnoshade="t" o:hr="t" fillcolor="black [3213]" stroked="f"/>
      </w:pict>
    </w:r>
  </w:p>
  <w:p w:rsidR="00D56567" w:rsidRPr="0009648D" w:rsidRDefault="00D56567" w:rsidP="00ED7E83">
    <w:pPr>
      <w:tabs>
        <w:tab w:val="center" w:pos="4680"/>
      </w:tabs>
    </w:pPr>
    <w:r>
      <w:tab/>
    </w:r>
    <w:r w:rsidRPr="0009648D">
      <w:t xml:space="preserve">- </w:t>
    </w:r>
    <w:fldSimple w:instr=" PAGE   \* MERGEFORMAT ">
      <w:r w:rsidR="007D5BF8">
        <w:rPr>
          <w:noProof/>
        </w:rPr>
        <w:t>395</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567" w:rsidRDefault="00D56567" w:rsidP="00A87207">
      <w:r>
        <w:separator/>
      </w:r>
    </w:p>
  </w:footnote>
  <w:footnote w:type="continuationSeparator" w:id="0">
    <w:p w:rsidR="00D56567" w:rsidRDefault="00D56567"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56567">
      <w:tc>
        <w:tcPr>
          <w:tcW w:w="4230" w:type="dxa"/>
          <w:tcMar>
            <w:left w:w="0" w:type="dxa"/>
            <w:right w:w="0" w:type="dxa"/>
          </w:tcMar>
        </w:tcPr>
        <w:p w:rsidR="00D56567"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56567" w:rsidRDefault="00D565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6567" w:rsidRDefault="00D565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56567">
      <w:trPr>
        <w:gridAfter w:val="2"/>
        <w:wAfter w:w="5250" w:type="dxa"/>
      </w:trPr>
      <w:tc>
        <w:tcPr>
          <w:tcW w:w="4230" w:type="dxa"/>
          <w:tcMar>
            <w:left w:w="0" w:type="dxa"/>
            <w:right w:w="0" w:type="dxa"/>
          </w:tcMar>
        </w:tcPr>
        <w:p w:rsidR="00D56567"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56567"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56567" w:rsidRPr="00755F22" w:rsidTr="00245129">
      <w:tc>
        <w:tcPr>
          <w:tcW w:w="4230" w:type="dxa"/>
          <w:tcMar>
            <w:left w:w="0" w:type="dxa"/>
            <w:right w:w="0" w:type="dxa"/>
          </w:tcMar>
        </w:tcPr>
        <w:p w:rsidR="00D56567" w:rsidRPr="00755F22" w:rsidRDefault="00D56567" w:rsidP="00831CA9">
          <w:pPr>
            <w:keepNext/>
            <w:keepLines/>
            <w:rPr>
              <w:sz w:val="20"/>
              <w:szCs w:val="20"/>
            </w:rPr>
          </w:pPr>
          <w:r w:rsidRPr="00755F22">
            <w:rPr>
              <w:sz w:val="20"/>
              <w:szCs w:val="20"/>
            </w:rPr>
            <w:t>MOTIONS</w:t>
          </w:r>
        </w:p>
      </w:tc>
      <w:tc>
        <w:tcPr>
          <w:tcW w:w="1170" w:type="dxa"/>
          <w:tcMar>
            <w:left w:w="0" w:type="dxa"/>
            <w:right w:w="0" w:type="dxa"/>
          </w:tcMar>
        </w:tcPr>
        <w:p w:rsidR="00D56567" w:rsidRPr="00755F22" w:rsidRDefault="00D56567" w:rsidP="00831CA9">
          <w:pPr>
            <w:keepLines/>
            <w:jc w:val="center"/>
            <w:rPr>
              <w:sz w:val="20"/>
              <w:szCs w:val="20"/>
            </w:rPr>
          </w:pPr>
        </w:p>
        <w:p w:rsidR="00D56567" w:rsidRPr="00755F22" w:rsidRDefault="00D56567" w:rsidP="00831CA9">
          <w:pPr>
            <w:keepLines/>
            <w:tabs>
              <w:tab w:val="left" w:pos="-1440"/>
              <w:tab w:val="left" w:pos="-720"/>
            </w:tabs>
            <w:jc w:val="center"/>
            <w:rPr>
              <w:sz w:val="20"/>
              <w:szCs w:val="20"/>
            </w:rPr>
          </w:pPr>
        </w:p>
      </w:tc>
      <w:tc>
        <w:tcPr>
          <w:tcW w:w="4080" w:type="dxa"/>
          <w:tcMar>
            <w:left w:w="0" w:type="dxa"/>
            <w:right w:w="0" w:type="dxa"/>
          </w:tcMar>
        </w:tcPr>
        <w:p w:rsidR="00D56567" w:rsidRPr="00BA6468" w:rsidRDefault="00D56567" w:rsidP="00BA6468">
          <w:pPr>
            <w:keepLines/>
            <w:rPr>
              <w:sz w:val="20"/>
              <w:szCs w:val="20"/>
              <w:lang w:val="fr-CA"/>
            </w:rPr>
          </w:pPr>
          <w:r w:rsidRPr="00BA6468">
            <w:rPr>
              <w:sz w:val="20"/>
              <w:szCs w:val="20"/>
              <w:lang w:val="fr-CA"/>
            </w:rPr>
            <w:t>REQUÊTES</w:t>
          </w:r>
        </w:p>
      </w:tc>
    </w:tr>
  </w:tbl>
  <w:p w:rsidR="00D56567" w:rsidRDefault="00D56567"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56567" w:rsidRPr="007D5BF8">
      <w:tc>
        <w:tcPr>
          <w:tcW w:w="4200" w:type="dxa"/>
          <w:tcMar>
            <w:left w:w="0" w:type="dxa"/>
            <w:right w:w="0" w:type="dxa"/>
          </w:tcMar>
        </w:tcPr>
        <w:p w:rsidR="00D56567"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56567"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6567" w:rsidRPr="00283C52" w:rsidRDefault="00D565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56567" w:rsidRPr="00283C52"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56567" w:rsidRPr="00283C52"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56567" w:rsidRPr="007D5BF8" w:rsidTr="00245129">
      <w:tc>
        <w:tcPr>
          <w:tcW w:w="4200" w:type="dxa"/>
          <w:tcMar>
            <w:left w:w="0" w:type="dxa"/>
            <w:right w:w="0" w:type="dxa"/>
          </w:tcMar>
        </w:tcPr>
        <w:p w:rsidR="00D56567" w:rsidRPr="00732DB7" w:rsidRDefault="00D56567"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D56567" w:rsidRPr="00732DB7" w:rsidRDefault="00D56567" w:rsidP="00732DB7">
          <w:pPr>
            <w:keepNext/>
            <w:keepLines/>
            <w:tabs>
              <w:tab w:val="left" w:pos="-1440"/>
              <w:tab w:val="left" w:pos="-720"/>
            </w:tabs>
            <w:jc w:val="center"/>
            <w:rPr>
              <w:sz w:val="20"/>
              <w:szCs w:val="20"/>
            </w:rPr>
          </w:pPr>
        </w:p>
        <w:p w:rsidR="00D56567" w:rsidRPr="00732DB7" w:rsidRDefault="00D56567" w:rsidP="00732DB7">
          <w:pPr>
            <w:keepNext/>
            <w:keepLines/>
            <w:tabs>
              <w:tab w:val="left" w:pos="-1440"/>
              <w:tab w:val="left" w:pos="-720"/>
            </w:tabs>
            <w:jc w:val="center"/>
            <w:rPr>
              <w:sz w:val="20"/>
              <w:szCs w:val="20"/>
            </w:rPr>
          </w:pPr>
        </w:p>
        <w:p w:rsidR="00D56567" w:rsidRPr="00732DB7" w:rsidRDefault="00D56567" w:rsidP="00732DB7">
          <w:pPr>
            <w:keepNext/>
            <w:keepLines/>
            <w:tabs>
              <w:tab w:val="left" w:pos="-1440"/>
              <w:tab w:val="left" w:pos="-720"/>
            </w:tabs>
            <w:jc w:val="center"/>
            <w:rPr>
              <w:sz w:val="20"/>
              <w:szCs w:val="20"/>
            </w:rPr>
          </w:pPr>
        </w:p>
      </w:tc>
      <w:tc>
        <w:tcPr>
          <w:tcW w:w="4080" w:type="dxa"/>
          <w:tcMar>
            <w:left w:w="0" w:type="dxa"/>
            <w:right w:w="0" w:type="dxa"/>
          </w:tcMar>
        </w:tcPr>
        <w:p w:rsidR="00D56567" w:rsidRPr="00732DB7" w:rsidRDefault="00D56567"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56567" w:rsidRPr="00283C52" w:rsidRDefault="00D56567"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56567" w:rsidRPr="007D5BF8">
      <w:tc>
        <w:tcPr>
          <w:tcW w:w="4200" w:type="dxa"/>
          <w:tcMar>
            <w:left w:w="0" w:type="dxa"/>
            <w:right w:w="0" w:type="dxa"/>
          </w:tcMar>
        </w:tcPr>
        <w:p w:rsidR="00D56567"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56567"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56567"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56567" w:rsidRPr="003C2C0F" w:rsidRDefault="00D565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56567" w:rsidRPr="003C2C0F"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56567" w:rsidRPr="003C2C0F"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56567" w:rsidRPr="007D5BF8" w:rsidTr="00245129">
      <w:tc>
        <w:tcPr>
          <w:tcW w:w="4200" w:type="dxa"/>
          <w:tcMar>
            <w:left w:w="0" w:type="dxa"/>
            <w:right w:w="0" w:type="dxa"/>
          </w:tcMar>
        </w:tcPr>
        <w:p w:rsidR="00D56567" w:rsidRPr="00FF6EEC" w:rsidRDefault="00D56567" w:rsidP="00FF6EEC">
          <w:pPr>
            <w:rPr>
              <w:sz w:val="20"/>
              <w:szCs w:val="20"/>
            </w:rPr>
          </w:pPr>
          <w:r w:rsidRPr="00FF6EEC">
            <w:rPr>
              <w:sz w:val="20"/>
              <w:szCs w:val="20"/>
            </w:rPr>
            <w:t>PRONOUNCEMENTS OF APPEALS RESERVED</w:t>
          </w:r>
        </w:p>
      </w:tc>
      <w:tc>
        <w:tcPr>
          <w:tcW w:w="1200" w:type="dxa"/>
          <w:tcMar>
            <w:left w:w="0" w:type="dxa"/>
            <w:right w:w="0" w:type="dxa"/>
          </w:tcMar>
        </w:tcPr>
        <w:p w:rsidR="00D56567" w:rsidRPr="00FF6EEC" w:rsidRDefault="00D56567" w:rsidP="00FF6EEC">
          <w:pPr>
            <w:jc w:val="center"/>
            <w:rPr>
              <w:sz w:val="20"/>
              <w:szCs w:val="20"/>
            </w:rPr>
          </w:pPr>
        </w:p>
        <w:p w:rsidR="00D56567" w:rsidRPr="00FF6EEC" w:rsidRDefault="00D56567" w:rsidP="00FF6EEC">
          <w:pPr>
            <w:jc w:val="center"/>
            <w:rPr>
              <w:sz w:val="20"/>
              <w:szCs w:val="20"/>
            </w:rPr>
          </w:pPr>
        </w:p>
        <w:p w:rsidR="00D56567" w:rsidRPr="00FF6EEC" w:rsidRDefault="00D56567" w:rsidP="00FF6EEC">
          <w:pPr>
            <w:jc w:val="center"/>
            <w:rPr>
              <w:sz w:val="20"/>
              <w:szCs w:val="20"/>
            </w:rPr>
          </w:pPr>
        </w:p>
      </w:tc>
      <w:tc>
        <w:tcPr>
          <w:tcW w:w="4080" w:type="dxa"/>
          <w:tcMar>
            <w:left w:w="0" w:type="dxa"/>
            <w:right w:w="0" w:type="dxa"/>
          </w:tcMar>
        </w:tcPr>
        <w:p w:rsidR="00D56567" w:rsidRPr="00FF6EEC" w:rsidRDefault="00D56567" w:rsidP="00FF6EEC">
          <w:pPr>
            <w:rPr>
              <w:sz w:val="20"/>
              <w:szCs w:val="20"/>
              <w:lang w:val="fr-CA"/>
            </w:rPr>
          </w:pPr>
          <w:r w:rsidRPr="00FF6EEC">
            <w:rPr>
              <w:sz w:val="20"/>
              <w:szCs w:val="20"/>
              <w:lang w:val="fr-CA"/>
            </w:rPr>
            <w:t>JUGEMENTS RENDUS SUR LES APPELS EN DÉLIBÉRÉ</w:t>
          </w:r>
        </w:p>
      </w:tc>
    </w:tr>
  </w:tbl>
  <w:p w:rsidR="00D56567" w:rsidRPr="003C2C0F" w:rsidRDefault="00D5656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56567">
      <w:tc>
        <w:tcPr>
          <w:tcW w:w="4230" w:type="dxa"/>
          <w:tcMar>
            <w:left w:w="0" w:type="dxa"/>
            <w:right w:w="0" w:type="dxa"/>
          </w:tcMar>
        </w:tcPr>
        <w:p w:rsidR="00D56567"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56567"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56567"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56567"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6567"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56567" w:rsidRDefault="00D565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56567"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56567"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56567" w:rsidRPr="00782AE4" w:rsidTr="00245129">
      <w:tc>
        <w:tcPr>
          <w:tcW w:w="4230" w:type="dxa"/>
          <w:tcMar>
            <w:left w:w="0" w:type="dxa"/>
            <w:right w:w="0" w:type="dxa"/>
          </w:tcMar>
        </w:tcPr>
        <w:p w:rsidR="00D56567" w:rsidRPr="00782AE4" w:rsidRDefault="00D56567" w:rsidP="00102926">
          <w:pPr>
            <w:keepNext/>
            <w:keepLines/>
            <w:tabs>
              <w:tab w:val="left" w:pos="-1440"/>
              <w:tab w:val="left" w:pos="-720"/>
            </w:tabs>
            <w:rPr>
              <w:sz w:val="20"/>
              <w:szCs w:val="20"/>
            </w:rPr>
          </w:pPr>
          <w:r w:rsidRPr="00782AE4">
            <w:rPr>
              <w:sz w:val="20"/>
              <w:szCs w:val="20"/>
            </w:rPr>
            <w:t xml:space="preserve">HEADNOTES OF RECENT </w:t>
          </w:r>
        </w:p>
        <w:p w:rsidR="00D56567" w:rsidRPr="00782AE4"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56567" w:rsidRDefault="00D56567" w:rsidP="00102926">
          <w:pPr>
            <w:keepNext/>
            <w:keepLines/>
            <w:tabs>
              <w:tab w:val="left" w:pos="-1440"/>
              <w:tab w:val="left" w:pos="-720"/>
            </w:tabs>
            <w:jc w:val="center"/>
            <w:rPr>
              <w:sz w:val="20"/>
              <w:szCs w:val="20"/>
            </w:rPr>
          </w:pPr>
        </w:p>
        <w:p w:rsidR="00D56567" w:rsidRDefault="00D56567" w:rsidP="00102926">
          <w:pPr>
            <w:keepNext/>
            <w:keepLines/>
            <w:tabs>
              <w:tab w:val="left" w:pos="-1440"/>
              <w:tab w:val="left" w:pos="-720"/>
            </w:tabs>
            <w:jc w:val="center"/>
            <w:rPr>
              <w:sz w:val="20"/>
              <w:szCs w:val="20"/>
            </w:rPr>
          </w:pPr>
        </w:p>
        <w:p w:rsidR="00D56567" w:rsidRPr="00782AE4" w:rsidRDefault="00D56567" w:rsidP="00102926">
          <w:pPr>
            <w:keepNext/>
            <w:keepLines/>
            <w:tabs>
              <w:tab w:val="left" w:pos="-1440"/>
              <w:tab w:val="left" w:pos="-720"/>
            </w:tabs>
            <w:jc w:val="center"/>
            <w:rPr>
              <w:sz w:val="20"/>
              <w:szCs w:val="20"/>
            </w:rPr>
          </w:pPr>
        </w:p>
      </w:tc>
      <w:tc>
        <w:tcPr>
          <w:tcW w:w="4080" w:type="dxa"/>
          <w:tcMar>
            <w:left w:w="0" w:type="dxa"/>
            <w:right w:w="0" w:type="dxa"/>
          </w:tcMar>
        </w:tcPr>
        <w:p w:rsidR="00D56567" w:rsidRPr="00102926"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56567" w:rsidRPr="00782AE4" w:rsidRDefault="00D56567" w:rsidP="00102926">
          <w:pPr>
            <w:keepLines/>
            <w:tabs>
              <w:tab w:val="left" w:pos="-1440"/>
              <w:tab w:val="left" w:pos="-720"/>
            </w:tabs>
            <w:rPr>
              <w:sz w:val="20"/>
              <w:szCs w:val="20"/>
            </w:rPr>
          </w:pPr>
          <w:r w:rsidRPr="00102926">
            <w:rPr>
              <w:sz w:val="20"/>
              <w:szCs w:val="20"/>
              <w:lang w:val="fr-CA"/>
            </w:rPr>
            <w:t>RÉCENTS</w:t>
          </w:r>
        </w:p>
      </w:tc>
    </w:tr>
  </w:tbl>
  <w:p w:rsidR="00D56567" w:rsidRDefault="00D5656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D56567" w:rsidRPr="0044776A" w:rsidTr="00245129">
      <w:tc>
        <w:tcPr>
          <w:tcW w:w="4290" w:type="dxa"/>
          <w:tcMar>
            <w:left w:w="0" w:type="dxa"/>
            <w:right w:w="0" w:type="dxa"/>
          </w:tcMar>
        </w:tcPr>
        <w:p w:rsidR="00D56567" w:rsidRPr="0044776A" w:rsidRDefault="00D5656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56567" w:rsidRPr="0044776A" w:rsidRDefault="00D56567" w:rsidP="002E2327">
          <w:pPr>
            <w:keepNext/>
            <w:keepLines/>
            <w:tabs>
              <w:tab w:val="left" w:pos="-1440"/>
              <w:tab w:val="left" w:pos="-720"/>
            </w:tabs>
            <w:jc w:val="center"/>
            <w:rPr>
              <w:sz w:val="20"/>
              <w:szCs w:val="20"/>
            </w:rPr>
          </w:pPr>
        </w:p>
        <w:p w:rsidR="00D56567" w:rsidRPr="0044776A" w:rsidRDefault="00D56567" w:rsidP="002E2327">
          <w:pPr>
            <w:keepNext/>
            <w:keepLines/>
            <w:tabs>
              <w:tab w:val="left" w:pos="-1440"/>
              <w:tab w:val="left" w:pos="-720"/>
            </w:tabs>
            <w:jc w:val="center"/>
            <w:rPr>
              <w:sz w:val="20"/>
              <w:szCs w:val="20"/>
            </w:rPr>
          </w:pPr>
        </w:p>
        <w:p w:rsidR="00D56567" w:rsidRPr="0044776A" w:rsidRDefault="00D56567" w:rsidP="002E2327">
          <w:pPr>
            <w:keepNext/>
            <w:keepLines/>
            <w:tabs>
              <w:tab w:val="left" w:pos="-1440"/>
              <w:tab w:val="left" w:pos="-720"/>
            </w:tabs>
            <w:jc w:val="center"/>
            <w:rPr>
              <w:sz w:val="20"/>
              <w:szCs w:val="20"/>
            </w:rPr>
          </w:pPr>
        </w:p>
      </w:tc>
      <w:tc>
        <w:tcPr>
          <w:tcW w:w="4320" w:type="dxa"/>
          <w:tcMar>
            <w:left w:w="0" w:type="dxa"/>
            <w:right w:w="0" w:type="dxa"/>
          </w:tcMar>
        </w:tcPr>
        <w:p w:rsidR="00D56567" w:rsidRPr="0044776A" w:rsidRDefault="00D56567" w:rsidP="002E2327">
          <w:pPr>
            <w:keepLines/>
            <w:rPr>
              <w:sz w:val="20"/>
              <w:szCs w:val="20"/>
              <w:lang w:val="fr-CA"/>
            </w:rPr>
          </w:pPr>
          <w:r w:rsidRPr="0044776A">
            <w:rPr>
              <w:sz w:val="20"/>
              <w:szCs w:val="20"/>
              <w:lang w:val="fr-CA"/>
            </w:rPr>
            <w:t>DEMANDES D'AUTORISATION D'APPEL DÉPOSÉES</w:t>
          </w:r>
        </w:p>
      </w:tc>
    </w:tr>
  </w:tbl>
  <w:p w:rsidR="00D56567" w:rsidRDefault="00D5656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56567" w:rsidRPr="007D5BF8" w:rsidTr="00245129">
      <w:tc>
        <w:tcPr>
          <w:tcW w:w="4200" w:type="dxa"/>
          <w:tcMar>
            <w:left w:w="0" w:type="dxa"/>
            <w:right w:w="0" w:type="dxa"/>
          </w:tcMar>
        </w:tcPr>
        <w:p w:rsidR="00D56567" w:rsidRPr="0044776A" w:rsidRDefault="00D56567" w:rsidP="0044776A">
          <w:pPr>
            <w:keepNext/>
            <w:keepLines/>
            <w:widowControl w:val="0"/>
            <w:rPr>
              <w:sz w:val="20"/>
              <w:szCs w:val="20"/>
            </w:rPr>
          </w:pPr>
          <w:r>
            <w:rPr>
              <w:sz w:val="20"/>
              <w:szCs w:val="20"/>
            </w:rPr>
            <w:t>APPLICATIONS FOR LEAVE</w:t>
          </w:r>
        </w:p>
        <w:p w:rsidR="00D56567" w:rsidRPr="0044776A" w:rsidRDefault="00D5656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56567" w:rsidRPr="0044776A" w:rsidRDefault="00D56567" w:rsidP="0044776A">
          <w:pPr>
            <w:keepNext/>
            <w:keepLines/>
            <w:widowControl w:val="0"/>
            <w:jc w:val="center"/>
            <w:rPr>
              <w:sz w:val="20"/>
              <w:szCs w:val="20"/>
            </w:rPr>
          </w:pPr>
        </w:p>
        <w:p w:rsidR="00D56567" w:rsidRPr="0044776A" w:rsidRDefault="00D56567" w:rsidP="0044776A">
          <w:pPr>
            <w:keepNext/>
            <w:keepLines/>
            <w:widowControl w:val="0"/>
            <w:jc w:val="center"/>
            <w:rPr>
              <w:sz w:val="20"/>
              <w:szCs w:val="20"/>
            </w:rPr>
          </w:pPr>
        </w:p>
        <w:p w:rsidR="00D56567" w:rsidRPr="0044776A" w:rsidRDefault="00D56567" w:rsidP="0044776A">
          <w:pPr>
            <w:keepNext/>
            <w:keepLines/>
            <w:widowControl w:val="0"/>
            <w:jc w:val="center"/>
            <w:rPr>
              <w:sz w:val="20"/>
              <w:szCs w:val="20"/>
            </w:rPr>
          </w:pPr>
        </w:p>
      </w:tc>
      <w:tc>
        <w:tcPr>
          <w:tcW w:w="4080" w:type="dxa"/>
          <w:tcMar>
            <w:left w:w="0" w:type="dxa"/>
            <w:right w:w="0" w:type="dxa"/>
          </w:tcMar>
        </w:tcPr>
        <w:p w:rsidR="00D56567" w:rsidRPr="0044776A" w:rsidRDefault="00D56567" w:rsidP="0044776A">
          <w:pPr>
            <w:keepLines/>
            <w:widowControl w:val="0"/>
            <w:rPr>
              <w:sz w:val="20"/>
              <w:szCs w:val="20"/>
              <w:lang w:val="fr-CA"/>
            </w:rPr>
          </w:pPr>
          <w:r w:rsidRPr="0044776A">
            <w:rPr>
              <w:sz w:val="20"/>
              <w:szCs w:val="20"/>
              <w:lang w:val="fr-CA"/>
            </w:rPr>
            <w:t>DEMANDES SOUMISES À LA COUR DEPUIS LA DERNIÈRE PARUTION</w:t>
          </w:r>
        </w:p>
        <w:p w:rsidR="00D56567" w:rsidRPr="0044776A" w:rsidRDefault="00D56567" w:rsidP="0044776A">
          <w:pPr>
            <w:widowControl w:val="0"/>
            <w:rPr>
              <w:sz w:val="20"/>
              <w:szCs w:val="20"/>
              <w:lang w:val="fr-CA"/>
            </w:rPr>
          </w:pPr>
        </w:p>
      </w:tc>
    </w:tr>
  </w:tbl>
  <w:p w:rsidR="00D56567" w:rsidRPr="002E2327" w:rsidRDefault="00D56567">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67" w:rsidRDefault="00D5656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56567" w:rsidRPr="007D5BF8">
      <w:tc>
        <w:tcPr>
          <w:tcW w:w="4200" w:type="dxa"/>
          <w:tcMar>
            <w:left w:w="0" w:type="dxa"/>
            <w:right w:w="0" w:type="dxa"/>
          </w:tcMar>
        </w:tcPr>
        <w:p w:rsidR="00D56567"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56567"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56567" w:rsidRDefault="00D565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56567" w:rsidRPr="00FF6BA5" w:rsidRDefault="00D565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56567" w:rsidRPr="00FF6BA5"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56567" w:rsidRPr="00FF6BA5"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56567" w:rsidRPr="00FF6BA5" w:rsidRDefault="00D565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56567" w:rsidRPr="007D5BF8" w:rsidTr="00245129">
      <w:tc>
        <w:tcPr>
          <w:tcW w:w="4200" w:type="dxa"/>
          <w:tcMar>
            <w:left w:w="0" w:type="dxa"/>
            <w:right w:w="0" w:type="dxa"/>
          </w:tcMar>
        </w:tcPr>
        <w:p w:rsidR="00D56567" w:rsidRPr="00755F22"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56567" w:rsidRPr="00755F22" w:rsidRDefault="00D5656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56567" w:rsidRPr="00755F22" w:rsidRDefault="00D5656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56567" w:rsidRPr="00755F22" w:rsidRDefault="00D5656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56567" w:rsidRPr="00755F22" w:rsidRDefault="00D5656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56567" w:rsidRPr="00755F22" w:rsidRDefault="00D5656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56567" w:rsidRPr="00FF6BA5" w:rsidRDefault="00D56567"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3023"/>
  </w:hdrShapeDefaults>
  <w:footnotePr>
    <w:footnote w:id="-1"/>
    <w:footnote w:id="0"/>
  </w:footnotePr>
  <w:endnotePr>
    <w:endnote w:id="-1"/>
    <w:endnote w:id="0"/>
  </w:endnotePr>
  <w:compat/>
  <w:rsids>
    <w:rsidRoot w:val="00F6416F"/>
    <w:rsid w:val="00002152"/>
    <w:rsid w:val="0003223B"/>
    <w:rsid w:val="000327B2"/>
    <w:rsid w:val="00041503"/>
    <w:rsid w:val="000619C2"/>
    <w:rsid w:val="00075CBF"/>
    <w:rsid w:val="000876C7"/>
    <w:rsid w:val="00092079"/>
    <w:rsid w:val="00096BD9"/>
    <w:rsid w:val="000B1C65"/>
    <w:rsid w:val="000B3C9A"/>
    <w:rsid w:val="000B40A2"/>
    <w:rsid w:val="000B4624"/>
    <w:rsid w:val="000C0ACD"/>
    <w:rsid w:val="000E0501"/>
    <w:rsid w:val="000E25EE"/>
    <w:rsid w:val="00102926"/>
    <w:rsid w:val="0010587F"/>
    <w:rsid w:val="0011031E"/>
    <w:rsid w:val="00111C6B"/>
    <w:rsid w:val="0012102B"/>
    <w:rsid w:val="00121545"/>
    <w:rsid w:val="00125A94"/>
    <w:rsid w:val="0013369E"/>
    <w:rsid w:val="00151525"/>
    <w:rsid w:val="0015683B"/>
    <w:rsid w:val="00164E6D"/>
    <w:rsid w:val="00175629"/>
    <w:rsid w:val="00197CDB"/>
    <w:rsid w:val="001B157C"/>
    <w:rsid w:val="001B5C23"/>
    <w:rsid w:val="001D0D5F"/>
    <w:rsid w:val="001D55E1"/>
    <w:rsid w:val="001D6B8C"/>
    <w:rsid w:val="001E0E11"/>
    <w:rsid w:val="001E2BBF"/>
    <w:rsid w:val="001F1F83"/>
    <w:rsid w:val="002021A9"/>
    <w:rsid w:val="00212707"/>
    <w:rsid w:val="002139A7"/>
    <w:rsid w:val="00215F7C"/>
    <w:rsid w:val="0022323B"/>
    <w:rsid w:val="002410B8"/>
    <w:rsid w:val="00242AEE"/>
    <w:rsid w:val="00245129"/>
    <w:rsid w:val="00245879"/>
    <w:rsid w:val="00267FD5"/>
    <w:rsid w:val="00276F8C"/>
    <w:rsid w:val="002868D0"/>
    <w:rsid w:val="002A27D1"/>
    <w:rsid w:val="002A4AFA"/>
    <w:rsid w:val="002B405E"/>
    <w:rsid w:val="002B516C"/>
    <w:rsid w:val="002D2A80"/>
    <w:rsid w:val="002D72EB"/>
    <w:rsid w:val="002E2327"/>
    <w:rsid w:val="002E3583"/>
    <w:rsid w:val="002E5576"/>
    <w:rsid w:val="00316005"/>
    <w:rsid w:val="00322900"/>
    <w:rsid w:val="003252C9"/>
    <w:rsid w:val="003278FC"/>
    <w:rsid w:val="00331B52"/>
    <w:rsid w:val="003359D3"/>
    <w:rsid w:val="00355967"/>
    <w:rsid w:val="00382C47"/>
    <w:rsid w:val="00384384"/>
    <w:rsid w:val="003866AE"/>
    <w:rsid w:val="0039655B"/>
    <w:rsid w:val="003A731F"/>
    <w:rsid w:val="003B3977"/>
    <w:rsid w:val="004043AC"/>
    <w:rsid w:val="00427637"/>
    <w:rsid w:val="004306E9"/>
    <w:rsid w:val="00432989"/>
    <w:rsid w:val="00440E24"/>
    <w:rsid w:val="0044776A"/>
    <w:rsid w:val="004558B1"/>
    <w:rsid w:val="00460AFC"/>
    <w:rsid w:val="00464804"/>
    <w:rsid w:val="0047471F"/>
    <w:rsid w:val="00475AF4"/>
    <w:rsid w:val="004A2E2B"/>
    <w:rsid w:val="004B195E"/>
    <w:rsid w:val="004B66B4"/>
    <w:rsid w:val="004B7F60"/>
    <w:rsid w:val="004C1AAC"/>
    <w:rsid w:val="004E1F30"/>
    <w:rsid w:val="004E63D8"/>
    <w:rsid w:val="004F090E"/>
    <w:rsid w:val="0051172A"/>
    <w:rsid w:val="00527CC7"/>
    <w:rsid w:val="00571353"/>
    <w:rsid w:val="00571CA4"/>
    <w:rsid w:val="00582136"/>
    <w:rsid w:val="00597511"/>
    <w:rsid w:val="005C4800"/>
    <w:rsid w:val="005C6840"/>
    <w:rsid w:val="005F263E"/>
    <w:rsid w:val="00600252"/>
    <w:rsid w:val="00612A40"/>
    <w:rsid w:val="00662715"/>
    <w:rsid w:val="00667631"/>
    <w:rsid w:val="00675479"/>
    <w:rsid w:val="00694AE2"/>
    <w:rsid w:val="00696BF9"/>
    <w:rsid w:val="00697C62"/>
    <w:rsid w:val="006A329B"/>
    <w:rsid w:val="006A7EB8"/>
    <w:rsid w:val="006B6926"/>
    <w:rsid w:val="006C3F47"/>
    <w:rsid w:val="006C5F7A"/>
    <w:rsid w:val="006E06AF"/>
    <w:rsid w:val="006E7F12"/>
    <w:rsid w:val="006F350F"/>
    <w:rsid w:val="006F4141"/>
    <w:rsid w:val="0070582A"/>
    <w:rsid w:val="00725F43"/>
    <w:rsid w:val="007305B7"/>
    <w:rsid w:val="00732DB7"/>
    <w:rsid w:val="0074238B"/>
    <w:rsid w:val="00745EF7"/>
    <w:rsid w:val="00755F22"/>
    <w:rsid w:val="007602DA"/>
    <w:rsid w:val="00766E4A"/>
    <w:rsid w:val="007820CE"/>
    <w:rsid w:val="00782AE4"/>
    <w:rsid w:val="0079724F"/>
    <w:rsid w:val="007A3EAE"/>
    <w:rsid w:val="007C04FC"/>
    <w:rsid w:val="007D3E0F"/>
    <w:rsid w:val="007D5BF8"/>
    <w:rsid w:val="007E261F"/>
    <w:rsid w:val="007F387B"/>
    <w:rsid w:val="00802863"/>
    <w:rsid w:val="00815B3C"/>
    <w:rsid w:val="0082783A"/>
    <w:rsid w:val="00831CA9"/>
    <w:rsid w:val="00850E1F"/>
    <w:rsid w:val="0085476B"/>
    <w:rsid w:val="008832E3"/>
    <w:rsid w:val="00890FEB"/>
    <w:rsid w:val="0089341B"/>
    <w:rsid w:val="008A744B"/>
    <w:rsid w:val="008C1157"/>
    <w:rsid w:val="008D24C2"/>
    <w:rsid w:val="008D292F"/>
    <w:rsid w:val="008D3E5A"/>
    <w:rsid w:val="008E03DC"/>
    <w:rsid w:val="00902892"/>
    <w:rsid w:val="00920747"/>
    <w:rsid w:val="00922CDF"/>
    <w:rsid w:val="00924065"/>
    <w:rsid w:val="00930D68"/>
    <w:rsid w:val="00932DB4"/>
    <w:rsid w:val="00941A4B"/>
    <w:rsid w:val="00943304"/>
    <w:rsid w:val="00946242"/>
    <w:rsid w:val="0095096B"/>
    <w:rsid w:val="0096156A"/>
    <w:rsid w:val="00970CD3"/>
    <w:rsid w:val="009723FA"/>
    <w:rsid w:val="00984546"/>
    <w:rsid w:val="00996510"/>
    <w:rsid w:val="009A4D4D"/>
    <w:rsid w:val="009B4572"/>
    <w:rsid w:val="009D1F15"/>
    <w:rsid w:val="009D4740"/>
    <w:rsid w:val="009D555E"/>
    <w:rsid w:val="009F3024"/>
    <w:rsid w:val="00A0355E"/>
    <w:rsid w:val="00A375D1"/>
    <w:rsid w:val="00A51D10"/>
    <w:rsid w:val="00A52A83"/>
    <w:rsid w:val="00A6552C"/>
    <w:rsid w:val="00A84C59"/>
    <w:rsid w:val="00A87207"/>
    <w:rsid w:val="00A935AA"/>
    <w:rsid w:val="00AA6105"/>
    <w:rsid w:val="00AB2201"/>
    <w:rsid w:val="00AD3259"/>
    <w:rsid w:val="00AF1715"/>
    <w:rsid w:val="00AF3904"/>
    <w:rsid w:val="00AF71AF"/>
    <w:rsid w:val="00B010C0"/>
    <w:rsid w:val="00B16110"/>
    <w:rsid w:val="00B25D31"/>
    <w:rsid w:val="00B464D4"/>
    <w:rsid w:val="00B464F4"/>
    <w:rsid w:val="00B4740D"/>
    <w:rsid w:val="00B61629"/>
    <w:rsid w:val="00B7374B"/>
    <w:rsid w:val="00B90DC0"/>
    <w:rsid w:val="00BA116A"/>
    <w:rsid w:val="00BA5582"/>
    <w:rsid w:val="00BA6468"/>
    <w:rsid w:val="00BD06DA"/>
    <w:rsid w:val="00BD2DB2"/>
    <w:rsid w:val="00BD4217"/>
    <w:rsid w:val="00BF25F3"/>
    <w:rsid w:val="00C1697B"/>
    <w:rsid w:val="00C21CB5"/>
    <w:rsid w:val="00C3726D"/>
    <w:rsid w:val="00C50A5C"/>
    <w:rsid w:val="00C50FDF"/>
    <w:rsid w:val="00C63381"/>
    <w:rsid w:val="00C73D06"/>
    <w:rsid w:val="00C73E1B"/>
    <w:rsid w:val="00C759B4"/>
    <w:rsid w:val="00C77713"/>
    <w:rsid w:val="00CB170E"/>
    <w:rsid w:val="00CB43D5"/>
    <w:rsid w:val="00CC012F"/>
    <w:rsid w:val="00CC32BD"/>
    <w:rsid w:val="00CC40D0"/>
    <w:rsid w:val="00CC4D84"/>
    <w:rsid w:val="00CE198A"/>
    <w:rsid w:val="00CF3A1F"/>
    <w:rsid w:val="00D1389C"/>
    <w:rsid w:val="00D1702A"/>
    <w:rsid w:val="00D50228"/>
    <w:rsid w:val="00D56567"/>
    <w:rsid w:val="00D56FDA"/>
    <w:rsid w:val="00D6109D"/>
    <w:rsid w:val="00D61DD0"/>
    <w:rsid w:val="00D64901"/>
    <w:rsid w:val="00D76BDF"/>
    <w:rsid w:val="00D862C1"/>
    <w:rsid w:val="00D93B50"/>
    <w:rsid w:val="00D94670"/>
    <w:rsid w:val="00DA46F6"/>
    <w:rsid w:val="00DC68DC"/>
    <w:rsid w:val="00DD0B49"/>
    <w:rsid w:val="00DE5543"/>
    <w:rsid w:val="00E06DFA"/>
    <w:rsid w:val="00E20A0A"/>
    <w:rsid w:val="00E26705"/>
    <w:rsid w:val="00E356C7"/>
    <w:rsid w:val="00E447A8"/>
    <w:rsid w:val="00E45FE4"/>
    <w:rsid w:val="00E64FA7"/>
    <w:rsid w:val="00E770CB"/>
    <w:rsid w:val="00E902E7"/>
    <w:rsid w:val="00E903A1"/>
    <w:rsid w:val="00E940EB"/>
    <w:rsid w:val="00EB2B90"/>
    <w:rsid w:val="00EB4F1F"/>
    <w:rsid w:val="00EC3DD8"/>
    <w:rsid w:val="00EC738C"/>
    <w:rsid w:val="00ED7E83"/>
    <w:rsid w:val="00EF4B63"/>
    <w:rsid w:val="00EF503B"/>
    <w:rsid w:val="00F0068D"/>
    <w:rsid w:val="00F0576D"/>
    <w:rsid w:val="00F14E6D"/>
    <w:rsid w:val="00F15EA8"/>
    <w:rsid w:val="00F16C8D"/>
    <w:rsid w:val="00F26C61"/>
    <w:rsid w:val="00F33CCE"/>
    <w:rsid w:val="00F40249"/>
    <w:rsid w:val="00F46FC4"/>
    <w:rsid w:val="00F4784C"/>
    <w:rsid w:val="00F526C8"/>
    <w:rsid w:val="00F6416F"/>
    <w:rsid w:val="00F9272D"/>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Ssoc">
    <w:name w:val="SCC.Ssoc"/>
    <w:basedOn w:val="Normal"/>
    <w:next w:val="Normal"/>
    <w:link w:val="SCCSsocChar"/>
    <w:rsid w:val="00943304"/>
    <w:rPr>
      <w:rFonts w:eastAsia="Calibri" w:cs="Times New Roman"/>
      <w:i/>
      <w:sz w:val="20"/>
      <w:szCs w:val="20"/>
    </w:rPr>
  </w:style>
  <w:style w:type="character" w:customStyle="1" w:styleId="SCCSsocChar">
    <w:name w:val="SCC.Ssoc Char"/>
    <w:basedOn w:val="DefaultParagraphFont"/>
    <w:link w:val="SCCSsoc"/>
    <w:rsid w:val="00943304"/>
    <w:rPr>
      <w:rFonts w:eastAsia="Calibri" w:cs="Times New Roman"/>
      <w:i/>
      <w:sz w:val="20"/>
      <w:szCs w:val="20"/>
      <w:lang w:val="en-CA"/>
    </w:rPr>
  </w:style>
  <w:style w:type="paragraph" w:styleId="BodyText">
    <w:name w:val="Body Text"/>
    <w:basedOn w:val="Normal"/>
    <w:link w:val="BodyTextChar"/>
    <w:rsid w:val="00322900"/>
    <w:pPr>
      <w:spacing w:after="240"/>
    </w:pPr>
    <w:rPr>
      <w:rFonts w:eastAsia="Times New Roman" w:cs="Times New Roman"/>
      <w:szCs w:val="24"/>
    </w:rPr>
  </w:style>
  <w:style w:type="character" w:customStyle="1" w:styleId="BodyTextChar">
    <w:name w:val="Body Text Char"/>
    <w:basedOn w:val="DefaultParagraphFont"/>
    <w:link w:val="BodyText"/>
    <w:rsid w:val="00322900"/>
    <w:rPr>
      <w:rFonts w:eastAsia="Times New Roman" w:cs="Times New Roman"/>
      <w:szCs w:val="24"/>
      <w:lang w:val="en-CA"/>
    </w:rPr>
  </w:style>
  <w:style w:type="paragraph" w:customStyle="1" w:styleId="SCCLowerCourtNameLowercase">
    <w:name w:val="SCC.LowerCourtNameLowercase"/>
    <w:basedOn w:val="SCCNormalDoubleSpacing"/>
    <w:next w:val="SCCNormalDoubleSpacing"/>
    <w:rsid w:val="004558B1"/>
    <w:pPr>
      <w:tabs>
        <w:tab w:val="left" w:pos="1168"/>
      </w:tabs>
    </w:pPr>
    <w:rPr>
      <w:smallCaps/>
      <w:lang w:val="fr-CA"/>
    </w:rPr>
  </w:style>
  <w:style w:type="paragraph" w:styleId="Quote">
    <w:name w:val="Quote"/>
    <w:basedOn w:val="Normal"/>
    <w:next w:val="Normal"/>
    <w:link w:val="QuoteChar"/>
    <w:uiPriority w:val="29"/>
    <w:qFormat/>
    <w:rsid w:val="0015683B"/>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15683B"/>
    <w:rPr>
      <w:rFonts w:eastAsia="Times New Roman" w:cs="Times New Roman"/>
      <w:i/>
      <w:iCs/>
      <w:color w:val="000000" w:themeColor="text1"/>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20760</Words>
  <Characters>118338</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2012-03-26T12:45:00Z</dcterms:created>
  <dcterms:modified xsi:type="dcterms:W3CDTF">2012-03-26T13:42:00Z</dcterms:modified>
</cp:coreProperties>
</file>