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32AB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32AB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32AB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32AB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32ABE" w:rsidTr="002E5576">
        <w:tc>
          <w:tcPr>
            <w:tcW w:w="4518" w:type="dxa"/>
          </w:tcPr>
          <w:p w:rsidR="00BF25F3" w:rsidRPr="002E2327" w:rsidRDefault="00E5065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5065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32ABE" w:rsidTr="002E5576">
        <w:tc>
          <w:tcPr>
            <w:tcW w:w="4518" w:type="dxa"/>
          </w:tcPr>
          <w:p w:rsidR="009F3024" w:rsidRPr="00751C79" w:rsidRDefault="009F3024" w:rsidP="009F3024">
            <w:pPr>
              <w:tabs>
                <w:tab w:val="left" w:pos="6075"/>
              </w:tabs>
              <w:rPr>
                <w:rFonts w:cs="Times New Roman"/>
                <w:szCs w:val="24"/>
                <w:lang w:val="fr-CA"/>
              </w:rPr>
            </w:pPr>
          </w:p>
          <w:p w:rsidR="009F3024" w:rsidRPr="00751C79" w:rsidRDefault="009F3024" w:rsidP="009F3024">
            <w:pPr>
              <w:tabs>
                <w:tab w:val="left" w:pos="6075"/>
              </w:tabs>
              <w:rPr>
                <w:rFonts w:cs="Times New Roman"/>
                <w:szCs w:val="24"/>
                <w:lang w:val="fr-CA"/>
              </w:rPr>
            </w:pPr>
          </w:p>
        </w:tc>
        <w:tc>
          <w:tcPr>
            <w:tcW w:w="630" w:type="dxa"/>
          </w:tcPr>
          <w:p w:rsidR="009F3024" w:rsidRPr="00751C79"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32ABE"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E5065D">
              <w:fldChar w:fldCharType="begin"/>
            </w:r>
            <w:r w:rsidR="00E5065D" w:rsidRPr="00832ABE">
              <w:rPr>
                <w:lang w:val="fr-CA"/>
              </w:rPr>
              <w:instrText>HYPERLINK "http://www.scc-csc.gc.ca"</w:instrText>
            </w:r>
            <w:r w:rsidR="00E5065D">
              <w:fldChar w:fldCharType="separate"/>
            </w:r>
            <w:r w:rsidRPr="00155CF3">
              <w:rPr>
                <w:rStyle w:val="Hyperlink"/>
                <w:rFonts w:ascii="Arial" w:hAnsi="Arial" w:cs="Arial"/>
                <w:i/>
                <w:sz w:val="20"/>
                <w:szCs w:val="20"/>
                <w:lang w:val="fr-CA"/>
              </w:rPr>
              <w:t>www.scc-csc.gc.ca</w:t>
            </w:r>
            <w:r w:rsidR="00E5065D">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51C79"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Pr>
          <w:lang w:val="fr-CA"/>
        </w:rPr>
        <w:t>5</w:t>
      </w:r>
      <w:r w:rsidR="00440E24" w:rsidRPr="00675479">
        <w:rPr>
          <w:lang w:val="fr-CA"/>
        </w:rPr>
        <w:t>, 201</w:t>
      </w:r>
      <w:r w:rsidR="00C73D06">
        <w:rPr>
          <w:lang w:val="fr-CA"/>
        </w:rPr>
        <w:t>2</w:t>
      </w:r>
      <w:r w:rsidR="00F0068D" w:rsidRPr="00675479">
        <w:rPr>
          <w:lang w:val="fr-CA"/>
        </w:rPr>
        <w:tab/>
      </w:r>
      <w:r>
        <w:rPr>
          <w:lang w:val="fr-CA"/>
        </w:rPr>
        <w:t>488</w:t>
      </w:r>
      <w:r w:rsidR="00F0068D" w:rsidRPr="00675479">
        <w:rPr>
          <w:lang w:val="fr-CA"/>
        </w:rPr>
        <w:t xml:space="preserve"> - </w:t>
      </w:r>
      <w:r w:rsidR="00080BDD">
        <w:rPr>
          <w:lang w:val="fr-CA"/>
        </w:rPr>
        <w:t>535</w:t>
      </w:r>
      <w:r w:rsidR="00440E24" w:rsidRPr="00675479">
        <w:rPr>
          <w:lang w:val="fr-CA"/>
        </w:rPr>
        <w:tab/>
      </w:r>
      <w:r w:rsidR="00440E24" w:rsidRPr="002E2327">
        <w:rPr>
          <w:lang w:val="fr-CA"/>
        </w:rPr>
        <w:t>Le</w:t>
      </w:r>
      <w:r w:rsidR="00C73D06">
        <w:rPr>
          <w:lang w:val="fr-CA"/>
        </w:rPr>
        <w:t xml:space="preserve"> </w:t>
      </w:r>
      <w:r>
        <w:rPr>
          <w:lang w:val="fr-CA"/>
        </w:rPr>
        <w:t>5</w:t>
      </w:r>
      <w:r w:rsidR="00C73D06">
        <w:rPr>
          <w:lang w:val="fr-CA"/>
        </w:rPr>
        <w:t xml:space="preserve"> </w:t>
      </w:r>
      <w:r w:rsidR="00440E24" w:rsidRPr="002E2327">
        <w:rPr>
          <w:lang w:val="fr-CA"/>
        </w:rPr>
        <w:t>av</w:t>
      </w:r>
      <w:r>
        <w:rPr>
          <w:lang w:val="fr-CA"/>
        </w:rPr>
        <w:t>ril</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lastRenderedPageBreak/>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40B8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A87207" w:rsidRPr="002E2327" w:rsidRDefault="0095096B" w:rsidP="00080BDD">
            <w:pPr>
              <w:tabs>
                <w:tab w:val="right" w:pos="9360"/>
              </w:tabs>
              <w:rPr>
                <w:rFonts w:cs="Times New Roman"/>
                <w:sz w:val="20"/>
                <w:szCs w:val="20"/>
              </w:rPr>
            </w:pPr>
            <w:r w:rsidRPr="002E2327">
              <w:rPr>
                <w:rFonts w:cs="Times New Roman"/>
                <w:sz w:val="20"/>
                <w:szCs w:val="20"/>
              </w:rPr>
              <w:t>issue</w:t>
            </w:r>
          </w:p>
        </w:tc>
        <w:tc>
          <w:tcPr>
            <w:tcW w:w="1980" w:type="dxa"/>
          </w:tcPr>
          <w:p w:rsidR="0095096B" w:rsidRPr="002E2327" w:rsidRDefault="00A770F1" w:rsidP="0095096B">
            <w:pPr>
              <w:jc w:val="center"/>
              <w:rPr>
                <w:rFonts w:cs="Times New Roman"/>
                <w:sz w:val="20"/>
                <w:szCs w:val="20"/>
              </w:rPr>
            </w:pPr>
            <w:r>
              <w:rPr>
                <w:rFonts w:cs="Times New Roman"/>
                <w:sz w:val="20"/>
                <w:szCs w:val="20"/>
              </w:rPr>
              <w:t xml:space="preserve">488 </w:t>
            </w:r>
            <w:r w:rsidR="00E5065D" w:rsidRPr="002E2327">
              <w:rPr>
                <w:rFonts w:cs="Times New Roman"/>
                <w:sz w:val="20"/>
                <w:szCs w:val="20"/>
              </w:rPr>
              <w:fldChar w:fldCharType="begin"/>
            </w:r>
            <w:r w:rsidR="0095096B" w:rsidRPr="002E2327">
              <w:rPr>
                <w:rFonts w:cs="Times New Roman"/>
                <w:sz w:val="20"/>
                <w:szCs w:val="20"/>
              </w:rPr>
              <w:instrText xml:space="preserve"> SEQ CHAPTER \h \r 1</w:instrText>
            </w:r>
            <w:r w:rsidR="00E5065D"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489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C2EFA" w:rsidP="0095096B">
            <w:pPr>
              <w:jc w:val="center"/>
              <w:rPr>
                <w:rFonts w:cs="Times New Roman"/>
                <w:sz w:val="20"/>
                <w:szCs w:val="20"/>
              </w:rPr>
            </w:pPr>
            <w:r>
              <w:rPr>
                <w:rFonts w:cs="Times New Roman"/>
                <w:sz w:val="20"/>
                <w:szCs w:val="20"/>
              </w:rPr>
              <w:t xml:space="preserve">490 </w:t>
            </w:r>
            <w:r w:rsidR="0095096B" w:rsidRPr="002E2327">
              <w:rPr>
                <w:rFonts w:cs="Times New Roman"/>
                <w:sz w:val="20"/>
                <w:szCs w:val="20"/>
              </w:rPr>
              <w:t>-</w:t>
            </w:r>
            <w:r>
              <w:rPr>
                <w:rFonts w:cs="Times New Roman"/>
                <w:sz w:val="20"/>
                <w:szCs w:val="20"/>
              </w:rPr>
              <w:t xml:space="preserve"> 491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8729F" w:rsidP="0095096B">
            <w:pPr>
              <w:jc w:val="center"/>
              <w:rPr>
                <w:rFonts w:cs="Times New Roman"/>
                <w:sz w:val="20"/>
                <w:szCs w:val="20"/>
              </w:rPr>
            </w:pPr>
            <w:r>
              <w:rPr>
                <w:rFonts w:cs="Times New Roman"/>
                <w:sz w:val="20"/>
                <w:szCs w:val="20"/>
              </w:rPr>
              <w:t xml:space="preserve">492 </w:t>
            </w:r>
            <w:r w:rsidR="0095096B" w:rsidRPr="002E2327">
              <w:rPr>
                <w:rFonts w:cs="Times New Roman"/>
                <w:sz w:val="20"/>
                <w:szCs w:val="20"/>
              </w:rPr>
              <w:t>-</w:t>
            </w:r>
            <w:r w:rsidR="00080BDD">
              <w:rPr>
                <w:rFonts w:cs="Times New Roman"/>
                <w:sz w:val="20"/>
                <w:szCs w:val="20"/>
              </w:rPr>
              <w:t xml:space="preserve"> 531</w:t>
            </w:r>
          </w:p>
          <w:p w:rsidR="0095096B" w:rsidRDefault="0095096B" w:rsidP="0095096B">
            <w:pPr>
              <w:jc w:val="center"/>
              <w:rPr>
                <w:rFonts w:cs="Times New Roman"/>
                <w:sz w:val="20"/>
                <w:szCs w:val="20"/>
              </w:rPr>
            </w:pPr>
          </w:p>
          <w:p w:rsidR="00E8729F" w:rsidRPr="002E2327" w:rsidRDefault="00E8729F" w:rsidP="0095096B">
            <w:pPr>
              <w:jc w:val="center"/>
              <w:rPr>
                <w:rFonts w:cs="Times New Roman"/>
                <w:sz w:val="20"/>
                <w:szCs w:val="20"/>
              </w:rPr>
            </w:pPr>
          </w:p>
          <w:p w:rsidR="0095096B" w:rsidRPr="002E2327" w:rsidRDefault="00080BDD" w:rsidP="0095096B">
            <w:pPr>
              <w:jc w:val="center"/>
              <w:rPr>
                <w:rFonts w:cs="Times New Roman"/>
                <w:sz w:val="20"/>
                <w:szCs w:val="20"/>
              </w:rPr>
            </w:pPr>
            <w:r>
              <w:rPr>
                <w:rFonts w:cs="Times New Roman"/>
                <w:sz w:val="20"/>
                <w:szCs w:val="20"/>
              </w:rPr>
              <w:t xml:space="preserve">532 </w:t>
            </w:r>
            <w:r w:rsidR="0095096B" w:rsidRPr="002E2327">
              <w:rPr>
                <w:rFonts w:cs="Times New Roman"/>
                <w:sz w:val="20"/>
                <w:szCs w:val="20"/>
              </w:rPr>
              <w:t>-</w:t>
            </w:r>
            <w:r>
              <w:rPr>
                <w:rFonts w:cs="Times New Roman"/>
                <w:sz w:val="20"/>
                <w:szCs w:val="20"/>
              </w:rPr>
              <w:t xml:space="preserve"> 534</w:t>
            </w:r>
          </w:p>
          <w:p w:rsidR="0095096B" w:rsidRPr="002E2327" w:rsidRDefault="0095096B" w:rsidP="0095096B">
            <w:pPr>
              <w:jc w:val="center"/>
              <w:rPr>
                <w:rFonts w:cs="Times New Roman"/>
                <w:sz w:val="20"/>
                <w:szCs w:val="20"/>
              </w:rPr>
            </w:pPr>
          </w:p>
          <w:p w:rsidR="0095096B" w:rsidRPr="002E2327" w:rsidRDefault="00080BDD" w:rsidP="0095096B">
            <w:pPr>
              <w:jc w:val="center"/>
              <w:rPr>
                <w:rFonts w:cs="Times New Roman"/>
                <w:sz w:val="20"/>
                <w:szCs w:val="20"/>
              </w:rPr>
            </w:pPr>
            <w:r>
              <w:rPr>
                <w:rFonts w:cs="Times New Roman"/>
                <w:sz w:val="20"/>
                <w:szCs w:val="20"/>
              </w:rPr>
              <w:t>535</w:t>
            </w:r>
          </w:p>
          <w:p w:rsidR="00A87207" w:rsidRPr="002E2327" w:rsidRDefault="00A87207" w:rsidP="006C2448">
            <w:pPr>
              <w:jc w:val="center"/>
              <w:rPr>
                <w:rFonts w:cs="Times New Roman"/>
                <w:sz w:val="20"/>
                <w:szCs w:val="20"/>
              </w:rPr>
            </w:pPr>
          </w:p>
        </w:tc>
        <w:tc>
          <w:tcPr>
            <w:tcW w:w="3888" w:type="dxa"/>
          </w:tcPr>
          <w:p w:rsidR="0095096B" w:rsidRPr="002E2327" w:rsidRDefault="00E5065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A87207" w:rsidRPr="002E2327" w:rsidRDefault="0095096B" w:rsidP="00080BDD">
            <w:pPr>
              <w:rPr>
                <w:rFonts w:cs="Times New Roman"/>
                <w:sz w:val="20"/>
                <w:szCs w:val="20"/>
                <w:lang w:val="fr-CA"/>
              </w:rPr>
            </w:pPr>
            <w:r w:rsidRPr="002E2327">
              <w:rPr>
                <w:rFonts w:cs="Times New Roman"/>
                <w:sz w:val="20"/>
                <w:szCs w:val="20"/>
                <w:lang w:val="fr-CA"/>
              </w:rPr>
              <w:t>parution</w:t>
            </w:r>
          </w:p>
        </w:tc>
      </w:tr>
    </w:tbl>
    <w:p w:rsidR="0095096B" w:rsidRDefault="0095096B" w:rsidP="0095096B">
      <w:pPr>
        <w:tabs>
          <w:tab w:val="right" w:pos="9360"/>
        </w:tabs>
        <w:rPr>
          <w:lang w:val="fr-CA"/>
        </w:rPr>
      </w:pPr>
    </w:p>
    <w:p w:rsidR="00140B84" w:rsidRDefault="00140B84" w:rsidP="0095096B">
      <w:pPr>
        <w:tabs>
          <w:tab w:val="right" w:pos="9360"/>
        </w:tabs>
        <w:rPr>
          <w:lang w:val="fr-CA"/>
        </w:rPr>
      </w:pPr>
    </w:p>
    <w:p w:rsidR="001309FC" w:rsidRDefault="001309FC" w:rsidP="0095096B">
      <w:pPr>
        <w:tabs>
          <w:tab w:val="right" w:pos="9360"/>
        </w:tabs>
        <w:rPr>
          <w:lang w:val="fr-CA"/>
        </w:rPr>
      </w:pPr>
    </w:p>
    <w:p w:rsidR="00140B84" w:rsidRDefault="00140B84" w:rsidP="0095096B">
      <w:pPr>
        <w:tabs>
          <w:tab w:val="right" w:pos="9360"/>
        </w:tabs>
        <w:rPr>
          <w:lang w:val="fr-CA"/>
        </w:rPr>
      </w:pPr>
    </w:p>
    <w:p w:rsidR="00140B84" w:rsidRDefault="00140B84" w:rsidP="0095096B">
      <w:pPr>
        <w:tabs>
          <w:tab w:val="right" w:pos="9360"/>
        </w:tabs>
        <w:rPr>
          <w:lang w:val="fr-CA"/>
        </w:rPr>
      </w:pPr>
    </w:p>
    <w:p w:rsidR="00140B84" w:rsidRPr="006C2448" w:rsidRDefault="00140B84" w:rsidP="0095096B">
      <w:pPr>
        <w:tabs>
          <w:tab w:val="right" w:pos="9360"/>
        </w:tabs>
        <w:rPr>
          <w:lang w:val="fr-CA"/>
        </w:rPr>
      </w:pPr>
    </w:p>
    <w:tbl>
      <w:tblPr>
        <w:tblStyle w:val="TableGrid"/>
        <w:tblW w:w="0" w:type="auto"/>
        <w:tblLook w:val="04A0"/>
      </w:tblPr>
      <w:tblGrid>
        <w:gridCol w:w="9576"/>
      </w:tblGrid>
      <w:tr w:rsidR="0079724F" w:rsidRPr="00832AB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6C2448" w:rsidP="003B3977">
            <w:pPr>
              <w:rPr>
                <w:b/>
                <w:sz w:val="20"/>
                <w:szCs w:val="20"/>
              </w:rPr>
            </w:pPr>
            <w:r>
              <w:rPr>
                <w:b/>
                <w:sz w:val="20"/>
                <w:szCs w:val="20"/>
              </w:rPr>
              <w:t>GRW Industries (1985) Limited (In Bankruptcy) the secured; Preferred and Unsecured Creditors</w:t>
            </w:r>
          </w:p>
          <w:p w:rsidR="00242AEE" w:rsidRPr="00A935AA" w:rsidRDefault="00242AEE" w:rsidP="003B3977">
            <w:pPr>
              <w:tabs>
                <w:tab w:val="left" w:pos="-1440"/>
                <w:tab w:val="left" w:pos="-720"/>
              </w:tabs>
              <w:rPr>
                <w:sz w:val="20"/>
                <w:szCs w:val="20"/>
              </w:rPr>
            </w:pPr>
            <w:r w:rsidRPr="00A935AA">
              <w:rPr>
                <w:sz w:val="20"/>
                <w:szCs w:val="20"/>
              </w:rPr>
              <w:tab/>
            </w:r>
            <w:r w:rsidR="006C2448">
              <w:rPr>
                <w:sz w:val="20"/>
                <w:szCs w:val="20"/>
              </w:rPr>
              <w:t>Grant R. Wilson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214CB8">
              <w:rPr>
                <w:sz w:val="20"/>
                <w:szCs w:val="20"/>
              </w:rPr>
              <w:t>46</w:t>
            </w:r>
            <w:r w:rsidR="006C2448">
              <w:rPr>
                <w:sz w:val="20"/>
                <w:szCs w:val="20"/>
              </w:rPr>
              <w:t>57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6C2448" w:rsidP="003B3977">
            <w:pPr>
              <w:tabs>
                <w:tab w:val="left" w:pos="-1440"/>
                <w:tab w:val="left" w:pos="-720"/>
              </w:tabs>
              <w:rPr>
                <w:b/>
                <w:sz w:val="20"/>
                <w:szCs w:val="20"/>
              </w:rPr>
            </w:pPr>
            <w:r>
              <w:rPr>
                <w:b/>
                <w:sz w:val="20"/>
                <w:szCs w:val="20"/>
              </w:rPr>
              <w:t xml:space="preserve">Royal Bank of Canada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6C2448">
              <w:rPr>
                <w:sz w:val="20"/>
                <w:szCs w:val="20"/>
              </w:rPr>
              <w:t>Brett Harrison</w:t>
            </w:r>
          </w:p>
          <w:p w:rsidR="00242AEE" w:rsidRPr="00A935AA" w:rsidRDefault="00242AEE" w:rsidP="003B3977">
            <w:pPr>
              <w:tabs>
                <w:tab w:val="left" w:pos="-1440"/>
                <w:tab w:val="left" w:pos="-720"/>
              </w:tabs>
              <w:rPr>
                <w:sz w:val="20"/>
                <w:szCs w:val="20"/>
              </w:rPr>
            </w:pPr>
            <w:r w:rsidRPr="00A935AA">
              <w:rPr>
                <w:sz w:val="20"/>
                <w:szCs w:val="20"/>
              </w:rPr>
              <w:tab/>
            </w:r>
            <w:r w:rsidR="006C2448">
              <w:rPr>
                <w:sz w:val="20"/>
                <w:szCs w:val="20"/>
              </w:rPr>
              <w:t>McMillan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6C2448">
              <w:rPr>
                <w:sz w:val="20"/>
                <w:szCs w:val="20"/>
              </w:rPr>
              <w:t>18</w:t>
            </w:r>
            <w:r w:rsidRPr="00A935AA">
              <w:rPr>
                <w:sz w:val="20"/>
                <w:szCs w:val="20"/>
              </w:rPr>
              <w:t>.0</w:t>
            </w:r>
            <w:r w:rsidR="006C2448">
              <w:rPr>
                <w:sz w:val="20"/>
                <w:szCs w:val="20"/>
              </w:rPr>
              <w:t>1</w:t>
            </w:r>
            <w:r w:rsidRPr="00A935AA">
              <w:rPr>
                <w:sz w:val="20"/>
                <w:szCs w:val="20"/>
              </w:rPr>
              <w:t>.201</w:t>
            </w:r>
            <w:r w:rsidR="00214CB8">
              <w:rPr>
                <w:sz w:val="20"/>
                <w:szCs w:val="20"/>
              </w:rPr>
              <w:t>2</w:t>
            </w:r>
          </w:p>
          <w:p w:rsidR="00242AEE" w:rsidRPr="00A935AA" w:rsidRDefault="00E5065D" w:rsidP="003B3977">
            <w:pPr>
              <w:rPr>
                <w:sz w:val="20"/>
                <w:szCs w:val="20"/>
              </w:rPr>
            </w:pPr>
            <w:r w:rsidRPr="00E5065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6C2448" w:rsidRPr="00A935AA" w:rsidRDefault="006C2448"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6C2448" w:rsidP="003B3977">
            <w:pPr>
              <w:keepNext/>
              <w:keepLines/>
              <w:tabs>
                <w:tab w:val="left" w:pos="-1440"/>
                <w:tab w:val="left" w:pos="-720"/>
              </w:tabs>
              <w:rPr>
                <w:b/>
                <w:sz w:val="20"/>
                <w:szCs w:val="20"/>
              </w:rPr>
            </w:pPr>
            <w:r>
              <w:rPr>
                <w:b/>
                <w:sz w:val="20"/>
                <w:szCs w:val="20"/>
              </w:rPr>
              <w:t>C.S. et al.</w:t>
            </w:r>
          </w:p>
          <w:p w:rsidR="00242AEE" w:rsidRPr="00A935AA" w:rsidRDefault="00242AEE" w:rsidP="003B3977">
            <w:pPr>
              <w:keepNext/>
              <w:keepLines/>
              <w:tabs>
                <w:tab w:val="left" w:pos="-1440"/>
                <w:tab w:val="left" w:pos="-720"/>
              </w:tabs>
              <w:rPr>
                <w:sz w:val="20"/>
                <w:szCs w:val="20"/>
              </w:rPr>
            </w:pPr>
            <w:r w:rsidRPr="00A935AA">
              <w:rPr>
                <w:sz w:val="20"/>
                <w:szCs w:val="20"/>
              </w:rPr>
              <w:tab/>
            </w:r>
            <w:r w:rsidR="006C2448">
              <w:rPr>
                <w:sz w:val="20"/>
                <w:szCs w:val="20"/>
              </w:rPr>
              <w:t>C.S. and M.S.</w:t>
            </w:r>
          </w:p>
          <w:p w:rsidR="00242AEE" w:rsidRPr="00A935AA" w:rsidRDefault="00242AEE" w:rsidP="003B3977">
            <w:pPr>
              <w:keepNext/>
              <w:keepLines/>
              <w:tabs>
                <w:tab w:val="left" w:pos="-1440"/>
                <w:tab w:val="left" w:pos="-720"/>
              </w:tabs>
              <w:rPr>
                <w:sz w:val="20"/>
                <w:szCs w:val="20"/>
              </w:rPr>
            </w:pPr>
          </w:p>
          <w:p w:rsidR="00242AEE" w:rsidRPr="006C2448" w:rsidRDefault="00242AEE" w:rsidP="003B3977">
            <w:pPr>
              <w:keepNext/>
              <w:keepLines/>
              <w:tabs>
                <w:tab w:val="left" w:pos="-1440"/>
                <w:tab w:val="left" w:pos="-720"/>
              </w:tabs>
              <w:rPr>
                <w:sz w:val="20"/>
                <w:szCs w:val="20"/>
              </w:rPr>
            </w:pPr>
            <w:r w:rsidRPr="00A935AA">
              <w:rPr>
                <w:sz w:val="20"/>
                <w:szCs w:val="20"/>
              </w:rPr>
              <w:tab/>
            </w:r>
            <w:r w:rsidRPr="006C2448">
              <w:rPr>
                <w:sz w:val="20"/>
                <w:szCs w:val="20"/>
              </w:rPr>
              <w:t>v. (3</w:t>
            </w:r>
            <w:r w:rsidR="00214CB8" w:rsidRPr="006C2448">
              <w:rPr>
                <w:sz w:val="20"/>
                <w:szCs w:val="20"/>
              </w:rPr>
              <w:t>4</w:t>
            </w:r>
            <w:r w:rsidR="006C2448" w:rsidRPr="006C2448">
              <w:rPr>
                <w:sz w:val="20"/>
                <w:szCs w:val="20"/>
              </w:rPr>
              <w:t>721</w:t>
            </w:r>
            <w:r w:rsidRPr="006C2448">
              <w:rPr>
                <w:sz w:val="20"/>
                <w:szCs w:val="20"/>
              </w:rPr>
              <w:t>)</w:t>
            </w:r>
          </w:p>
          <w:p w:rsidR="00242AEE" w:rsidRPr="006C2448" w:rsidRDefault="00242AEE" w:rsidP="003B3977">
            <w:pPr>
              <w:keepNext/>
              <w:keepLines/>
              <w:tabs>
                <w:tab w:val="left" w:pos="-1440"/>
                <w:tab w:val="left" w:pos="-720"/>
              </w:tabs>
              <w:rPr>
                <w:sz w:val="20"/>
                <w:szCs w:val="20"/>
              </w:rPr>
            </w:pPr>
          </w:p>
          <w:p w:rsidR="00242AEE" w:rsidRPr="006C2448" w:rsidRDefault="006C2448" w:rsidP="003B3977">
            <w:pPr>
              <w:keepNext/>
              <w:keepLines/>
              <w:tabs>
                <w:tab w:val="left" w:pos="-1440"/>
                <w:tab w:val="left" w:pos="-720"/>
              </w:tabs>
              <w:rPr>
                <w:b/>
                <w:sz w:val="20"/>
                <w:szCs w:val="20"/>
              </w:rPr>
            </w:pPr>
            <w:r w:rsidRPr="006C2448">
              <w:rPr>
                <w:b/>
                <w:sz w:val="20"/>
                <w:szCs w:val="20"/>
              </w:rPr>
              <w:t>Children’s Aid Society of the Regional Municipality of Waterloo et al.</w:t>
            </w:r>
            <w:r>
              <w:rPr>
                <w:b/>
                <w:sz w:val="20"/>
                <w:szCs w:val="20"/>
              </w:rPr>
              <w:t xml:space="preserve"> </w:t>
            </w:r>
            <w:r w:rsidR="00242AEE" w:rsidRPr="006C2448">
              <w:rPr>
                <w:b/>
                <w:sz w:val="20"/>
                <w:szCs w:val="20"/>
              </w:rPr>
              <w:t>(Ont.)</w:t>
            </w:r>
          </w:p>
          <w:p w:rsidR="00242AEE" w:rsidRPr="006C2448" w:rsidRDefault="00242AEE" w:rsidP="003B3977">
            <w:pPr>
              <w:keepNext/>
              <w:keepLines/>
              <w:tabs>
                <w:tab w:val="left" w:pos="-1440"/>
                <w:tab w:val="left" w:pos="-720"/>
              </w:tabs>
              <w:rPr>
                <w:sz w:val="20"/>
                <w:szCs w:val="20"/>
              </w:rPr>
            </w:pPr>
            <w:r w:rsidRPr="006C2448">
              <w:rPr>
                <w:sz w:val="20"/>
                <w:szCs w:val="20"/>
              </w:rPr>
              <w:tab/>
            </w:r>
            <w:r w:rsidR="006C2448">
              <w:rPr>
                <w:sz w:val="20"/>
                <w:szCs w:val="20"/>
              </w:rPr>
              <w:t>Cheryl Bue</w:t>
            </w:r>
            <w:r w:rsidR="00151EC1">
              <w:rPr>
                <w:sz w:val="20"/>
                <w:szCs w:val="20"/>
              </w:rPr>
              <w:t>l</w:t>
            </w:r>
            <w:r w:rsidR="006C2448">
              <w:rPr>
                <w:sz w:val="20"/>
                <w:szCs w:val="20"/>
              </w:rPr>
              <w:t>her</w:t>
            </w:r>
          </w:p>
          <w:p w:rsidR="00242AEE" w:rsidRPr="006C2448" w:rsidRDefault="00242AEE" w:rsidP="003B3977">
            <w:pPr>
              <w:keepNext/>
              <w:keepLines/>
              <w:tabs>
                <w:tab w:val="left" w:pos="-1440"/>
                <w:tab w:val="left" w:pos="-720"/>
              </w:tabs>
              <w:rPr>
                <w:sz w:val="20"/>
                <w:szCs w:val="20"/>
              </w:rPr>
            </w:pPr>
            <w:r w:rsidRPr="006C2448">
              <w:rPr>
                <w:sz w:val="20"/>
                <w:szCs w:val="20"/>
              </w:rPr>
              <w:tab/>
            </w:r>
            <w:r w:rsidR="006C2448">
              <w:rPr>
                <w:sz w:val="20"/>
                <w:szCs w:val="20"/>
              </w:rPr>
              <w:t xml:space="preserve">Children’s Aid Society of the Regional </w:t>
            </w:r>
            <w:r w:rsidR="006C2448">
              <w:rPr>
                <w:sz w:val="20"/>
                <w:szCs w:val="20"/>
              </w:rPr>
              <w:tab/>
              <w:t>Municipality of Waterloo</w:t>
            </w:r>
          </w:p>
          <w:p w:rsidR="00242AEE" w:rsidRPr="006C2448" w:rsidRDefault="00242AEE" w:rsidP="003B3977">
            <w:pPr>
              <w:keepNext/>
              <w:keepLines/>
              <w:tabs>
                <w:tab w:val="left" w:pos="-1440"/>
                <w:tab w:val="left" w:pos="-720"/>
              </w:tabs>
              <w:rPr>
                <w:sz w:val="20"/>
                <w:szCs w:val="20"/>
              </w:rPr>
            </w:pPr>
          </w:p>
          <w:p w:rsidR="00242AEE" w:rsidRPr="00A935AA" w:rsidRDefault="00242AEE" w:rsidP="006C2448">
            <w:pPr>
              <w:rPr>
                <w:sz w:val="20"/>
                <w:szCs w:val="20"/>
              </w:rPr>
            </w:pPr>
            <w:r w:rsidRPr="00A935AA">
              <w:rPr>
                <w:sz w:val="20"/>
                <w:szCs w:val="20"/>
              </w:rPr>
              <w:t xml:space="preserve">FILING DATE: </w:t>
            </w:r>
            <w:r w:rsidR="006C2448">
              <w:rPr>
                <w:sz w:val="20"/>
                <w:szCs w:val="20"/>
              </w:rPr>
              <w:t>16</w:t>
            </w:r>
            <w:r w:rsidRPr="00A935AA">
              <w:rPr>
                <w:sz w:val="20"/>
                <w:szCs w:val="20"/>
              </w:rPr>
              <w:t>.0</w:t>
            </w:r>
            <w:r w:rsidR="006C2448">
              <w:rPr>
                <w:sz w:val="20"/>
                <w:szCs w:val="20"/>
              </w:rPr>
              <w:t>2</w:t>
            </w:r>
            <w:r w:rsidRPr="00A935AA">
              <w:rPr>
                <w:sz w:val="20"/>
                <w:szCs w:val="20"/>
              </w:rPr>
              <w:t>.201</w:t>
            </w:r>
            <w:r w:rsidR="00214CB8">
              <w:rPr>
                <w:sz w:val="20"/>
                <w:szCs w:val="20"/>
              </w:rPr>
              <w:t>2</w:t>
            </w:r>
            <w:r w:rsidR="00E5065D" w:rsidRPr="00E5065D">
              <w:rPr>
                <w:sz w:val="20"/>
                <w:szCs w:val="20"/>
                <w:lang w:val="fr-CA"/>
              </w:rPr>
              <w:pict>
                <v:rect id="_x0000_i1026" style="width:108pt;height:1pt" o:hrpct="0" o:hralign="center" o:hrstd="t" o:hrnoshade="t" o:hr="t" fillcolor="black [3213]" stroked="f"/>
              </w:pict>
            </w:r>
          </w:p>
        </w:tc>
      </w:tr>
      <w:tr w:rsidR="00214CB8" w:rsidRPr="00A935AA" w:rsidTr="003B3977">
        <w:tc>
          <w:tcPr>
            <w:tcW w:w="4320" w:type="dxa"/>
            <w:shd w:val="clear" w:color="auto" w:fill="auto"/>
          </w:tcPr>
          <w:p w:rsidR="00214CB8" w:rsidRPr="00A935AA" w:rsidRDefault="006C2448" w:rsidP="006C2448">
            <w:pPr>
              <w:rPr>
                <w:b/>
                <w:sz w:val="20"/>
                <w:szCs w:val="20"/>
              </w:rPr>
            </w:pPr>
            <w:r>
              <w:rPr>
                <w:b/>
                <w:sz w:val="20"/>
                <w:szCs w:val="20"/>
              </w:rPr>
              <w:t>K.S.</w:t>
            </w:r>
          </w:p>
          <w:p w:rsidR="00214CB8" w:rsidRPr="00A935AA" w:rsidRDefault="00214CB8" w:rsidP="006C2448">
            <w:pPr>
              <w:tabs>
                <w:tab w:val="left" w:pos="-1440"/>
                <w:tab w:val="left" w:pos="-720"/>
              </w:tabs>
              <w:rPr>
                <w:sz w:val="20"/>
                <w:szCs w:val="20"/>
              </w:rPr>
            </w:pPr>
            <w:r w:rsidRPr="00A935AA">
              <w:rPr>
                <w:sz w:val="20"/>
                <w:szCs w:val="20"/>
              </w:rPr>
              <w:tab/>
            </w:r>
            <w:r w:rsidR="006C2448">
              <w:rPr>
                <w:sz w:val="20"/>
                <w:szCs w:val="20"/>
              </w:rPr>
              <w:t>K.S.</w:t>
            </w:r>
          </w:p>
          <w:p w:rsidR="00214CB8" w:rsidRPr="00A935AA" w:rsidRDefault="00214CB8" w:rsidP="006C2448">
            <w:pPr>
              <w:tabs>
                <w:tab w:val="left" w:pos="-1440"/>
                <w:tab w:val="left" w:pos="-720"/>
              </w:tabs>
              <w:rPr>
                <w:sz w:val="20"/>
                <w:szCs w:val="20"/>
              </w:rPr>
            </w:pPr>
          </w:p>
          <w:p w:rsidR="00214CB8" w:rsidRPr="00A935AA" w:rsidRDefault="00214CB8" w:rsidP="006C2448">
            <w:pPr>
              <w:tabs>
                <w:tab w:val="left" w:pos="-1440"/>
                <w:tab w:val="left" w:pos="-720"/>
              </w:tabs>
              <w:rPr>
                <w:sz w:val="20"/>
                <w:szCs w:val="20"/>
              </w:rPr>
            </w:pPr>
            <w:r w:rsidRPr="00A935AA">
              <w:rPr>
                <w:sz w:val="20"/>
                <w:szCs w:val="20"/>
              </w:rPr>
              <w:tab/>
              <w:t>v. (3</w:t>
            </w:r>
            <w:r>
              <w:rPr>
                <w:sz w:val="20"/>
                <w:szCs w:val="20"/>
              </w:rPr>
              <w:t>4</w:t>
            </w:r>
            <w:r w:rsidR="006C2448">
              <w:rPr>
                <w:sz w:val="20"/>
                <w:szCs w:val="20"/>
              </w:rPr>
              <w:t>703)</w:t>
            </w:r>
          </w:p>
          <w:p w:rsidR="00214CB8" w:rsidRPr="00A935AA" w:rsidRDefault="00214CB8" w:rsidP="006C2448">
            <w:pPr>
              <w:tabs>
                <w:tab w:val="left" w:pos="-1440"/>
                <w:tab w:val="left" w:pos="-720"/>
              </w:tabs>
              <w:rPr>
                <w:sz w:val="20"/>
                <w:szCs w:val="20"/>
              </w:rPr>
            </w:pPr>
          </w:p>
          <w:p w:rsidR="00214CB8" w:rsidRPr="00A935AA" w:rsidRDefault="006C2448" w:rsidP="006C2448">
            <w:pPr>
              <w:tabs>
                <w:tab w:val="left" w:pos="-1440"/>
                <w:tab w:val="left" w:pos="-720"/>
              </w:tabs>
              <w:rPr>
                <w:b/>
                <w:sz w:val="20"/>
                <w:szCs w:val="20"/>
              </w:rPr>
            </w:pPr>
            <w:r>
              <w:rPr>
                <w:b/>
                <w:sz w:val="20"/>
                <w:szCs w:val="20"/>
              </w:rPr>
              <w:t>C</w:t>
            </w:r>
            <w:r w:rsidR="00B23986">
              <w:rPr>
                <w:b/>
                <w:sz w:val="20"/>
                <w:szCs w:val="20"/>
              </w:rPr>
              <w:t>AS</w:t>
            </w:r>
            <w:r>
              <w:rPr>
                <w:b/>
                <w:sz w:val="20"/>
                <w:szCs w:val="20"/>
              </w:rPr>
              <w:t xml:space="preserve"> of the Regional Municipality of Waterloo et al. </w:t>
            </w:r>
            <w:r w:rsidR="00214CB8" w:rsidRPr="00A935AA">
              <w:rPr>
                <w:b/>
                <w:sz w:val="20"/>
                <w:szCs w:val="20"/>
              </w:rPr>
              <w:t>(</w:t>
            </w:r>
            <w:r>
              <w:rPr>
                <w:b/>
                <w:sz w:val="20"/>
                <w:szCs w:val="20"/>
              </w:rPr>
              <w:t>Ont</w:t>
            </w:r>
            <w:r w:rsidR="00214CB8" w:rsidRPr="00A935AA">
              <w:rPr>
                <w:b/>
                <w:sz w:val="20"/>
                <w:szCs w:val="20"/>
              </w:rPr>
              <w:t>.)</w:t>
            </w:r>
          </w:p>
          <w:p w:rsidR="00214CB8" w:rsidRPr="00A935AA" w:rsidRDefault="00214CB8" w:rsidP="006C2448">
            <w:pPr>
              <w:tabs>
                <w:tab w:val="left" w:pos="-1440"/>
                <w:tab w:val="left" w:pos="-720"/>
              </w:tabs>
              <w:rPr>
                <w:sz w:val="20"/>
                <w:szCs w:val="20"/>
              </w:rPr>
            </w:pPr>
            <w:r w:rsidRPr="00A935AA">
              <w:rPr>
                <w:sz w:val="20"/>
                <w:szCs w:val="20"/>
              </w:rPr>
              <w:tab/>
            </w:r>
            <w:r w:rsidR="006C2448">
              <w:rPr>
                <w:sz w:val="20"/>
                <w:szCs w:val="20"/>
              </w:rPr>
              <w:t>Danika Brown</w:t>
            </w:r>
          </w:p>
          <w:p w:rsidR="00214CB8" w:rsidRPr="00A935AA" w:rsidRDefault="00214CB8" w:rsidP="006C2448">
            <w:pPr>
              <w:tabs>
                <w:tab w:val="left" w:pos="-1440"/>
                <w:tab w:val="left" w:pos="-720"/>
              </w:tabs>
              <w:rPr>
                <w:sz w:val="20"/>
                <w:szCs w:val="20"/>
              </w:rPr>
            </w:pPr>
            <w:r w:rsidRPr="00A935AA">
              <w:rPr>
                <w:sz w:val="20"/>
                <w:szCs w:val="20"/>
              </w:rPr>
              <w:tab/>
            </w:r>
            <w:r w:rsidR="006C2448">
              <w:rPr>
                <w:sz w:val="20"/>
                <w:szCs w:val="20"/>
              </w:rPr>
              <w:t xml:space="preserve">Children’s Aid Society of the Regional </w:t>
            </w:r>
            <w:r w:rsidR="006C2448">
              <w:rPr>
                <w:sz w:val="20"/>
                <w:szCs w:val="20"/>
              </w:rPr>
              <w:tab/>
              <w:t>Municipality of Waterloo</w:t>
            </w:r>
          </w:p>
          <w:p w:rsidR="00214CB8" w:rsidRPr="00A935AA" w:rsidRDefault="00214CB8" w:rsidP="006C2448">
            <w:pPr>
              <w:tabs>
                <w:tab w:val="left" w:pos="-1440"/>
                <w:tab w:val="left" w:pos="-720"/>
              </w:tabs>
              <w:rPr>
                <w:sz w:val="20"/>
                <w:szCs w:val="20"/>
              </w:rPr>
            </w:pPr>
          </w:p>
          <w:p w:rsidR="00214CB8" w:rsidRPr="00A935AA" w:rsidRDefault="00214CB8" w:rsidP="006C2448">
            <w:pPr>
              <w:rPr>
                <w:sz w:val="20"/>
                <w:szCs w:val="20"/>
              </w:rPr>
            </w:pPr>
            <w:r w:rsidRPr="00A935AA">
              <w:rPr>
                <w:sz w:val="20"/>
                <w:szCs w:val="20"/>
              </w:rPr>
              <w:t>FILING DATE: 2</w:t>
            </w:r>
            <w:r w:rsidR="006C2448">
              <w:rPr>
                <w:sz w:val="20"/>
                <w:szCs w:val="20"/>
              </w:rPr>
              <w:t>1</w:t>
            </w:r>
            <w:r w:rsidRPr="00A935AA">
              <w:rPr>
                <w:sz w:val="20"/>
                <w:szCs w:val="20"/>
              </w:rPr>
              <w:t>.0</w:t>
            </w:r>
            <w:r w:rsidR="006C2448">
              <w:rPr>
                <w:sz w:val="20"/>
                <w:szCs w:val="20"/>
              </w:rPr>
              <w:t>2</w:t>
            </w:r>
            <w:r w:rsidRPr="00A935AA">
              <w:rPr>
                <w:sz w:val="20"/>
                <w:szCs w:val="20"/>
              </w:rPr>
              <w:t>.201</w:t>
            </w:r>
            <w:r>
              <w:rPr>
                <w:sz w:val="20"/>
                <w:szCs w:val="20"/>
              </w:rPr>
              <w:t>2</w:t>
            </w:r>
          </w:p>
          <w:p w:rsidR="00214CB8" w:rsidRPr="00A935AA" w:rsidRDefault="00E5065D" w:rsidP="006C2448">
            <w:pPr>
              <w:rPr>
                <w:sz w:val="20"/>
                <w:szCs w:val="20"/>
              </w:rPr>
            </w:pPr>
            <w:r w:rsidRPr="00E5065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tc>
        <w:tc>
          <w:tcPr>
            <w:tcW w:w="4320" w:type="dxa"/>
            <w:shd w:val="clear" w:color="auto" w:fill="auto"/>
          </w:tcPr>
          <w:p w:rsidR="00214CB8" w:rsidRPr="00A935AA" w:rsidRDefault="006C2448" w:rsidP="006C2448">
            <w:pPr>
              <w:keepNext/>
              <w:keepLines/>
              <w:tabs>
                <w:tab w:val="left" w:pos="-1440"/>
                <w:tab w:val="left" w:pos="-720"/>
              </w:tabs>
              <w:rPr>
                <w:b/>
                <w:sz w:val="20"/>
                <w:szCs w:val="20"/>
              </w:rPr>
            </w:pPr>
            <w:r>
              <w:rPr>
                <w:b/>
                <w:sz w:val="20"/>
                <w:szCs w:val="20"/>
              </w:rPr>
              <w:t>Abraham Fundi et al.</w:t>
            </w:r>
          </w:p>
          <w:p w:rsidR="00214CB8" w:rsidRPr="00A935AA" w:rsidRDefault="00214CB8" w:rsidP="006C2448">
            <w:pPr>
              <w:keepNext/>
              <w:keepLines/>
              <w:tabs>
                <w:tab w:val="left" w:pos="-1440"/>
                <w:tab w:val="left" w:pos="-720"/>
              </w:tabs>
              <w:rPr>
                <w:sz w:val="20"/>
                <w:szCs w:val="20"/>
              </w:rPr>
            </w:pPr>
            <w:r w:rsidRPr="00A935AA">
              <w:rPr>
                <w:sz w:val="20"/>
                <w:szCs w:val="20"/>
              </w:rPr>
              <w:tab/>
            </w:r>
            <w:r w:rsidR="007C299D">
              <w:rPr>
                <w:sz w:val="20"/>
                <w:szCs w:val="20"/>
              </w:rPr>
              <w:t>Jill R. Presser</w:t>
            </w:r>
          </w:p>
          <w:p w:rsidR="00214CB8" w:rsidRPr="00A935AA" w:rsidRDefault="00214CB8" w:rsidP="006C2448">
            <w:pPr>
              <w:keepNext/>
              <w:keepLines/>
              <w:tabs>
                <w:tab w:val="left" w:pos="-1440"/>
                <w:tab w:val="left" w:pos="-720"/>
              </w:tabs>
              <w:rPr>
                <w:sz w:val="20"/>
                <w:szCs w:val="20"/>
              </w:rPr>
            </w:pPr>
            <w:r w:rsidRPr="00A935AA">
              <w:rPr>
                <w:sz w:val="20"/>
                <w:szCs w:val="20"/>
              </w:rPr>
              <w:tab/>
            </w:r>
            <w:r w:rsidR="007C299D">
              <w:rPr>
                <w:sz w:val="20"/>
                <w:szCs w:val="20"/>
              </w:rPr>
              <w:t>Schreck Presser LLP</w:t>
            </w:r>
          </w:p>
          <w:p w:rsidR="00214CB8" w:rsidRPr="00A935AA" w:rsidRDefault="00214CB8" w:rsidP="006C2448">
            <w:pPr>
              <w:keepNext/>
              <w:keepLines/>
              <w:tabs>
                <w:tab w:val="left" w:pos="-1440"/>
                <w:tab w:val="left" w:pos="-720"/>
              </w:tabs>
              <w:rPr>
                <w:sz w:val="20"/>
                <w:szCs w:val="20"/>
              </w:rPr>
            </w:pPr>
          </w:p>
          <w:p w:rsidR="00214CB8" w:rsidRPr="006C2448" w:rsidRDefault="00214CB8" w:rsidP="006C2448">
            <w:pPr>
              <w:keepNext/>
              <w:keepLines/>
              <w:tabs>
                <w:tab w:val="left" w:pos="-1440"/>
                <w:tab w:val="left" w:pos="-720"/>
              </w:tabs>
              <w:rPr>
                <w:sz w:val="20"/>
                <w:szCs w:val="20"/>
              </w:rPr>
            </w:pPr>
            <w:r w:rsidRPr="00A935AA">
              <w:rPr>
                <w:sz w:val="20"/>
                <w:szCs w:val="20"/>
              </w:rPr>
              <w:tab/>
            </w:r>
            <w:r w:rsidRPr="006C2448">
              <w:rPr>
                <w:sz w:val="20"/>
                <w:szCs w:val="20"/>
              </w:rPr>
              <w:t>v. (34</w:t>
            </w:r>
            <w:r w:rsidR="007C299D">
              <w:rPr>
                <w:sz w:val="20"/>
                <w:szCs w:val="20"/>
              </w:rPr>
              <w:t>705</w:t>
            </w:r>
            <w:r w:rsidRPr="006C2448">
              <w:rPr>
                <w:sz w:val="20"/>
                <w:szCs w:val="20"/>
              </w:rPr>
              <w:t>)</w:t>
            </w:r>
          </w:p>
          <w:p w:rsidR="00214CB8" w:rsidRPr="006C2448" w:rsidRDefault="00214CB8" w:rsidP="006C2448">
            <w:pPr>
              <w:keepNext/>
              <w:keepLines/>
              <w:tabs>
                <w:tab w:val="left" w:pos="-1440"/>
                <w:tab w:val="left" w:pos="-720"/>
              </w:tabs>
              <w:rPr>
                <w:sz w:val="20"/>
                <w:szCs w:val="20"/>
              </w:rPr>
            </w:pPr>
          </w:p>
          <w:p w:rsidR="00214CB8" w:rsidRPr="006C2448" w:rsidRDefault="007C299D" w:rsidP="006C2448">
            <w:pPr>
              <w:keepNext/>
              <w:keepLines/>
              <w:tabs>
                <w:tab w:val="left" w:pos="-1440"/>
                <w:tab w:val="left" w:pos="-720"/>
              </w:tabs>
              <w:rPr>
                <w:b/>
                <w:sz w:val="20"/>
                <w:szCs w:val="20"/>
              </w:rPr>
            </w:pPr>
            <w:r>
              <w:rPr>
                <w:b/>
                <w:sz w:val="20"/>
                <w:szCs w:val="20"/>
              </w:rPr>
              <w:t xml:space="preserve">Her Majesty the Queen </w:t>
            </w:r>
            <w:r w:rsidR="00214CB8" w:rsidRPr="006C2448">
              <w:rPr>
                <w:b/>
                <w:sz w:val="20"/>
                <w:szCs w:val="20"/>
              </w:rPr>
              <w:t>(Ont.)</w:t>
            </w:r>
          </w:p>
          <w:p w:rsidR="00214CB8" w:rsidRPr="006C2448" w:rsidRDefault="00214CB8" w:rsidP="006C2448">
            <w:pPr>
              <w:keepNext/>
              <w:keepLines/>
              <w:tabs>
                <w:tab w:val="left" w:pos="-1440"/>
                <w:tab w:val="left" w:pos="-720"/>
              </w:tabs>
              <w:rPr>
                <w:sz w:val="20"/>
                <w:szCs w:val="20"/>
              </w:rPr>
            </w:pPr>
            <w:r w:rsidRPr="006C2448">
              <w:rPr>
                <w:sz w:val="20"/>
                <w:szCs w:val="20"/>
              </w:rPr>
              <w:tab/>
            </w:r>
            <w:r w:rsidR="007C299D">
              <w:rPr>
                <w:sz w:val="20"/>
                <w:szCs w:val="20"/>
              </w:rPr>
              <w:t>Michael Bernstein</w:t>
            </w:r>
          </w:p>
          <w:p w:rsidR="00214CB8" w:rsidRPr="006C2448" w:rsidRDefault="00214CB8" w:rsidP="006C2448">
            <w:pPr>
              <w:keepNext/>
              <w:keepLines/>
              <w:tabs>
                <w:tab w:val="left" w:pos="-1440"/>
                <w:tab w:val="left" w:pos="-720"/>
              </w:tabs>
              <w:rPr>
                <w:sz w:val="20"/>
                <w:szCs w:val="20"/>
              </w:rPr>
            </w:pPr>
            <w:r w:rsidRPr="006C2448">
              <w:rPr>
                <w:sz w:val="20"/>
                <w:szCs w:val="20"/>
              </w:rPr>
              <w:tab/>
            </w:r>
            <w:r w:rsidR="007C299D">
              <w:rPr>
                <w:sz w:val="20"/>
                <w:szCs w:val="20"/>
              </w:rPr>
              <w:t>A.G. of Ontario</w:t>
            </w:r>
          </w:p>
          <w:p w:rsidR="00214CB8" w:rsidRPr="006C2448" w:rsidRDefault="00214CB8" w:rsidP="006C2448">
            <w:pPr>
              <w:keepNext/>
              <w:keepLines/>
              <w:tabs>
                <w:tab w:val="left" w:pos="-1440"/>
                <w:tab w:val="left" w:pos="-720"/>
              </w:tabs>
              <w:rPr>
                <w:sz w:val="20"/>
                <w:szCs w:val="20"/>
              </w:rPr>
            </w:pPr>
          </w:p>
          <w:p w:rsidR="00214CB8" w:rsidRPr="00A935AA" w:rsidRDefault="00214CB8" w:rsidP="007C299D">
            <w:pPr>
              <w:rPr>
                <w:sz w:val="20"/>
                <w:szCs w:val="20"/>
              </w:rPr>
            </w:pPr>
            <w:r w:rsidRPr="00A935AA">
              <w:rPr>
                <w:sz w:val="20"/>
                <w:szCs w:val="20"/>
              </w:rPr>
              <w:t xml:space="preserve">FILING DATE: </w:t>
            </w:r>
            <w:r w:rsidR="007C299D">
              <w:rPr>
                <w:sz w:val="20"/>
                <w:szCs w:val="20"/>
              </w:rPr>
              <w:t>07</w:t>
            </w:r>
            <w:r w:rsidRPr="00A935AA">
              <w:rPr>
                <w:sz w:val="20"/>
                <w:szCs w:val="20"/>
              </w:rPr>
              <w:t>.0</w:t>
            </w:r>
            <w:r>
              <w:rPr>
                <w:sz w:val="20"/>
                <w:szCs w:val="20"/>
              </w:rPr>
              <w:t>3</w:t>
            </w:r>
            <w:r w:rsidRPr="00A935AA">
              <w:rPr>
                <w:sz w:val="20"/>
                <w:szCs w:val="20"/>
              </w:rPr>
              <w:t>.201</w:t>
            </w:r>
            <w:r>
              <w:rPr>
                <w:sz w:val="20"/>
                <w:szCs w:val="20"/>
              </w:rPr>
              <w:t>2</w:t>
            </w:r>
            <w:r w:rsidR="00E5065D" w:rsidRPr="00E5065D">
              <w:rPr>
                <w:sz w:val="20"/>
                <w:szCs w:val="20"/>
                <w:lang w:val="fr-CA"/>
              </w:rPr>
              <w:pict>
                <v:rect id="_x0000_i1028" style="width:108pt;height:1pt" o:hrpct="0" o:hralign="center" o:hrstd="t" o:hrnoshade="t" o:hr="t" fillcolor="black [3213]" stroked="f"/>
              </w:pict>
            </w:r>
          </w:p>
        </w:tc>
      </w:tr>
      <w:tr w:rsidR="00214CB8" w:rsidRPr="00712295" w:rsidTr="003B3977">
        <w:tc>
          <w:tcPr>
            <w:tcW w:w="4320" w:type="dxa"/>
            <w:shd w:val="clear" w:color="auto" w:fill="auto"/>
          </w:tcPr>
          <w:p w:rsidR="00214CB8" w:rsidRDefault="00214CB8" w:rsidP="006C2448">
            <w:pPr>
              <w:rPr>
                <w:b/>
                <w:sz w:val="20"/>
                <w:szCs w:val="20"/>
              </w:rPr>
            </w:pPr>
          </w:p>
          <w:p w:rsidR="00712295" w:rsidRPr="00A935AA" w:rsidRDefault="00712295" w:rsidP="006C2448">
            <w:pPr>
              <w:rPr>
                <w:b/>
                <w:sz w:val="20"/>
                <w:szCs w:val="20"/>
              </w:rPr>
            </w:pPr>
            <w:r>
              <w:rPr>
                <w:b/>
                <w:sz w:val="20"/>
                <w:szCs w:val="20"/>
              </w:rPr>
              <w:t>Munger Pontiac Buick Inc.</w:t>
            </w:r>
          </w:p>
          <w:p w:rsidR="00214CB8" w:rsidRPr="00140B84" w:rsidRDefault="00214CB8" w:rsidP="006C2448">
            <w:pPr>
              <w:tabs>
                <w:tab w:val="left" w:pos="-1440"/>
                <w:tab w:val="left" w:pos="-720"/>
              </w:tabs>
              <w:rPr>
                <w:sz w:val="20"/>
                <w:szCs w:val="20"/>
              </w:rPr>
            </w:pPr>
            <w:r w:rsidRPr="00A935AA">
              <w:rPr>
                <w:sz w:val="20"/>
                <w:szCs w:val="20"/>
              </w:rPr>
              <w:tab/>
            </w:r>
            <w:r w:rsidR="00712295" w:rsidRPr="00140B84">
              <w:rPr>
                <w:sz w:val="20"/>
                <w:szCs w:val="20"/>
              </w:rPr>
              <w:t>Guy C. Dion</w:t>
            </w:r>
          </w:p>
          <w:p w:rsidR="00214CB8" w:rsidRPr="00712295" w:rsidRDefault="00214CB8" w:rsidP="006C2448">
            <w:pPr>
              <w:tabs>
                <w:tab w:val="left" w:pos="-1440"/>
                <w:tab w:val="left" w:pos="-720"/>
              </w:tabs>
              <w:rPr>
                <w:sz w:val="20"/>
                <w:szCs w:val="20"/>
                <w:lang w:val="fr-CA"/>
              </w:rPr>
            </w:pPr>
            <w:r w:rsidRPr="00140B84">
              <w:rPr>
                <w:sz w:val="20"/>
                <w:szCs w:val="20"/>
              </w:rPr>
              <w:tab/>
            </w:r>
            <w:r w:rsidR="00712295" w:rsidRPr="00712295">
              <w:rPr>
                <w:sz w:val="20"/>
                <w:szCs w:val="20"/>
                <w:lang w:val="fr-CA"/>
              </w:rPr>
              <w:t>Fasken Martineau DuMoulin LLP</w:t>
            </w:r>
          </w:p>
          <w:p w:rsidR="00214CB8" w:rsidRPr="00712295" w:rsidRDefault="00214CB8" w:rsidP="006C2448">
            <w:pPr>
              <w:tabs>
                <w:tab w:val="left" w:pos="-1440"/>
                <w:tab w:val="left" w:pos="-720"/>
              </w:tabs>
              <w:rPr>
                <w:sz w:val="20"/>
                <w:szCs w:val="20"/>
                <w:lang w:val="fr-CA"/>
              </w:rPr>
            </w:pP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c</w:t>
            </w:r>
            <w:r w:rsidRPr="00712295">
              <w:rPr>
                <w:sz w:val="20"/>
                <w:szCs w:val="20"/>
                <w:lang w:val="fr-CA"/>
              </w:rPr>
              <w:t>. (34</w:t>
            </w:r>
            <w:r w:rsidR="00712295" w:rsidRPr="00712295">
              <w:rPr>
                <w:sz w:val="20"/>
                <w:szCs w:val="20"/>
                <w:lang w:val="fr-CA"/>
              </w:rPr>
              <w:t>707</w:t>
            </w:r>
            <w:r w:rsidRPr="00712295">
              <w:rPr>
                <w:sz w:val="20"/>
                <w:szCs w:val="20"/>
                <w:lang w:val="fr-CA"/>
              </w:rPr>
              <w:t>)</w:t>
            </w:r>
          </w:p>
          <w:p w:rsidR="00214CB8" w:rsidRPr="00712295" w:rsidRDefault="00214CB8" w:rsidP="006C2448">
            <w:pPr>
              <w:tabs>
                <w:tab w:val="left" w:pos="-1440"/>
                <w:tab w:val="left" w:pos="-720"/>
              </w:tabs>
              <w:rPr>
                <w:sz w:val="20"/>
                <w:szCs w:val="20"/>
                <w:lang w:val="fr-CA"/>
              </w:rPr>
            </w:pPr>
          </w:p>
          <w:p w:rsidR="00214CB8" w:rsidRPr="00712295" w:rsidRDefault="00712295" w:rsidP="006C2448">
            <w:pPr>
              <w:tabs>
                <w:tab w:val="left" w:pos="-1440"/>
                <w:tab w:val="left" w:pos="-720"/>
              </w:tabs>
              <w:rPr>
                <w:b/>
                <w:sz w:val="20"/>
                <w:szCs w:val="20"/>
                <w:lang w:val="fr-CA"/>
              </w:rPr>
            </w:pPr>
            <w:r w:rsidRPr="00712295">
              <w:rPr>
                <w:b/>
                <w:sz w:val="20"/>
                <w:szCs w:val="20"/>
                <w:lang w:val="fr-CA"/>
              </w:rPr>
              <w:t xml:space="preserve">Syndicat </w:t>
            </w:r>
            <w:r>
              <w:rPr>
                <w:b/>
                <w:sz w:val="20"/>
                <w:szCs w:val="20"/>
                <w:lang w:val="fr-CA"/>
              </w:rPr>
              <w:t>d</w:t>
            </w:r>
            <w:r w:rsidRPr="00712295">
              <w:rPr>
                <w:b/>
                <w:sz w:val="20"/>
                <w:szCs w:val="20"/>
                <w:lang w:val="fr-CA"/>
              </w:rPr>
              <w:t>émocratique des employés de garage Saguenay-Lac-Saint-Jean (C</w:t>
            </w:r>
            <w:r>
              <w:rPr>
                <w:b/>
                <w:sz w:val="20"/>
                <w:szCs w:val="20"/>
                <w:lang w:val="fr-CA"/>
              </w:rPr>
              <w:t>sd</w:t>
            </w:r>
            <w:proofErr w:type="gramStart"/>
            <w:r w:rsidRPr="00712295">
              <w:rPr>
                <w:b/>
                <w:sz w:val="20"/>
                <w:szCs w:val="20"/>
                <w:lang w:val="fr-CA"/>
              </w:rPr>
              <w:t>)</w:t>
            </w:r>
            <w:r w:rsidR="00214CB8" w:rsidRPr="00712295">
              <w:rPr>
                <w:b/>
                <w:sz w:val="20"/>
                <w:szCs w:val="20"/>
                <w:lang w:val="fr-CA"/>
              </w:rPr>
              <w:t>(</w:t>
            </w:r>
            <w:proofErr w:type="gramEnd"/>
            <w:r>
              <w:rPr>
                <w:b/>
                <w:sz w:val="20"/>
                <w:szCs w:val="20"/>
                <w:lang w:val="fr-CA"/>
              </w:rPr>
              <w:t>Qc</w:t>
            </w:r>
            <w:r w:rsidR="00214CB8" w:rsidRPr="00712295">
              <w:rPr>
                <w:b/>
                <w:sz w:val="20"/>
                <w:szCs w:val="20"/>
                <w:lang w:val="fr-CA"/>
              </w:rPr>
              <w:t>)</w:t>
            </w: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Jean-Luc Dufour</w:t>
            </w: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Poudrier Bradet</w:t>
            </w:r>
          </w:p>
          <w:p w:rsidR="00214CB8" w:rsidRPr="00712295" w:rsidRDefault="00214CB8" w:rsidP="006C2448">
            <w:pPr>
              <w:tabs>
                <w:tab w:val="left" w:pos="-1440"/>
                <w:tab w:val="left" w:pos="-720"/>
              </w:tabs>
              <w:rPr>
                <w:sz w:val="20"/>
                <w:szCs w:val="20"/>
                <w:lang w:val="fr-CA"/>
              </w:rPr>
            </w:pPr>
          </w:p>
          <w:p w:rsidR="00214CB8" w:rsidRPr="00712295" w:rsidRDefault="00214CB8" w:rsidP="006C2448">
            <w:pPr>
              <w:rPr>
                <w:sz w:val="20"/>
                <w:szCs w:val="20"/>
                <w:lang w:val="fr-CA"/>
              </w:rPr>
            </w:pPr>
            <w:r w:rsidRPr="00712295">
              <w:rPr>
                <w:sz w:val="20"/>
                <w:szCs w:val="20"/>
                <w:lang w:val="fr-CA"/>
              </w:rPr>
              <w:t>DATE</w:t>
            </w:r>
            <w:r w:rsidR="00712295" w:rsidRPr="00712295">
              <w:rPr>
                <w:sz w:val="20"/>
                <w:szCs w:val="20"/>
                <w:lang w:val="fr-CA"/>
              </w:rPr>
              <w:t xml:space="preserve"> DE PRODUCTION </w:t>
            </w:r>
            <w:r w:rsidRPr="00712295">
              <w:rPr>
                <w:sz w:val="20"/>
                <w:szCs w:val="20"/>
                <w:lang w:val="fr-CA"/>
              </w:rPr>
              <w:t xml:space="preserve">: </w:t>
            </w:r>
            <w:r w:rsidR="00712295" w:rsidRPr="00712295">
              <w:rPr>
                <w:sz w:val="20"/>
                <w:szCs w:val="20"/>
                <w:lang w:val="fr-CA"/>
              </w:rPr>
              <w:t>08</w:t>
            </w:r>
            <w:r w:rsidRPr="00712295">
              <w:rPr>
                <w:sz w:val="20"/>
                <w:szCs w:val="20"/>
                <w:lang w:val="fr-CA"/>
              </w:rPr>
              <w:t>.03.2012</w:t>
            </w:r>
          </w:p>
          <w:p w:rsidR="00214CB8" w:rsidRPr="00A935AA" w:rsidRDefault="00E5065D" w:rsidP="006C2448">
            <w:pPr>
              <w:rPr>
                <w:sz w:val="20"/>
                <w:szCs w:val="20"/>
              </w:rPr>
            </w:pPr>
            <w:r w:rsidRPr="00E5065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Default="00214CB8" w:rsidP="00242AEE">
            <w:pPr>
              <w:jc w:val="center"/>
              <w:rPr>
                <w:sz w:val="20"/>
                <w:szCs w:val="20"/>
              </w:rPr>
            </w:pPr>
          </w:p>
          <w:p w:rsidR="00214CB8" w:rsidRDefault="00214CB8" w:rsidP="00242AEE">
            <w:pPr>
              <w:jc w:val="center"/>
              <w:rPr>
                <w:sz w:val="20"/>
                <w:szCs w:val="20"/>
              </w:rPr>
            </w:pPr>
          </w:p>
          <w:p w:rsidR="00214CB8" w:rsidRPr="00A935AA" w:rsidRDefault="00214CB8" w:rsidP="00242AEE">
            <w:pPr>
              <w:jc w:val="center"/>
              <w:rPr>
                <w:sz w:val="20"/>
                <w:szCs w:val="20"/>
              </w:rPr>
            </w:pPr>
          </w:p>
        </w:tc>
        <w:tc>
          <w:tcPr>
            <w:tcW w:w="4320" w:type="dxa"/>
            <w:shd w:val="clear" w:color="auto" w:fill="auto"/>
          </w:tcPr>
          <w:p w:rsidR="00214CB8" w:rsidRPr="00712295" w:rsidRDefault="00712295" w:rsidP="006C2448">
            <w:pPr>
              <w:keepNext/>
              <w:keepLines/>
              <w:tabs>
                <w:tab w:val="left" w:pos="-1440"/>
                <w:tab w:val="left" w:pos="-720"/>
              </w:tabs>
              <w:rPr>
                <w:b/>
                <w:sz w:val="20"/>
                <w:szCs w:val="20"/>
                <w:lang w:val="fr-CA"/>
              </w:rPr>
            </w:pPr>
            <w:r w:rsidRPr="00712295">
              <w:rPr>
                <w:b/>
                <w:sz w:val="20"/>
                <w:szCs w:val="20"/>
                <w:lang w:val="fr-CA"/>
              </w:rPr>
              <w:t>Robert Godbou</w:t>
            </w:r>
            <w:r w:rsidR="00FF0AF7">
              <w:rPr>
                <w:b/>
                <w:sz w:val="20"/>
                <w:szCs w:val="20"/>
                <w:lang w:val="fr-CA"/>
              </w:rPr>
              <w:t>t</w:t>
            </w:r>
          </w:p>
          <w:p w:rsidR="00214CB8" w:rsidRPr="00712295" w:rsidRDefault="00214CB8" w:rsidP="006C2448">
            <w:pPr>
              <w:keepNext/>
              <w:keepLines/>
              <w:tabs>
                <w:tab w:val="left" w:pos="-1440"/>
                <w:tab w:val="left" w:pos="-720"/>
              </w:tabs>
              <w:rPr>
                <w:sz w:val="20"/>
                <w:szCs w:val="20"/>
                <w:lang w:val="fr-CA"/>
              </w:rPr>
            </w:pPr>
            <w:r w:rsidRPr="00712295">
              <w:rPr>
                <w:sz w:val="20"/>
                <w:szCs w:val="20"/>
                <w:lang w:val="fr-CA"/>
              </w:rPr>
              <w:tab/>
            </w:r>
            <w:r w:rsidR="00712295" w:rsidRPr="00712295">
              <w:rPr>
                <w:sz w:val="20"/>
                <w:szCs w:val="20"/>
                <w:lang w:val="fr-CA"/>
              </w:rPr>
              <w:t>Mylène Lareau</w:t>
            </w:r>
          </w:p>
          <w:p w:rsidR="00214CB8" w:rsidRPr="00712295" w:rsidRDefault="00214CB8" w:rsidP="006C2448">
            <w:pPr>
              <w:keepNext/>
              <w:keepLines/>
              <w:tabs>
                <w:tab w:val="left" w:pos="-1440"/>
                <w:tab w:val="left" w:pos="-720"/>
              </w:tabs>
              <w:rPr>
                <w:sz w:val="20"/>
                <w:szCs w:val="20"/>
                <w:lang w:val="fr-CA"/>
              </w:rPr>
            </w:pPr>
            <w:r w:rsidRPr="00712295">
              <w:rPr>
                <w:sz w:val="20"/>
                <w:szCs w:val="20"/>
                <w:lang w:val="fr-CA"/>
              </w:rPr>
              <w:tab/>
            </w:r>
            <w:r w:rsidR="00712295" w:rsidRPr="00712295">
              <w:rPr>
                <w:sz w:val="20"/>
                <w:szCs w:val="20"/>
                <w:lang w:val="fr-CA"/>
              </w:rPr>
              <w:t>Brouillard, Bibeau, Gariépy &amp; Associés</w:t>
            </w:r>
          </w:p>
          <w:p w:rsidR="00214CB8" w:rsidRPr="00712295" w:rsidRDefault="00214CB8" w:rsidP="006C2448">
            <w:pPr>
              <w:keepNext/>
              <w:keepLines/>
              <w:tabs>
                <w:tab w:val="left" w:pos="-1440"/>
                <w:tab w:val="left" w:pos="-720"/>
              </w:tabs>
              <w:rPr>
                <w:sz w:val="20"/>
                <w:szCs w:val="20"/>
                <w:lang w:val="fr-CA"/>
              </w:rPr>
            </w:pPr>
          </w:p>
          <w:p w:rsidR="00214CB8" w:rsidRPr="00712295" w:rsidRDefault="00214CB8" w:rsidP="006C2448">
            <w:pPr>
              <w:keepNext/>
              <w:keepLines/>
              <w:tabs>
                <w:tab w:val="left" w:pos="-1440"/>
                <w:tab w:val="left" w:pos="-720"/>
              </w:tabs>
              <w:rPr>
                <w:sz w:val="20"/>
                <w:szCs w:val="20"/>
                <w:lang w:val="fr-CA"/>
              </w:rPr>
            </w:pPr>
            <w:r w:rsidRPr="00712295">
              <w:rPr>
                <w:sz w:val="20"/>
                <w:szCs w:val="20"/>
                <w:lang w:val="fr-CA"/>
              </w:rPr>
              <w:tab/>
            </w:r>
            <w:r w:rsidR="00712295">
              <w:rPr>
                <w:sz w:val="20"/>
                <w:szCs w:val="20"/>
                <w:lang w:val="fr-CA"/>
              </w:rPr>
              <w:t>c</w:t>
            </w:r>
            <w:r w:rsidRPr="00712295">
              <w:rPr>
                <w:sz w:val="20"/>
                <w:szCs w:val="20"/>
                <w:lang w:val="fr-CA"/>
              </w:rPr>
              <w:t>. (34</w:t>
            </w:r>
            <w:r w:rsidR="00712295" w:rsidRPr="00712295">
              <w:rPr>
                <w:sz w:val="20"/>
                <w:szCs w:val="20"/>
                <w:lang w:val="fr-CA"/>
              </w:rPr>
              <w:t>704</w:t>
            </w:r>
            <w:r w:rsidRPr="00712295">
              <w:rPr>
                <w:sz w:val="20"/>
                <w:szCs w:val="20"/>
                <w:lang w:val="fr-CA"/>
              </w:rPr>
              <w:t>)</w:t>
            </w:r>
          </w:p>
          <w:p w:rsidR="00214CB8" w:rsidRPr="00712295" w:rsidRDefault="00214CB8" w:rsidP="006C2448">
            <w:pPr>
              <w:keepNext/>
              <w:keepLines/>
              <w:tabs>
                <w:tab w:val="left" w:pos="-1440"/>
                <w:tab w:val="left" w:pos="-720"/>
              </w:tabs>
              <w:rPr>
                <w:sz w:val="20"/>
                <w:szCs w:val="20"/>
                <w:lang w:val="fr-CA"/>
              </w:rPr>
            </w:pPr>
          </w:p>
          <w:p w:rsidR="00214CB8" w:rsidRPr="00712295" w:rsidRDefault="00712295" w:rsidP="006C2448">
            <w:pPr>
              <w:keepNext/>
              <w:keepLines/>
              <w:tabs>
                <w:tab w:val="left" w:pos="-1440"/>
                <w:tab w:val="left" w:pos="-720"/>
              </w:tabs>
              <w:rPr>
                <w:b/>
                <w:sz w:val="20"/>
                <w:szCs w:val="20"/>
                <w:lang w:val="fr-CA"/>
              </w:rPr>
            </w:pPr>
            <w:r w:rsidRPr="00712295">
              <w:rPr>
                <w:b/>
                <w:sz w:val="20"/>
                <w:szCs w:val="20"/>
                <w:lang w:val="fr-CA"/>
              </w:rPr>
              <w:t xml:space="preserve">Sa Majesté la Reine </w:t>
            </w:r>
            <w:r w:rsidR="00214CB8" w:rsidRPr="00712295">
              <w:rPr>
                <w:b/>
                <w:sz w:val="20"/>
                <w:szCs w:val="20"/>
                <w:lang w:val="fr-CA"/>
              </w:rPr>
              <w:t>(</w:t>
            </w:r>
            <w:r w:rsidRPr="00712295">
              <w:rPr>
                <w:b/>
                <w:sz w:val="20"/>
                <w:szCs w:val="20"/>
                <w:lang w:val="fr-CA"/>
              </w:rPr>
              <w:t>Qc</w:t>
            </w:r>
            <w:r w:rsidR="00214CB8" w:rsidRPr="00712295">
              <w:rPr>
                <w:b/>
                <w:sz w:val="20"/>
                <w:szCs w:val="20"/>
                <w:lang w:val="fr-CA"/>
              </w:rPr>
              <w:t>)</w:t>
            </w:r>
          </w:p>
          <w:p w:rsidR="00214CB8" w:rsidRPr="00712295" w:rsidRDefault="00214CB8" w:rsidP="006C2448">
            <w:pPr>
              <w:keepNext/>
              <w:keepLines/>
              <w:tabs>
                <w:tab w:val="left" w:pos="-1440"/>
                <w:tab w:val="left" w:pos="-720"/>
              </w:tabs>
              <w:rPr>
                <w:sz w:val="20"/>
                <w:szCs w:val="20"/>
                <w:lang w:val="fr-CA"/>
              </w:rPr>
            </w:pPr>
            <w:r w:rsidRPr="00712295">
              <w:rPr>
                <w:sz w:val="20"/>
                <w:szCs w:val="20"/>
                <w:lang w:val="fr-CA"/>
              </w:rPr>
              <w:tab/>
            </w:r>
            <w:r w:rsidR="00712295">
              <w:rPr>
                <w:sz w:val="20"/>
                <w:szCs w:val="20"/>
                <w:lang w:val="fr-CA"/>
              </w:rPr>
              <w:t>Jean-François Bouvette</w:t>
            </w:r>
          </w:p>
          <w:p w:rsidR="00214CB8" w:rsidRPr="00712295" w:rsidRDefault="00214CB8" w:rsidP="006C2448">
            <w:pPr>
              <w:keepNext/>
              <w:keepLines/>
              <w:tabs>
                <w:tab w:val="left" w:pos="-1440"/>
                <w:tab w:val="left" w:pos="-720"/>
              </w:tabs>
              <w:rPr>
                <w:sz w:val="20"/>
                <w:szCs w:val="20"/>
                <w:lang w:val="fr-CA"/>
              </w:rPr>
            </w:pPr>
            <w:r w:rsidRPr="00712295">
              <w:rPr>
                <w:sz w:val="20"/>
                <w:szCs w:val="20"/>
                <w:lang w:val="fr-CA"/>
              </w:rPr>
              <w:tab/>
            </w:r>
            <w:r w:rsidR="00712295">
              <w:rPr>
                <w:sz w:val="20"/>
                <w:szCs w:val="20"/>
                <w:lang w:val="fr-CA"/>
              </w:rPr>
              <w:t>Poursuite</w:t>
            </w:r>
            <w:r w:rsidR="002256EC">
              <w:rPr>
                <w:sz w:val="20"/>
                <w:szCs w:val="20"/>
                <w:lang w:val="fr-CA"/>
              </w:rPr>
              <w:t>s</w:t>
            </w:r>
            <w:r w:rsidR="00712295">
              <w:rPr>
                <w:sz w:val="20"/>
                <w:szCs w:val="20"/>
                <w:lang w:val="fr-CA"/>
              </w:rPr>
              <w:t xml:space="preserve"> criminelles et pénales du </w:t>
            </w:r>
            <w:r w:rsidR="00712295">
              <w:rPr>
                <w:sz w:val="20"/>
                <w:szCs w:val="20"/>
                <w:lang w:val="fr-CA"/>
              </w:rPr>
              <w:tab/>
              <w:t>Québec</w:t>
            </w:r>
          </w:p>
          <w:p w:rsidR="00214CB8" w:rsidRPr="00712295" w:rsidRDefault="00214CB8" w:rsidP="006C2448">
            <w:pPr>
              <w:keepNext/>
              <w:keepLines/>
              <w:tabs>
                <w:tab w:val="left" w:pos="-1440"/>
                <w:tab w:val="left" w:pos="-720"/>
              </w:tabs>
              <w:rPr>
                <w:sz w:val="20"/>
                <w:szCs w:val="20"/>
                <w:lang w:val="fr-CA"/>
              </w:rPr>
            </w:pPr>
          </w:p>
          <w:p w:rsidR="00214CB8" w:rsidRPr="00712295" w:rsidRDefault="00214CB8" w:rsidP="00712295">
            <w:pPr>
              <w:rPr>
                <w:sz w:val="20"/>
                <w:szCs w:val="20"/>
                <w:lang w:val="fr-CA"/>
              </w:rPr>
            </w:pPr>
            <w:r w:rsidRPr="00712295">
              <w:rPr>
                <w:sz w:val="20"/>
                <w:szCs w:val="20"/>
                <w:lang w:val="fr-CA"/>
              </w:rPr>
              <w:t>DATE</w:t>
            </w:r>
            <w:r w:rsidR="00712295">
              <w:rPr>
                <w:sz w:val="20"/>
                <w:szCs w:val="20"/>
                <w:lang w:val="fr-CA"/>
              </w:rPr>
              <w:t xml:space="preserve"> DE PRODUCTION </w:t>
            </w:r>
            <w:r w:rsidRPr="00712295">
              <w:rPr>
                <w:sz w:val="20"/>
                <w:szCs w:val="20"/>
                <w:lang w:val="fr-CA"/>
              </w:rPr>
              <w:t xml:space="preserve">: </w:t>
            </w:r>
            <w:r w:rsidR="00712295">
              <w:rPr>
                <w:sz w:val="20"/>
                <w:szCs w:val="20"/>
                <w:lang w:val="fr-CA"/>
              </w:rPr>
              <w:t>09</w:t>
            </w:r>
            <w:r w:rsidRPr="00712295">
              <w:rPr>
                <w:sz w:val="20"/>
                <w:szCs w:val="20"/>
                <w:lang w:val="fr-CA"/>
              </w:rPr>
              <w:t>.03.2012</w:t>
            </w:r>
            <w:r w:rsidR="00E5065D" w:rsidRPr="00E5065D">
              <w:rPr>
                <w:sz w:val="20"/>
                <w:szCs w:val="20"/>
                <w:lang w:val="fr-CA"/>
              </w:rPr>
              <w:pict>
                <v:rect id="_x0000_i1030" style="width:108pt;height:1pt" o:hrpct="0" o:hralign="center" o:hrstd="t" o:hrnoshade="t" o:hr="t" fillcolor="black [3213]" stroked="f"/>
              </w:pict>
            </w:r>
          </w:p>
        </w:tc>
      </w:tr>
      <w:tr w:rsidR="00214CB8" w:rsidRPr="00712295" w:rsidTr="003B3977">
        <w:trPr>
          <w:cantSplit/>
        </w:trPr>
        <w:tc>
          <w:tcPr>
            <w:tcW w:w="4320" w:type="dxa"/>
            <w:shd w:val="clear" w:color="auto" w:fill="auto"/>
          </w:tcPr>
          <w:p w:rsidR="00214CB8" w:rsidRPr="00712295" w:rsidRDefault="00712295" w:rsidP="006C2448">
            <w:pPr>
              <w:rPr>
                <w:b/>
                <w:sz w:val="20"/>
                <w:szCs w:val="20"/>
                <w:lang w:val="fr-CA"/>
              </w:rPr>
            </w:pPr>
            <w:r>
              <w:rPr>
                <w:b/>
                <w:sz w:val="20"/>
                <w:szCs w:val="20"/>
                <w:lang w:val="fr-CA"/>
              </w:rPr>
              <w:t>B et C</w:t>
            </w: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Jean-Yves Côté</w:t>
            </w: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Côté Avocats inc.</w:t>
            </w:r>
          </w:p>
          <w:p w:rsidR="00214CB8" w:rsidRPr="00712295" w:rsidRDefault="00214CB8" w:rsidP="006C2448">
            <w:pPr>
              <w:tabs>
                <w:tab w:val="left" w:pos="-1440"/>
                <w:tab w:val="left" w:pos="-720"/>
              </w:tabs>
              <w:rPr>
                <w:sz w:val="20"/>
                <w:szCs w:val="20"/>
                <w:lang w:val="fr-CA"/>
              </w:rPr>
            </w:pP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c</w:t>
            </w:r>
            <w:r w:rsidRPr="00712295">
              <w:rPr>
                <w:sz w:val="20"/>
                <w:szCs w:val="20"/>
                <w:lang w:val="fr-CA"/>
              </w:rPr>
              <w:t>. (34</w:t>
            </w:r>
            <w:r w:rsidR="00712295">
              <w:rPr>
                <w:sz w:val="20"/>
                <w:szCs w:val="20"/>
                <w:lang w:val="fr-CA"/>
              </w:rPr>
              <w:t>715</w:t>
            </w:r>
            <w:r w:rsidRPr="00712295">
              <w:rPr>
                <w:sz w:val="20"/>
                <w:szCs w:val="20"/>
                <w:lang w:val="fr-CA"/>
              </w:rPr>
              <w:t>)</w:t>
            </w:r>
          </w:p>
          <w:p w:rsidR="00214CB8" w:rsidRPr="00712295" w:rsidRDefault="00214CB8" w:rsidP="006C2448">
            <w:pPr>
              <w:tabs>
                <w:tab w:val="left" w:pos="-1440"/>
                <w:tab w:val="left" w:pos="-720"/>
              </w:tabs>
              <w:rPr>
                <w:sz w:val="20"/>
                <w:szCs w:val="20"/>
                <w:lang w:val="fr-CA"/>
              </w:rPr>
            </w:pPr>
          </w:p>
          <w:p w:rsidR="00214CB8" w:rsidRPr="00712295" w:rsidRDefault="00712295" w:rsidP="006C2448">
            <w:pPr>
              <w:tabs>
                <w:tab w:val="left" w:pos="-1440"/>
                <w:tab w:val="left" w:pos="-720"/>
              </w:tabs>
              <w:rPr>
                <w:b/>
                <w:sz w:val="20"/>
                <w:szCs w:val="20"/>
                <w:lang w:val="fr-CA"/>
              </w:rPr>
            </w:pPr>
            <w:r>
              <w:rPr>
                <w:b/>
                <w:sz w:val="20"/>
                <w:szCs w:val="20"/>
                <w:lang w:val="fr-CA"/>
              </w:rPr>
              <w:t>[Intervenant 1] et [Intervenant</w:t>
            </w:r>
            <w:r w:rsidR="005D35E9">
              <w:rPr>
                <w:b/>
                <w:sz w:val="20"/>
                <w:szCs w:val="20"/>
                <w:lang w:val="fr-CA"/>
              </w:rPr>
              <w:t>e</w:t>
            </w:r>
            <w:r>
              <w:rPr>
                <w:b/>
                <w:sz w:val="20"/>
                <w:szCs w:val="20"/>
                <w:lang w:val="fr-CA"/>
              </w:rPr>
              <w:t xml:space="preserve"> 2] </w:t>
            </w:r>
            <w:r w:rsidR="00214CB8" w:rsidRPr="00712295">
              <w:rPr>
                <w:b/>
                <w:sz w:val="20"/>
                <w:szCs w:val="20"/>
                <w:lang w:val="fr-CA"/>
              </w:rPr>
              <w:t>(</w:t>
            </w:r>
            <w:r>
              <w:rPr>
                <w:b/>
                <w:sz w:val="20"/>
                <w:szCs w:val="20"/>
                <w:lang w:val="fr-CA"/>
              </w:rPr>
              <w:t>Qc</w:t>
            </w:r>
            <w:r w:rsidR="00214CB8" w:rsidRPr="00712295">
              <w:rPr>
                <w:b/>
                <w:sz w:val="20"/>
                <w:szCs w:val="20"/>
                <w:lang w:val="fr-CA"/>
              </w:rPr>
              <w:t>)</w:t>
            </w: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Cathy Séminaro</w:t>
            </w:r>
          </w:p>
          <w:p w:rsidR="00214CB8" w:rsidRPr="00712295" w:rsidRDefault="00214CB8" w:rsidP="006C2448">
            <w:pPr>
              <w:tabs>
                <w:tab w:val="left" w:pos="-1440"/>
                <w:tab w:val="left" w:pos="-720"/>
              </w:tabs>
              <w:rPr>
                <w:sz w:val="20"/>
                <w:szCs w:val="20"/>
                <w:lang w:val="fr-CA"/>
              </w:rPr>
            </w:pPr>
            <w:r w:rsidRPr="00712295">
              <w:rPr>
                <w:sz w:val="20"/>
                <w:szCs w:val="20"/>
                <w:lang w:val="fr-CA"/>
              </w:rPr>
              <w:tab/>
            </w:r>
            <w:r w:rsidR="00712295">
              <w:rPr>
                <w:sz w:val="20"/>
                <w:szCs w:val="20"/>
                <w:lang w:val="fr-CA"/>
              </w:rPr>
              <w:t>Centre jeunesse de l’Estrie</w:t>
            </w:r>
          </w:p>
          <w:p w:rsidR="00214CB8" w:rsidRPr="00712295" w:rsidRDefault="00214CB8" w:rsidP="006C2448">
            <w:pPr>
              <w:tabs>
                <w:tab w:val="left" w:pos="-1440"/>
                <w:tab w:val="left" w:pos="-720"/>
              </w:tabs>
              <w:rPr>
                <w:sz w:val="20"/>
                <w:szCs w:val="20"/>
                <w:lang w:val="fr-CA"/>
              </w:rPr>
            </w:pPr>
          </w:p>
          <w:p w:rsidR="00214CB8" w:rsidRPr="00712295" w:rsidRDefault="00214CB8" w:rsidP="006C2448">
            <w:pPr>
              <w:rPr>
                <w:sz w:val="20"/>
                <w:szCs w:val="20"/>
                <w:lang w:val="fr-CA"/>
              </w:rPr>
            </w:pPr>
            <w:r w:rsidRPr="00712295">
              <w:rPr>
                <w:sz w:val="20"/>
                <w:szCs w:val="20"/>
                <w:lang w:val="fr-CA"/>
              </w:rPr>
              <w:t>DATE</w:t>
            </w:r>
            <w:r w:rsidR="00712295">
              <w:rPr>
                <w:sz w:val="20"/>
                <w:szCs w:val="20"/>
                <w:lang w:val="fr-CA"/>
              </w:rPr>
              <w:t xml:space="preserve"> DE PRODUCTION </w:t>
            </w:r>
            <w:r w:rsidRPr="00712295">
              <w:rPr>
                <w:sz w:val="20"/>
                <w:szCs w:val="20"/>
                <w:lang w:val="fr-CA"/>
              </w:rPr>
              <w:t xml:space="preserve">: </w:t>
            </w:r>
            <w:r w:rsidR="00712295">
              <w:rPr>
                <w:sz w:val="20"/>
                <w:szCs w:val="20"/>
                <w:lang w:val="fr-CA"/>
              </w:rPr>
              <w:t>09</w:t>
            </w:r>
            <w:r w:rsidRPr="00712295">
              <w:rPr>
                <w:sz w:val="20"/>
                <w:szCs w:val="20"/>
                <w:lang w:val="fr-CA"/>
              </w:rPr>
              <w:t>.03.2012</w:t>
            </w:r>
          </w:p>
          <w:p w:rsidR="00214CB8" w:rsidRPr="00712295" w:rsidRDefault="00E5065D" w:rsidP="006C2448">
            <w:pPr>
              <w:rPr>
                <w:sz w:val="20"/>
                <w:szCs w:val="20"/>
                <w:lang w:val="fr-CA"/>
              </w:rPr>
            </w:pPr>
            <w:r w:rsidRPr="00E5065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p w:rsidR="00214CB8" w:rsidRPr="00712295" w:rsidRDefault="00214CB8" w:rsidP="00242AEE">
            <w:pPr>
              <w:jc w:val="center"/>
              <w:rPr>
                <w:sz w:val="20"/>
                <w:szCs w:val="20"/>
                <w:lang w:val="fr-CA"/>
              </w:rPr>
            </w:pPr>
          </w:p>
        </w:tc>
        <w:tc>
          <w:tcPr>
            <w:tcW w:w="4320" w:type="dxa"/>
            <w:shd w:val="clear" w:color="auto" w:fill="auto"/>
          </w:tcPr>
          <w:p w:rsidR="00214CB8" w:rsidRPr="00712295" w:rsidRDefault="00712295" w:rsidP="006C2448">
            <w:pPr>
              <w:keepNext/>
              <w:keepLines/>
              <w:tabs>
                <w:tab w:val="left" w:pos="-1440"/>
                <w:tab w:val="left" w:pos="-720"/>
              </w:tabs>
              <w:rPr>
                <w:b/>
                <w:sz w:val="20"/>
                <w:szCs w:val="20"/>
                <w:lang w:val="fr-CA"/>
              </w:rPr>
            </w:pPr>
            <w:r>
              <w:rPr>
                <w:b/>
                <w:sz w:val="20"/>
                <w:szCs w:val="20"/>
                <w:lang w:val="fr-CA"/>
              </w:rPr>
              <w:t>Claude Auger</w:t>
            </w:r>
          </w:p>
          <w:p w:rsidR="00214CB8" w:rsidRPr="00712295" w:rsidRDefault="00214CB8" w:rsidP="006C2448">
            <w:pPr>
              <w:keepNext/>
              <w:keepLines/>
              <w:tabs>
                <w:tab w:val="left" w:pos="-1440"/>
                <w:tab w:val="left" w:pos="-720"/>
              </w:tabs>
              <w:rPr>
                <w:sz w:val="20"/>
                <w:szCs w:val="20"/>
                <w:lang w:val="fr-CA"/>
              </w:rPr>
            </w:pPr>
            <w:r w:rsidRPr="00712295">
              <w:rPr>
                <w:sz w:val="20"/>
                <w:szCs w:val="20"/>
                <w:lang w:val="fr-CA"/>
              </w:rPr>
              <w:tab/>
            </w:r>
            <w:r w:rsidR="00712295">
              <w:rPr>
                <w:sz w:val="20"/>
                <w:szCs w:val="20"/>
                <w:lang w:val="fr-CA"/>
              </w:rPr>
              <w:t>Roger Pilon</w:t>
            </w:r>
          </w:p>
          <w:p w:rsidR="00214CB8" w:rsidRPr="00712295" w:rsidRDefault="00214CB8" w:rsidP="006C2448">
            <w:pPr>
              <w:keepNext/>
              <w:keepLines/>
              <w:tabs>
                <w:tab w:val="left" w:pos="-1440"/>
                <w:tab w:val="left" w:pos="-720"/>
              </w:tabs>
              <w:rPr>
                <w:sz w:val="20"/>
                <w:szCs w:val="20"/>
                <w:lang w:val="fr-CA"/>
              </w:rPr>
            </w:pPr>
          </w:p>
          <w:p w:rsidR="00214CB8" w:rsidRPr="00A935AA" w:rsidRDefault="00214CB8" w:rsidP="006C2448">
            <w:pPr>
              <w:keepNext/>
              <w:keepLines/>
              <w:tabs>
                <w:tab w:val="left" w:pos="-1440"/>
                <w:tab w:val="left" w:pos="-720"/>
              </w:tabs>
              <w:rPr>
                <w:sz w:val="20"/>
                <w:szCs w:val="20"/>
                <w:lang w:val="fr-CA"/>
              </w:rPr>
            </w:pPr>
            <w:r w:rsidRPr="00712295">
              <w:rPr>
                <w:sz w:val="20"/>
                <w:szCs w:val="20"/>
                <w:lang w:val="fr-CA"/>
              </w:rPr>
              <w:tab/>
            </w:r>
            <w:r w:rsidR="00712295">
              <w:rPr>
                <w:sz w:val="20"/>
                <w:szCs w:val="20"/>
                <w:lang w:val="fr-CA"/>
              </w:rPr>
              <w:t>c</w:t>
            </w:r>
            <w:r w:rsidRPr="00A935AA">
              <w:rPr>
                <w:sz w:val="20"/>
                <w:szCs w:val="20"/>
                <w:lang w:val="fr-CA"/>
              </w:rPr>
              <w:t>. (3</w:t>
            </w:r>
            <w:r>
              <w:rPr>
                <w:sz w:val="20"/>
                <w:szCs w:val="20"/>
                <w:lang w:val="fr-CA"/>
              </w:rPr>
              <w:t>4</w:t>
            </w:r>
            <w:r w:rsidR="00712295">
              <w:rPr>
                <w:sz w:val="20"/>
                <w:szCs w:val="20"/>
                <w:lang w:val="fr-CA"/>
              </w:rPr>
              <w:t>710</w:t>
            </w:r>
            <w:r w:rsidRPr="00A935AA">
              <w:rPr>
                <w:sz w:val="20"/>
                <w:szCs w:val="20"/>
                <w:lang w:val="fr-CA"/>
              </w:rPr>
              <w:t>)</w:t>
            </w:r>
          </w:p>
          <w:p w:rsidR="00214CB8" w:rsidRPr="00A935AA" w:rsidRDefault="00214CB8" w:rsidP="006C2448">
            <w:pPr>
              <w:keepNext/>
              <w:keepLines/>
              <w:tabs>
                <w:tab w:val="left" w:pos="-1440"/>
                <w:tab w:val="left" w:pos="-720"/>
              </w:tabs>
              <w:rPr>
                <w:sz w:val="20"/>
                <w:szCs w:val="20"/>
                <w:lang w:val="fr-CA"/>
              </w:rPr>
            </w:pPr>
          </w:p>
          <w:p w:rsidR="00214CB8" w:rsidRPr="00A935AA" w:rsidRDefault="00712295" w:rsidP="006C2448">
            <w:pPr>
              <w:keepNext/>
              <w:keepLines/>
              <w:tabs>
                <w:tab w:val="left" w:pos="-1440"/>
                <w:tab w:val="left" w:pos="-720"/>
              </w:tabs>
              <w:rPr>
                <w:b/>
                <w:sz w:val="20"/>
                <w:szCs w:val="20"/>
                <w:lang w:val="fr-CA"/>
              </w:rPr>
            </w:pPr>
            <w:r>
              <w:rPr>
                <w:b/>
                <w:sz w:val="20"/>
                <w:szCs w:val="20"/>
                <w:lang w:val="fr-CA"/>
              </w:rPr>
              <w:t xml:space="preserve">Gérard Lauzon </w:t>
            </w:r>
            <w:r w:rsidR="00214CB8" w:rsidRPr="00A935AA">
              <w:rPr>
                <w:b/>
                <w:sz w:val="20"/>
                <w:szCs w:val="20"/>
                <w:lang w:val="fr-CA"/>
              </w:rPr>
              <w:t>(</w:t>
            </w:r>
            <w:r>
              <w:rPr>
                <w:b/>
                <w:sz w:val="20"/>
                <w:szCs w:val="20"/>
                <w:lang w:val="fr-CA"/>
              </w:rPr>
              <w:t>Qc</w:t>
            </w:r>
            <w:r w:rsidR="00214CB8" w:rsidRPr="00A935AA">
              <w:rPr>
                <w:b/>
                <w:sz w:val="20"/>
                <w:szCs w:val="20"/>
                <w:lang w:val="fr-CA"/>
              </w:rPr>
              <w:t>)</w:t>
            </w:r>
          </w:p>
          <w:p w:rsidR="00214CB8" w:rsidRPr="00A935AA" w:rsidRDefault="00214CB8" w:rsidP="006C2448">
            <w:pPr>
              <w:keepNext/>
              <w:keepLines/>
              <w:tabs>
                <w:tab w:val="left" w:pos="-1440"/>
                <w:tab w:val="left" w:pos="-720"/>
              </w:tabs>
              <w:rPr>
                <w:sz w:val="20"/>
                <w:szCs w:val="20"/>
                <w:lang w:val="fr-CA"/>
              </w:rPr>
            </w:pPr>
            <w:r w:rsidRPr="00A935AA">
              <w:rPr>
                <w:sz w:val="20"/>
                <w:szCs w:val="20"/>
                <w:lang w:val="fr-CA"/>
              </w:rPr>
              <w:tab/>
            </w:r>
            <w:r w:rsidR="00712295">
              <w:rPr>
                <w:sz w:val="20"/>
                <w:szCs w:val="20"/>
                <w:lang w:val="fr-CA"/>
              </w:rPr>
              <w:t>Alain Lessard</w:t>
            </w:r>
          </w:p>
          <w:p w:rsidR="00214CB8" w:rsidRPr="00A935AA" w:rsidRDefault="00214CB8" w:rsidP="006C2448">
            <w:pPr>
              <w:keepNext/>
              <w:keepLines/>
              <w:tabs>
                <w:tab w:val="left" w:pos="-1440"/>
                <w:tab w:val="left" w:pos="-720"/>
              </w:tabs>
              <w:rPr>
                <w:sz w:val="20"/>
                <w:szCs w:val="20"/>
                <w:lang w:val="fr-CA"/>
              </w:rPr>
            </w:pPr>
            <w:r w:rsidRPr="00A935AA">
              <w:rPr>
                <w:sz w:val="20"/>
                <w:szCs w:val="20"/>
                <w:lang w:val="fr-CA"/>
              </w:rPr>
              <w:tab/>
            </w:r>
            <w:r w:rsidR="00712295">
              <w:rPr>
                <w:sz w:val="20"/>
                <w:szCs w:val="20"/>
                <w:lang w:val="fr-CA"/>
              </w:rPr>
              <w:t>Lessard &amp; Dilli</w:t>
            </w:r>
          </w:p>
          <w:p w:rsidR="00214CB8" w:rsidRPr="00A935AA" w:rsidRDefault="00214CB8" w:rsidP="006C2448">
            <w:pPr>
              <w:keepNext/>
              <w:keepLines/>
              <w:tabs>
                <w:tab w:val="left" w:pos="-1440"/>
                <w:tab w:val="left" w:pos="-720"/>
              </w:tabs>
              <w:rPr>
                <w:sz w:val="20"/>
                <w:szCs w:val="20"/>
                <w:lang w:val="fr-CA"/>
              </w:rPr>
            </w:pPr>
          </w:p>
          <w:p w:rsidR="00214CB8" w:rsidRPr="00712295" w:rsidRDefault="00214CB8" w:rsidP="00712295">
            <w:pPr>
              <w:rPr>
                <w:sz w:val="20"/>
                <w:szCs w:val="20"/>
                <w:lang w:val="fr-CA"/>
              </w:rPr>
            </w:pPr>
            <w:r w:rsidRPr="00712295">
              <w:rPr>
                <w:sz w:val="20"/>
                <w:szCs w:val="20"/>
                <w:lang w:val="fr-CA"/>
              </w:rPr>
              <w:t>DATE</w:t>
            </w:r>
            <w:r w:rsidR="00712295">
              <w:rPr>
                <w:sz w:val="20"/>
                <w:szCs w:val="20"/>
                <w:lang w:val="fr-CA"/>
              </w:rPr>
              <w:t xml:space="preserve">  DE PRODUCTION </w:t>
            </w:r>
            <w:r w:rsidRPr="00712295">
              <w:rPr>
                <w:sz w:val="20"/>
                <w:szCs w:val="20"/>
                <w:lang w:val="fr-CA"/>
              </w:rPr>
              <w:t xml:space="preserve">: </w:t>
            </w:r>
            <w:r w:rsidR="00712295">
              <w:rPr>
                <w:sz w:val="20"/>
                <w:szCs w:val="20"/>
                <w:lang w:val="fr-CA"/>
              </w:rPr>
              <w:t>1</w:t>
            </w:r>
            <w:r w:rsidRPr="00712295">
              <w:rPr>
                <w:sz w:val="20"/>
                <w:szCs w:val="20"/>
                <w:lang w:val="fr-CA"/>
              </w:rPr>
              <w:t>2.03.2012</w:t>
            </w:r>
            <w:r w:rsidR="00E5065D" w:rsidRPr="00E5065D">
              <w:rPr>
                <w:sz w:val="20"/>
                <w:szCs w:val="20"/>
                <w:lang w:val="fr-CA"/>
              </w:rPr>
              <w:pict>
                <v:rect id="_x0000_i1032" style="width:108pt;height:1pt" o:hrpct="0" o:hralign="center" o:hrstd="t" o:hrnoshade="t" o:hr="t" fillcolor="black [3213]" stroked="f"/>
              </w:pict>
            </w:r>
          </w:p>
        </w:tc>
      </w:tr>
      <w:tr w:rsidR="00214CB8" w:rsidRPr="00A935AA" w:rsidTr="003B3977">
        <w:trPr>
          <w:cantSplit/>
        </w:trPr>
        <w:tc>
          <w:tcPr>
            <w:tcW w:w="4320" w:type="dxa"/>
            <w:shd w:val="clear" w:color="auto" w:fill="auto"/>
          </w:tcPr>
          <w:p w:rsidR="00214CB8" w:rsidRPr="00140B84" w:rsidRDefault="00214CB8" w:rsidP="006C2448">
            <w:pPr>
              <w:rPr>
                <w:b/>
                <w:sz w:val="20"/>
                <w:szCs w:val="20"/>
              </w:rPr>
            </w:pPr>
          </w:p>
          <w:p w:rsidR="00712295" w:rsidRPr="00712295" w:rsidRDefault="00712295" w:rsidP="006C2448">
            <w:pPr>
              <w:rPr>
                <w:b/>
                <w:sz w:val="20"/>
                <w:szCs w:val="20"/>
              </w:rPr>
            </w:pPr>
            <w:r w:rsidRPr="00712295">
              <w:rPr>
                <w:b/>
                <w:sz w:val="20"/>
                <w:szCs w:val="20"/>
              </w:rPr>
              <w:t>Al-Munzir Es Sayyid</w:t>
            </w:r>
          </w:p>
          <w:p w:rsidR="00214CB8" w:rsidRPr="00712295" w:rsidRDefault="00214CB8" w:rsidP="006C2448">
            <w:pPr>
              <w:tabs>
                <w:tab w:val="left" w:pos="-1440"/>
                <w:tab w:val="left" w:pos="-720"/>
              </w:tabs>
              <w:rPr>
                <w:sz w:val="20"/>
                <w:szCs w:val="20"/>
              </w:rPr>
            </w:pPr>
            <w:r w:rsidRPr="00712295">
              <w:rPr>
                <w:sz w:val="20"/>
                <w:szCs w:val="20"/>
              </w:rPr>
              <w:tab/>
            </w:r>
            <w:r w:rsidR="00712295" w:rsidRPr="00712295">
              <w:rPr>
                <w:sz w:val="20"/>
                <w:szCs w:val="20"/>
              </w:rPr>
              <w:t>Barbara Jackman</w:t>
            </w:r>
          </w:p>
          <w:p w:rsidR="00214CB8" w:rsidRPr="00712295" w:rsidRDefault="00214CB8" w:rsidP="006C2448">
            <w:pPr>
              <w:tabs>
                <w:tab w:val="left" w:pos="-1440"/>
                <w:tab w:val="left" w:pos="-720"/>
              </w:tabs>
              <w:rPr>
                <w:sz w:val="20"/>
                <w:szCs w:val="20"/>
              </w:rPr>
            </w:pPr>
            <w:r w:rsidRPr="00712295">
              <w:rPr>
                <w:sz w:val="20"/>
                <w:szCs w:val="20"/>
              </w:rPr>
              <w:tab/>
            </w:r>
            <w:r w:rsidR="00712295" w:rsidRPr="00712295">
              <w:rPr>
                <w:sz w:val="20"/>
                <w:szCs w:val="20"/>
              </w:rPr>
              <w:t>Jackman &amp; Associates</w:t>
            </w:r>
          </w:p>
          <w:p w:rsidR="00214CB8" w:rsidRPr="00712295" w:rsidRDefault="00214CB8" w:rsidP="006C2448">
            <w:pPr>
              <w:tabs>
                <w:tab w:val="left" w:pos="-1440"/>
                <w:tab w:val="left" w:pos="-720"/>
              </w:tabs>
              <w:rPr>
                <w:sz w:val="20"/>
                <w:szCs w:val="20"/>
              </w:rPr>
            </w:pPr>
          </w:p>
          <w:p w:rsidR="00214CB8" w:rsidRPr="00A935AA" w:rsidRDefault="00214CB8" w:rsidP="006C2448">
            <w:pPr>
              <w:tabs>
                <w:tab w:val="left" w:pos="-1440"/>
                <w:tab w:val="left" w:pos="-720"/>
              </w:tabs>
              <w:rPr>
                <w:sz w:val="20"/>
                <w:szCs w:val="20"/>
              </w:rPr>
            </w:pPr>
            <w:r w:rsidRPr="00712295">
              <w:rPr>
                <w:sz w:val="20"/>
                <w:szCs w:val="20"/>
              </w:rPr>
              <w:tab/>
            </w:r>
            <w:r w:rsidRPr="00A935AA">
              <w:rPr>
                <w:sz w:val="20"/>
                <w:szCs w:val="20"/>
              </w:rPr>
              <w:t>v. (3</w:t>
            </w:r>
            <w:r>
              <w:rPr>
                <w:sz w:val="20"/>
                <w:szCs w:val="20"/>
              </w:rPr>
              <w:t>4</w:t>
            </w:r>
            <w:r w:rsidR="00712295">
              <w:rPr>
                <w:sz w:val="20"/>
                <w:szCs w:val="20"/>
              </w:rPr>
              <w:t>712</w:t>
            </w:r>
            <w:r w:rsidRPr="00A935AA">
              <w:rPr>
                <w:sz w:val="20"/>
                <w:szCs w:val="20"/>
              </w:rPr>
              <w:t>)</w:t>
            </w:r>
          </w:p>
          <w:p w:rsidR="00214CB8" w:rsidRPr="00A935AA" w:rsidRDefault="00214CB8" w:rsidP="006C2448">
            <w:pPr>
              <w:tabs>
                <w:tab w:val="left" w:pos="-1440"/>
                <w:tab w:val="left" w:pos="-720"/>
              </w:tabs>
              <w:rPr>
                <w:sz w:val="20"/>
                <w:szCs w:val="20"/>
              </w:rPr>
            </w:pPr>
          </w:p>
          <w:p w:rsidR="00214CB8" w:rsidRPr="00A935AA" w:rsidRDefault="00712295" w:rsidP="006C2448">
            <w:pPr>
              <w:tabs>
                <w:tab w:val="left" w:pos="-1440"/>
                <w:tab w:val="left" w:pos="-720"/>
              </w:tabs>
              <w:rPr>
                <w:b/>
                <w:sz w:val="20"/>
                <w:szCs w:val="20"/>
              </w:rPr>
            </w:pPr>
            <w:r>
              <w:rPr>
                <w:b/>
                <w:sz w:val="20"/>
                <w:szCs w:val="20"/>
              </w:rPr>
              <w:t xml:space="preserve">Minister of Public Safety &amp; Emergency Preparedness </w:t>
            </w:r>
            <w:r w:rsidR="00214CB8" w:rsidRPr="00A935AA">
              <w:rPr>
                <w:b/>
                <w:sz w:val="20"/>
                <w:szCs w:val="20"/>
              </w:rPr>
              <w:t>(</w:t>
            </w:r>
            <w:r>
              <w:rPr>
                <w:b/>
                <w:sz w:val="20"/>
                <w:szCs w:val="20"/>
              </w:rPr>
              <w:t>F</w:t>
            </w:r>
            <w:r w:rsidR="00214CB8" w:rsidRPr="00A935AA">
              <w:rPr>
                <w:b/>
                <w:sz w:val="20"/>
                <w:szCs w:val="20"/>
              </w:rPr>
              <w:t>.C.)</w:t>
            </w:r>
          </w:p>
          <w:p w:rsidR="00214CB8" w:rsidRPr="00A935AA" w:rsidRDefault="00214CB8" w:rsidP="006C2448">
            <w:pPr>
              <w:tabs>
                <w:tab w:val="left" w:pos="-1440"/>
                <w:tab w:val="left" w:pos="-720"/>
              </w:tabs>
              <w:rPr>
                <w:sz w:val="20"/>
                <w:szCs w:val="20"/>
              </w:rPr>
            </w:pPr>
            <w:r w:rsidRPr="00A935AA">
              <w:rPr>
                <w:sz w:val="20"/>
                <w:szCs w:val="20"/>
              </w:rPr>
              <w:tab/>
            </w:r>
            <w:r w:rsidR="00712295">
              <w:rPr>
                <w:sz w:val="20"/>
                <w:szCs w:val="20"/>
              </w:rPr>
              <w:t>Lori Hendriks</w:t>
            </w:r>
          </w:p>
          <w:p w:rsidR="00214CB8" w:rsidRPr="00A935AA" w:rsidRDefault="00214CB8" w:rsidP="006C2448">
            <w:pPr>
              <w:tabs>
                <w:tab w:val="left" w:pos="-1440"/>
                <w:tab w:val="left" w:pos="-720"/>
              </w:tabs>
              <w:rPr>
                <w:sz w:val="20"/>
                <w:szCs w:val="20"/>
              </w:rPr>
            </w:pPr>
            <w:r w:rsidRPr="00A935AA">
              <w:rPr>
                <w:sz w:val="20"/>
                <w:szCs w:val="20"/>
              </w:rPr>
              <w:tab/>
            </w:r>
            <w:r w:rsidR="00712295">
              <w:rPr>
                <w:sz w:val="20"/>
                <w:szCs w:val="20"/>
              </w:rPr>
              <w:t>A.G. of Canada</w:t>
            </w:r>
          </w:p>
          <w:p w:rsidR="00214CB8" w:rsidRPr="00A935AA" w:rsidRDefault="00214CB8" w:rsidP="006C2448">
            <w:pPr>
              <w:tabs>
                <w:tab w:val="left" w:pos="-1440"/>
                <w:tab w:val="left" w:pos="-720"/>
              </w:tabs>
              <w:rPr>
                <w:sz w:val="20"/>
                <w:szCs w:val="20"/>
              </w:rPr>
            </w:pPr>
          </w:p>
          <w:p w:rsidR="00214CB8" w:rsidRPr="00A935AA" w:rsidRDefault="00214CB8" w:rsidP="006C2448">
            <w:pPr>
              <w:rPr>
                <w:sz w:val="20"/>
                <w:szCs w:val="20"/>
              </w:rPr>
            </w:pPr>
            <w:r w:rsidRPr="00A935AA">
              <w:rPr>
                <w:sz w:val="20"/>
                <w:szCs w:val="20"/>
              </w:rPr>
              <w:t xml:space="preserve">FILING DATE: </w:t>
            </w:r>
            <w:r w:rsidR="00712295">
              <w:rPr>
                <w:sz w:val="20"/>
                <w:szCs w:val="20"/>
              </w:rPr>
              <w:t>1</w:t>
            </w:r>
            <w:r w:rsidRPr="00A935AA">
              <w:rPr>
                <w:sz w:val="20"/>
                <w:szCs w:val="20"/>
              </w:rPr>
              <w:t>2.0</w:t>
            </w:r>
            <w:r>
              <w:rPr>
                <w:sz w:val="20"/>
                <w:szCs w:val="20"/>
              </w:rPr>
              <w:t>3</w:t>
            </w:r>
            <w:r w:rsidRPr="00A935AA">
              <w:rPr>
                <w:sz w:val="20"/>
                <w:szCs w:val="20"/>
              </w:rPr>
              <w:t>.201</w:t>
            </w:r>
            <w:r>
              <w:rPr>
                <w:sz w:val="20"/>
                <w:szCs w:val="20"/>
              </w:rPr>
              <w:t>2</w:t>
            </w:r>
          </w:p>
          <w:p w:rsidR="00214CB8" w:rsidRPr="00A935AA" w:rsidRDefault="00E5065D" w:rsidP="006C2448">
            <w:pPr>
              <w:rPr>
                <w:sz w:val="20"/>
                <w:szCs w:val="20"/>
              </w:rPr>
            </w:pPr>
            <w:r w:rsidRPr="00E5065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tc>
        <w:tc>
          <w:tcPr>
            <w:tcW w:w="4320" w:type="dxa"/>
            <w:shd w:val="clear" w:color="auto" w:fill="auto"/>
          </w:tcPr>
          <w:p w:rsidR="00214CB8" w:rsidRPr="00A935AA" w:rsidRDefault="00712295" w:rsidP="006C2448">
            <w:pPr>
              <w:keepNext/>
              <w:keepLines/>
              <w:tabs>
                <w:tab w:val="left" w:pos="-1440"/>
                <w:tab w:val="left" w:pos="-720"/>
              </w:tabs>
              <w:rPr>
                <w:b/>
                <w:sz w:val="20"/>
                <w:szCs w:val="20"/>
              </w:rPr>
            </w:pPr>
            <w:r>
              <w:rPr>
                <w:b/>
                <w:sz w:val="20"/>
                <w:szCs w:val="20"/>
              </w:rPr>
              <w:t>Sheila Elizabeth Skibinski</w:t>
            </w:r>
          </w:p>
          <w:p w:rsidR="00214CB8" w:rsidRPr="00A935AA" w:rsidRDefault="00214CB8" w:rsidP="006C2448">
            <w:pPr>
              <w:keepNext/>
              <w:keepLines/>
              <w:tabs>
                <w:tab w:val="left" w:pos="-1440"/>
                <w:tab w:val="left" w:pos="-720"/>
              </w:tabs>
              <w:rPr>
                <w:sz w:val="20"/>
                <w:szCs w:val="20"/>
              </w:rPr>
            </w:pPr>
            <w:r w:rsidRPr="00A935AA">
              <w:rPr>
                <w:sz w:val="20"/>
                <w:szCs w:val="20"/>
              </w:rPr>
              <w:tab/>
            </w:r>
            <w:r w:rsidR="00BA3A45">
              <w:rPr>
                <w:sz w:val="20"/>
                <w:szCs w:val="20"/>
              </w:rPr>
              <w:t>Geoffrey B. Gomery</w:t>
            </w:r>
          </w:p>
          <w:p w:rsidR="00214CB8" w:rsidRPr="00A935AA" w:rsidRDefault="00214CB8" w:rsidP="006C2448">
            <w:pPr>
              <w:keepNext/>
              <w:keepLines/>
              <w:tabs>
                <w:tab w:val="left" w:pos="-1440"/>
                <w:tab w:val="left" w:pos="-720"/>
              </w:tabs>
              <w:rPr>
                <w:sz w:val="20"/>
                <w:szCs w:val="20"/>
              </w:rPr>
            </w:pPr>
            <w:r w:rsidRPr="00A935AA">
              <w:rPr>
                <w:sz w:val="20"/>
                <w:szCs w:val="20"/>
              </w:rPr>
              <w:tab/>
            </w:r>
            <w:r w:rsidR="00BA3A45">
              <w:rPr>
                <w:sz w:val="20"/>
                <w:szCs w:val="20"/>
              </w:rPr>
              <w:t>Nathanson, Schachter &amp; Thompson</w:t>
            </w:r>
          </w:p>
          <w:p w:rsidR="00214CB8" w:rsidRPr="00A935AA" w:rsidRDefault="00214CB8" w:rsidP="006C2448">
            <w:pPr>
              <w:keepNext/>
              <w:keepLines/>
              <w:tabs>
                <w:tab w:val="left" w:pos="-1440"/>
                <w:tab w:val="left" w:pos="-720"/>
              </w:tabs>
              <w:rPr>
                <w:sz w:val="20"/>
                <w:szCs w:val="20"/>
              </w:rPr>
            </w:pPr>
          </w:p>
          <w:p w:rsidR="00214CB8" w:rsidRPr="00BA3A45" w:rsidRDefault="00214CB8" w:rsidP="006C2448">
            <w:pPr>
              <w:keepNext/>
              <w:keepLines/>
              <w:tabs>
                <w:tab w:val="left" w:pos="-1440"/>
                <w:tab w:val="left" w:pos="-720"/>
              </w:tabs>
              <w:rPr>
                <w:sz w:val="20"/>
                <w:szCs w:val="20"/>
              </w:rPr>
            </w:pPr>
            <w:r w:rsidRPr="00A935AA">
              <w:rPr>
                <w:sz w:val="20"/>
                <w:szCs w:val="20"/>
              </w:rPr>
              <w:tab/>
            </w:r>
            <w:r w:rsidRPr="00BA3A45">
              <w:rPr>
                <w:sz w:val="20"/>
                <w:szCs w:val="20"/>
              </w:rPr>
              <w:t>v. (34</w:t>
            </w:r>
            <w:r w:rsidR="00BA3A45">
              <w:rPr>
                <w:sz w:val="20"/>
                <w:szCs w:val="20"/>
              </w:rPr>
              <w:t>71</w:t>
            </w:r>
            <w:r w:rsidRPr="00BA3A45">
              <w:rPr>
                <w:sz w:val="20"/>
                <w:szCs w:val="20"/>
              </w:rPr>
              <w:t>6)</w:t>
            </w:r>
          </w:p>
          <w:p w:rsidR="00214CB8" w:rsidRPr="00BA3A45" w:rsidRDefault="00214CB8" w:rsidP="006C2448">
            <w:pPr>
              <w:keepNext/>
              <w:keepLines/>
              <w:tabs>
                <w:tab w:val="left" w:pos="-1440"/>
                <w:tab w:val="left" w:pos="-720"/>
              </w:tabs>
              <w:rPr>
                <w:sz w:val="20"/>
                <w:szCs w:val="20"/>
              </w:rPr>
            </w:pPr>
          </w:p>
          <w:p w:rsidR="00214CB8" w:rsidRPr="00BA3A45" w:rsidRDefault="00647543" w:rsidP="006C2448">
            <w:pPr>
              <w:keepNext/>
              <w:keepLines/>
              <w:tabs>
                <w:tab w:val="left" w:pos="-1440"/>
                <w:tab w:val="left" w:pos="-720"/>
              </w:tabs>
              <w:rPr>
                <w:b/>
                <w:sz w:val="20"/>
                <w:szCs w:val="20"/>
              </w:rPr>
            </w:pPr>
            <w:r>
              <w:rPr>
                <w:b/>
                <w:sz w:val="20"/>
                <w:szCs w:val="20"/>
              </w:rPr>
              <w:t xml:space="preserve">Community Living British Columbia </w:t>
            </w:r>
            <w:r w:rsidR="00214CB8" w:rsidRPr="00BA3A45">
              <w:rPr>
                <w:b/>
                <w:sz w:val="20"/>
                <w:szCs w:val="20"/>
              </w:rPr>
              <w:t>(</w:t>
            </w:r>
            <w:r>
              <w:rPr>
                <w:b/>
                <w:sz w:val="20"/>
                <w:szCs w:val="20"/>
              </w:rPr>
              <w:t>B</w:t>
            </w:r>
            <w:r w:rsidR="00214CB8" w:rsidRPr="00BA3A45">
              <w:rPr>
                <w:b/>
                <w:sz w:val="20"/>
                <w:szCs w:val="20"/>
              </w:rPr>
              <w:t>.</w:t>
            </w:r>
            <w:r>
              <w:rPr>
                <w:b/>
                <w:sz w:val="20"/>
                <w:szCs w:val="20"/>
              </w:rPr>
              <w:t>C.</w:t>
            </w:r>
            <w:r w:rsidR="00214CB8" w:rsidRPr="00BA3A45">
              <w:rPr>
                <w:b/>
                <w:sz w:val="20"/>
                <w:szCs w:val="20"/>
              </w:rPr>
              <w:t>)</w:t>
            </w:r>
          </w:p>
          <w:p w:rsidR="00214CB8" w:rsidRPr="00BA3A45" w:rsidRDefault="00214CB8" w:rsidP="006C2448">
            <w:pPr>
              <w:keepNext/>
              <w:keepLines/>
              <w:tabs>
                <w:tab w:val="left" w:pos="-1440"/>
                <w:tab w:val="left" w:pos="-720"/>
              </w:tabs>
              <w:rPr>
                <w:sz w:val="20"/>
                <w:szCs w:val="20"/>
              </w:rPr>
            </w:pPr>
            <w:r w:rsidRPr="00BA3A45">
              <w:rPr>
                <w:sz w:val="20"/>
                <w:szCs w:val="20"/>
              </w:rPr>
              <w:tab/>
            </w:r>
            <w:r w:rsidR="00647543">
              <w:rPr>
                <w:sz w:val="20"/>
                <w:szCs w:val="20"/>
              </w:rPr>
              <w:t>J. Gareth Morley</w:t>
            </w:r>
          </w:p>
          <w:p w:rsidR="00214CB8" w:rsidRDefault="00647543" w:rsidP="006C2448">
            <w:pPr>
              <w:keepNext/>
              <w:keepLines/>
              <w:tabs>
                <w:tab w:val="left" w:pos="-1440"/>
                <w:tab w:val="left" w:pos="-720"/>
              </w:tabs>
              <w:rPr>
                <w:sz w:val="20"/>
                <w:szCs w:val="20"/>
              </w:rPr>
            </w:pPr>
            <w:r>
              <w:rPr>
                <w:sz w:val="20"/>
                <w:szCs w:val="20"/>
              </w:rPr>
              <w:tab/>
              <w:t>A.G. of British Columbia</w:t>
            </w:r>
          </w:p>
          <w:p w:rsidR="00647543" w:rsidRPr="00BA3A45" w:rsidRDefault="00647543" w:rsidP="006C2448">
            <w:pPr>
              <w:keepNext/>
              <w:keepLines/>
              <w:tabs>
                <w:tab w:val="left" w:pos="-1440"/>
                <w:tab w:val="left" w:pos="-720"/>
              </w:tabs>
              <w:rPr>
                <w:sz w:val="20"/>
                <w:szCs w:val="20"/>
              </w:rPr>
            </w:pPr>
          </w:p>
          <w:p w:rsidR="00214CB8" w:rsidRDefault="00214CB8" w:rsidP="00647543">
            <w:pPr>
              <w:rPr>
                <w:sz w:val="20"/>
                <w:szCs w:val="20"/>
                <w:lang w:val="fr-CA"/>
              </w:rPr>
            </w:pPr>
            <w:r w:rsidRPr="00A935AA">
              <w:rPr>
                <w:sz w:val="20"/>
                <w:szCs w:val="20"/>
              </w:rPr>
              <w:t xml:space="preserve">FILING DATE: </w:t>
            </w:r>
            <w:r w:rsidR="00647543">
              <w:rPr>
                <w:sz w:val="20"/>
                <w:szCs w:val="20"/>
              </w:rPr>
              <w:t>13</w:t>
            </w:r>
            <w:r w:rsidRPr="00A935AA">
              <w:rPr>
                <w:sz w:val="20"/>
                <w:szCs w:val="20"/>
              </w:rPr>
              <w:t>.0</w:t>
            </w:r>
            <w:r>
              <w:rPr>
                <w:sz w:val="20"/>
                <w:szCs w:val="20"/>
              </w:rPr>
              <w:t>3</w:t>
            </w:r>
            <w:r w:rsidRPr="00A935AA">
              <w:rPr>
                <w:sz w:val="20"/>
                <w:szCs w:val="20"/>
              </w:rPr>
              <w:t>.201</w:t>
            </w:r>
            <w:r>
              <w:rPr>
                <w:sz w:val="20"/>
                <w:szCs w:val="20"/>
              </w:rPr>
              <w:t>2</w:t>
            </w:r>
            <w:r w:rsidR="00E5065D" w:rsidRPr="00E5065D">
              <w:rPr>
                <w:sz w:val="20"/>
                <w:szCs w:val="20"/>
                <w:lang w:val="fr-CA"/>
              </w:rPr>
              <w:pict>
                <v:rect id="_x0000_i1034" style="width:108pt;height:1pt" o:hrpct="0" o:hralign="center" o:hrstd="t" o:hrnoshade="t" o:hr="t" fillcolor="black [3213]" stroked="f"/>
              </w:pict>
            </w:r>
          </w:p>
          <w:p w:rsidR="002451F0" w:rsidRDefault="002451F0" w:rsidP="00647543">
            <w:pPr>
              <w:rPr>
                <w:sz w:val="20"/>
                <w:szCs w:val="20"/>
                <w:lang w:val="fr-CA"/>
              </w:rPr>
            </w:pPr>
          </w:p>
          <w:p w:rsidR="002451F0" w:rsidRPr="002451F0" w:rsidRDefault="002451F0" w:rsidP="002451F0">
            <w:pPr>
              <w:keepNext/>
              <w:keepLines/>
              <w:tabs>
                <w:tab w:val="left" w:pos="-1440"/>
                <w:tab w:val="left" w:pos="-720"/>
              </w:tabs>
              <w:rPr>
                <w:b/>
                <w:sz w:val="20"/>
                <w:szCs w:val="20"/>
              </w:rPr>
            </w:pPr>
            <w:r w:rsidRPr="002451F0">
              <w:rPr>
                <w:b/>
                <w:sz w:val="20"/>
                <w:szCs w:val="20"/>
                <w:lang w:val="fr-CA"/>
              </w:rPr>
              <w:t xml:space="preserve">Nagib Tajdin et al. </w:t>
            </w:r>
          </w:p>
        </w:tc>
      </w:tr>
      <w:tr w:rsidR="00214CB8" w:rsidRPr="00A935AA" w:rsidTr="003B3977">
        <w:trPr>
          <w:cantSplit/>
        </w:trPr>
        <w:tc>
          <w:tcPr>
            <w:tcW w:w="4320" w:type="dxa"/>
            <w:shd w:val="clear" w:color="auto" w:fill="auto"/>
          </w:tcPr>
          <w:p w:rsidR="00214CB8" w:rsidRPr="00140B84" w:rsidRDefault="00214CB8" w:rsidP="006C2448">
            <w:pPr>
              <w:rPr>
                <w:b/>
                <w:sz w:val="20"/>
                <w:szCs w:val="20"/>
                <w:lang w:val="fr-CA"/>
              </w:rPr>
            </w:pPr>
          </w:p>
          <w:p w:rsidR="00647543" w:rsidRPr="002451F0" w:rsidRDefault="00647543" w:rsidP="006C2448">
            <w:pPr>
              <w:rPr>
                <w:b/>
                <w:sz w:val="20"/>
                <w:szCs w:val="20"/>
                <w:lang w:val="fr-CA"/>
              </w:rPr>
            </w:pPr>
            <w:r w:rsidRPr="002451F0">
              <w:rPr>
                <w:b/>
                <w:sz w:val="20"/>
                <w:szCs w:val="20"/>
                <w:lang w:val="fr-CA"/>
              </w:rPr>
              <w:t>Jamie Robert Kokotailo</w:t>
            </w:r>
          </w:p>
          <w:p w:rsidR="00214CB8" w:rsidRPr="002451F0" w:rsidRDefault="00214CB8" w:rsidP="006C2448">
            <w:pPr>
              <w:tabs>
                <w:tab w:val="left" w:pos="-1440"/>
                <w:tab w:val="left" w:pos="-720"/>
              </w:tabs>
              <w:rPr>
                <w:sz w:val="20"/>
                <w:szCs w:val="20"/>
                <w:lang w:val="fr-CA"/>
              </w:rPr>
            </w:pPr>
            <w:r w:rsidRPr="002451F0">
              <w:rPr>
                <w:sz w:val="20"/>
                <w:szCs w:val="20"/>
                <w:lang w:val="fr-CA"/>
              </w:rPr>
              <w:tab/>
            </w:r>
            <w:r w:rsidR="002451F0" w:rsidRPr="002451F0">
              <w:rPr>
                <w:sz w:val="20"/>
                <w:szCs w:val="20"/>
                <w:lang w:val="fr-CA"/>
              </w:rPr>
              <w:t>Glen Orris, Q.C.</w:t>
            </w:r>
          </w:p>
          <w:p w:rsidR="00214CB8" w:rsidRPr="002451F0" w:rsidRDefault="00214CB8" w:rsidP="006C2448">
            <w:pPr>
              <w:tabs>
                <w:tab w:val="left" w:pos="-1440"/>
                <w:tab w:val="left" w:pos="-720"/>
              </w:tabs>
              <w:rPr>
                <w:sz w:val="20"/>
                <w:szCs w:val="20"/>
              </w:rPr>
            </w:pPr>
            <w:r w:rsidRPr="002451F0">
              <w:rPr>
                <w:sz w:val="20"/>
                <w:szCs w:val="20"/>
                <w:lang w:val="fr-CA"/>
              </w:rPr>
              <w:tab/>
            </w:r>
            <w:r w:rsidR="002451F0" w:rsidRPr="002451F0">
              <w:rPr>
                <w:sz w:val="20"/>
                <w:szCs w:val="20"/>
              </w:rPr>
              <w:t>Glen Orris</w:t>
            </w:r>
          </w:p>
          <w:p w:rsidR="00214CB8" w:rsidRPr="002451F0" w:rsidRDefault="00214CB8" w:rsidP="006C2448">
            <w:pPr>
              <w:tabs>
                <w:tab w:val="left" w:pos="-1440"/>
                <w:tab w:val="left" w:pos="-720"/>
              </w:tabs>
              <w:rPr>
                <w:sz w:val="20"/>
                <w:szCs w:val="20"/>
              </w:rPr>
            </w:pPr>
          </w:p>
          <w:p w:rsidR="00214CB8" w:rsidRPr="00A935AA" w:rsidRDefault="00214CB8" w:rsidP="006C2448">
            <w:pPr>
              <w:tabs>
                <w:tab w:val="left" w:pos="-1440"/>
                <w:tab w:val="left" w:pos="-720"/>
              </w:tabs>
              <w:rPr>
                <w:sz w:val="20"/>
                <w:szCs w:val="20"/>
              </w:rPr>
            </w:pPr>
            <w:r w:rsidRPr="002451F0">
              <w:rPr>
                <w:sz w:val="20"/>
                <w:szCs w:val="20"/>
              </w:rPr>
              <w:tab/>
            </w:r>
            <w:r w:rsidRPr="00A935AA">
              <w:rPr>
                <w:sz w:val="20"/>
                <w:szCs w:val="20"/>
              </w:rPr>
              <w:t>v. (3</w:t>
            </w:r>
            <w:r>
              <w:rPr>
                <w:sz w:val="20"/>
                <w:szCs w:val="20"/>
              </w:rPr>
              <w:t>4</w:t>
            </w:r>
            <w:r w:rsidR="002451F0">
              <w:rPr>
                <w:sz w:val="20"/>
                <w:szCs w:val="20"/>
              </w:rPr>
              <w:t>718</w:t>
            </w:r>
            <w:r w:rsidRPr="00A935AA">
              <w:rPr>
                <w:sz w:val="20"/>
                <w:szCs w:val="20"/>
              </w:rPr>
              <w:t>)</w:t>
            </w:r>
          </w:p>
          <w:p w:rsidR="00214CB8" w:rsidRPr="00A935AA" w:rsidRDefault="00214CB8" w:rsidP="006C2448">
            <w:pPr>
              <w:tabs>
                <w:tab w:val="left" w:pos="-1440"/>
                <w:tab w:val="left" w:pos="-720"/>
              </w:tabs>
              <w:rPr>
                <w:sz w:val="20"/>
                <w:szCs w:val="20"/>
              </w:rPr>
            </w:pPr>
          </w:p>
          <w:p w:rsidR="00214CB8" w:rsidRPr="00A935AA" w:rsidRDefault="002451F0" w:rsidP="006C2448">
            <w:pPr>
              <w:tabs>
                <w:tab w:val="left" w:pos="-1440"/>
                <w:tab w:val="left" w:pos="-720"/>
              </w:tabs>
              <w:rPr>
                <w:b/>
                <w:sz w:val="20"/>
                <w:szCs w:val="20"/>
              </w:rPr>
            </w:pPr>
            <w:r>
              <w:rPr>
                <w:b/>
                <w:sz w:val="20"/>
                <w:szCs w:val="20"/>
              </w:rPr>
              <w:t xml:space="preserve">Her Majesty the Queen </w:t>
            </w:r>
            <w:r w:rsidR="00214CB8" w:rsidRPr="00A935AA">
              <w:rPr>
                <w:b/>
                <w:sz w:val="20"/>
                <w:szCs w:val="20"/>
              </w:rPr>
              <w:t>(B.C.)</w:t>
            </w:r>
          </w:p>
          <w:p w:rsidR="00214CB8" w:rsidRPr="00A935AA" w:rsidRDefault="00214CB8" w:rsidP="006C2448">
            <w:pPr>
              <w:tabs>
                <w:tab w:val="left" w:pos="-1440"/>
                <w:tab w:val="left" w:pos="-720"/>
              </w:tabs>
              <w:rPr>
                <w:sz w:val="20"/>
                <w:szCs w:val="20"/>
              </w:rPr>
            </w:pPr>
            <w:r w:rsidRPr="00A935AA">
              <w:rPr>
                <w:sz w:val="20"/>
                <w:szCs w:val="20"/>
              </w:rPr>
              <w:tab/>
            </w:r>
            <w:r w:rsidR="002451F0">
              <w:rPr>
                <w:sz w:val="20"/>
                <w:szCs w:val="20"/>
              </w:rPr>
              <w:t>Susan J. Brown</w:t>
            </w:r>
          </w:p>
          <w:p w:rsidR="00214CB8" w:rsidRPr="00A935AA" w:rsidRDefault="00214CB8" w:rsidP="006C2448">
            <w:pPr>
              <w:tabs>
                <w:tab w:val="left" w:pos="-1440"/>
                <w:tab w:val="left" w:pos="-720"/>
              </w:tabs>
              <w:rPr>
                <w:sz w:val="20"/>
                <w:szCs w:val="20"/>
              </w:rPr>
            </w:pPr>
            <w:r w:rsidRPr="00A935AA">
              <w:rPr>
                <w:sz w:val="20"/>
                <w:szCs w:val="20"/>
              </w:rPr>
              <w:tab/>
            </w:r>
            <w:r w:rsidR="002451F0">
              <w:rPr>
                <w:sz w:val="20"/>
                <w:szCs w:val="20"/>
              </w:rPr>
              <w:t>A.G. of British Columbia</w:t>
            </w:r>
          </w:p>
          <w:p w:rsidR="00214CB8" w:rsidRPr="00A935AA" w:rsidRDefault="00214CB8" w:rsidP="006C2448">
            <w:pPr>
              <w:tabs>
                <w:tab w:val="left" w:pos="-1440"/>
                <w:tab w:val="left" w:pos="-720"/>
              </w:tabs>
              <w:rPr>
                <w:sz w:val="20"/>
                <w:szCs w:val="20"/>
              </w:rPr>
            </w:pPr>
          </w:p>
          <w:p w:rsidR="00214CB8" w:rsidRPr="00A935AA" w:rsidRDefault="00214CB8" w:rsidP="006C2448">
            <w:pPr>
              <w:rPr>
                <w:sz w:val="20"/>
                <w:szCs w:val="20"/>
              </w:rPr>
            </w:pPr>
            <w:r w:rsidRPr="00A935AA">
              <w:rPr>
                <w:sz w:val="20"/>
                <w:szCs w:val="20"/>
              </w:rPr>
              <w:t xml:space="preserve">FILING DATE: </w:t>
            </w:r>
            <w:r w:rsidR="002451F0">
              <w:rPr>
                <w:sz w:val="20"/>
                <w:szCs w:val="20"/>
              </w:rPr>
              <w:t>15</w:t>
            </w:r>
            <w:r w:rsidRPr="00A935AA">
              <w:rPr>
                <w:sz w:val="20"/>
                <w:szCs w:val="20"/>
              </w:rPr>
              <w:t>.0</w:t>
            </w:r>
            <w:r>
              <w:rPr>
                <w:sz w:val="20"/>
                <w:szCs w:val="20"/>
              </w:rPr>
              <w:t>3</w:t>
            </w:r>
            <w:r w:rsidRPr="00A935AA">
              <w:rPr>
                <w:sz w:val="20"/>
                <w:szCs w:val="20"/>
              </w:rPr>
              <w:t>.201</w:t>
            </w:r>
            <w:r>
              <w:rPr>
                <w:sz w:val="20"/>
                <w:szCs w:val="20"/>
              </w:rPr>
              <w:t>2</w:t>
            </w:r>
          </w:p>
          <w:p w:rsidR="00214CB8" w:rsidRPr="00A935AA" w:rsidRDefault="00E5065D" w:rsidP="006C2448">
            <w:pPr>
              <w:rPr>
                <w:sz w:val="20"/>
                <w:szCs w:val="20"/>
              </w:rPr>
            </w:pPr>
            <w:r w:rsidRPr="00E5065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p w:rsidR="00214CB8" w:rsidRPr="00A935AA" w:rsidRDefault="00214CB8" w:rsidP="00242AEE">
            <w:pPr>
              <w:jc w:val="center"/>
              <w:rPr>
                <w:sz w:val="20"/>
                <w:szCs w:val="20"/>
              </w:rPr>
            </w:pPr>
          </w:p>
        </w:tc>
        <w:tc>
          <w:tcPr>
            <w:tcW w:w="4320" w:type="dxa"/>
            <w:shd w:val="clear" w:color="auto" w:fill="auto"/>
          </w:tcPr>
          <w:p w:rsidR="002451F0" w:rsidRPr="00140B84" w:rsidRDefault="002451F0" w:rsidP="002451F0">
            <w:pPr>
              <w:keepNext/>
              <w:keepLines/>
              <w:tabs>
                <w:tab w:val="left" w:pos="-1440"/>
                <w:tab w:val="left" w:pos="-720"/>
              </w:tabs>
              <w:rPr>
                <w:sz w:val="20"/>
                <w:szCs w:val="20"/>
              </w:rPr>
            </w:pPr>
            <w:r w:rsidRPr="002451F0">
              <w:rPr>
                <w:sz w:val="20"/>
                <w:szCs w:val="20"/>
                <w:lang w:val="fr-CA"/>
              </w:rPr>
              <w:tab/>
            </w:r>
            <w:r w:rsidRPr="00140B84">
              <w:rPr>
                <w:sz w:val="20"/>
                <w:szCs w:val="20"/>
              </w:rPr>
              <w:t>Nagib Tajdin</w:t>
            </w:r>
          </w:p>
          <w:p w:rsidR="002451F0" w:rsidRPr="00140B84" w:rsidRDefault="002451F0" w:rsidP="002451F0">
            <w:pPr>
              <w:keepNext/>
              <w:keepLines/>
              <w:tabs>
                <w:tab w:val="left" w:pos="-1440"/>
                <w:tab w:val="left" w:pos="-720"/>
              </w:tabs>
              <w:rPr>
                <w:sz w:val="20"/>
                <w:szCs w:val="20"/>
              </w:rPr>
            </w:pPr>
          </w:p>
          <w:p w:rsidR="002451F0" w:rsidRPr="00BA3A45" w:rsidRDefault="002451F0" w:rsidP="002451F0">
            <w:pPr>
              <w:keepNext/>
              <w:keepLines/>
              <w:tabs>
                <w:tab w:val="left" w:pos="-1440"/>
                <w:tab w:val="left" w:pos="-720"/>
              </w:tabs>
              <w:rPr>
                <w:sz w:val="20"/>
                <w:szCs w:val="20"/>
              </w:rPr>
            </w:pPr>
            <w:r w:rsidRPr="00140B84">
              <w:rPr>
                <w:sz w:val="20"/>
                <w:szCs w:val="20"/>
              </w:rPr>
              <w:tab/>
            </w:r>
            <w:r w:rsidRPr="00BA3A45">
              <w:rPr>
                <w:sz w:val="20"/>
                <w:szCs w:val="20"/>
              </w:rPr>
              <w:t>v. (34</w:t>
            </w:r>
            <w:r>
              <w:rPr>
                <w:sz w:val="20"/>
                <w:szCs w:val="20"/>
              </w:rPr>
              <w:t>731</w:t>
            </w:r>
            <w:r w:rsidRPr="00BA3A45">
              <w:rPr>
                <w:sz w:val="20"/>
                <w:szCs w:val="20"/>
              </w:rPr>
              <w:t>)</w:t>
            </w:r>
          </w:p>
          <w:p w:rsidR="002451F0" w:rsidRPr="00BA3A45" w:rsidRDefault="002451F0" w:rsidP="002451F0">
            <w:pPr>
              <w:keepNext/>
              <w:keepLines/>
              <w:tabs>
                <w:tab w:val="left" w:pos="-1440"/>
                <w:tab w:val="left" w:pos="-720"/>
              </w:tabs>
              <w:rPr>
                <w:sz w:val="20"/>
                <w:szCs w:val="20"/>
              </w:rPr>
            </w:pPr>
          </w:p>
          <w:p w:rsidR="002451F0" w:rsidRPr="00BA3A45" w:rsidRDefault="002451F0" w:rsidP="002451F0">
            <w:pPr>
              <w:keepNext/>
              <w:keepLines/>
              <w:tabs>
                <w:tab w:val="left" w:pos="-1440"/>
                <w:tab w:val="left" w:pos="-720"/>
              </w:tabs>
              <w:rPr>
                <w:b/>
                <w:sz w:val="20"/>
                <w:szCs w:val="20"/>
              </w:rPr>
            </w:pPr>
            <w:r>
              <w:rPr>
                <w:b/>
                <w:sz w:val="20"/>
                <w:szCs w:val="20"/>
              </w:rPr>
              <w:t xml:space="preserve">His Highness Prince Karim Aga Khan </w:t>
            </w:r>
            <w:r w:rsidRPr="00BA3A45">
              <w:rPr>
                <w:b/>
                <w:sz w:val="20"/>
                <w:szCs w:val="20"/>
              </w:rPr>
              <w:t>(</w:t>
            </w:r>
            <w:r>
              <w:rPr>
                <w:b/>
                <w:sz w:val="20"/>
                <w:szCs w:val="20"/>
              </w:rPr>
              <w:t>F.C</w:t>
            </w:r>
            <w:r w:rsidRPr="00BA3A45">
              <w:rPr>
                <w:b/>
                <w:sz w:val="20"/>
                <w:szCs w:val="20"/>
              </w:rPr>
              <w:t>.)</w:t>
            </w:r>
          </w:p>
          <w:p w:rsidR="002451F0" w:rsidRPr="00BA3A45" w:rsidRDefault="002451F0" w:rsidP="002451F0">
            <w:pPr>
              <w:keepNext/>
              <w:keepLines/>
              <w:tabs>
                <w:tab w:val="left" w:pos="-1440"/>
                <w:tab w:val="left" w:pos="-720"/>
              </w:tabs>
              <w:rPr>
                <w:sz w:val="20"/>
                <w:szCs w:val="20"/>
              </w:rPr>
            </w:pPr>
            <w:r w:rsidRPr="00BA3A45">
              <w:rPr>
                <w:sz w:val="20"/>
                <w:szCs w:val="20"/>
              </w:rPr>
              <w:tab/>
            </w:r>
            <w:r>
              <w:rPr>
                <w:sz w:val="20"/>
                <w:szCs w:val="20"/>
              </w:rPr>
              <w:t>Brian W. Gray</w:t>
            </w:r>
          </w:p>
          <w:p w:rsidR="002451F0" w:rsidRPr="00BA3A45" w:rsidRDefault="002451F0" w:rsidP="002451F0">
            <w:pPr>
              <w:keepNext/>
              <w:keepLines/>
              <w:tabs>
                <w:tab w:val="left" w:pos="-1440"/>
                <w:tab w:val="left" w:pos="-720"/>
              </w:tabs>
              <w:rPr>
                <w:sz w:val="20"/>
                <w:szCs w:val="20"/>
              </w:rPr>
            </w:pPr>
            <w:r w:rsidRPr="00BA3A45">
              <w:rPr>
                <w:sz w:val="20"/>
                <w:szCs w:val="20"/>
              </w:rPr>
              <w:tab/>
            </w:r>
            <w:r>
              <w:rPr>
                <w:sz w:val="20"/>
                <w:szCs w:val="20"/>
              </w:rPr>
              <w:t>Norton Rose LLP</w:t>
            </w:r>
          </w:p>
          <w:p w:rsidR="002451F0" w:rsidRPr="00BA3A45" w:rsidRDefault="002451F0" w:rsidP="002451F0">
            <w:pPr>
              <w:keepNext/>
              <w:keepLines/>
              <w:tabs>
                <w:tab w:val="left" w:pos="-1440"/>
                <w:tab w:val="left" w:pos="-720"/>
              </w:tabs>
              <w:rPr>
                <w:sz w:val="20"/>
                <w:szCs w:val="20"/>
              </w:rPr>
            </w:pPr>
          </w:p>
          <w:p w:rsidR="00214CB8" w:rsidRPr="00140B84" w:rsidRDefault="002451F0" w:rsidP="002451F0">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3</w:t>
            </w:r>
            <w:r w:rsidRPr="00A935AA">
              <w:rPr>
                <w:sz w:val="20"/>
                <w:szCs w:val="20"/>
              </w:rPr>
              <w:t>.201</w:t>
            </w:r>
            <w:r>
              <w:rPr>
                <w:sz w:val="20"/>
                <w:szCs w:val="20"/>
              </w:rPr>
              <w:t>2</w:t>
            </w:r>
            <w:r w:rsidR="00E5065D" w:rsidRPr="00E5065D">
              <w:rPr>
                <w:sz w:val="20"/>
                <w:szCs w:val="20"/>
                <w:lang w:val="fr-CA"/>
              </w:rPr>
              <w:pict>
                <v:rect id="_x0000_i1036" style="width:108pt;height:1pt" o:hrpct="0" o:hralign="center" o:hrstd="t" o:hrnoshade="t" o:hr="t" fillcolor="black [3213]" stroked="f"/>
              </w:pict>
            </w:r>
          </w:p>
          <w:p w:rsidR="002451F0" w:rsidRPr="00140B84" w:rsidRDefault="002451F0" w:rsidP="002451F0">
            <w:pPr>
              <w:rPr>
                <w:sz w:val="20"/>
                <w:szCs w:val="20"/>
              </w:rPr>
            </w:pPr>
          </w:p>
          <w:p w:rsidR="002451F0" w:rsidRDefault="002451F0" w:rsidP="002451F0">
            <w:pPr>
              <w:rPr>
                <w:sz w:val="20"/>
                <w:szCs w:val="20"/>
              </w:rPr>
            </w:pPr>
            <w:r w:rsidRPr="002451F0">
              <w:rPr>
                <w:b/>
                <w:sz w:val="20"/>
                <w:szCs w:val="20"/>
              </w:rPr>
              <w:t>Michael Peier</w:t>
            </w:r>
          </w:p>
          <w:p w:rsidR="002451F0" w:rsidRPr="00A935AA" w:rsidRDefault="002451F0" w:rsidP="00CE7E6F">
            <w:pPr>
              <w:rPr>
                <w:sz w:val="20"/>
                <w:szCs w:val="20"/>
              </w:rPr>
            </w:pPr>
            <w:r>
              <w:rPr>
                <w:sz w:val="20"/>
                <w:szCs w:val="20"/>
              </w:rPr>
              <w:tab/>
              <w:t>Randy J. Kaardal</w:t>
            </w:r>
          </w:p>
        </w:tc>
      </w:tr>
      <w:tr w:rsidR="002451F0" w:rsidRPr="00A935AA" w:rsidTr="003B3977">
        <w:trPr>
          <w:cantSplit/>
        </w:trPr>
        <w:tc>
          <w:tcPr>
            <w:tcW w:w="4320" w:type="dxa"/>
            <w:shd w:val="clear" w:color="auto" w:fill="auto"/>
          </w:tcPr>
          <w:p w:rsidR="002451F0" w:rsidRDefault="002451F0" w:rsidP="002451F0">
            <w:pPr>
              <w:rPr>
                <w:b/>
                <w:sz w:val="20"/>
                <w:szCs w:val="20"/>
              </w:rPr>
            </w:pPr>
          </w:p>
          <w:p w:rsidR="00CE7E6F" w:rsidRPr="00A935AA" w:rsidRDefault="00CE7E6F" w:rsidP="002451F0">
            <w:pPr>
              <w:rPr>
                <w:b/>
                <w:sz w:val="20"/>
                <w:szCs w:val="20"/>
              </w:rPr>
            </w:pPr>
            <w:r>
              <w:rPr>
                <w:b/>
                <w:sz w:val="20"/>
                <w:szCs w:val="20"/>
              </w:rPr>
              <w:t>Agyapal Singh Grewal</w:t>
            </w:r>
          </w:p>
          <w:p w:rsidR="002451F0" w:rsidRPr="00A935AA" w:rsidRDefault="002451F0" w:rsidP="002451F0">
            <w:pPr>
              <w:tabs>
                <w:tab w:val="left" w:pos="-1440"/>
                <w:tab w:val="left" w:pos="-720"/>
              </w:tabs>
              <w:rPr>
                <w:sz w:val="20"/>
                <w:szCs w:val="20"/>
              </w:rPr>
            </w:pPr>
            <w:r w:rsidRPr="00A935AA">
              <w:rPr>
                <w:sz w:val="20"/>
                <w:szCs w:val="20"/>
              </w:rPr>
              <w:tab/>
            </w:r>
            <w:r w:rsidR="00CE7E6F">
              <w:rPr>
                <w:sz w:val="20"/>
                <w:szCs w:val="20"/>
              </w:rPr>
              <w:t>David Lunny</w:t>
            </w:r>
          </w:p>
          <w:p w:rsidR="002451F0" w:rsidRPr="00A935AA" w:rsidRDefault="002451F0" w:rsidP="002451F0">
            <w:pPr>
              <w:tabs>
                <w:tab w:val="left" w:pos="-1440"/>
                <w:tab w:val="left" w:pos="-720"/>
              </w:tabs>
              <w:rPr>
                <w:sz w:val="20"/>
                <w:szCs w:val="20"/>
              </w:rPr>
            </w:pPr>
            <w:r w:rsidRPr="00A935AA">
              <w:rPr>
                <w:sz w:val="20"/>
                <w:szCs w:val="20"/>
              </w:rPr>
              <w:tab/>
            </w:r>
            <w:r w:rsidR="00CE7E6F">
              <w:rPr>
                <w:sz w:val="20"/>
                <w:szCs w:val="20"/>
              </w:rPr>
              <w:t>Devlin Jensen</w:t>
            </w:r>
          </w:p>
          <w:p w:rsidR="002451F0" w:rsidRPr="00A935AA" w:rsidRDefault="002451F0" w:rsidP="002451F0">
            <w:pPr>
              <w:tabs>
                <w:tab w:val="left" w:pos="-1440"/>
                <w:tab w:val="left" w:pos="-720"/>
              </w:tabs>
              <w:rPr>
                <w:sz w:val="20"/>
                <w:szCs w:val="20"/>
              </w:rPr>
            </w:pPr>
          </w:p>
          <w:p w:rsidR="002451F0" w:rsidRPr="00A935AA" w:rsidRDefault="002451F0" w:rsidP="002451F0">
            <w:pPr>
              <w:tabs>
                <w:tab w:val="left" w:pos="-1440"/>
                <w:tab w:val="left" w:pos="-720"/>
              </w:tabs>
              <w:rPr>
                <w:sz w:val="20"/>
                <w:szCs w:val="20"/>
              </w:rPr>
            </w:pPr>
            <w:r w:rsidRPr="00A935AA">
              <w:rPr>
                <w:sz w:val="20"/>
                <w:szCs w:val="20"/>
              </w:rPr>
              <w:tab/>
              <w:t>v. (3</w:t>
            </w:r>
            <w:r>
              <w:rPr>
                <w:sz w:val="20"/>
                <w:szCs w:val="20"/>
              </w:rPr>
              <w:t>4</w:t>
            </w:r>
            <w:r w:rsidR="00CE7E6F">
              <w:rPr>
                <w:sz w:val="20"/>
                <w:szCs w:val="20"/>
              </w:rPr>
              <w:t>725</w:t>
            </w:r>
            <w:r w:rsidRPr="00A935AA">
              <w:rPr>
                <w:sz w:val="20"/>
                <w:szCs w:val="20"/>
              </w:rPr>
              <w:t>)</w:t>
            </w:r>
          </w:p>
          <w:p w:rsidR="002451F0" w:rsidRPr="00A935AA" w:rsidRDefault="002451F0" w:rsidP="002451F0">
            <w:pPr>
              <w:tabs>
                <w:tab w:val="left" w:pos="-1440"/>
                <w:tab w:val="left" w:pos="-720"/>
              </w:tabs>
              <w:rPr>
                <w:sz w:val="20"/>
                <w:szCs w:val="20"/>
              </w:rPr>
            </w:pPr>
          </w:p>
          <w:p w:rsidR="002451F0" w:rsidRPr="00A935AA" w:rsidRDefault="00CE7E6F" w:rsidP="002451F0">
            <w:pPr>
              <w:tabs>
                <w:tab w:val="left" w:pos="-1440"/>
                <w:tab w:val="left" w:pos="-720"/>
              </w:tabs>
              <w:rPr>
                <w:b/>
                <w:sz w:val="20"/>
                <w:szCs w:val="20"/>
              </w:rPr>
            </w:pPr>
            <w:r>
              <w:rPr>
                <w:b/>
                <w:sz w:val="20"/>
                <w:szCs w:val="20"/>
              </w:rPr>
              <w:t xml:space="preserve">Jatinder Singh Sandhu et al. </w:t>
            </w:r>
            <w:r w:rsidR="002451F0" w:rsidRPr="00A935AA">
              <w:rPr>
                <w:b/>
                <w:sz w:val="20"/>
                <w:szCs w:val="20"/>
              </w:rPr>
              <w:t>(B.C.)</w:t>
            </w:r>
          </w:p>
          <w:p w:rsidR="002451F0" w:rsidRPr="00A935AA" w:rsidRDefault="002451F0" w:rsidP="002451F0">
            <w:pPr>
              <w:tabs>
                <w:tab w:val="left" w:pos="-1440"/>
                <w:tab w:val="left" w:pos="-720"/>
              </w:tabs>
              <w:rPr>
                <w:sz w:val="20"/>
                <w:szCs w:val="20"/>
              </w:rPr>
            </w:pPr>
            <w:r w:rsidRPr="00A935AA">
              <w:rPr>
                <w:sz w:val="20"/>
                <w:szCs w:val="20"/>
              </w:rPr>
              <w:tab/>
            </w:r>
            <w:r w:rsidR="00CE7E6F">
              <w:rPr>
                <w:sz w:val="20"/>
                <w:szCs w:val="20"/>
              </w:rPr>
              <w:t>Geoffrey G. Cowper, Q.C.</w:t>
            </w:r>
          </w:p>
          <w:p w:rsidR="002451F0" w:rsidRPr="00A935AA" w:rsidRDefault="002451F0" w:rsidP="002451F0">
            <w:pPr>
              <w:tabs>
                <w:tab w:val="left" w:pos="-1440"/>
                <w:tab w:val="left" w:pos="-720"/>
              </w:tabs>
              <w:rPr>
                <w:sz w:val="20"/>
                <w:szCs w:val="20"/>
              </w:rPr>
            </w:pPr>
            <w:r w:rsidRPr="00A935AA">
              <w:rPr>
                <w:sz w:val="20"/>
                <w:szCs w:val="20"/>
              </w:rPr>
              <w:tab/>
            </w:r>
            <w:r w:rsidR="00CE7E6F">
              <w:rPr>
                <w:sz w:val="20"/>
                <w:szCs w:val="20"/>
              </w:rPr>
              <w:t>Fasken Martineau DuMoulin LLP</w:t>
            </w:r>
          </w:p>
          <w:p w:rsidR="002451F0" w:rsidRPr="00A935AA" w:rsidRDefault="002451F0" w:rsidP="002451F0">
            <w:pPr>
              <w:tabs>
                <w:tab w:val="left" w:pos="-1440"/>
                <w:tab w:val="left" w:pos="-720"/>
              </w:tabs>
              <w:rPr>
                <w:sz w:val="20"/>
                <w:szCs w:val="20"/>
              </w:rPr>
            </w:pPr>
          </w:p>
          <w:p w:rsidR="002451F0" w:rsidRPr="00A935AA" w:rsidRDefault="002451F0" w:rsidP="002451F0">
            <w:pPr>
              <w:rPr>
                <w:sz w:val="20"/>
                <w:szCs w:val="20"/>
              </w:rPr>
            </w:pPr>
            <w:r w:rsidRPr="00A935AA">
              <w:rPr>
                <w:sz w:val="20"/>
                <w:szCs w:val="20"/>
              </w:rPr>
              <w:t xml:space="preserve">FILING DATE: </w:t>
            </w:r>
            <w:r w:rsidR="00CE7E6F">
              <w:rPr>
                <w:sz w:val="20"/>
                <w:szCs w:val="20"/>
              </w:rPr>
              <w:t>19</w:t>
            </w:r>
            <w:r w:rsidRPr="00A935AA">
              <w:rPr>
                <w:sz w:val="20"/>
                <w:szCs w:val="20"/>
              </w:rPr>
              <w:t>.0</w:t>
            </w:r>
            <w:r>
              <w:rPr>
                <w:sz w:val="20"/>
                <w:szCs w:val="20"/>
              </w:rPr>
              <w:t>3</w:t>
            </w:r>
            <w:r w:rsidRPr="00A935AA">
              <w:rPr>
                <w:sz w:val="20"/>
                <w:szCs w:val="20"/>
              </w:rPr>
              <w:t>.201</w:t>
            </w:r>
            <w:r>
              <w:rPr>
                <w:sz w:val="20"/>
                <w:szCs w:val="20"/>
              </w:rPr>
              <w:t>2</w:t>
            </w:r>
          </w:p>
          <w:p w:rsidR="002451F0" w:rsidRPr="00A935AA" w:rsidRDefault="00E5065D" w:rsidP="002451F0">
            <w:pPr>
              <w:rPr>
                <w:sz w:val="20"/>
                <w:szCs w:val="20"/>
              </w:rPr>
            </w:pPr>
            <w:r w:rsidRPr="00E5065D">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451F0" w:rsidRDefault="002451F0"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Pr="00A935AA" w:rsidRDefault="00CE7E6F" w:rsidP="00242AEE">
            <w:pPr>
              <w:jc w:val="center"/>
              <w:rPr>
                <w:sz w:val="20"/>
                <w:szCs w:val="20"/>
              </w:rPr>
            </w:pPr>
          </w:p>
        </w:tc>
        <w:tc>
          <w:tcPr>
            <w:tcW w:w="4320" w:type="dxa"/>
            <w:shd w:val="clear" w:color="auto" w:fill="auto"/>
          </w:tcPr>
          <w:p w:rsidR="002451F0" w:rsidRDefault="002451F0" w:rsidP="002451F0">
            <w:pPr>
              <w:rPr>
                <w:sz w:val="20"/>
                <w:szCs w:val="20"/>
              </w:rPr>
            </w:pPr>
            <w:r>
              <w:rPr>
                <w:sz w:val="20"/>
                <w:szCs w:val="20"/>
              </w:rPr>
              <w:tab/>
              <w:t xml:space="preserve">Hunter Litigation Chambers Law </w:t>
            </w:r>
            <w:r>
              <w:rPr>
                <w:sz w:val="20"/>
                <w:szCs w:val="20"/>
              </w:rPr>
              <w:tab/>
              <w:t>Corporation</w:t>
            </w:r>
          </w:p>
          <w:p w:rsidR="002451F0" w:rsidRDefault="002451F0" w:rsidP="002451F0">
            <w:pPr>
              <w:rPr>
                <w:sz w:val="20"/>
                <w:szCs w:val="20"/>
              </w:rPr>
            </w:pPr>
          </w:p>
          <w:p w:rsidR="002451F0" w:rsidRDefault="002451F0" w:rsidP="002451F0">
            <w:pPr>
              <w:rPr>
                <w:sz w:val="20"/>
                <w:szCs w:val="20"/>
              </w:rPr>
            </w:pPr>
            <w:r>
              <w:rPr>
                <w:sz w:val="20"/>
                <w:szCs w:val="20"/>
              </w:rPr>
              <w:tab/>
              <w:t>v. (34722)</w:t>
            </w:r>
          </w:p>
          <w:p w:rsidR="002451F0" w:rsidRDefault="002451F0" w:rsidP="002451F0">
            <w:pPr>
              <w:rPr>
                <w:sz w:val="20"/>
                <w:szCs w:val="20"/>
              </w:rPr>
            </w:pPr>
          </w:p>
          <w:p w:rsidR="002451F0" w:rsidRDefault="002451F0" w:rsidP="002451F0">
            <w:pPr>
              <w:rPr>
                <w:sz w:val="20"/>
                <w:szCs w:val="20"/>
              </w:rPr>
            </w:pPr>
            <w:r>
              <w:rPr>
                <w:b/>
                <w:sz w:val="20"/>
                <w:szCs w:val="20"/>
              </w:rPr>
              <w:t>Cressey Whistler Townhomes Limited Partnership et al.</w:t>
            </w:r>
          </w:p>
          <w:p w:rsidR="002451F0" w:rsidRDefault="002451F0" w:rsidP="002451F0">
            <w:pPr>
              <w:rPr>
                <w:sz w:val="20"/>
                <w:szCs w:val="20"/>
              </w:rPr>
            </w:pPr>
            <w:r>
              <w:rPr>
                <w:sz w:val="20"/>
                <w:szCs w:val="20"/>
              </w:rPr>
              <w:tab/>
              <w:t>Brad Cramer</w:t>
            </w:r>
          </w:p>
          <w:p w:rsidR="002451F0" w:rsidRDefault="002451F0" w:rsidP="002451F0">
            <w:pPr>
              <w:rPr>
                <w:sz w:val="20"/>
                <w:szCs w:val="20"/>
              </w:rPr>
            </w:pPr>
            <w:r>
              <w:rPr>
                <w:sz w:val="20"/>
                <w:szCs w:val="20"/>
              </w:rPr>
              <w:tab/>
              <w:t>Shapray, Cramer &amp; Associates</w:t>
            </w:r>
          </w:p>
          <w:p w:rsidR="002451F0" w:rsidRPr="002451F0" w:rsidRDefault="002451F0" w:rsidP="002451F0">
            <w:pPr>
              <w:rPr>
                <w:sz w:val="20"/>
                <w:szCs w:val="20"/>
              </w:rPr>
            </w:pPr>
          </w:p>
          <w:p w:rsidR="002451F0" w:rsidRPr="00A935AA" w:rsidRDefault="002451F0" w:rsidP="002451F0">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3</w:t>
            </w:r>
            <w:r w:rsidRPr="00A935AA">
              <w:rPr>
                <w:sz w:val="20"/>
                <w:szCs w:val="20"/>
              </w:rPr>
              <w:t>.201</w:t>
            </w:r>
            <w:r>
              <w:rPr>
                <w:sz w:val="20"/>
                <w:szCs w:val="20"/>
              </w:rPr>
              <w:t>2</w:t>
            </w:r>
            <w:r w:rsidR="00E5065D" w:rsidRPr="00E5065D">
              <w:rPr>
                <w:sz w:val="20"/>
                <w:szCs w:val="20"/>
                <w:lang w:val="fr-CA"/>
              </w:rPr>
              <w:pict>
                <v:rect id="_x0000_i1038" style="width:108pt;height:1pt" o:hrpct="0" o:hralign="center" o:hrstd="t" o:hrnoshade="t" o:hr="t" fillcolor="black [3213]" stroked="f"/>
              </w:pict>
            </w:r>
          </w:p>
        </w:tc>
      </w:tr>
      <w:tr w:rsidR="00CE7E6F" w:rsidRPr="00A935AA" w:rsidTr="003B3977">
        <w:trPr>
          <w:cantSplit/>
        </w:trPr>
        <w:tc>
          <w:tcPr>
            <w:tcW w:w="4320" w:type="dxa"/>
            <w:shd w:val="clear" w:color="auto" w:fill="auto"/>
          </w:tcPr>
          <w:p w:rsidR="00CE7E6F" w:rsidRDefault="00CE7E6F" w:rsidP="00647543">
            <w:pPr>
              <w:rPr>
                <w:b/>
                <w:sz w:val="20"/>
                <w:szCs w:val="20"/>
              </w:rPr>
            </w:pPr>
          </w:p>
          <w:p w:rsidR="00CE7E6F" w:rsidRPr="00A935AA" w:rsidRDefault="00CE7E6F" w:rsidP="00647543">
            <w:pPr>
              <w:rPr>
                <w:b/>
                <w:sz w:val="20"/>
                <w:szCs w:val="20"/>
              </w:rPr>
            </w:pPr>
            <w:r>
              <w:rPr>
                <w:b/>
                <w:sz w:val="20"/>
                <w:szCs w:val="20"/>
              </w:rPr>
              <w:t>Wilfred Doyle</w:t>
            </w:r>
          </w:p>
          <w:p w:rsidR="00CE7E6F" w:rsidRPr="00140B84" w:rsidRDefault="00CE7E6F" w:rsidP="00647543">
            <w:pPr>
              <w:tabs>
                <w:tab w:val="left" w:pos="-1440"/>
                <w:tab w:val="left" w:pos="-720"/>
              </w:tabs>
              <w:rPr>
                <w:sz w:val="20"/>
                <w:szCs w:val="20"/>
              </w:rPr>
            </w:pPr>
            <w:r w:rsidRPr="00A935AA">
              <w:rPr>
                <w:sz w:val="20"/>
                <w:szCs w:val="20"/>
              </w:rPr>
              <w:tab/>
            </w:r>
            <w:r w:rsidRPr="00140B84">
              <w:rPr>
                <w:sz w:val="20"/>
                <w:szCs w:val="20"/>
              </w:rPr>
              <w:t>Wilfred Doyle</w:t>
            </w:r>
          </w:p>
          <w:p w:rsidR="00CE7E6F" w:rsidRPr="00CE7E6F" w:rsidRDefault="00CE7E6F" w:rsidP="00647543">
            <w:pPr>
              <w:tabs>
                <w:tab w:val="left" w:pos="-1440"/>
                <w:tab w:val="left" w:pos="-720"/>
              </w:tabs>
              <w:rPr>
                <w:sz w:val="20"/>
                <w:szCs w:val="20"/>
              </w:rPr>
            </w:pPr>
          </w:p>
          <w:p w:rsidR="00CE7E6F" w:rsidRPr="00A935AA" w:rsidRDefault="00CE7E6F" w:rsidP="00647543">
            <w:pPr>
              <w:tabs>
                <w:tab w:val="left" w:pos="-1440"/>
                <w:tab w:val="left" w:pos="-720"/>
              </w:tabs>
              <w:rPr>
                <w:sz w:val="20"/>
                <w:szCs w:val="20"/>
              </w:rPr>
            </w:pPr>
            <w:r w:rsidRPr="00CE7E6F">
              <w:rPr>
                <w:sz w:val="20"/>
                <w:szCs w:val="20"/>
              </w:rPr>
              <w:tab/>
            </w:r>
            <w:r w:rsidRPr="00A935AA">
              <w:rPr>
                <w:sz w:val="20"/>
                <w:szCs w:val="20"/>
              </w:rPr>
              <w:t>v. (3</w:t>
            </w:r>
            <w:r>
              <w:rPr>
                <w:sz w:val="20"/>
                <w:szCs w:val="20"/>
              </w:rPr>
              <w:t>4728</w:t>
            </w:r>
            <w:r w:rsidRPr="00A935AA">
              <w:rPr>
                <w:sz w:val="20"/>
                <w:szCs w:val="20"/>
              </w:rPr>
              <w:t>)</w:t>
            </w:r>
          </w:p>
          <w:p w:rsidR="00CE7E6F" w:rsidRPr="00A935AA" w:rsidRDefault="00CE7E6F" w:rsidP="00647543">
            <w:pPr>
              <w:tabs>
                <w:tab w:val="left" w:pos="-1440"/>
                <w:tab w:val="left" w:pos="-720"/>
              </w:tabs>
              <w:rPr>
                <w:sz w:val="20"/>
                <w:szCs w:val="20"/>
              </w:rPr>
            </w:pPr>
          </w:p>
          <w:p w:rsidR="00CE7E6F" w:rsidRPr="00140B84" w:rsidRDefault="00CE7E6F" w:rsidP="00647543">
            <w:pPr>
              <w:tabs>
                <w:tab w:val="left" w:pos="-1440"/>
                <w:tab w:val="left" w:pos="-720"/>
              </w:tabs>
              <w:rPr>
                <w:b/>
                <w:sz w:val="20"/>
                <w:szCs w:val="20"/>
                <w:lang w:val="fr-CA"/>
              </w:rPr>
            </w:pPr>
            <w:r w:rsidRPr="00140B84">
              <w:rPr>
                <w:b/>
                <w:sz w:val="20"/>
                <w:szCs w:val="20"/>
                <w:lang w:val="fr-CA"/>
              </w:rPr>
              <w:t>Terrance McAleer (P.E.I.)</w:t>
            </w:r>
          </w:p>
          <w:p w:rsidR="00CE7E6F" w:rsidRPr="00CE7E6F" w:rsidRDefault="00CE7E6F" w:rsidP="00CE7E6F">
            <w:pPr>
              <w:tabs>
                <w:tab w:val="left" w:pos="-1440"/>
                <w:tab w:val="left" w:pos="-720"/>
              </w:tabs>
              <w:rPr>
                <w:sz w:val="20"/>
                <w:szCs w:val="20"/>
                <w:lang w:val="fr-CA"/>
              </w:rPr>
            </w:pPr>
            <w:r w:rsidRPr="00140B84">
              <w:rPr>
                <w:sz w:val="20"/>
                <w:szCs w:val="20"/>
                <w:lang w:val="fr-CA"/>
              </w:rPr>
              <w:tab/>
            </w:r>
            <w:r w:rsidRPr="00CE7E6F">
              <w:rPr>
                <w:sz w:val="20"/>
                <w:szCs w:val="20"/>
                <w:lang w:val="fr-CA"/>
              </w:rPr>
              <w:t>Paul D. Michael, Q.C.</w:t>
            </w:r>
          </w:p>
          <w:p w:rsidR="00CE7E6F" w:rsidRPr="00CE7E6F" w:rsidRDefault="00CE7E6F" w:rsidP="00CE7E6F">
            <w:pPr>
              <w:tabs>
                <w:tab w:val="left" w:pos="-1440"/>
                <w:tab w:val="left" w:pos="-720"/>
              </w:tabs>
              <w:rPr>
                <w:sz w:val="20"/>
                <w:szCs w:val="20"/>
              </w:rPr>
            </w:pPr>
            <w:r w:rsidRPr="00CE7E6F">
              <w:rPr>
                <w:sz w:val="20"/>
                <w:szCs w:val="20"/>
                <w:lang w:val="fr-CA"/>
              </w:rPr>
              <w:tab/>
            </w:r>
            <w:r w:rsidRPr="00CE7E6F">
              <w:rPr>
                <w:sz w:val="20"/>
                <w:szCs w:val="20"/>
              </w:rPr>
              <w:t>Campbell Lea</w:t>
            </w:r>
          </w:p>
          <w:p w:rsidR="00CE7E6F" w:rsidRPr="00CE7E6F" w:rsidRDefault="00CE7E6F" w:rsidP="00647543">
            <w:pPr>
              <w:tabs>
                <w:tab w:val="left" w:pos="-1440"/>
                <w:tab w:val="left" w:pos="-720"/>
              </w:tabs>
              <w:rPr>
                <w:sz w:val="20"/>
                <w:szCs w:val="20"/>
                <w:lang w:val="fr-CA"/>
              </w:rPr>
            </w:pPr>
          </w:p>
          <w:p w:rsidR="00CE7E6F" w:rsidRPr="00A935AA" w:rsidRDefault="00CE7E6F" w:rsidP="00647543">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3</w:t>
            </w:r>
            <w:r w:rsidRPr="00A935AA">
              <w:rPr>
                <w:sz w:val="20"/>
                <w:szCs w:val="20"/>
              </w:rPr>
              <w:t>.201</w:t>
            </w:r>
            <w:r>
              <w:rPr>
                <w:sz w:val="20"/>
                <w:szCs w:val="20"/>
              </w:rPr>
              <w:t>2</w:t>
            </w:r>
          </w:p>
          <w:p w:rsidR="00CE7E6F" w:rsidRPr="00A935AA" w:rsidRDefault="00E5065D" w:rsidP="00647543">
            <w:pPr>
              <w:rPr>
                <w:sz w:val="20"/>
                <w:szCs w:val="20"/>
              </w:rPr>
            </w:pPr>
            <w:r w:rsidRPr="00E5065D">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Default="00CE7E6F" w:rsidP="00242AEE">
            <w:pPr>
              <w:jc w:val="center"/>
              <w:rPr>
                <w:sz w:val="20"/>
                <w:szCs w:val="20"/>
              </w:rPr>
            </w:pPr>
          </w:p>
          <w:p w:rsidR="00CE7E6F" w:rsidRPr="00A935AA" w:rsidRDefault="00CE7E6F" w:rsidP="00242AEE">
            <w:pPr>
              <w:jc w:val="center"/>
              <w:rPr>
                <w:sz w:val="20"/>
                <w:szCs w:val="20"/>
              </w:rPr>
            </w:pPr>
          </w:p>
        </w:tc>
        <w:tc>
          <w:tcPr>
            <w:tcW w:w="4320" w:type="dxa"/>
            <w:shd w:val="clear" w:color="auto" w:fill="auto"/>
          </w:tcPr>
          <w:p w:rsidR="00CE7E6F" w:rsidRPr="00A935AA" w:rsidRDefault="00CE7E6F" w:rsidP="009734DA">
            <w:pPr>
              <w:keepNext/>
              <w:keepLines/>
              <w:tabs>
                <w:tab w:val="left" w:pos="-1440"/>
                <w:tab w:val="left" w:pos="-720"/>
              </w:tabs>
              <w:rPr>
                <w:b/>
                <w:sz w:val="20"/>
                <w:szCs w:val="20"/>
              </w:rPr>
            </w:pPr>
            <w:r>
              <w:rPr>
                <w:b/>
                <w:sz w:val="20"/>
                <w:szCs w:val="20"/>
              </w:rPr>
              <w:t>William Shawn Davitt</w:t>
            </w:r>
          </w:p>
          <w:p w:rsidR="00CE7E6F" w:rsidRPr="00A935AA" w:rsidRDefault="00CE7E6F" w:rsidP="009734DA">
            <w:pPr>
              <w:keepNext/>
              <w:keepLines/>
              <w:tabs>
                <w:tab w:val="left" w:pos="-1440"/>
                <w:tab w:val="left" w:pos="-720"/>
              </w:tabs>
              <w:rPr>
                <w:sz w:val="20"/>
                <w:szCs w:val="20"/>
              </w:rPr>
            </w:pPr>
            <w:r w:rsidRPr="00A935AA">
              <w:rPr>
                <w:sz w:val="20"/>
                <w:szCs w:val="20"/>
              </w:rPr>
              <w:tab/>
            </w:r>
            <w:r>
              <w:rPr>
                <w:sz w:val="20"/>
                <w:szCs w:val="20"/>
              </w:rPr>
              <w:t>William Shawn Davitt</w:t>
            </w:r>
          </w:p>
          <w:p w:rsidR="00CE7E6F" w:rsidRPr="00A935AA" w:rsidRDefault="00CE7E6F" w:rsidP="009734DA">
            <w:pPr>
              <w:keepNext/>
              <w:keepLines/>
              <w:tabs>
                <w:tab w:val="left" w:pos="-1440"/>
                <w:tab w:val="left" w:pos="-720"/>
              </w:tabs>
              <w:rPr>
                <w:sz w:val="20"/>
                <w:szCs w:val="20"/>
              </w:rPr>
            </w:pPr>
          </w:p>
          <w:p w:rsidR="00CE7E6F" w:rsidRPr="00BA3A45" w:rsidRDefault="00CE7E6F" w:rsidP="009734DA">
            <w:pPr>
              <w:keepNext/>
              <w:keepLines/>
              <w:tabs>
                <w:tab w:val="left" w:pos="-1440"/>
                <w:tab w:val="left" w:pos="-720"/>
              </w:tabs>
              <w:rPr>
                <w:sz w:val="20"/>
                <w:szCs w:val="20"/>
              </w:rPr>
            </w:pPr>
            <w:r w:rsidRPr="00A935AA">
              <w:rPr>
                <w:sz w:val="20"/>
                <w:szCs w:val="20"/>
              </w:rPr>
              <w:tab/>
            </w:r>
            <w:r w:rsidRPr="00BA3A45">
              <w:rPr>
                <w:sz w:val="20"/>
                <w:szCs w:val="20"/>
              </w:rPr>
              <w:t>v. (34</w:t>
            </w:r>
            <w:r>
              <w:rPr>
                <w:sz w:val="20"/>
                <w:szCs w:val="20"/>
              </w:rPr>
              <w:t>729</w:t>
            </w:r>
            <w:r w:rsidRPr="00BA3A45">
              <w:rPr>
                <w:sz w:val="20"/>
                <w:szCs w:val="20"/>
              </w:rPr>
              <w:t>)</w:t>
            </w:r>
          </w:p>
          <w:p w:rsidR="00CE7E6F" w:rsidRPr="00BA3A45" w:rsidRDefault="00CE7E6F" w:rsidP="009734DA">
            <w:pPr>
              <w:keepNext/>
              <w:keepLines/>
              <w:tabs>
                <w:tab w:val="left" w:pos="-1440"/>
                <w:tab w:val="left" w:pos="-720"/>
              </w:tabs>
              <w:rPr>
                <w:sz w:val="20"/>
                <w:szCs w:val="20"/>
              </w:rPr>
            </w:pPr>
          </w:p>
          <w:p w:rsidR="00CE7E6F" w:rsidRPr="00BA3A45" w:rsidRDefault="00CE7E6F" w:rsidP="009734DA">
            <w:pPr>
              <w:keepNext/>
              <w:keepLines/>
              <w:tabs>
                <w:tab w:val="left" w:pos="-1440"/>
                <w:tab w:val="left" w:pos="-720"/>
              </w:tabs>
              <w:rPr>
                <w:b/>
                <w:sz w:val="20"/>
                <w:szCs w:val="20"/>
              </w:rPr>
            </w:pPr>
            <w:r>
              <w:rPr>
                <w:b/>
                <w:sz w:val="20"/>
                <w:szCs w:val="20"/>
              </w:rPr>
              <w:t xml:space="preserve">Minister of National Revenue </w:t>
            </w:r>
            <w:r w:rsidRPr="00BA3A45">
              <w:rPr>
                <w:b/>
                <w:sz w:val="20"/>
                <w:szCs w:val="20"/>
              </w:rPr>
              <w:t>(</w:t>
            </w:r>
            <w:r>
              <w:rPr>
                <w:b/>
                <w:sz w:val="20"/>
                <w:szCs w:val="20"/>
              </w:rPr>
              <w:t>F</w:t>
            </w:r>
            <w:r w:rsidRPr="00BA3A45">
              <w:rPr>
                <w:b/>
                <w:sz w:val="20"/>
                <w:szCs w:val="20"/>
              </w:rPr>
              <w:t>.</w:t>
            </w:r>
            <w:r>
              <w:rPr>
                <w:b/>
                <w:sz w:val="20"/>
                <w:szCs w:val="20"/>
              </w:rPr>
              <w:t>C.</w:t>
            </w:r>
            <w:r w:rsidRPr="00BA3A45">
              <w:rPr>
                <w:b/>
                <w:sz w:val="20"/>
                <w:szCs w:val="20"/>
              </w:rPr>
              <w:t>)</w:t>
            </w:r>
          </w:p>
          <w:p w:rsidR="00CE7E6F" w:rsidRPr="00BA3A45" w:rsidRDefault="00CE7E6F" w:rsidP="009734DA">
            <w:pPr>
              <w:keepNext/>
              <w:keepLines/>
              <w:tabs>
                <w:tab w:val="left" w:pos="-1440"/>
                <w:tab w:val="left" w:pos="-720"/>
              </w:tabs>
              <w:rPr>
                <w:sz w:val="20"/>
                <w:szCs w:val="20"/>
              </w:rPr>
            </w:pPr>
            <w:r w:rsidRPr="00BA3A45">
              <w:rPr>
                <w:sz w:val="20"/>
                <w:szCs w:val="20"/>
              </w:rPr>
              <w:tab/>
            </w:r>
            <w:r>
              <w:rPr>
                <w:sz w:val="20"/>
                <w:szCs w:val="20"/>
              </w:rPr>
              <w:t>Annie Paré</w:t>
            </w:r>
          </w:p>
          <w:p w:rsidR="00CE7E6F" w:rsidRPr="00BA3A45" w:rsidRDefault="00CE7E6F" w:rsidP="009734DA">
            <w:pPr>
              <w:keepNext/>
              <w:keepLines/>
              <w:tabs>
                <w:tab w:val="left" w:pos="-1440"/>
                <w:tab w:val="left" w:pos="-720"/>
              </w:tabs>
              <w:rPr>
                <w:sz w:val="20"/>
                <w:szCs w:val="20"/>
              </w:rPr>
            </w:pPr>
            <w:r w:rsidRPr="00BA3A45">
              <w:rPr>
                <w:sz w:val="20"/>
                <w:szCs w:val="20"/>
              </w:rPr>
              <w:tab/>
            </w:r>
            <w:r>
              <w:rPr>
                <w:sz w:val="20"/>
                <w:szCs w:val="20"/>
              </w:rPr>
              <w:t>A.G. of Canada</w:t>
            </w:r>
          </w:p>
          <w:p w:rsidR="00CE7E6F" w:rsidRPr="00BA3A45" w:rsidRDefault="00CE7E6F" w:rsidP="009734DA">
            <w:pPr>
              <w:keepNext/>
              <w:keepLines/>
              <w:tabs>
                <w:tab w:val="left" w:pos="-1440"/>
                <w:tab w:val="left" w:pos="-720"/>
              </w:tabs>
              <w:rPr>
                <w:sz w:val="20"/>
                <w:szCs w:val="20"/>
              </w:rPr>
            </w:pPr>
          </w:p>
          <w:p w:rsidR="00CE7E6F" w:rsidRPr="00A935AA" w:rsidRDefault="00CE7E6F" w:rsidP="00CE7E6F">
            <w:pPr>
              <w:rPr>
                <w:sz w:val="20"/>
                <w:szCs w:val="20"/>
              </w:rPr>
            </w:pPr>
            <w:r w:rsidRPr="00A935AA">
              <w:rPr>
                <w:sz w:val="20"/>
                <w:szCs w:val="20"/>
              </w:rPr>
              <w:t>FILING DATE: 2</w:t>
            </w:r>
            <w:r>
              <w:rPr>
                <w:sz w:val="20"/>
                <w:szCs w:val="20"/>
              </w:rPr>
              <w:t>2</w:t>
            </w:r>
            <w:r w:rsidRPr="00A935AA">
              <w:rPr>
                <w:sz w:val="20"/>
                <w:szCs w:val="20"/>
              </w:rPr>
              <w:t>.0</w:t>
            </w:r>
            <w:r>
              <w:rPr>
                <w:sz w:val="20"/>
                <w:szCs w:val="20"/>
              </w:rPr>
              <w:t>3</w:t>
            </w:r>
            <w:r w:rsidRPr="00A935AA">
              <w:rPr>
                <w:sz w:val="20"/>
                <w:szCs w:val="20"/>
              </w:rPr>
              <w:t>.201</w:t>
            </w:r>
            <w:r>
              <w:rPr>
                <w:sz w:val="20"/>
                <w:szCs w:val="20"/>
              </w:rPr>
              <w:t>2</w:t>
            </w:r>
            <w:r w:rsidR="00E5065D" w:rsidRPr="00E5065D">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51C79">
          <w:headerReference w:type="default" r:id="rId16"/>
          <w:footerReference w:type="default" r:id="rId17"/>
          <w:headerReference w:type="first" r:id="rId18"/>
          <w:footerReference w:type="first" r:id="rId19"/>
          <w:pgSz w:w="12240" w:h="15840"/>
          <w:pgMar w:top="720" w:right="965" w:bottom="1080" w:left="1656" w:header="706" w:footer="706" w:gutter="0"/>
          <w:pgNumType w:start="48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832AB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214CB8" w:rsidP="004B7F60">
      <w:pPr>
        <w:widowControl w:val="0"/>
        <w:rPr>
          <w:b/>
          <w:sz w:val="20"/>
          <w:szCs w:val="20"/>
        </w:rPr>
      </w:pPr>
      <w:r>
        <w:rPr>
          <w:b/>
          <w:sz w:val="20"/>
          <w:szCs w:val="20"/>
        </w:rPr>
        <w:t>AP</w:t>
      </w:r>
      <w:r w:rsidR="004B7F60">
        <w:rPr>
          <w:b/>
          <w:sz w:val="20"/>
          <w:szCs w:val="20"/>
        </w:rPr>
        <w:t>R</w:t>
      </w:r>
      <w:r>
        <w:rPr>
          <w:b/>
          <w:sz w:val="20"/>
          <w:szCs w:val="20"/>
        </w:rPr>
        <w:t>IL</w:t>
      </w:r>
      <w:r w:rsidR="004B7F60" w:rsidRPr="00C50A5C">
        <w:rPr>
          <w:b/>
          <w:sz w:val="20"/>
          <w:szCs w:val="20"/>
        </w:rPr>
        <w:t xml:space="preserve"> </w:t>
      </w:r>
      <w:r>
        <w:rPr>
          <w:b/>
          <w:sz w:val="20"/>
          <w:szCs w:val="20"/>
        </w:rPr>
        <w:t>2</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2</w:t>
      </w:r>
      <w:r w:rsidR="004B7F60">
        <w:rPr>
          <w:b/>
          <w:sz w:val="20"/>
          <w:szCs w:val="20"/>
        </w:rPr>
        <w:t xml:space="preserve"> </w:t>
      </w:r>
      <w:r>
        <w:rPr>
          <w:b/>
          <w:sz w:val="20"/>
          <w:szCs w:val="20"/>
        </w:rPr>
        <w:t>A</w:t>
      </w:r>
      <w:r w:rsidR="004B7F60">
        <w:rPr>
          <w:b/>
          <w:sz w:val="20"/>
          <w:szCs w:val="20"/>
        </w:rPr>
        <w:t>VR</w:t>
      </w:r>
      <w:r>
        <w:rPr>
          <w:b/>
          <w:sz w:val="20"/>
          <w:szCs w:val="20"/>
        </w:rPr>
        <w:t>IL</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E85CC4" w:rsidP="004B7F60">
      <w:pPr>
        <w:pStyle w:val="ListParagraph"/>
        <w:widowControl w:val="0"/>
        <w:numPr>
          <w:ilvl w:val="0"/>
          <w:numId w:val="1"/>
        </w:numPr>
        <w:ind w:hanging="720"/>
        <w:jc w:val="both"/>
        <w:rPr>
          <w:sz w:val="20"/>
          <w:szCs w:val="20"/>
        </w:rPr>
      </w:pPr>
      <w:r w:rsidRPr="00E85CC4">
        <w:rPr>
          <w:i/>
          <w:sz w:val="20"/>
          <w:szCs w:val="20"/>
        </w:rPr>
        <w:t>B.C. v. Her Majesty the Queen</w:t>
      </w:r>
      <w:r w:rsidRPr="0095503C">
        <w:rPr>
          <w:sz w:val="20"/>
          <w:szCs w:val="20"/>
        </w:rPr>
        <w:t xml:space="preserve"> (Ont.) (Crim</w:t>
      </w:r>
      <w:r>
        <w:rPr>
          <w:sz w:val="20"/>
          <w:szCs w:val="20"/>
        </w:rPr>
        <w:t>.</w:t>
      </w:r>
      <w:r w:rsidRPr="0095503C">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535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E85CC4" w:rsidP="004B7F60">
      <w:pPr>
        <w:pStyle w:val="ListParagraph"/>
        <w:widowControl w:val="0"/>
        <w:numPr>
          <w:ilvl w:val="0"/>
          <w:numId w:val="1"/>
        </w:numPr>
        <w:ind w:hanging="720"/>
        <w:jc w:val="both"/>
        <w:rPr>
          <w:sz w:val="20"/>
          <w:szCs w:val="20"/>
        </w:rPr>
      </w:pPr>
      <w:r w:rsidRPr="00E85CC4">
        <w:rPr>
          <w:i/>
          <w:sz w:val="20"/>
          <w:szCs w:val="20"/>
        </w:rPr>
        <w:t>Hans J. Hahn v. Her Majesty the Queen et al.</w:t>
      </w:r>
      <w:r w:rsidRPr="00E85CC4">
        <w:rPr>
          <w:sz w:val="20"/>
          <w:szCs w:val="20"/>
        </w:rPr>
        <w:t xml:space="preserve"> (F.C.) </w:t>
      </w:r>
      <w:r w:rsidRPr="0095503C">
        <w:rPr>
          <w:sz w:val="20"/>
          <w:szCs w:val="20"/>
        </w:rPr>
        <w:t>(Civil) (By Leave)</w:t>
      </w:r>
      <w:r w:rsidRPr="00C612D0">
        <w:rPr>
          <w:sz w:val="20"/>
          <w:szCs w:val="20"/>
        </w:rPr>
        <w:t xml:space="preserve"> </w:t>
      </w:r>
      <w:r w:rsidR="004B7F60" w:rsidRPr="00C612D0">
        <w:rPr>
          <w:sz w:val="20"/>
          <w:szCs w:val="20"/>
        </w:rPr>
        <w:t>(34</w:t>
      </w:r>
      <w:r>
        <w:rPr>
          <w:sz w:val="20"/>
          <w:szCs w:val="20"/>
        </w:rPr>
        <w:t>55</w:t>
      </w:r>
      <w:r w:rsidR="004B7F60" w:rsidRPr="00C612D0">
        <w:rPr>
          <w:sz w:val="20"/>
          <w:szCs w:val="20"/>
        </w:rPr>
        <w:t>2)</w:t>
      </w:r>
    </w:p>
    <w:p w:rsidR="004B7F60" w:rsidRPr="00C612D0" w:rsidRDefault="004B7F60" w:rsidP="004B7F60">
      <w:pPr>
        <w:widowControl w:val="0"/>
        <w:jc w:val="both"/>
        <w:rPr>
          <w:sz w:val="20"/>
          <w:szCs w:val="20"/>
        </w:rPr>
      </w:pPr>
    </w:p>
    <w:p w:rsidR="004B7F60" w:rsidRPr="00C50A5C" w:rsidRDefault="00E85CC4" w:rsidP="004B7F60">
      <w:pPr>
        <w:pStyle w:val="ListParagraph"/>
        <w:widowControl w:val="0"/>
        <w:numPr>
          <w:ilvl w:val="0"/>
          <w:numId w:val="1"/>
        </w:numPr>
        <w:ind w:hanging="720"/>
        <w:jc w:val="both"/>
        <w:rPr>
          <w:sz w:val="20"/>
          <w:szCs w:val="20"/>
        </w:rPr>
      </w:pPr>
      <w:r w:rsidRPr="00E85CC4">
        <w:rPr>
          <w:i/>
          <w:sz w:val="20"/>
          <w:szCs w:val="20"/>
        </w:rPr>
        <w:t>Perusahaan Pertambangan Minyak Dan Gas Bumi Negara et al. v. Karaha Bodas Company, L.L.C.</w:t>
      </w:r>
      <w:r w:rsidRPr="0095503C">
        <w:rPr>
          <w:sz w:val="20"/>
          <w:szCs w:val="20"/>
        </w:rPr>
        <w:t xml:space="preserve"> (Alta.) (Civil) (By Leave)</w:t>
      </w:r>
      <w:r w:rsidRPr="00940CAD">
        <w:rPr>
          <w:sz w:val="20"/>
          <w:szCs w:val="20"/>
        </w:rPr>
        <w:t xml:space="preserve"> </w:t>
      </w:r>
      <w:r w:rsidR="004B7F60" w:rsidRPr="00940CAD">
        <w:rPr>
          <w:sz w:val="20"/>
          <w:szCs w:val="20"/>
        </w:rPr>
        <w:t>(34</w:t>
      </w:r>
      <w:r>
        <w:rPr>
          <w:sz w:val="20"/>
          <w:szCs w:val="20"/>
        </w:rPr>
        <w:t>554</w:t>
      </w:r>
      <w:r w:rsidR="004B7F60" w:rsidRPr="00940CAD">
        <w:rPr>
          <w:sz w:val="20"/>
          <w:szCs w:val="20"/>
        </w:rPr>
        <w:t>)</w:t>
      </w:r>
    </w:p>
    <w:p w:rsidR="004B7F60" w:rsidRPr="00C50A5C" w:rsidRDefault="004B7F60" w:rsidP="004B7F60">
      <w:pPr>
        <w:widowControl w:val="0"/>
        <w:rPr>
          <w:sz w:val="20"/>
          <w:szCs w:val="20"/>
        </w:rPr>
      </w:pPr>
    </w:p>
    <w:p w:rsidR="004B7F60" w:rsidRPr="00C50A5C" w:rsidRDefault="00E85CC4" w:rsidP="004B7F60">
      <w:pPr>
        <w:pStyle w:val="ListParagraph"/>
        <w:widowControl w:val="0"/>
        <w:numPr>
          <w:ilvl w:val="0"/>
          <w:numId w:val="1"/>
        </w:numPr>
        <w:ind w:hanging="720"/>
        <w:jc w:val="both"/>
        <w:rPr>
          <w:sz w:val="20"/>
          <w:szCs w:val="20"/>
        </w:rPr>
      </w:pPr>
      <w:r w:rsidRPr="00E85CC4">
        <w:rPr>
          <w:i/>
          <w:sz w:val="20"/>
          <w:szCs w:val="20"/>
        </w:rPr>
        <w:t>Hudson's Bay Company v. Ronald Sutherland and John Scott on their own behalf and on behalf of the current members, retirees and other beneficiaries of the defined benefit component of the Dumai Pension Plan et al.</w:t>
      </w:r>
      <w:r w:rsidRPr="0095503C">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5</w:t>
      </w:r>
      <w:r w:rsidR="004B7F60">
        <w:rPr>
          <w:sz w:val="20"/>
          <w:szCs w:val="20"/>
        </w:rPr>
        <w:t>32</w:t>
      </w:r>
      <w:r w:rsidR="004B7F60" w:rsidRPr="00C50A5C">
        <w:rPr>
          <w:sz w:val="20"/>
          <w:szCs w:val="20"/>
        </w:rPr>
        <w:t>)</w:t>
      </w:r>
    </w:p>
    <w:p w:rsidR="004B7F60" w:rsidRDefault="004B7F60" w:rsidP="004B7F60">
      <w:pPr>
        <w:widowControl w:val="0"/>
        <w:jc w:val="both"/>
        <w:rPr>
          <w:sz w:val="20"/>
          <w:szCs w:val="20"/>
        </w:rPr>
      </w:pPr>
    </w:p>
    <w:p w:rsidR="004B7F60" w:rsidRPr="00E85CC4" w:rsidRDefault="00E85CC4" w:rsidP="004B7F60">
      <w:pPr>
        <w:pStyle w:val="ListParagraph"/>
        <w:widowControl w:val="0"/>
        <w:numPr>
          <w:ilvl w:val="0"/>
          <w:numId w:val="1"/>
        </w:numPr>
        <w:ind w:hanging="720"/>
        <w:jc w:val="both"/>
        <w:rPr>
          <w:sz w:val="20"/>
          <w:szCs w:val="20"/>
        </w:rPr>
      </w:pPr>
      <w:r w:rsidRPr="00E85CC4">
        <w:rPr>
          <w:i/>
          <w:sz w:val="20"/>
          <w:szCs w:val="20"/>
        </w:rPr>
        <w:t>Daishowa-Marubeni International Ltd. v. Her Majesty the Queen</w:t>
      </w:r>
      <w:r w:rsidRPr="0095503C">
        <w:rPr>
          <w:sz w:val="20"/>
          <w:szCs w:val="20"/>
        </w:rPr>
        <w:t xml:space="preserve"> (F</w:t>
      </w:r>
      <w:r>
        <w:rPr>
          <w:sz w:val="20"/>
          <w:szCs w:val="20"/>
        </w:rPr>
        <w:t>.</w:t>
      </w:r>
      <w:r w:rsidRPr="0095503C">
        <w:rPr>
          <w:sz w:val="20"/>
          <w:szCs w:val="20"/>
        </w:rPr>
        <w:t>C</w:t>
      </w:r>
      <w:r>
        <w:rPr>
          <w:sz w:val="20"/>
          <w:szCs w:val="20"/>
        </w:rPr>
        <w:t>.</w:t>
      </w:r>
      <w:r w:rsidRPr="0095503C">
        <w:rPr>
          <w:sz w:val="20"/>
          <w:szCs w:val="20"/>
        </w:rPr>
        <w:t>) (Civil) (By Leave)</w:t>
      </w:r>
      <w:r w:rsidRPr="00E85CC4">
        <w:rPr>
          <w:sz w:val="20"/>
          <w:szCs w:val="20"/>
        </w:rPr>
        <w:t xml:space="preserve"> </w:t>
      </w:r>
      <w:r w:rsidR="004B7F60" w:rsidRPr="00E85CC4">
        <w:rPr>
          <w:sz w:val="20"/>
          <w:szCs w:val="20"/>
        </w:rPr>
        <w:t>(34</w:t>
      </w:r>
      <w:r w:rsidRPr="00E85CC4">
        <w:rPr>
          <w:sz w:val="20"/>
          <w:szCs w:val="20"/>
        </w:rPr>
        <w:t>5</w:t>
      </w:r>
      <w:r w:rsidR="004B7F60" w:rsidRPr="00E85CC4">
        <w:rPr>
          <w:sz w:val="20"/>
          <w:szCs w:val="20"/>
        </w:rPr>
        <w:t>34)</w:t>
      </w:r>
    </w:p>
    <w:p w:rsidR="004B7F60" w:rsidRPr="00E85CC4" w:rsidRDefault="004B7F60" w:rsidP="004B7F60">
      <w:pPr>
        <w:widowControl w:val="0"/>
        <w:rPr>
          <w:sz w:val="20"/>
          <w:szCs w:val="20"/>
        </w:rPr>
      </w:pPr>
    </w:p>
    <w:p w:rsidR="0095503C" w:rsidRPr="00E85CC4" w:rsidRDefault="0095503C" w:rsidP="004B7F60">
      <w:pPr>
        <w:widowControl w:val="0"/>
        <w:rPr>
          <w:sz w:val="20"/>
          <w:szCs w:val="20"/>
        </w:rPr>
      </w:pPr>
    </w:p>
    <w:p w:rsidR="0095503C" w:rsidRPr="00C50A5C" w:rsidRDefault="0095503C" w:rsidP="0095503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95503C" w:rsidRPr="00C50A5C" w:rsidRDefault="0095503C" w:rsidP="0095503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95503C" w:rsidRPr="00C612D0" w:rsidRDefault="0095503C" w:rsidP="004B7F60">
      <w:pPr>
        <w:widowControl w:val="0"/>
        <w:rPr>
          <w:sz w:val="20"/>
          <w:szCs w:val="20"/>
          <w:lang w:val="fr-CA"/>
        </w:rPr>
      </w:pPr>
    </w:p>
    <w:p w:rsidR="004B7F60" w:rsidRPr="00115C9E" w:rsidRDefault="00E85CC4" w:rsidP="004B7F60">
      <w:pPr>
        <w:pStyle w:val="ListParagraph"/>
        <w:widowControl w:val="0"/>
        <w:numPr>
          <w:ilvl w:val="0"/>
          <w:numId w:val="1"/>
        </w:numPr>
        <w:ind w:hanging="720"/>
        <w:jc w:val="both"/>
        <w:rPr>
          <w:sz w:val="20"/>
          <w:szCs w:val="20"/>
          <w:lang w:val="fr-CA"/>
        </w:rPr>
      </w:pPr>
      <w:r w:rsidRPr="00E85CC4">
        <w:rPr>
          <w:i/>
          <w:sz w:val="20"/>
          <w:szCs w:val="20"/>
          <w:lang w:val="fr-CA"/>
        </w:rPr>
        <w:t>Laurent Laroche c. Sa Majesté la Reine</w:t>
      </w:r>
      <w:r w:rsidRPr="00E85CC4">
        <w:rPr>
          <w:sz w:val="20"/>
          <w:szCs w:val="20"/>
          <w:lang w:val="fr-CA"/>
        </w:rPr>
        <w:t xml:space="preserve"> (Qc) (Crim.) (Autorisation)</w:t>
      </w:r>
      <w:r>
        <w:rPr>
          <w:sz w:val="20"/>
          <w:szCs w:val="20"/>
          <w:lang w:val="fr-CA"/>
        </w:rPr>
        <w:t xml:space="preserve"> </w:t>
      </w:r>
      <w:r w:rsidR="004B7F60" w:rsidRPr="00115C9E">
        <w:rPr>
          <w:sz w:val="20"/>
          <w:szCs w:val="20"/>
          <w:lang w:val="fr-CA"/>
        </w:rPr>
        <w:t>(34</w:t>
      </w:r>
      <w:r>
        <w:rPr>
          <w:sz w:val="20"/>
          <w:szCs w:val="20"/>
          <w:lang w:val="fr-CA"/>
        </w:rPr>
        <w:t>49</w:t>
      </w:r>
      <w:r w:rsidR="004B7F60" w:rsidRPr="00115C9E">
        <w:rPr>
          <w:sz w:val="20"/>
          <w:szCs w:val="20"/>
          <w:lang w:val="fr-CA"/>
        </w:rPr>
        <w:t>3)</w:t>
      </w:r>
    </w:p>
    <w:p w:rsidR="004B7F60" w:rsidRPr="00115C9E" w:rsidRDefault="004B7F60" w:rsidP="004B7F60">
      <w:pPr>
        <w:widowControl w:val="0"/>
        <w:jc w:val="both"/>
        <w:rPr>
          <w:sz w:val="20"/>
          <w:szCs w:val="20"/>
          <w:lang w:val="fr-CA"/>
        </w:rPr>
      </w:pPr>
    </w:p>
    <w:p w:rsidR="004B7F60" w:rsidRPr="00E85CC4" w:rsidRDefault="00E85CC4" w:rsidP="004B7F60">
      <w:pPr>
        <w:pStyle w:val="ListParagraph"/>
        <w:widowControl w:val="0"/>
        <w:numPr>
          <w:ilvl w:val="0"/>
          <w:numId w:val="1"/>
        </w:numPr>
        <w:ind w:hanging="720"/>
        <w:jc w:val="both"/>
        <w:rPr>
          <w:sz w:val="20"/>
          <w:szCs w:val="20"/>
        </w:rPr>
      </w:pPr>
      <w:r w:rsidRPr="00E85CC4">
        <w:rPr>
          <w:i/>
          <w:sz w:val="20"/>
          <w:szCs w:val="20"/>
        </w:rPr>
        <w:t>Alpha Manufacturing Inc. et al. v. Her Majesty the Queen</w:t>
      </w:r>
      <w:r w:rsidRPr="0095503C">
        <w:rPr>
          <w:sz w:val="20"/>
          <w:szCs w:val="20"/>
        </w:rPr>
        <w:t xml:space="preserve"> (B.C.) (Crim</w:t>
      </w:r>
      <w:r>
        <w:rPr>
          <w:sz w:val="20"/>
          <w:szCs w:val="20"/>
        </w:rPr>
        <w:t>.</w:t>
      </w:r>
      <w:r w:rsidRPr="0095503C">
        <w:rPr>
          <w:sz w:val="20"/>
          <w:szCs w:val="20"/>
        </w:rPr>
        <w:t>) (By Leave)</w:t>
      </w:r>
      <w:r w:rsidRPr="00E85CC4">
        <w:rPr>
          <w:sz w:val="20"/>
          <w:szCs w:val="20"/>
        </w:rPr>
        <w:t xml:space="preserve"> </w:t>
      </w:r>
      <w:r w:rsidR="004B7F60" w:rsidRPr="00E85CC4">
        <w:rPr>
          <w:sz w:val="20"/>
          <w:szCs w:val="20"/>
        </w:rPr>
        <w:t>(34</w:t>
      </w:r>
      <w:r w:rsidRPr="00E85CC4">
        <w:rPr>
          <w:sz w:val="20"/>
          <w:szCs w:val="20"/>
        </w:rPr>
        <w:t>610</w:t>
      </w:r>
      <w:r w:rsidR="004B7F60" w:rsidRPr="00E85CC4">
        <w:rPr>
          <w:sz w:val="20"/>
          <w:szCs w:val="20"/>
        </w:rPr>
        <w:t>)</w:t>
      </w:r>
    </w:p>
    <w:p w:rsidR="004B7F60" w:rsidRPr="00E85CC4" w:rsidRDefault="004B7F60" w:rsidP="004B7F60">
      <w:pPr>
        <w:widowControl w:val="0"/>
        <w:jc w:val="both"/>
        <w:rPr>
          <w:sz w:val="20"/>
          <w:szCs w:val="20"/>
        </w:rPr>
      </w:pPr>
    </w:p>
    <w:p w:rsidR="004B7F60" w:rsidRPr="00C50A5C" w:rsidRDefault="005C2EFA" w:rsidP="004B7F60">
      <w:pPr>
        <w:pStyle w:val="ListParagraph"/>
        <w:widowControl w:val="0"/>
        <w:numPr>
          <w:ilvl w:val="0"/>
          <w:numId w:val="1"/>
        </w:numPr>
        <w:ind w:hanging="720"/>
        <w:jc w:val="both"/>
        <w:rPr>
          <w:sz w:val="20"/>
          <w:szCs w:val="20"/>
          <w:lang w:val="fr-CA"/>
        </w:rPr>
      </w:pPr>
      <w:r w:rsidRPr="005C2EFA">
        <w:rPr>
          <w:i/>
          <w:sz w:val="20"/>
          <w:szCs w:val="20"/>
          <w:lang w:val="fr-CA"/>
        </w:rPr>
        <w:t>Commission des droits de la personne et des droits de la jeunesse (en faveur de Yanick Bouchard et autres) c. Ville de Laval et autre</w:t>
      </w:r>
      <w:r w:rsidRPr="0095503C">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E85CC4">
        <w:rPr>
          <w:sz w:val="20"/>
          <w:szCs w:val="20"/>
          <w:lang w:val="fr-CA"/>
        </w:rPr>
        <w:t>586</w:t>
      </w:r>
      <w:r w:rsidR="004B7F60" w:rsidRPr="00C50A5C">
        <w:rPr>
          <w:sz w:val="20"/>
          <w:szCs w:val="20"/>
          <w:lang w:val="fr-CA"/>
        </w:rPr>
        <w:t>)</w:t>
      </w:r>
    </w:p>
    <w:p w:rsidR="004B7F60" w:rsidRDefault="004B7F60" w:rsidP="004B7F60">
      <w:pPr>
        <w:widowControl w:val="0"/>
        <w:rPr>
          <w:sz w:val="20"/>
          <w:szCs w:val="20"/>
          <w:lang w:val="fr-CA"/>
        </w:rPr>
      </w:pPr>
    </w:p>
    <w:p w:rsidR="004B7F60" w:rsidRPr="005C2EFA" w:rsidRDefault="005C2EFA" w:rsidP="004B7F60">
      <w:pPr>
        <w:pStyle w:val="ListParagraph"/>
        <w:widowControl w:val="0"/>
        <w:numPr>
          <w:ilvl w:val="0"/>
          <w:numId w:val="1"/>
        </w:numPr>
        <w:ind w:hanging="720"/>
        <w:jc w:val="both"/>
        <w:rPr>
          <w:sz w:val="20"/>
          <w:szCs w:val="20"/>
        </w:rPr>
      </w:pPr>
      <w:r w:rsidRPr="005C2EFA">
        <w:rPr>
          <w:i/>
          <w:sz w:val="20"/>
          <w:szCs w:val="20"/>
          <w:lang w:val="fr-CA"/>
        </w:rPr>
        <w:t>Adam Karpinski v. Pierre Sylvestre et al.</w:t>
      </w:r>
      <w:r w:rsidRPr="005C2EFA">
        <w:rPr>
          <w:sz w:val="20"/>
          <w:szCs w:val="20"/>
          <w:lang w:val="fr-CA"/>
        </w:rPr>
        <w:t xml:space="preserve"> </w:t>
      </w:r>
      <w:r w:rsidRPr="005C2EFA">
        <w:rPr>
          <w:sz w:val="20"/>
          <w:szCs w:val="20"/>
        </w:rPr>
        <w:t xml:space="preserve">(Que.) (Civil) (By Leave) </w:t>
      </w:r>
      <w:r w:rsidR="004B7F60" w:rsidRPr="005C2EFA">
        <w:rPr>
          <w:sz w:val="20"/>
          <w:szCs w:val="20"/>
        </w:rPr>
        <w:t>(34</w:t>
      </w:r>
      <w:r w:rsidR="00E85CC4" w:rsidRPr="005C2EFA">
        <w:rPr>
          <w:sz w:val="20"/>
          <w:szCs w:val="20"/>
        </w:rPr>
        <w:t>6</w:t>
      </w:r>
      <w:r w:rsidR="004B7F60" w:rsidRPr="005C2EFA">
        <w:rPr>
          <w:sz w:val="20"/>
          <w:szCs w:val="20"/>
        </w:rPr>
        <w:t>3</w:t>
      </w:r>
      <w:r w:rsidR="00E85CC4" w:rsidRPr="005C2EFA">
        <w:rPr>
          <w:sz w:val="20"/>
          <w:szCs w:val="20"/>
        </w:rPr>
        <w:t>1</w:t>
      </w:r>
      <w:r w:rsidR="004B7F60" w:rsidRPr="005C2EFA">
        <w:rPr>
          <w:sz w:val="20"/>
          <w:szCs w:val="20"/>
        </w:rPr>
        <w:t>)</w:t>
      </w:r>
    </w:p>
    <w:p w:rsidR="004B7F60" w:rsidRPr="005C2EFA" w:rsidRDefault="004B7F60" w:rsidP="004B7F60">
      <w:pPr>
        <w:widowControl w:val="0"/>
        <w:jc w:val="both"/>
        <w:rPr>
          <w:sz w:val="20"/>
          <w:szCs w:val="20"/>
        </w:rPr>
      </w:pPr>
    </w:p>
    <w:p w:rsidR="004B7F60" w:rsidRPr="00115C9E" w:rsidRDefault="005C2EFA" w:rsidP="004B7F60">
      <w:pPr>
        <w:pStyle w:val="ListParagraph"/>
        <w:widowControl w:val="0"/>
        <w:numPr>
          <w:ilvl w:val="0"/>
          <w:numId w:val="1"/>
        </w:numPr>
        <w:ind w:hanging="720"/>
        <w:jc w:val="both"/>
        <w:rPr>
          <w:sz w:val="20"/>
          <w:szCs w:val="20"/>
        </w:rPr>
      </w:pPr>
      <w:r w:rsidRPr="005C2EFA">
        <w:rPr>
          <w:i/>
          <w:sz w:val="20"/>
          <w:szCs w:val="20"/>
        </w:rPr>
        <w:t>Roger Proctor v. Attorney General of British Columbia et al.</w:t>
      </w:r>
      <w:r w:rsidRPr="005C2EFA">
        <w:rPr>
          <w:sz w:val="20"/>
          <w:szCs w:val="20"/>
        </w:rPr>
        <w:t xml:space="preserve"> (B.C.) (Civil) (By Leave)</w:t>
      </w:r>
      <w:r w:rsidRPr="00115C9E">
        <w:rPr>
          <w:sz w:val="20"/>
          <w:szCs w:val="20"/>
        </w:rPr>
        <w:t xml:space="preserve"> </w:t>
      </w:r>
      <w:r w:rsidR="004B7F60" w:rsidRPr="00115C9E">
        <w:rPr>
          <w:sz w:val="20"/>
          <w:szCs w:val="20"/>
        </w:rPr>
        <w:t>(34</w:t>
      </w:r>
      <w:r w:rsidR="00E85CC4">
        <w:rPr>
          <w:sz w:val="20"/>
          <w:szCs w:val="20"/>
        </w:rPr>
        <w:t>62</w:t>
      </w:r>
      <w:r w:rsidR="004B7F60" w:rsidRPr="00115C9E">
        <w:rPr>
          <w:sz w:val="20"/>
          <w:szCs w:val="20"/>
        </w:rPr>
        <w:t>8)</w:t>
      </w:r>
    </w:p>
    <w:p w:rsidR="004B7F60" w:rsidRPr="00115C9E" w:rsidRDefault="004B7F60" w:rsidP="004B7F60">
      <w:pPr>
        <w:widowControl w:val="0"/>
        <w:jc w:val="both"/>
        <w:rPr>
          <w:sz w:val="20"/>
          <w:szCs w:val="20"/>
        </w:rPr>
      </w:pPr>
    </w:p>
    <w:p w:rsidR="004B7F60" w:rsidRPr="005C2EFA" w:rsidRDefault="005C2EFA" w:rsidP="004B7F60">
      <w:pPr>
        <w:pStyle w:val="ListParagraph"/>
        <w:widowControl w:val="0"/>
        <w:numPr>
          <w:ilvl w:val="0"/>
          <w:numId w:val="1"/>
        </w:numPr>
        <w:ind w:hanging="720"/>
        <w:jc w:val="both"/>
        <w:rPr>
          <w:sz w:val="20"/>
          <w:szCs w:val="20"/>
          <w:lang w:val="fr-CA"/>
        </w:rPr>
      </w:pPr>
      <w:r w:rsidRPr="005C2EFA">
        <w:rPr>
          <w:i/>
          <w:sz w:val="20"/>
          <w:szCs w:val="20"/>
          <w:lang w:val="fr-CA"/>
        </w:rPr>
        <w:t>Confédération des Syndicats Nationaux (CSN) et autres c. Procureur général du Québec</w:t>
      </w:r>
      <w:r w:rsidRPr="0095503C">
        <w:rPr>
          <w:sz w:val="20"/>
          <w:szCs w:val="20"/>
          <w:lang w:val="fr-CA"/>
        </w:rPr>
        <w:t xml:space="preserve"> (Qc) (Civile) (Autorisation)</w:t>
      </w:r>
      <w:r>
        <w:rPr>
          <w:sz w:val="20"/>
          <w:szCs w:val="20"/>
          <w:lang w:val="fr-CA"/>
        </w:rPr>
        <w:t xml:space="preserve"> </w:t>
      </w:r>
      <w:r w:rsidR="004B7F60" w:rsidRPr="005C2EFA">
        <w:rPr>
          <w:sz w:val="20"/>
          <w:szCs w:val="20"/>
          <w:lang w:val="fr-CA"/>
        </w:rPr>
        <w:t>(34</w:t>
      </w:r>
      <w:r w:rsidR="00E85CC4" w:rsidRPr="005C2EFA">
        <w:rPr>
          <w:sz w:val="20"/>
          <w:szCs w:val="20"/>
          <w:lang w:val="fr-CA"/>
        </w:rPr>
        <w:t>4</w:t>
      </w:r>
      <w:r w:rsidR="004B7F60" w:rsidRPr="005C2EFA">
        <w:rPr>
          <w:sz w:val="20"/>
          <w:szCs w:val="20"/>
          <w:lang w:val="fr-CA"/>
        </w:rPr>
        <w:t>7</w:t>
      </w:r>
      <w:r w:rsidR="00E85CC4" w:rsidRPr="005C2EFA">
        <w:rPr>
          <w:sz w:val="20"/>
          <w:szCs w:val="20"/>
          <w:lang w:val="fr-CA"/>
        </w:rPr>
        <w:t>9</w:t>
      </w:r>
      <w:r w:rsidR="004B7F60" w:rsidRPr="005C2EFA">
        <w:rPr>
          <w:sz w:val="20"/>
          <w:szCs w:val="20"/>
          <w:lang w:val="fr-CA"/>
        </w:rPr>
        <w:t>)</w:t>
      </w:r>
    </w:p>
    <w:p w:rsidR="004B7F60" w:rsidRPr="005C2EFA" w:rsidRDefault="004B7F60" w:rsidP="004B7F60">
      <w:pPr>
        <w:widowControl w:val="0"/>
        <w:jc w:val="both"/>
        <w:rPr>
          <w:sz w:val="20"/>
          <w:szCs w:val="20"/>
          <w:lang w:val="fr-CA"/>
        </w:rPr>
      </w:pPr>
    </w:p>
    <w:p w:rsidR="00E85CC4" w:rsidRDefault="00E85CC4" w:rsidP="00E85CC4">
      <w:pPr>
        <w:widowControl w:val="0"/>
        <w:rPr>
          <w:sz w:val="20"/>
          <w:szCs w:val="20"/>
          <w:lang w:val="fr-CA"/>
        </w:rPr>
      </w:pPr>
    </w:p>
    <w:p w:rsidR="00E85CC4" w:rsidRPr="00C50A5C" w:rsidRDefault="00E85CC4" w:rsidP="00E85CC4">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E85CC4" w:rsidRPr="00C50A5C" w:rsidRDefault="00E85CC4" w:rsidP="00E85CC4">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E85CC4" w:rsidRPr="00E85CC4" w:rsidRDefault="00E85CC4" w:rsidP="004B7F60">
      <w:pPr>
        <w:widowControl w:val="0"/>
        <w:jc w:val="both"/>
        <w:rPr>
          <w:sz w:val="20"/>
          <w:szCs w:val="20"/>
          <w:lang w:val="fr-CA"/>
        </w:rPr>
      </w:pPr>
    </w:p>
    <w:p w:rsidR="004B7F60" w:rsidRDefault="005C2EFA" w:rsidP="004B7F60">
      <w:pPr>
        <w:pStyle w:val="ListParagraph"/>
        <w:widowControl w:val="0"/>
        <w:numPr>
          <w:ilvl w:val="0"/>
          <w:numId w:val="1"/>
        </w:numPr>
        <w:ind w:hanging="720"/>
        <w:jc w:val="both"/>
        <w:rPr>
          <w:sz w:val="20"/>
          <w:szCs w:val="20"/>
        </w:rPr>
      </w:pPr>
      <w:r w:rsidRPr="005C2EFA">
        <w:rPr>
          <w:i/>
          <w:sz w:val="20"/>
          <w:szCs w:val="20"/>
        </w:rPr>
        <w:t>Jaswinder Sahota v. Her Majesty the Queen</w:t>
      </w:r>
      <w:r w:rsidRPr="0095503C">
        <w:rPr>
          <w:sz w:val="20"/>
          <w:szCs w:val="20"/>
        </w:rPr>
        <w:t xml:space="preserve"> (Ont.) (Crim</w:t>
      </w:r>
      <w:r>
        <w:rPr>
          <w:sz w:val="20"/>
          <w:szCs w:val="20"/>
        </w:rPr>
        <w:t>.</w:t>
      </w:r>
      <w:r w:rsidRPr="0095503C">
        <w:rPr>
          <w:sz w:val="20"/>
          <w:szCs w:val="20"/>
        </w:rPr>
        <w:t>) (By Leave)</w:t>
      </w:r>
      <w:r w:rsidRPr="00C50A5C">
        <w:rPr>
          <w:sz w:val="20"/>
          <w:szCs w:val="20"/>
        </w:rPr>
        <w:t xml:space="preserve"> </w:t>
      </w:r>
      <w:r w:rsidR="004B7F60" w:rsidRPr="00C50A5C">
        <w:rPr>
          <w:sz w:val="20"/>
          <w:szCs w:val="20"/>
        </w:rPr>
        <w:t>(3</w:t>
      </w:r>
      <w:r w:rsidR="004B7F60">
        <w:rPr>
          <w:sz w:val="20"/>
          <w:szCs w:val="20"/>
        </w:rPr>
        <w:t>4</w:t>
      </w:r>
      <w:r w:rsidR="00E85CC4">
        <w:rPr>
          <w:sz w:val="20"/>
          <w:szCs w:val="20"/>
        </w:rPr>
        <w:t>611</w:t>
      </w:r>
      <w:r w:rsidR="004B7F60" w:rsidRPr="00C50A5C">
        <w:rPr>
          <w:sz w:val="20"/>
          <w:szCs w:val="20"/>
        </w:rPr>
        <w:t>)</w:t>
      </w:r>
    </w:p>
    <w:p w:rsidR="004B7F60" w:rsidRDefault="004B7F60" w:rsidP="004B7F60">
      <w:pPr>
        <w:widowControl w:val="0"/>
        <w:rPr>
          <w:sz w:val="20"/>
          <w:szCs w:val="20"/>
        </w:rPr>
      </w:pPr>
    </w:p>
    <w:p w:rsidR="002E2327" w:rsidRPr="005C2EFA" w:rsidRDefault="005C2EFA" w:rsidP="00C50A5C">
      <w:pPr>
        <w:pStyle w:val="ListParagraph"/>
        <w:widowControl w:val="0"/>
        <w:numPr>
          <w:ilvl w:val="0"/>
          <w:numId w:val="1"/>
        </w:numPr>
        <w:ind w:hanging="720"/>
        <w:jc w:val="both"/>
        <w:rPr>
          <w:sz w:val="20"/>
          <w:szCs w:val="20"/>
        </w:rPr>
      </w:pPr>
      <w:r w:rsidRPr="005C2EFA">
        <w:rPr>
          <w:i/>
          <w:sz w:val="20"/>
          <w:szCs w:val="20"/>
        </w:rPr>
        <w:t>Ragavan Thamby v. Attorney General of Canada on behalf of The United States of America</w:t>
      </w:r>
      <w:r w:rsidRPr="0095503C">
        <w:rPr>
          <w:sz w:val="20"/>
          <w:szCs w:val="20"/>
        </w:rPr>
        <w:t xml:space="preserve"> (Ont.) (Crim</w:t>
      </w:r>
      <w:r>
        <w:rPr>
          <w:sz w:val="20"/>
          <w:szCs w:val="20"/>
        </w:rPr>
        <w:t>.</w:t>
      </w:r>
      <w:r w:rsidRPr="0095503C">
        <w:rPr>
          <w:sz w:val="20"/>
          <w:szCs w:val="20"/>
        </w:rPr>
        <w:t>) (By Leave)</w:t>
      </w:r>
      <w:r w:rsidRPr="005C2EFA">
        <w:rPr>
          <w:sz w:val="20"/>
          <w:szCs w:val="20"/>
        </w:rPr>
        <w:t xml:space="preserve"> </w:t>
      </w:r>
      <w:r w:rsidR="002E2327" w:rsidRPr="005C2EFA">
        <w:rPr>
          <w:sz w:val="20"/>
          <w:szCs w:val="20"/>
        </w:rPr>
        <w:t>(3</w:t>
      </w:r>
      <w:r w:rsidR="00E85CC4" w:rsidRPr="005C2EFA">
        <w:rPr>
          <w:sz w:val="20"/>
          <w:szCs w:val="20"/>
        </w:rPr>
        <w:t>4</w:t>
      </w:r>
      <w:r w:rsidR="002E2327" w:rsidRPr="005C2EFA">
        <w:rPr>
          <w:sz w:val="20"/>
          <w:szCs w:val="20"/>
        </w:rPr>
        <w:t>61</w:t>
      </w:r>
      <w:r w:rsidR="00E85CC4" w:rsidRPr="005C2EFA">
        <w:rPr>
          <w:sz w:val="20"/>
          <w:szCs w:val="20"/>
        </w:rPr>
        <w:t>4</w:t>
      </w:r>
      <w:r w:rsidR="002E2327" w:rsidRPr="005C2EFA">
        <w:rPr>
          <w:sz w:val="20"/>
          <w:szCs w:val="20"/>
        </w:rPr>
        <w:t>)</w:t>
      </w:r>
    </w:p>
    <w:p w:rsidR="002E2327" w:rsidRPr="005C2EFA" w:rsidRDefault="002E2327" w:rsidP="00C50A5C">
      <w:pPr>
        <w:widowControl w:val="0"/>
        <w:jc w:val="both"/>
        <w:rPr>
          <w:sz w:val="20"/>
          <w:szCs w:val="20"/>
        </w:rPr>
      </w:pPr>
    </w:p>
    <w:p w:rsidR="002E2327" w:rsidRPr="005C2EFA" w:rsidRDefault="005C2EFA" w:rsidP="00C50A5C">
      <w:pPr>
        <w:pStyle w:val="ListParagraph"/>
        <w:widowControl w:val="0"/>
        <w:numPr>
          <w:ilvl w:val="0"/>
          <w:numId w:val="1"/>
        </w:numPr>
        <w:ind w:hanging="720"/>
        <w:jc w:val="both"/>
        <w:rPr>
          <w:sz w:val="20"/>
          <w:szCs w:val="20"/>
        </w:rPr>
      </w:pPr>
      <w:r w:rsidRPr="005C2EFA">
        <w:rPr>
          <w:i/>
          <w:sz w:val="20"/>
          <w:szCs w:val="20"/>
        </w:rPr>
        <w:t>Valery Fabrikant v. M.N.S. Swamy et al.</w:t>
      </w:r>
      <w:r w:rsidRPr="0095503C">
        <w:rPr>
          <w:sz w:val="20"/>
          <w:szCs w:val="20"/>
        </w:rPr>
        <w:t xml:space="preserve"> (Que.) (Civil) (By Leave)</w:t>
      </w:r>
      <w:r w:rsidRPr="005C2EFA">
        <w:rPr>
          <w:sz w:val="20"/>
          <w:szCs w:val="20"/>
        </w:rPr>
        <w:t xml:space="preserve"> </w:t>
      </w:r>
      <w:r w:rsidR="002E2327" w:rsidRPr="005C2EFA">
        <w:rPr>
          <w:sz w:val="20"/>
          <w:szCs w:val="20"/>
        </w:rPr>
        <w:t>(34</w:t>
      </w:r>
      <w:r w:rsidR="00E85CC4" w:rsidRPr="005C2EFA">
        <w:rPr>
          <w:sz w:val="20"/>
          <w:szCs w:val="20"/>
        </w:rPr>
        <w:t>587</w:t>
      </w:r>
      <w:r w:rsidR="002E2327" w:rsidRPr="005C2EFA">
        <w:rPr>
          <w:sz w:val="20"/>
          <w:szCs w:val="20"/>
        </w:rPr>
        <w:t>)</w:t>
      </w:r>
    </w:p>
    <w:p w:rsidR="002E2327" w:rsidRPr="005C2EFA" w:rsidRDefault="002E2327" w:rsidP="00C50A5C">
      <w:pPr>
        <w:widowControl w:val="0"/>
        <w:jc w:val="both"/>
        <w:rPr>
          <w:sz w:val="20"/>
          <w:szCs w:val="20"/>
        </w:rPr>
      </w:pPr>
    </w:p>
    <w:p w:rsidR="002E2327" w:rsidRDefault="005C2EFA" w:rsidP="00C50A5C">
      <w:pPr>
        <w:pStyle w:val="ListParagraph"/>
        <w:widowControl w:val="0"/>
        <w:numPr>
          <w:ilvl w:val="0"/>
          <w:numId w:val="1"/>
        </w:numPr>
        <w:ind w:hanging="720"/>
        <w:jc w:val="both"/>
        <w:rPr>
          <w:sz w:val="20"/>
          <w:szCs w:val="20"/>
          <w:lang w:val="fr-CA"/>
        </w:rPr>
      </w:pPr>
      <w:r w:rsidRPr="005C2EFA">
        <w:rPr>
          <w:i/>
          <w:sz w:val="20"/>
          <w:szCs w:val="20"/>
          <w:lang w:val="fr-CA"/>
        </w:rPr>
        <w:t xml:space="preserve">Rose Venneri Donatelli et al. </w:t>
      </w:r>
      <w:r w:rsidRPr="005C2EFA">
        <w:rPr>
          <w:i/>
          <w:sz w:val="20"/>
          <w:szCs w:val="20"/>
        </w:rPr>
        <w:t>v. Liberty Mutual Insurance Company et al.</w:t>
      </w:r>
      <w:r w:rsidRPr="0095503C">
        <w:rPr>
          <w:sz w:val="20"/>
          <w:szCs w:val="20"/>
        </w:rPr>
        <w:t xml:space="preserve"> (Ont.) (Civil) (By Leave)</w:t>
      </w:r>
      <w:r w:rsidRPr="00C50A5C">
        <w:rPr>
          <w:sz w:val="20"/>
          <w:szCs w:val="20"/>
          <w:lang w:val="fr-CA"/>
        </w:rPr>
        <w:t xml:space="preserve"> </w:t>
      </w:r>
      <w:r w:rsidR="002E2327" w:rsidRPr="00C50A5C">
        <w:rPr>
          <w:sz w:val="20"/>
          <w:szCs w:val="20"/>
          <w:lang w:val="fr-CA"/>
        </w:rPr>
        <w:t>(3</w:t>
      </w:r>
      <w:r w:rsidR="00E85CC4">
        <w:rPr>
          <w:sz w:val="20"/>
          <w:szCs w:val="20"/>
          <w:lang w:val="fr-CA"/>
        </w:rPr>
        <w:t>4581</w:t>
      </w:r>
      <w:r w:rsidR="002E2327" w:rsidRPr="00C50A5C">
        <w:rPr>
          <w:sz w:val="20"/>
          <w:szCs w:val="20"/>
          <w:lang w:val="fr-CA"/>
        </w:rPr>
        <w:t>)</w:t>
      </w:r>
    </w:p>
    <w:p w:rsidR="0095503C" w:rsidRDefault="0095503C" w:rsidP="0095503C">
      <w:pPr>
        <w:pStyle w:val="ListParagraph"/>
        <w:widowControl w:val="0"/>
        <w:ind w:left="0"/>
        <w:jc w:val="both"/>
        <w:rPr>
          <w:sz w:val="20"/>
          <w:szCs w:val="20"/>
          <w:lang w:val="fr-CA"/>
        </w:rPr>
      </w:pPr>
    </w:p>
    <w:p w:rsidR="0095503C" w:rsidRPr="005C2EFA" w:rsidRDefault="005C2EFA" w:rsidP="00C50A5C">
      <w:pPr>
        <w:pStyle w:val="ListParagraph"/>
        <w:widowControl w:val="0"/>
        <w:numPr>
          <w:ilvl w:val="0"/>
          <w:numId w:val="1"/>
        </w:numPr>
        <w:ind w:hanging="720"/>
        <w:jc w:val="both"/>
        <w:rPr>
          <w:sz w:val="20"/>
          <w:szCs w:val="20"/>
        </w:rPr>
      </w:pPr>
      <w:r w:rsidRPr="005C2EFA">
        <w:rPr>
          <w:i/>
          <w:sz w:val="20"/>
          <w:szCs w:val="20"/>
        </w:rPr>
        <w:t>United Mexican States v. Cargill, Incorporated</w:t>
      </w:r>
      <w:r w:rsidRPr="0095503C">
        <w:rPr>
          <w:sz w:val="20"/>
          <w:szCs w:val="20"/>
        </w:rPr>
        <w:t xml:space="preserve"> (Ont.) (Civil) (By Leave)</w:t>
      </w:r>
      <w:r w:rsidRPr="005C2EFA">
        <w:rPr>
          <w:sz w:val="20"/>
          <w:szCs w:val="20"/>
        </w:rPr>
        <w:t xml:space="preserve"> </w:t>
      </w:r>
      <w:r w:rsidR="00E85CC4" w:rsidRPr="005C2EFA">
        <w:rPr>
          <w:sz w:val="20"/>
          <w:szCs w:val="20"/>
        </w:rPr>
        <w:t>(34559)</w:t>
      </w:r>
    </w:p>
    <w:p w:rsidR="005C2EFA" w:rsidRDefault="005C2EFA">
      <w:pPr>
        <w:rPr>
          <w:sz w:val="20"/>
          <w:szCs w:val="20"/>
        </w:rPr>
      </w:pPr>
    </w:p>
    <w:p w:rsidR="005C2EFA" w:rsidRDefault="005C2EFA">
      <w:pPr>
        <w:rPr>
          <w:sz w:val="20"/>
          <w:szCs w:val="20"/>
        </w:rPr>
      </w:pPr>
      <w:r>
        <w:rPr>
          <w:sz w:val="20"/>
          <w:szCs w:val="20"/>
        </w:rPr>
        <w:br w:type="page"/>
      </w:r>
    </w:p>
    <w:p w:rsidR="0095503C" w:rsidRPr="005C2EFA" w:rsidRDefault="005C2EFA" w:rsidP="00C50A5C">
      <w:pPr>
        <w:pStyle w:val="ListParagraph"/>
        <w:widowControl w:val="0"/>
        <w:numPr>
          <w:ilvl w:val="0"/>
          <w:numId w:val="1"/>
        </w:numPr>
        <w:ind w:hanging="720"/>
        <w:jc w:val="both"/>
        <w:rPr>
          <w:sz w:val="20"/>
          <w:szCs w:val="20"/>
        </w:rPr>
      </w:pPr>
      <w:r w:rsidRPr="005C2EFA">
        <w:rPr>
          <w:i/>
          <w:sz w:val="20"/>
          <w:szCs w:val="20"/>
        </w:rPr>
        <w:t>Lojas Renner S.A. v. Tucows.Com Co.</w:t>
      </w:r>
      <w:r w:rsidRPr="005C2EFA">
        <w:rPr>
          <w:sz w:val="20"/>
          <w:szCs w:val="20"/>
        </w:rPr>
        <w:t xml:space="preserve"> (Ont.) </w:t>
      </w:r>
      <w:r w:rsidRPr="0095503C">
        <w:rPr>
          <w:sz w:val="20"/>
          <w:szCs w:val="20"/>
        </w:rPr>
        <w:t>(Civil) (By Leave)</w:t>
      </w:r>
      <w:r w:rsidRPr="005C2EFA">
        <w:rPr>
          <w:sz w:val="20"/>
          <w:szCs w:val="20"/>
        </w:rPr>
        <w:t xml:space="preserve"> </w:t>
      </w:r>
      <w:r w:rsidR="00E85CC4" w:rsidRPr="005C2EFA">
        <w:rPr>
          <w:sz w:val="20"/>
          <w:szCs w:val="20"/>
        </w:rPr>
        <w:t>(34481)</w:t>
      </w:r>
    </w:p>
    <w:p w:rsidR="005C2EFA" w:rsidRPr="0095503C" w:rsidRDefault="005C2EFA" w:rsidP="0095503C">
      <w:pPr>
        <w:widowControl w:val="0"/>
        <w:rPr>
          <w:sz w:val="20"/>
          <w:szCs w:val="20"/>
        </w:rPr>
      </w:pPr>
    </w:p>
    <w:p w:rsidR="002E2327" w:rsidRPr="00C50A5C" w:rsidRDefault="00E5065D" w:rsidP="002E2327">
      <w:pPr>
        <w:widowControl w:val="0"/>
        <w:rPr>
          <w:sz w:val="20"/>
          <w:szCs w:val="20"/>
        </w:rPr>
      </w:pPr>
      <w:r w:rsidRPr="00E5065D">
        <w:rPr>
          <w:sz w:val="20"/>
          <w:szCs w:val="20"/>
        </w:rPr>
        <w:pict>
          <v:rect id="_x0000_i104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32ABE"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 xml:space="preserve">APRIL </w:t>
      </w:r>
      <w:r w:rsidR="00214CB8">
        <w:rPr>
          <w:b/>
          <w:sz w:val="20"/>
          <w:szCs w:val="20"/>
        </w:rPr>
        <w:t>5</w:t>
      </w:r>
      <w:r w:rsidRPr="00C50A5C">
        <w:rPr>
          <w:b/>
          <w:sz w:val="20"/>
          <w:szCs w:val="20"/>
        </w:rPr>
        <w:t>, 201</w:t>
      </w:r>
      <w:r w:rsidR="00214CB8">
        <w:rPr>
          <w:b/>
          <w:sz w:val="20"/>
          <w:szCs w:val="20"/>
        </w:rPr>
        <w:t>2</w:t>
      </w:r>
      <w:r w:rsidRPr="00C50A5C">
        <w:rPr>
          <w:b/>
          <w:sz w:val="20"/>
          <w:szCs w:val="20"/>
        </w:rPr>
        <w:t xml:space="preserve"> / LE </w:t>
      </w:r>
      <w:r w:rsidR="00214CB8">
        <w:rPr>
          <w:b/>
          <w:sz w:val="20"/>
          <w:szCs w:val="20"/>
        </w:rPr>
        <w:t xml:space="preserve">5 </w:t>
      </w:r>
      <w:r w:rsidRPr="00C50A5C">
        <w:rPr>
          <w:b/>
          <w:sz w:val="20"/>
          <w:szCs w:val="20"/>
        </w:rPr>
        <w:t>AVRIL 201</w:t>
      </w:r>
      <w:r w:rsidR="00214CB8">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81936" w:rsidRPr="00832ABE" w:rsidTr="001600B8">
        <w:trPr>
          <w:cantSplit/>
        </w:trPr>
        <w:tc>
          <w:tcPr>
            <w:tcW w:w="1458" w:type="dxa"/>
          </w:tcPr>
          <w:p w:rsidR="00081936" w:rsidRPr="00081936" w:rsidRDefault="00081936" w:rsidP="001600B8">
            <w:pPr>
              <w:rPr>
                <w:sz w:val="20"/>
                <w:szCs w:val="20"/>
              </w:rPr>
            </w:pPr>
            <w:r w:rsidRPr="00081936">
              <w:rPr>
                <w:rStyle w:val="SCCFileNumberChar"/>
                <w:sz w:val="20"/>
                <w:szCs w:val="20"/>
              </w:rPr>
              <w:t>34221</w:t>
            </w:r>
          </w:p>
          <w:p w:rsidR="00081936" w:rsidRPr="00081936" w:rsidRDefault="00081936" w:rsidP="001600B8">
            <w:pPr>
              <w:rPr>
                <w:b/>
                <w:sz w:val="20"/>
                <w:szCs w:val="20"/>
                <w:lang w:val="fr-CA"/>
              </w:rPr>
            </w:pPr>
          </w:p>
        </w:tc>
        <w:tc>
          <w:tcPr>
            <w:tcW w:w="8118" w:type="dxa"/>
          </w:tcPr>
          <w:p w:rsidR="00081936" w:rsidRPr="00081936" w:rsidRDefault="00081936" w:rsidP="00081936">
            <w:pPr>
              <w:jc w:val="both"/>
              <w:rPr>
                <w:sz w:val="20"/>
                <w:szCs w:val="20"/>
                <w:lang w:val="fr-CA"/>
              </w:rPr>
            </w:pPr>
            <w:r w:rsidRPr="00081936">
              <w:rPr>
                <w:rStyle w:val="SCCLsocChar"/>
                <w:sz w:val="20"/>
                <w:szCs w:val="20"/>
              </w:rPr>
              <w:t>Marc-Antoine Gagné c. Sa Majesté la Reine ET ENTRE Marc-Antoine Gagné c. Sa Majesté la Reine</w:t>
            </w:r>
            <w:r w:rsidRPr="00081936">
              <w:rPr>
                <w:sz w:val="20"/>
                <w:szCs w:val="20"/>
                <w:lang w:val="fr-CA"/>
              </w:rPr>
              <w:t xml:space="preserve"> (Qc) (Criminelle) (Autorisation)</w:t>
            </w:r>
          </w:p>
          <w:p w:rsidR="00081936" w:rsidRPr="00081936" w:rsidRDefault="00081936" w:rsidP="001600B8">
            <w:pPr>
              <w:rPr>
                <w:sz w:val="20"/>
                <w:szCs w:val="20"/>
                <w:lang w:val="fr-CA"/>
              </w:rPr>
            </w:pPr>
          </w:p>
        </w:tc>
      </w:tr>
      <w:tr w:rsidR="00081936" w:rsidRPr="00832ABE" w:rsidTr="001600B8">
        <w:trPr>
          <w:cantSplit/>
        </w:trPr>
        <w:tc>
          <w:tcPr>
            <w:tcW w:w="1458" w:type="dxa"/>
          </w:tcPr>
          <w:p w:rsidR="00081936" w:rsidRPr="00081936" w:rsidRDefault="00081936" w:rsidP="001600B8">
            <w:pPr>
              <w:rPr>
                <w:sz w:val="20"/>
                <w:szCs w:val="20"/>
              </w:rPr>
            </w:pPr>
            <w:r w:rsidRPr="00081936">
              <w:rPr>
                <w:sz w:val="20"/>
                <w:szCs w:val="20"/>
              </w:rPr>
              <w:t>Coram :</w:t>
            </w:r>
          </w:p>
        </w:tc>
        <w:tc>
          <w:tcPr>
            <w:tcW w:w="8118" w:type="dxa"/>
          </w:tcPr>
          <w:p w:rsidR="00081936" w:rsidRPr="00081936" w:rsidRDefault="00081936" w:rsidP="001600B8">
            <w:pPr>
              <w:rPr>
                <w:sz w:val="20"/>
                <w:szCs w:val="20"/>
                <w:lang w:val="fr-CA"/>
              </w:rPr>
            </w:pPr>
            <w:r w:rsidRPr="00081936">
              <w:rPr>
                <w:rStyle w:val="SCCCoramChar"/>
                <w:sz w:val="20"/>
                <w:szCs w:val="20"/>
              </w:rPr>
              <w:t>Les juges Deschamps, Fish et Karakatsanis</w:t>
            </w:r>
          </w:p>
          <w:p w:rsidR="00081936" w:rsidRPr="00081936" w:rsidRDefault="00081936" w:rsidP="001600B8">
            <w:pPr>
              <w:rPr>
                <w:sz w:val="20"/>
                <w:szCs w:val="20"/>
                <w:u w:val="single"/>
                <w:lang w:val="fr-CA"/>
              </w:rPr>
            </w:pPr>
          </w:p>
        </w:tc>
      </w:tr>
      <w:tr w:rsidR="00081936" w:rsidRPr="00081936" w:rsidTr="001600B8">
        <w:trPr>
          <w:cantSplit/>
        </w:trPr>
        <w:tc>
          <w:tcPr>
            <w:tcW w:w="9576" w:type="dxa"/>
            <w:gridSpan w:val="2"/>
          </w:tcPr>
          <w:p w:rsidR="00081936" w:rsidRPr="00081936" w:rsidRDefault="00081936" w:rsidP="001600B8">
            <w:pPr>
              <w:pStyle w:val="SCCShortJudgment"/>
              <w:rPr>
                <w:szCs w:val="20"/>
                <w:lang w:val="fr-CA"/>
              </w:rPr>
            </w:pPr>
            <w:r w:rsidRPr="00081936">
              <w:rPr>
                <w:szCs w:val="20"/>
                <w:lang w:val="fr-CA"/>
              </w:rPr>
              <w:t>Les demandes d’autorisation d’appel des arrêts de la Cour d’appel du Québec (Montréal), numéro 500-10-004829-105, 2011 QCCA 2084 et 2011 QCCA 2138, datés du 7 novembre 2011 et du 15 novembre 2011, sont rejetées sans dépens.</w:t>
            </w:r>
          </w:p>
          <w:p w:rsidR="00081936" w:rsidRPr="00081936" w:rsidRDefault="00081936" w:rsidP="001600B8">
            <w:pPr>
              <w:pStyle w:val="SCCShortJudgment"/>
              <w:ind w:firstLine="0"/>
              <w:rPr>
                <w:szCs w:val="20"/>
                <w:lang w:val="fr-CA"/>
              </w:rPr>
            </w:pPr>
          </w:p>
          <w:p w:rsidR="00081936" w:rsidRPr="00081936" w:rsidRDefault="00081936" w:rsidP="00460A3C">
            <w:pPr>
              <w:pStyle w:val="SCCShortJudgment"/>
              <w:rPr>
                <w:szCs w:val="20"/>
              </w:rPr>
            </w:pPr>
            <w:r w:rsidRPr="00081936">
              <w:rPr>
                <w:szCs w:val="20"/>
              </w:rPr>
              <w:t>The applications for leave to appeal from the judgments of the Court of Appeal of Quebec (Montréal), Number 500-10-004829-105, 2011 QCCA 2084 and 2011 QCCA 2138, dated November 7, 2011 and November 15, 2011, are dismissed without costs.</w:t>
            </w:r>
          </w:p>
        </w:tc>
      </w:tr>
    </w:tbl>
    <w:p w:rsidR="00214CB8" w:rsidRPr="00081936" w:rsidRDefault="00214CB8" w:rsidP="00214CB8">
      <w:pPr>
        <w:rPr>
          <w:sz w:val="20"/>
          <w:szCs w:val="20"/>
        </w:rPr>
      </w:pPr>
    </w:p>
    <w:p w:rsidR="00214CB8" w:rsidRPr="001B157C" w:rsidRDefault="00214CB8" w:rsidP="00214CB8">
      <w:pPr>
        <w:rPr>
          <w:sz w:val="20"/>
          <w:szCs w:val="20"/>
          <w:u w:val="single"/>
        </w:rPr>
      </w:pPr>
      <w:r w:rsidRPr="001B157C">
        <w:rPr>
          <w:sz w:val="20"/>
          <w:szCs w:val="20"/>
          <w:u w:val="single"/>
        </w:rPr>
        <w:t>CASE SUMMARY</w:t>
      </w:r>
    </w:p>
    <w:p w:rsidR="00214CB8" w:rsidRDefault="00214CB8"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40B84" w:rsidRPr="009F4C66" w:rsidTr="009734DA">
        <w:tc>
          <w:tcPr>
            <w:tcW w:w="5000" w:type="pct"/>
            <w:gridSpan w:val="3"/>
          </w:tcPr>
          <w:p w:rsidR="00140B84" w:rsidRPr="009F4C66" w:rsidRDefault="00140B84" w:rsidP="009734DA">
            <w:pPr>
              <w:jc w:val="both"/>
              <w:rPr>
                <w:sz w:val="20"/>
              </w:rPr>
            </w:pPr>
            <w:r w:rsidRPr="009F4C66">
              <w:rPr>
                <w:sz w:val="20"/>
              </w:rPr>
              <w:t>Criminal law – Probation – Procedure – Motion to change conditions of probation for duration of proceedings – Motion by Attorney General to dismiss notice of intention to raise constitutional questions – Whether Court of Appeal should have changed conditions of probation or permitted applicant to raise constitutional questions.</w:t>
            </w:r>
          </w:p>
        </w:tc>
      </w:tr>
      <w:tr w:rsidR="00140B84" w:rsidRPr="009F4C66" w:rsidTr="009734DA">
        <w:tc>
          <w:tcPr>
            <w:tcW w:w="5000" w:type="pct"/>
            <w:gridSpan w:val="3"/>
          </w:tcPr>
          <w:p w:rsidR="00140B84" w:rsidRPr="009F4C66" w:rsidRDefault="00140B84" w:rsidP="009734DA">
            <w:pPr>
              <w:jc w:val="both"/>
              <w:rPr>
                <w:sz w:val="20"/>
              </w:rPr>
            </w:pPr>
          </w:p>
        </w:tc>
      </w:tr>
      <w:tr w:rsidR="00140B84" w:rsidRPr="009F4C66" w:rsidTr="009734DA">
        <w:tc>
          <w:tcPr>
            <w:tcW w:w="5000" w:type="pct"/>
            <w:gridSpan w:val="3"/>
          </w:tcPr>
          <w:p w:rsidR="00140B84" w:rsidRPr="009F4C66" w:rsidRDefault="00140B84" w:rsidP="009734DA">
            <w:pPr>
              <w:jc w:val="both"/>
              <w:rPr>
                <w:sz w:val="20"/>
              </w:rPr>
            </w:pPr>
            <w:r w:rsidRPr="009F4C66">
              <w:rPr>
                <w:sz w:val="20"/>
              </w:rPr>
              <w:t xml:space="preserve">In 2008, the applicant, Mr. Gagné, pleaded guilty to sexual offences committed mainly via the Internet against minors. He was sentenced to two years of imprisonment and three years of probation. The optional conditions imposed with the probation order included prohibitions against possessing and using a computer or equipment providing access to the Internet and against residing or being in a place where such access was possible.  Mr. Gagné brought a motion in the Court of Québec to have those conditions changed, but the motion was dismissed.  He then applied unsuccessfully to the Superior Court for </w:t>
            </w:r>
            <w:r w:rsidRPr="009F4C66">
              <w:rPr>
                <w:i/>
                <w:sz w:val="20"/>
              </w:rPr>
              <w:t>certiorari</w:t>
            </w:r>
            <w:r w:rsidRPr="009F4C66">
              <w:rPr>
                <w:sz w:val="20"/>
              </w:rPr>
              <w:t>.  He appealed that judgment, and the appeal is still pending.</w:t>
            </w:r>
          </w:p>
          <w:p w:rsidR="00140B84" w:rsidRPr="009F4C66" w:rsidRDefault="00140B84" w:rsidP="009734DA">
            <w:pPr>
              <w:jc w:val="both"/>
              <w:rPr>
                <w:sz w:val="20"/>
              </w:rPr>
            </w:pPr>
          </w:p>
          <w:p w:rsidR="00140B84" w:rsidRPr="009F4C66" w:rsidRDefault="00140B84" w:rsidP="009734DA">
            <w:pPr>
              <w:jc w:val="both"/>
              <w:rPr>
                <w:sz w:val="20"/>
              </w:rPr>
            </w:pPr>
            <w:r w:rsidRPr="009F4C66">
              <w:rPr>
                <w:sz w:val="20"/>
              </w:rPr>
              <w:t xml:space="preserve">Mr. Gagné subsequently notified the Attorney General of Quebec under art. 95 of the </w:t>
            </w:r>
            <w:r w:rsidRPr="009F4C66">
              <w:rPr>
                <w:i/>
                <w:sz w:val="20"/>
              </w:rPr>
              <w:t>Code of Civil Procedure</w:t>
            </w:r>
            <w:r w:rsidRPr="009F4C66">
              <w:rPr>
                <w:sz w:val="20"/>
              </w:rPr>
              <w:t xml:space="preserve"> of his intention to argue during the appeal that ss. 731 </w:t>
            </w:r>
            <w:r w:rsidRPr="009F4C66">
              <w:rPr>
                <w:i/>
                <w:sz w:val="20"/>
              </w:rPr>
              <w:t>et seq.</w:t>
            </w:r>
            <w:r w:rsidRPr="009F4C66">
              <w:rPr>
                <w:sz w:val="20"/>
              </w:rPr>
              <w:t xml:space="preserve"> (probation orders) and 342.1(2) (unauthorized use of computer) Cr.C. were unconstitutional.  He also brought a motion in the Court of Appeal seeking to have the conditions of probation changed for the duration of the appeal proceedings.  The Court of Appeal allowed a motion by the Attorney General to dismiss Mr. Gagné’s notice concerning the constitutional questions.  It subsequently dismissed Mr. Gagné’s motion to change his conditions of probation. </w:t>
            </w:r>
          </w:p>
          <w:p w:rsidR="00140B84" w:rsidRPr="009F4C66" w:rsidRDefault="00140B84" w:rsidP="009734DA">
            <w:pPr>
              <w:jc w:val="both"/>
              <w:rPr>
                <w:sz w:val="20"/>
              </w:rPr>
            </w:pPr>
          </w:p>
        </w:tc>
      </w:tr>
      <w:tr w:rsidR="00140B84" w:rsidRPr="009F4C66" w:rsidTr="009734DA">
        <w:tc>
          <w:tcPr>
            <w:tcW w:w="2427" w:type="pct"/>
          </w:tcPr>
          <w:p w:rsidR="00140B84" w:rsidRPr="009F4C66" w:rsidRDefault="00140B84" w:rsidP="009734DA">
            <w:pPr>
              <w:jc w:val="both"/>
              <w:rPr>
                <w:sz w:val="20"/>
              </w:rPr>
            </w:pPr>
            <w:r w:rsidRPr="009F4C66">
              <w:rPr>
                <w:sz w:val="20"/>
              </w:rPr>
              <w:t>November 7, 2011</w:t>
            </w:r>
          </w:p>
          <w:p w:rsidR="00140B84" w:rsidRPr="009F4C66" w:rsidRDefault="00140B84" w:rsidP="009734DA">
            <w:pPr>
              <w:jc w:val="both"/>
              <w:rPr>
                <w:sz w:val="20"/>
              </w:rPr>
            </w:pPr>
            <w:r w:rsidRPr="009F4C66">
              <w:rPr>
                <w:sz w:val="20"/>
              </w:rPr>
              <w:t>Quebec Court of Appeal (Montréal)</w:t>
            </w:r>
          </w:p>
          <w:p w:rsidR="00140B84" w:rsidRPr="009F4C66" w:rsidRDefault="00140B84" w:rsidP="009734DA">
            <w:pPr>
              <w:jc w:val="both"/>
              <w:rPr>
                <w:sz w:val="20"/>
              </w:rPr>
            </w:pPr>
            <w:r w:rsidRPr="009F4C66">
              <w:rPr>
                <w:sz w:val="20"/>
              </w:rPr>
              <w:t>(Forget, Rochon and Fournier JJ.A.)</w:t>
            </w:r>
          </w:p>
          <w:p w:rsidR="00140B84" w:rsidRPr="009F4C66" w:rsidRDefault="00140B84" w:rsidP="009734DA">
            <w:pPr>
              <w:jc w:val="both"/>
              <w:rPr>
                <w:sz w:val="20"/>
              </w:rPr>
            </w:pPr>
            <w:r w:rsidRPr="009F4C66">
              <w:rPr>
                <w:sz w:val="20"/>
              </w:rPr>
              <w:t>2011 QCCA 2084</w:t>
            </w:r>
          </w:p>
          <w:p w:rsidR="00140B84" w:rsidRPr="009F4C66" w:rsidRDefault="00140B84" w:rsidP="009734DA">
            <w:pPr>
              <w:jc w:val="both"/>
              <w:rPr>
                <w:sz w:val="20"/>
              </w:rPr>
            </w:pPr>
          </w:p>
        </w:tc>
        <w:tc>
          <w:tcPr>
            <w:tcW w:w="243" w:type="pct"/>
          </w:tcPr>
          <w:p w:rsidR="00140B84" w:rsidRPr="009F4C66" w:rsidRDefault="00140B84" w:rsidP="009734DA">
            <w:pPr>
              <w:jc w:val="both"/>
              <w:rPr>
                <w:sz w:val="20"/>
              </w:rPr>
            </w:pPr>
          </w:p>
        </w:tc>
        <w:tc>
          <w:tcPr>
            <w:tcW w:w="2330" w:type="pct"/>
          </w:tcPr>
          <w:p w:rsidR="00140B84" w:rsidRPr="009F4C66" w:rsidRDefault="00140B84" w:rsidP="009734DA">
            <w:pPr>
              <w:jc w:val="both"/>
              <w:rPr>
                <w:sz w:val="20"/>
              </w:rPr>
            </w:pPr>
            <w:r w:rsidRPr="009F4C66">
              <w:rPr>
                <w:sz w:val="20"/>
              </w:rPr>
              <w:t>Motion to dismiss notice of intention to raise constitutional questions allowed</w:t>
            </w:r>
          </w:p>
          <w:p w:rsidR="00140B84" w:rsidRPr="009F4C66" w:rsidRDefault="00140B84" w:rsidP="009734DA">
            <w:pPr>
              <w:jc w:val="both"/>
              <w:rPr>
                <w:sz w:val="20"/>
              </w:rPr>
            </w:pPr>
          </w:p>
        </w:tc>
      </w:tr>
      <w:tr w:rsidR="00140B84" w:rsidRPr="009F4C66" w:rsidTr="009734DA">
        <w:tc>
          <w:tcPr>
            <w:tcW w:w="2427" w:type="pct"/>
          </w:tcPr>
          <w:p w:rsidR="00140B84" w:rsidRPr="009F4C66" w:rsidRDefault="00140B84" w:rsidP="009734DA">
            <w:pPr>
              <w:jc w:val="both"/>
              <w:rPr>
                <w:sz w:val="20"/>
              </w:rPr>
            </w:pPr>
            <w:r w:rsidRPr="009F4C66">
              <w:rPr>
                <w:sz w:val="20"/>
              </w:rPr>
              <w:t>November 15, 2011</w:t>
            </w:r>
          </w:p>
          <w:p w:rsidR="00140B84" w:rsidRPr="009F4C66" w:rsidRDefault="00140B84" w:rsidP="009734DA">
            <w:pPr>
              <w:jc w:val="both"/>
              <w:rPr>
                <w:sz w:val="20"/>
              </w:rPr>
            </w:pPr>
            <w:r w:rsidRPr="009F4C66">
              <w:rPr>
                <w:sz w:val="20"/>
              </w:rPr>
              <w:t>Quebec Court of Appeal (Montréal)</w:t>
            </w:r>
          </w:p>
          <w:p w:rsidR="00140B84" w:rsidRPr="009F4C66" w:rsidRDefault="00140B84" w:rsidP="0001415D">
            <w:pPr>
              <w:jc w:val="both"/>
              <w:rPr>
                <w:sz w:val="20"/>
              </w:rPr>
            </w:pPr>
            <w:r w:rsidRPr="009F4C66">
              <w:rPr>
                <w:sz w:val="20"/>
              </w:rPr>
              <w:t>(Pelletier, Dutil and Dufresne JJ.A.)2011 QCCA 2138</w:t>
            </w:r>
          </w:p>
        </w:tc>
        <w:tc>
          <w:tcPr>
            <w:tcW w:w="243" w:type="pct"/>
          </w:tcPr>
          <w:p w:rsidR="00140B84" w:rsidRPr="009F4C66" w:rsidRDefault="00140B84" w:rsidP="009734DA">
            <w:pPr>
              <w:jc w:val="both"/>
              <w:rPr>
                <w:sz w:val="20"/>
              </w:rPr>
            </w:pPr>
          </w:p>
        </w:tc>
        <w:tc>
          <w:tcPr>
            <w:tcW w:w="2330" w:type="pct"/>
          </w:tcPr>
          <w:p w:rsidR="00140B84" w:rsidRPr="009F4C66" w:rsidRDefault="00140B84" w:rsidP="009734DA">
            <w:pPr>
              <w:jc w:val="both"/>
              <w:rPr>
                <w:sz w:val="20"/>
              </w:rPr>
            </w:pPr>
            <w:r w:rsidRPr="009F4C66">
              <w:rPr>
                <w:sz w:val="20"/>
              </w:rPr>
              <w:t>Motion to change conditions of probation for duration of proceedings dismissed</w:t>
            </w:r>
          </w:p>
          <w:p w:rsidR="00140B84" w:rsidRPr="009F4C66" w:rsidRDefault="00140B84" w:rsidP="009734DA">
            <w:pPr>
              <w:jc w:val="both"/>
              <w:rPr>
                <w:sz w:val="20"/>
              </w:rPr>
            </w:pPr>
          </w:p>
        </w:tc>
      </w:tr>
    </w:tbl>
    <w:p w:rsidR="0001415D" w:rsidRDefault="0001415D"/>
    <w:p w:rsidR="0001415D" w:rsidRDefault="0001415D">
      <w:r>
        <w:br w:type="page"/>
      </w:r>
    </w:p>
    <w:tbl>
      <w:tblPr>
        <w:tblW w:w="4952" w:type="pct"/>
        <w:tblLayout w:type="fixed"/>
        <w:tblCellMar>
          <w:left w:w="0" w:type="dxa"/>
          <w:bottom w:w="99" w:type="dxa"/>
          <w:right w:w="0" w:type="dxa"/>
        </w:tblCellMar>
        <w:tblLook w:val="04A0"/>
      </w:tblPr>
      <w:tblGrid>
        <w:gridCol w:w="4624"/>
        <w:gridCol w:w="463"/>
        <w:gridCol w:w="4440"/>
      </w:tblGrid>
      <w:tr w:rsidR="00140B84" w:rsidRPr="009F4C66" w:rsidTr="009734DA">
        <w:tc>
          <w:tcPr>
            <w:tcW w:w="2427" w:type="pct"/>
          </w:tcPr>
          <w:p w:rsidR="00140B84" w:rsidRPr="009F4C66" w:rsidRDefault="00140B84" w:rsidP="009734DA">
            <w:pPr>
              <w:jc w:val="both"/>
              <w:rPr>
                <w:sz w:val="20"/>
              </w:rPr>
            </w:pPr>
            <w:r w:rsidRPr="009F4C66">
              <w:rPr>
                <w:sz w:val="20"/>
              </w:rPr>
              <w:t>December 30, 2011</w:t>
            </w:r>
          </w:p>
          <w:p w:rsidR="00140B84" w:rsidRPr="009F4C66" w:rsidRDefault="00140B84" w:rsidP="009734DA">
            <w:pPr>
              <w:jc w:val="both"/>
              <w:rPr>
                <w:sz w:val="20"/>
              </w:rPr>
            </w:pPr>
            <w:r w:rsidRPr="009F4C66">
              <w:rPr>
                <w:sz w:val="20"/>
              </w:rPr>
              <w:t>Supreme Court of Canada</w:t>
            </w:r>
          </w:p>
        </w:tc>
        <w:tc>
          <w:tcPr>
            <w:tcW w:w="243" w:type="pct"/>
          </w:tcPr>
          <w:p w:rsidR="00140B84" w:rsidRPr="009F4C66" w:rsidRDefault="00140B84" w:rsidP="009734DA">
            <w:pPr>
              <w:jc w:val="both"/>
              <w:rPr>
                <w:sz w:val="20"/>
              </w:rPr>
            </w:pPr>
          </w:p>
        </w:tc>
        <w:tc>
          <w:tcPr>
            <w:tcW w:w="2330" w:type="pct"/>
          </w:tcPr>
          <w:p w:rsidR="00140B84" w:rsidRPr="009F4C66" w:rsidRDefault="00140B84" w:rsidP="009734DA">
            <w:pPr>
              <w:jc w:val="both"/>
              <w:rPr>
                <w:sz w:val="20"/>
              </w:rPr>
            </w:pPr>
            <w:r w:rsidRPr="009F4C66">
              <w:rPr>
                <w:sz w:val="20"/>
              </w:rPr>
              <w:t>Application for leave to appeal filed</w:t>
            </w:r>
          </w:p>
          <w:p w:rsidR="00140B84" w:rsidRPr="009F4C66" w:rsidRDefault="00140B84" w:rsidP="009734DA">
            <w:pPr>
              <w:jc w:val="both"/>
              <w:rPr>
                <w:sz w:val="20"/>
              </w:rPr>
            </w:pPr>
          </w:p>
        </w:tc>
      </w:tr>
    </w:tbl>
    <w:p w:rsidR="00214CB8" w:rsidRDefault="00214CB8" w:rsidP="008D292F">
      <w:pPr>
        <w:rPr>
          <w:sz w:val="20"/>
          <w:szCs w:val="20"/>
        </w:rPr>
      </w:pPr>
    </w:p>
    <w:p w:rsidR="00214CB8" w:rsidRPr="00C50A5C" w:rsidRDefault="00E5065D" w:rsidP="00214CB8">
      <w:pPr>
        <w:rPr>
          <w:sz w:val="20"/>
          <w:szCs w:val="20"/>
        </w:rPr>
      </w:pPr>
      <w:r w:rsidRPr="00E5065D">
        <w:rPr>
          <w:sz w:val="20"/>
          <w:szCs w:val="20"/>
          <w:lang w:val="fr-CA"/>
        </w:rPr>
        <w:pict>
          <v:rect id="_x0000_i1046" style="width:2in;height:1pt" o:hrpct="0" o:hralign="center" o:hrstd="t" o:hrnoshade="t" o:hr="t" fillcolor="black [3213]" stroked="f"/>
        </w:pict>
      </w:r>
    </w:p>
    <w:p w:rsidR="00214CB8" w:rsidRDefault="00214CB8" w:rsidP="00214CB8">
      <w:pPr>
        <w:rPr>
          <w:sz w:val="20"/>
          <w:szCs w:val="20"/>
        </w:rPr>
      </w:pPr>
    </w:p>
    <w:p w:rsidR="00214CB8" w:rsidRPr="001B157C" w:rsidRDefault="00214CB8" w:rsidP="00214CB8">
      <w:pPr>
        <w:rPr>
          <w:sz w:val="20"/>
          <w:szCs w:val="20"/>
          <w:u w:val="single"/>
          <w:lang w:val="fr-CA"/>
        </w:rPr>
      </w:pPr>
      <w:r w:rsidRPr="001B157C">
        <w:rPr>
          <w:sz w:val="20"/>
          <w:szCs w:val="20"/>
          <w:u w:val="single"/>
          <w:lang w:val="fr-CA"/>
        </w:rPr>
        <w:t>RÉSUMÉ DE L’AFFAIRE</w:t>
      </w:r>
    </w:p>
    <w:p w:rsidR="00214CB8" w:rsidRDefault="00214CB8"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40B84" w:rsidRPr="00832ABE" w:rsidTr="009734DA">
        <w:tc>
          <w:tcPr>
            <w:tcW w:w="5000" w:type="pct"/>
            <w:gridSpan w:val="3"/>
          </w:tcPr>
          <w:p w:rsidR="00140B84" w:rsidRPr="009F4C66" w:rsidRDefault="00140B84" w:rsidP="009734DA">
            <w:pPr>
              <w:jc w:val="both"/>
              <w:rPr>
                <w:sz w:val="20"/>
                <w:lang w:val="fr-CA"/>
              </w:rPr>
            </w:pPr>
            <w:r w:rsidRPr="009F4C66">
              <w:rPr>
                <w:sz w:val="20"/>
                <w:lang w:val="fr-CA"/>
              </w:rPr>
              <w:t>Droit criminel – Probation – Procédure – Requête en modification de conditions de probation pour la durée de procédures – Requête du procureur général pour faire rejeter un avis d’intention de soulever des questions constitutionnelles – La Cour d’appel aurait-elle dû modifier les conditions de probation ou permettre au demandeur de soulever des questions constitutionnelles?</w:t>
            </w:r>
          </w:p>
        </w:tc>
      </w:tr>
      <w:tr w:rsidR="00140B84" w:rsidRPr="00832ABE" w:rsidTr="009734DA">
        <w:tc>
          <w:tcPr>
            <w:tcW w:w="5000" w:type="pct"/>
            <w:gridSpan w:val="3"/>
          </w:tcPr>
          <w:p w:rsidR="00140B84" w:rsidRPr="009F4C66" w:rsidRDefault="00140B84" w:rsidP="009734DA">
            <w:pPr>
              <w:jc w:val="both"/>
              <w:rPr>
                <w:sz w:val="20"/>
                <w:lang w:val="fr-CA"/>
              </w:rPr>
            </w:pPr>
          </w:p>
        </w:tc>
      </w:tr>
      <w:tr w:rsidR="00140B84" w:rsidRPr="00832ABE" w:rsidTr="009734DA">
        <w:tc>
          <w:tcPr>
            <w:tcW w:w="5000" w:type="pct"/>
            <w:gridSpan w:val="3"/>
          </w:tcPr>
          <w:p w:rsidR="00140B84" w:rsidRPr="009F4C66" w:rsidRDefault="00140B84" w:rsidP="009734DA">
            <w:pPr>
              <w:jc w:val="both"/>
              <w:rPr>
                <w:sz w:val="20"/>
                <w:lang w:val="fr-CA"/>
              </w:rPr>
            </w:pPr>
            <w:r w:rsidRPr="009F4C66">
              <w:rPr>
                <w:sz w:val="20"/>
                <w:lang w:val="fr-CA"/>
              </w:rPr>
              <w:t xml:space="preserve">En 2008, le demandeur, M. Gagné, plaide coupable à des infractions d’ordre sexuel commises principalement via l’Internet à l’endroit de mineurs. Il reçoit une peine d’emprisonnement de deux ans, assortie d’une ordonnance de probation de trois ans. Parmi les conditions facultatives imposées dans le cadre de cette ordonnance figurent les interdictions de posséder et d’utiliser un ordinateur ou un équipement permettant l’accès à l’Internet et de résider ou de se trouver dans un endroit où un tel accès est possible. M. Gagné s’adresse à la Cour du Québec afin de faire modifier ces conditions. Sa requête est rejetée. Il s’adresse alors à la Cour supérieure par voie de </w:t>
            </w:r>
            <w:r w:rsidRPr="009F4C66">
              <w:rPr>
                <w:i/>
                <w:sz w:val="20"/>
                <w:lang w:val="fr-CA"/>
              </w:rPr>
              <w:t>certiorari</w:t>
            </w:r>
            <w:r w:rsidRPr="009F4C66">
              <w:rPr>
                <w:sz w:val="20"/>
                <w:lang w:val="fr-CA"/>
              </w:rPr>
              <w:t>, mais en vain. M. Gagné inscrit alors ce jugement en appel. L’appel est toujours pendant.</w:t>
            </w:r>
          </w:p>
          <w:p w:rsidR="00140B84" w:rsidRPr="009F4C66" w:rsidRDefault="00140B84" w:rsidP="009734DA">
            <w:pPr>
              <w:jc w:val="both"/>
              <w:rPr>
                <w:sz w:val="20"/>
                <w:lang w:val="fr-CA"/>
              </w:rPr>
            </w:pPr>
          </w:p>
          <w:p w:rsidR="00140B84" w:rsidRPr="009F4C66" w:rsidRDefault="00140B84" w:rsidP="009734DA">
            <w:pPr>
              <w:jc w:val="both"/>
              <w:rPr>
                <w:sz w:val="20"/>
                <w:lang w:val="fr-CA"/>
              </w:rPr>
            </w:pPr>
            <w:r w:rsidRPr="009F4C66">
              <w:rPr>
                <w:sz w:val="20"/>
                <w:lang w:val="fr-CA"/>
              </w:rPr>
              <w:t xml:space="preserve">Par la suite, M. Gagné avise le Procureur général du Québec, en vertu de l’art. 95 du </w:t>
            </w:r>
            <w:r w:rsidRPr="009F4C66">
              <w:rPr>
                <w:i/>
                <w:sz w:val="20"/>
                <w:lang w:val="fr-CA"/>
              </w:rPr>
              <w:t>Code de procédure civile</w:t>
            </w:r>
            <w:r w:rsidRPr="009F4C66">
              <w:rPr>
                <w:sz w:val="20"/>
                <w:lang w:val="fr-CA"/>
              </w:rPr>
              <w:t xml:space="preserve">, de son intention de plaider l’inconstitutionnalité </w:t>
            </w:r>
            <w:proofErr w:type="gramStart"/>
            <w:r w:rsidRPr="009F4C66">
              <w:rPr>
                <w:sz w:val="20"/>
                <w:lang w:val="fr-CA"/>
              </w:rPr>
              <w:t>des art</w:t>
            </w:r>
            <w:proofErr w:type="gramEnd"/>
            <w:r w:rsidRPr="009F4C66">
              <w:rPr>
                <w:sz w:val="20"/>
                <w:lang w:val="fr-CA"/>
              </w:rPr>
              <w:t>. 731 et ss. (ordonnances de probation) et 342.1(2) (utilisation non autorisée d’un ordinateur) C. cr. lors de l’appel. Il s’adresse aussi à la Cour d’appel, par requête, pour faire modifier les conditions de probation pour la durée des procédures en appel. La Cour d’appel accueille une requête du procureur général pour faire rejeter l’avis de M. Gagné relatif aux questions constitutionnelles. Elle rejette par la suite la requête de M. Gagné pour faire modifier ses conditions de probation.</w:t>
            </w:r>
          </w:p>
          <w:p w:rsidR="00140B84" w:rsidRPr="009F4C66" w:rsidRDefault="00140B84" w:rsidP="009734DA">
            <w:pPr>
              <w:jc w:val="both"/>
              <w:rPr>
                <w:sz w:val="20"/>
                <w:lang w:val="fr-CA"/>
              </w:rPr>
            </w:pPr>
          </w:p>
        </w:tc>
      </w:tr>
      <w:tr w:rsidR="00140B84" w:rsidRPr="00832ABE" w:rsidTr="009734DA">
        <w:tc>
          <w:tcPr>
            <w:tcW w:w="2427" w:type="pct"/>
          </w:tcPr>
          <w:p w:rsidR="00140B84" w:rsidRPr="009F4C66" w:rsidRDefault="00140B84" w:rsidP="009734DA">
            <w:pPr>
              <w:jc w:val="both"/>
              <w:rPr>
                <w:sz w:val="20"/>
                <w:lang w:val="fr-CA"/>
              </w:rPr>
            </w:pPr>
            <w:r w:rsidRPr="009F4C66">
              <w:rPr>
                <w:sz w:val="20"/>
                <w:lang w:val="fr-CA"/>
              </w:rPr>
              <w:t>Le 7 novembre 2011</w:t>
            </w:r>
          </w:p>
          <w:p w:rsidR="00140B84" w:rsidRPr="009F4C66" w:rsidRDefault="00140B84" w:rsidP="009734DA">
            <w:pPr>
              <w:jc w:val="both"/>
              <w:rPr>
                <w:sz w:val="20"/>
                <w:lang w:val="fr-CA"/>
              </w:rPr>
            </w:pPr>
            <w:r w:rsidRPr="009F4C66">
              <w:rPr>
                <w:sz w:val="20"/>
                <w:lang w:val="fr-CA"/>
              </w:rPr>
              <w:t>Cour d’appel du Québec (Montréal)</w:t>
            </w:r>
          </w:p>
          <w:p w:rsidR="00140B84" w:rsidRPr="009F4C66" w:rsidRDefault="00140B84" w:rsidP="009734DA">
            <w:pPr>
              <w:jc w:val="both"/>
              <w:rPr>
                <w:sz w:val="20"/>
                <w:lang w:val="fr-CA"/>
              </w:rPr>
            </w:pPr>
            <w:r w:rsidRPr="009F4C66">
              <w:rPr>
                <w:sz w:val="20"/>
                <w:lang w:val="fr-CA"/>
              </w:rPr>
              <w:t>(Les juges Forget, Rochon et Fournier)</w:t>
            </w:r>
          </w:p>
          <w:p w:rsidR="00140B84" w:rsidRPr="009F4C66" w:rsidRDefault="00140B84" w:rsidP="009734DA">
            <w:pPr>
              <w:jc w:val="both"/>
              <w:rPr>
                <w:sz w:val="20"/>
                <w:lang w:val="fr-CA"/>
              </w:rPr>
            </w:pPr>
            <w:r w:rsidRPr="009F4C66">
              <w:rPr>
                <w:sz w:val="20"/>
                <w:lang w:val="fr-CA"/>
              </w:rPr>
              <w:t>2011 QCCA 2084</w:t>
            </w:r>
          </w:p>
          <w:p w:rsidR="00140B84" w:rsidRPr="009F4C66" w:rsidRDefault="00140B84" w:rsidP="009734DA">
            <w:pPr>
              <w:jc w:val="both"/>
              <w:rPr>
                <w:sz w:val="20"/>
              </w:rPr>
            </w:pPr>
          </w:p>
        </w:tc>
        <w:tc>
          <w:tcPr>
            <w:tcW w:w="243" w:type="pct"/>
          </w:tcPr>
          <w:p w:rsidR="00140B84" w:rsidRPr="009F4C66" w:rsidRDefault="00140B84" w:rsidP="009734DA">
            <w:pPr>
              <w:jc w:val="both"/>
              <w:rPr>
                <w:sz w:val="20"/>
              </w:rPr>
            </w:pPr>
          </w:p>
        </w:tc>
        <w:tc>
          <w:tcPr>
            <w:tcW w:w="2330" w:type="pct"/>
          </w:tcPr>
          <w:p w:rsidR="00140B84" w:rsidRPr="009F4C66" w:rsidRDefault="00140B84" w:rsidP="009734DA">
            <w:pPr>
              <w:jc w:val="both"/>
              <w:rPr>
                <w:sz w:val="20"/>
                <w:lang w:val="fr-CA"/>
              </w:rPr>
            </w:pPr>
            <w:r w:rsidRPr="009F4C66">
              <w:rPr>
                <w:sz w:val="20"/>
                <w:lang w:val="fr-CA"/>
              </w:rPr>
              <w:t>Requête en rejet d’un avis d’intention de soulever des questions constitutionnelles accueillie</w:t>
            </w:r>
          </w:p>
          <w:p w:rsidR="00140B84" w:rsidRPr="009F4C66" w:rsidRDefault="00140B84" w:rsidP="009734DA">
            <w:pPr>
              <w:jc w:val="both"/>
              <w:rPr>
                <w:sz w:val="20"/>
                <w:lang w:val="fr-CA"/>
              </w:rPr>
            </w:pPr>
          </w:p>
        </w:tc>
      </w:tr>
      <w:tr w:rsidR="00140B84" w:rsidRPr="00832ABE" w:rsidTr="009734DA">
        <w:tc>
          <w:tcPr>
            <w:tcW w:w="2427" w:type="pct"/>
          </w:tcPr>
          <w:p w:rsidR="00140B84" w:rsidRPr="009F4C66" w:rsidRDefault="00140B84" w:rsidP="009734DA">
            <w:pPr>
              <w:jc w:val="both"/>
              <w:rPr>
                <w:sz w:val="20"/>
                <w:lang w:val="fr-CA"/>
              </w:rPr>
            </w:pPr>
            <w:r w:rsidRPr="009F4C66">
              <w:rPr>
                <w:sz w:val="20"/>
                <w:lang w:val="fr-CA"/>
              </w:rPr>
              <w:t>Le 15 novembre 2011</w:t>
            </w:r>
          </w:p>
          <w:p w:rsidR="00140B84" w:rsidRPr="009F4C66" w:rsidRDefault="00140B84" w:rsidP="009734DA">
            <w:pPr>
              <w:jc w:val="both"/>
              <w:rPr>
                <w:sz w:val="20"/>
                <w:lang w:val="fr-CA"/>
              </w:rPr>
            </w:pPr>
            <w:r w:rsidRPr="009F4C66">
              <w:rPr>
                <w:sz w:val="20"/>
                <w:lang w:val="fr-CA"/>
              </w:rPr>
              <w:t>Cour d’appel du Québec (Montréal)</w:t>
            </w:r>
          </w:p>
          <w:p w:rsidR="00140B84" w:rsidRPr="009F4C66" w:rsidRDefault="00140B84" w:rsidP="009734DA">
            <w:pPr>
              <w:jc w:val="both"/>
              <w:rPr>
                <w:sz w:val="20"/>
                <w:lang w:val="fr-CA"/>
              </w:rPr>
            </w:pPr>
            <w:r w:rsidRPr="009F4C66">
              <w:rPr>
                <w:sz w:val="20"/>
                <w:lang w:val="fr-CA"/>
              </w:rPr>
              <w:t>(Les juges Pelletier, Dutil et Dufresne)</w:t>
            </w:r>
          </w:p>
          <w:p w:rsidR="00140B84" w:rsidRPr="009F4C66" w:rsidRDefault="00140B84" w:rsidP="009734DA">
            <w:pPr>
              <w:jc w:val="both"/>
              <w:rPr>
                <w:sz w:val="20"/>
                <w:lang w:val="fr-CA"/>
              </w:rPr>
            </w:pPr>
            <w:r w:rsidRPr="009F4C66">
              <w:rPr>
                <w:sz w:val="20"/>
                <w:lang w:val="fr-CA"/>
              </w:rPr>
              <w:t>2011 QCCA 2138</w:t>
            </w:r>
          </w:p>
          <w:p w:rsidR="00140B84" w:rsidRPr="009F4C66" w:rsidRDefault="00140B84" w:rsidP="009734DA">
            <w:pPr>
              <w:jc w:val="both"/>
              <w:rPr>
                <w:sz w:val="20"/>
                <w:lang w:val="fr-CA"/>
              </w:rPr>
            </w:pPr>
          </w:p>
        </w:tc>
        <w:tc>
          <w:tcPr>
            <w:tcW w:w="243" w:type="pct"/>
          </w:tcPr>
          <w:p w:rsidR="00140B84" w:rsidRPr="009F4C66" w:rsidRDefault="00140B84" w:rsidP="009734DA">
            <w:pPr>
              <w:jc w:val="both"/>
              <w:rPr>
                <w:sz w:val="20"/>
                <w:lang w:val="fr-CA"/>
              </w:rPr>
            </w:pPr>
          </w:p>
        </w:tc>
        <w:tc>
          <w:tcPr>
            <w:tcW w:w="2330" w:type="pct"/>
          </w:tcPr>
          <w:p w:rsidR="00140B84" w:rsidRPr="009F4C66" w:rsidRDefault="00140B84" w:rsidP="009734DA">
            <w:pPr>
              <w:jc w:val="both"/>
              <w:rPr>
                <w:sz w:val="20"/>
                <w:lang w:val="fr-CA"/>
              </w:rPr>
            </w:pPr>
            <w:r w:rsidRPr="009F4C66">
              <w:rPr>
                <w:sz w:val="20"/>
                <w:lang w:val="fr-CA"/>
              </w:rPr>
              <w:t>Requête en modification de conditions de probation pour la durée de procédures rejetée</w:t>
            </w:r>
          </w:p>
          <w:p w:rsidR="00140B84" w:rsidRPr="009F4C66" w:rsidRDefault="00140B84" w:rsidP="009734DA">
            <w:pPr>
              <w:jc w:val="both"/>
              <w:rPr>
                <w:sz w:val="20"/>
                <w:lang w:val="fr-CA"/>
              </w:rPr>
            </w:pPr>
          </w:p>
        </w:tc>
      </w:tr>
      <w:tr w:rsidR="00140B84" w:rsidRPr="009F4C66" w:rsidTr="009734DA">
        <w:tc>
          <w:tcPr>
            <w:tcW w:w="2427" w:type="pct"/>
          </w:tcPr>
          <w:p w:rsidR="00140B84" w:rsidRPr="009F4C66" w:rsidRDefault="00140B84" w:rsidP="009734DA">
            <w:pPr>
              <w:jc w:val="both"/>
              <w:rPr>
                <w:sz w:val="20"/>
                <w:lang w:val="fr-CA"/>
              </w:rPr>
            </w:pPr>
            <w:r w:rsidRPr="009F4C66">
              <w:rPr>
                <w:sz w:val="20"/>
                <w:lang w:val="fr-CA"/>
              </w:rPr>
              <w:t>Le 30 décembre 2011</w:t>
            </w:r>
          </w:p>
          <w:p w:rsidR="00140B84" w:rsidRPr="009F4C66" w:rsidRDefault="00140B84" w:rsidP="009734DA">
            <w:pPr>
              <w:jc w:val="both"/>
              <w:rPr>
                <w:sz w:val="20"/>
                <w:lang w:val="fr-CA"/>
              </w:rPr>
            </w:pPr>
            <w:r w:rsidRPr="009F4C66">
              <w:rPr>
                <w:sz w:val="20"/>
                <w:lang w:val="fr-CA"/>
              </w:rPr>
              <w:t>Cour suprême du Canada</w:t>
            </w:r>
          </w:p>
        </w:tc>
        <w:tc>
          <w:tcPr>
            <w:tcW w:w="243" w:type="pct"/>
          </w:tcPr>
          <w:p w:rsidR="00140B84" w:rsidRPr="009F4C66" w:rsidRDefault="00140B84" w:rsidP="009734DA">
            <w:pPr>
              <w:jc w:val="both"/>
              <w:rPr>
                <w:sz w:val="20"/>
                <w:lang w:val="fr-CA"/>
              </w:rPr>
            </w:pPr>
          </w:p>
        </w:tc>
        <w:tc>
          <w:tcPr>
            <w:tcW w:w="2330" w:type="pct"/>
          </w:tcPr>
          <w:p w:rsidR="00140B84" w:rsidRPr="009F4C66" w:rsidRDefault="00140B84" w:rsidP="009734DA">
            <w:pPr>
              <w:jc w:val="both"/>
              <w:rPr>
                <w:sz w:val="20"/>
                <w:lang w:val="fr-CA"/>
              </w:rPr>
            </w:pPr>
            <w:r w:rsidRPr="009F4C66">
              <w:rPr>
                <w:sz w:val="20"/>
                <w:lang w:val="fr-CA"/>
              </w:rPr>
              <w:t>Demande d'autorisation d'appel déposée</w:t>
            </w:r>
          </w:p>
          <w:p w:rsidR="00140B84" w:rsidRPr="009F4C66" w:rsidRDefault="00140B84" w:rsidP="009734DA">
            <w:pPr>
              <w:jc w:val="both"/>
              <w:rPr>
                <w:sz w:val="20"/>
                <w:lang w:val="fr-CA"/>
              </w:rPr>
            </w:pPr>
          </w:p>
        </w:tc>
      </w:tr>
    </w:tbl>
    <w:p w:rsidR="00214CB8" w:rsidRDefault="00214CB8" w:rsidP="008D292F">
      <w:pPr>
        <w:rPr>
          <w:sz w:val="20"/>
          <w:szCs w:val="20"/>
        </w:rPr>
      </w:pPr>
    </w:p>
    <w:p w:rsidR="00214CB8" w:rsidRDefault="00E5065D" w:rsidP="008D292F">
      <w:pPr>
        <w:rPr>
          <w:sz w:val="20"/>
          <w:szCs w:val="20"/>
          <w:lang w:val="fr-CA"/>
        </w:rPr>
      </w:pPr>
      <w:r w:rsidRPr="00E5065D">
        <w:rPr>
          <w:sz w:val="20"/>
          <w:szCs w:val="20"/>
          <w:lang w:val="fr-CA"/>
        </w:rPr>
        <w:pict>
          <v:rect id="_x0000_i1047" style="width:2in;height:1pt" o:hrpct="0" o:hralign="center" o:hrstd="t" o:hrnoshade="t" o:hr="t" fillcolor="black [3213]" stroked="f"/>
        </w:pict>
      </w:r>
    </w:p>
    <w:p w:rsidR="00214CB8" w:rsidRDefault="00214CB8"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037A0" w:rsidRPr="000F2BC0" w:rsidTr="001600B8">
        <w:trPr>
          <w:cantSplit/>
        </w:trPr>
        <w:tc>
          <w:tcPr>
            <w:tcW w:w="1458" w:type="dxa"/>
          </w:tcPr>
          <w:p w:rsidR="00D037A0" w:rsidRPr="000F2BC0" w:rsidRDefault="00D037A0" w:rsidP="001600B8">
            <w:pPr>
              <w:rPr>
                <w:sz w:val="20"/>
                <w:szCs w:val="20"/>
              </w:rPr>
            </w:pPr>
            <w:r w:rsidRPr="000F2BC0">
              <w:rPr>
                <w:rStyle w:val="SCCFileNumberChar"/>
                <w:sz w:val="20"/>
                <w:szCs w:val="20"/>
              </w:rPr>
              <w:t>34257</w:t>
            </w:r>
          </w:p>
          <w:p w:rsidR="00D037A0" w:rsidRPr="000F2BC0" w:rsidRDefault="00D037A0" w:rsidP="001600B8">
            <w:pPr>
              <w:rPr>
                <w:b/>
                <w:sz w:val="20"/>
                <w:szCs w:val="20"/>
                <w:lang w:val="fr-CA"/>
              </w:rPr>
            </w:pPr>
          </w:p>
        </w:tc>
        <w:tc>
          <w:tcPr>
            <w:tcW w:w="8118" w:type="dxa"/>
          </w:tcPr>
          <w:p w:rsidR="00D037A0" w:rsidRPr="000F2BC0" w:rsidRDefault="00D037A0" w:rsidP="00D037A0">
            <w:pPr>
              <w:jc w:val="both"/>
              <w:rPr>
                <w:sz w:val="20"/>
                <w:szCs w:val="20"/>
              </w:rPr>
            </w:pPr>
            <w:r w:rsidRPr="000F2BC0">
              <w:rPr>
                <w:rStyle w:val="SCCLsocChar"/>
                <w:sz w:val="20"/>
                <w:szCs w:val="20"/>
                <w:lang w:val="en-CA"/>
              </w:rPr>
              <w:t>John Frederick Carten</w:t>
            </w:r>
            <w:r w:rsidR="002C4250">
              <w:rPr>
                <w:rStyle w:val="SCCLsocChar"/>
                <w:sz w:val="20"/>
                <w:szCs w:val="20"/>
                <w:lang w:val="en-CA"/>
              </w:rPr>
              <w:t xml:space="preserve"> and</w:t>
            </w:r>
            <w:r w:rsidRPr="000F2BC0">
              <w:rPr>
                <w:rStyle w:val="SCCLsocChar"/>
                <w:sz w:val="20"/>
                <w:szCs w:val="20"/>
                <w:lang w:val="en-CA"/>
              </w:rPr>
              <w:t xml:space="preserve"> Karen Audrey Gibbs v. Her Majesty the Queen in Right of Canada, Jean Chrétien, Eddie Goldenberg, Sergio Marchi, Lloyd Axworthy, Pierre Pettigrew, John Manley, Bill Graham, Jim Peterson, Paul Martin, David Emerson, Tim Murphy, Her Majesty the Queen in Right of British Columbia, Michael Harcourt, Glen Clark, Ujjal Dosanjh, Gordon Campbell, Attorney General of Canada, Allan Rock, Anne McLellan, Martin Cauchon, Irwin Cotler, Attorney General of British Columbia, Colin Gableman, Geoff Plant, Wally Oppal, Canadian Judicial Council, Jeannie Thomas, Norman Sabourin, Antonio Lamer (deceased), Beverley Mclachlin, Allan McEachern, Patrick Dohm, Donald Brenner, Bryan Williams, Jeffery Oliphant, John Morden, Joseph Daigle, Themis Program Management and Consulting Ltd., Law Society of British Columbia, Law Society of Alberta, David Vickers (deceased), Robert Edwards (deceased), John Bouck (deceased),  James Shabbits, Howard Skipp, Cyril Ross Lander, Ralph Hutchinson (deceased), Michael Halfyard, Harry Boyle, Sid Clark (deceased), Allan Gould, Robert Metzger, Brian Klaver, John 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L.L.P., Herman Van Ommen, Steve Kline, Lang Michener L.L.P., Corporation of the City of Victoria, John Doe and Jane Doe</w:t>
            </w:r>
            <w:r w:rsidRPr="000F2BC0">
              <w:rPr>
                <w:sz w:val="20"/>
                <w:szCs w:val="20"/>
              </w:rPr>
              <w:t xml:space="preserve"> (F</w:t>
            </w:r>
            <w:r w:rsidR="0001415D">
              <w:rPr>
                <w:sz w:val="20"/>
                <w:szCs w:val="20"/>
              </w:rPr>
              <w:t>.</w:t>
            </w:r>
            <w:r w:rsidRPr="000F2BC0">
              <w:rPr>
                <w:sz w:val="20"/>
                <w:szCs w:val="20"/>
              </w:rPr>
              <w:t>C</w:t>
            </w:r>
            <w:r w:rsidR="0001415D">
              <w:rPr>
                <w:sz w:val="20"/>
                <w:szCs w:val="20"/>
              </w:rPr>
              <w:t>.</w:t>
            </w:r>
            <w:r w:rsidRPr="000F2BC0">
              <w:rPr>
                <w:sz w:val="20"/>
                <w:szCs w:val="20"/>
              </w:rPr>
              <w:t>) (Civil) (By Leave)</w:t>
            </w:r>
          </w:p>
          <w:p w:rsidR="00D037A0" w:rsidRPr="000F2BC0" w:rsidRDefault="00D037A0" w:rsidP="001600B8">
            <w:pPr>
              <w:rPr>
                <w:sz w:val="20"/>
                <w:szCs w:val="20"/>
              </w:rPr>
            </w:pPr>
          </w:p>
        </w:tc>
      </w:tr>
      <w:tr w:rsidR="00D037A0" w:rsidRPr="000F2BC0" w:rsidTr="001600B8">
        <w:trPr>
          <w:cantSplit/>
        </w:trPr>
        <w:tc>
          <w:tcPr>
            <w:tcW w:w="1458" w:type="dxa"/>
          </w:tcPr>
          <w:p w:rsidR="00D037A0" w:rsidRPr="000F2BC0" w:rsidRDefault="00D037A0" w:rsidP="001600B8">
            <w:pPr>
              <w:rPr>
                <w:sz w:val="20"/>
                <w:szCs w:val="20"/>
              </w:rPr>
            </w:pPr>
            <w:r w:rsidRPr="000F2BC0">
              <w:rPr>
                <w:sz w:val="20"/>
                <w:szCs w:val="20"/>
              </w:rPr>
              <w:t>Coram :</w:t>
            </w:r>
          </w:p>
        </w:tc>
        <w:tc>
          <w:tcPr>
            <w:tcW w:w="8118" w:type="dxa"/>
          </w:tcPr>
          <w:p w:rsidR="00D037A0" w:rsidRPr="000F2BC0" w:rsidRDefault="00D037A0" w:rsidP="001600B8">
            <w:pPr>
              <w:rPr>
                <w:sz w:val="20"/>
                <w:szCs w:val="20"/>
              </w:rPr>
            </w:pPr>
            <w:r w:rsidRPr="000F2BC0">
              <w:rPr>
                <w:rStyle w:val="SCCCoramChar"/>
                <w:sz w:val="20"/>
                <w:szCs w:val="20"/>
                <w:lang w:val="en-CA"/>
              </w:rPr>
              <w:t>LeBel, Abella and Cromwell JJ.</w:t>
            </w:r>
          </w:p>
          <w:p w:rsidR="00D037A0" w:rsidRPr="000F2BC0" w:rsidRDefault="00D037A0" w:rsidP="001600B8">
            <w:pPr>
              <w:rPr>
                <w:sz w:val="20"/>
                <w:szCs w:val="20"/>
                <w:u w:val="single"/>
              </w:rPr>
            </w:pPr>
          </w:p>
        </w:tc>
      </w:tr>
      <w:tr w:rsidR="00D037A0" w:rsidRPr="00832ABE" w:rsidTr="001600B8">
        <w:trPr>
          <w:cantSplit/>
        </w:trPr>
        <w:tc>
          <w:tcPr>
            <w:tcW w:w="9576" w:type="dxa"/>
            <w:gridSpan w:val="2"/>
          </w:tcPr>
          <w:p w:rsidR="00D037A0" w:rsidRPr="000F2BC0" w:rsidRDefault="00D037A0" w:rsidP="001600B8">
            <w:pPr>
              <w:pStyle w:val="SCCShortJudgment"/>
              <w:rPr>
                <w:szCs w:val="20"/>
              </w:rPr>
            </w:pPr>
            <w:r w:rsidRPr="000F2BC0">
              <w:rPr>
                <w:szCs w:val="20"/>
              </w:rPr>
              <w:t>The application for leave to appeal from the judgment of the Federal Court of Appeal, Number A-343-10, 2011 FCA 289, dated October 19, 2011, is dismissed with costs to the respondents Provincial Crown Respondents, the Federal Crown Respondents, Law Society of British Columbia, McCarthy Tetrault LLP, Herman Van Ommen, Themis Program Management and Consulting Limited and Lang Michener LLP.</w:t>
            </w:r>
          </w:p>
          <w:p w:rsidR="00D037A0" w:rsidRPr="000F2BC0" w:rsidRDefault="00D037A0" w:rsidP="001600B8">
            <w:pPr>
              <w:pStyle w:val="SCCShortJudgment"/>
              <w:ind w:firstLine="0"/>
              <w:rPr>
                <w:szCs w:val="20"/>
              </w:rPr>
            </w:pPr>
          </w:p>
          <w:p w:rsidR="00D037A0" w:rsidRPr="000F2BC0" w:rsidRDefault="00D037A0" w:rsidP="001600B8">
            <w:pPr>
              <w:pStyle w:val="SCCShortJudgment"/>
              <w:rPr>
                <w:szCs w:val="20"/>
                <w:lang w:val="fr-CA"/>
              </w:rPr>
            </w:pPr>
            <w:r w:rsidRPr="000F2BC0">
              <w:rPr>
                <w:szCs w:val="20"/>
                <w:lang w:val="fr-CA"/>
              </w:rPr>
              <w:t>La demande d’autorisation d’appel de l’arrêt de la Cour d’appel fédérale, numéro A-343-10, 2011 CAF 289, daté du 19 octobre 2011, est rejetée avec dépens en faveur des intimés représentants de la Couronne provinciale, de la Couronne fédérale, Law Society of British Columbia, McCarthy Tetrault LLP, Herman Van Ommen, Themis Program Management and Consulting Limited et Lang Michener LLP.</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9527"/>
      </w:tblGrid>
      <w:tr w:rsidR="00E75745" w:rsidRPr="009F4C66" w:rsidTr="009734DA">
        <w:tc>
          <w:tcPr>
            <w:tcW w:w="5000" w:type="pct"/>
          </w:tcPr>
          <w:p w:rsidR="00E75745" w:rsidRPr="009F4C66" w:rsidRDefault="00E75745" w:rsidP="009734DA">
            <w:pPr>
              <w:jc w:val="both"/>
              <w:rPr>
                <w:sz w:val="20"/>
              </w:rPr>
            </w:pPr>
            <w:r w:rsidRPr="009F4C66">
              <w:rPr>
                <w:sz w:val="20"/>
              </w:rPr>
              <w:t>Civil procedure – Appeals – Costs – Security for costs – Applicants ordered to post security for costs after appeals from order striking statement of claim – Whether Respondents obtained orders appealed from for an improper purpose as part of scheme to conceal criminal activity by government - Whether Applicants denied access to a remedy – Whether lower court justices acted with bias towards Applicants and abused their power</w:t>
            </w:r>
          </w:p>
          <w:p w:rsidR="00E75745" w:rsidRPr="009F4C66" w:rsidRDefault="00E75745" w:rsidP="009734DA">
            <w:pPr>
              <w:jc w:val="both"/>
              <w:rPr>
                <w:sz w:val="20"/>
              </w:rPr>
            </w:pPr>
          </w:p>
        </w:tc>
      </w:tr>
      <w:tr w:rsidR="00E75745" w:rsidRPr="009F4C66" w:rsidTr="009734DA">
        <w:tc>
          <w:tcPr>
            <w:tcW w:w="5000" w:type="pct"/>
          </w:tcPr>
          <w:p w:rsidR="00E75745" w:rsidRPr="009F4C66" w:rsidRDefault="00E75745" w:rsidP="009734DA">
            <w:pPr>
              <w:jc w:val="both"/>
              <w:rPr>
                <w:sz w:val="20"/>
              </w:rPr>
            </w:pPr>
            <w:r w:rsidRPr="009F4C66">
              <w:rPr>
                <w:sz w:val="20"/>
              </w:rPr>
              <w:t>The Applicants filed a civil action seeking damages for alleged acts and omissions by the Federal Crown in preserving and protecting secrets related to the issue of bulk water export policies of Canada and British Columbia.  The other Respondents, including the province of British Columbia, politicians and public servants, were sued on the basis that they acted as agents or employees of the Federal Crown.  The Prothonotary struck out the statement of claim without leave to amend, with costs.  The Applicants’ appeal of this order was dismissed, also with costs.  On February 8, 2011, several of the Respondents obtained an order from the Federal Court of Appeal requiring the Applicants to post security for costs in the amount of $10,000, payable within six months of the order.  The Applicants sought leave to appeal from that decision but their application was dismissed by the Court on October 13, 2011.  The Federal Court of Appeal issued a Notice of Status Review requiring the Applicants to serve and file representations stating why their appeal should not be dismissed for the delay, justifying the delay and proposing a timetable for the completion of the steps necessary to advance their appeal expeditiously.</w:t>
            </w:r>
          </w:p>
          <w:p w:rsidR="00E75745" w:rsidRPr="009F4C66" w:rsidRDefault="00E75745" w:rsidP="009734DA">
            <w:pPr>
              <w:jc w:val="both"/>
              <w:rPr>
                <w:sz w:val="20"/>
              </w:rPr>
            </w:pPr>
          </w:p>
        </w:tc>
      </w:tr>
    </w:tbl>
    <w:p w:rsidR="00D515A0" w:rsidRDefault="00D515A0"/>
    <w:tbl>
      <w:tblPr>
        <w:tblW w:w="4952" w:type="pct"/>
        <w:tblLayout w:type="fixed"/>
        <w:tblCellMar>
          <w:left w:w="0" w:type="dxa"/>
          <w:bottom w:w="99" w:type="dxa"/>
          <w:right w:w="0" w:type="dxa"/>
        </w:tblCellMar>
        <w:tblLook w:val="04A0"/>
      </w:tblPr>
      <w:tblGrid>
        <w:gridCol w:w="4624"/>
        <w:gridCol w:w="463"/>
        <w:gridCol w:w="4440"/>
      </w:tblGrid>
      <w:tr w:rsidR="00E75745" w:rsidRPr="009F4C66" w:rsidTr="00D515A0">
        <w:trPr>
          <w:cantSplit/>
        </w:trPr>
        <w:tc>
          <w:tcPr>
            <w:tcW w:w="2427" w:type="pct"/>
          </w:tcPr>
          <w:p w:rsidR="00E75745" w:rsidRPr="009F4C66" w:rsidRDefault="00E75745" w:rsidP="009734DA">
            <w:pPr>
              <w:jc w:val="both"/>
              <w:rPr>
                <w:sz w:val="20"/>
              </w:rPr>
            </w:pPr>
            <w:r w:rsidRPr="009F4C66">
              <w:rPr>
                <w:sz w:val="20"/>
              </w:rPr>
              <w:t>December 1, 2009</w:t>
            </w:r>
          </w:p>
          <w:p w:rsidR="00E75745" w:rsidRPr="009F4C66" w:rsidRDefault="00E75745" w:rsidP="009734DA">
            <w:pPr>
              <w:jc w:val="both"/>
              <w:rPr>
                <w:sz w:val="20"/>
              </w:rPr>
            </w:pPr>
            <w:r w:rsidRPr="009F4C66">
              <w:rPr>
                <w:sz w:val="20"/>
              </w:rPr>
              <w:t>Federal Court</w:t>
            </w:r>
          </w:p>
          <w:p w:rsidR="00E75745" w:rsidRPr="009F4C66" w:rsidRDefault="00E75745" w:rsidP="009734DA">
            <w:pPr>
              <w:jc w:val="both"/>
              <w:rPr>
                <w:sz w:val="20"/>
              </w:rPr>
            </w:pPr>
            <w:r w:rsidRPr="009F4C66">
              <w:rPr>
                <w:sz w:val="20"/>
              </w:rPr>
              <w:t>(Lafrenière Prothonotary)</w:t>
            </w:r>
          </w:p>
          <w:p w:rsidR="00E75745" w:rsidRPr="009F4C66" w:rsidRDefault="00E75745" w:rsidP="009734DA">
            <w:pPr>
              <w:jc w:val="both"/>
              <w:rPr>
                <w:sz w:val="20"/>
              </w:rPr>
            </w:pPr>
            <w:r w:rsidRPr="009F4C66">
              <w:rPr>
                <w:sz w:val="20"/>
              </w:rPr>
              <w:t>2009 FC 1233</w:t>
            </w:r>
          </w:p>
          <w:p w:rsidR="00E75745" w:rsidRPr="009F4C66" w:rsidRDefault="00E75745" w:rsidP="009734DA">
            <w:pPr>
              <w:jc w:val="both"/>
              <w:rPr>
                <w:sz w:val="20"/>
              </w:rPr>
            </w:pP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Order striking Applicants’ statement of claim</w:t>
            </w:r>
          </w:p>
          <w:p w:rsidR="00E75745" w:rsidRPr="009F4C66" w:rsidRDefault="00E75745" w:rsidP="009734DA">
            <w:pPr>
              <w:jc w:val="both"/>
              <w:rPr>
                <w:sz w:val="20"/>
              </w:rPr>
            </w:pPr>
          </w:p>
        </w:tc>
      </w:tr>
      <w:tr w:rsidR="00E75745" w:rsidRPr="009F4C66" w:rsidTr="00D515A0">
        <w:trPr>
          <w:cantSplit/>
        </w:trPr>
        <w:tc>
          <w:tcPr>
            <w:tcW w:w="2427" w:type="pct"/>
          </w:tcPr>
          <w:p w:rsidR="00E75745" w:rsidRPr="009F4C66" w:rsidRDefault="00E75745" w:rsidP="009734DA">
            <w:pPr>
              <w:jc w:val="both"/>
              <w:rPr>
                <w:sz w:val="20"/>
              </w:rPr>
            </w:pPr>
            <w:r w:rsidRPr="009F4C66">
              <w:rPr>
                <w:sz w:val="20"/>
              </w:rPr>
              <w:t>August 27, 2010</w:t>
            </w:r>
          </w:p>
          <w:p w:rsidR="00E75745" w:rsidRPr="009F4C66" w:rsidRDefault="00E75745" w:rsidP="009734DA">
            <w:pPr>
              <w:jc w:val="both"/>
              <w:rPr>
                <w:sz w:val="20"/>
              </w:rPr>
            </w:pPr>
            <w:r w:rsidRPr="009F4C66">
              <w:rPr>
                <w:sz w:val="20"/>
              </w:rPr>
              <w:t>Federal Court</w:t>
            </w:r>
          </w:p>
          <w:p w:rsidR="00E75745" w:rsidRPr="009F4C66" w:rsidRDefault="00E75745" w:rsidP="009734DA">
            <w:pPr>
              <w:jc w:val="both"/>
              <w:rPr>
                <w:sz w:val="20"/>
              </w:rPr>
            </w:pPr>
            <w:r w:rsidRPr="009F4C66">
              <w:rPr>
                <w:sz w:val="20"/>
              </w:rPr>
              <w:t>(Gauthier J.)</w:t>
            </w:r>
          </w:p>
          <w:p w:rsidR="00E75745" w:rsidRPr="009F4C66" w:rsidRDefault="00E75745" w:rsidP="009734DA">
            <w:pPr>
              <w:jc w:val="both"/>
              <w:rPr>
                <w:sz w:val="20"/>
              </w:rPr>
            </w:pPr>
            <w:r w:rsidRPr="009F4C66">
              <w:rPr>
                <w:sz w:val="20"/>
              </w:rPr>
              <w:t>2010 FC 857</w:t>
            </w:r>
          </w:p>
          <w:p w:rsidR="00E75745" w:rsidRPr="009F4C66" w:rsidRDefault="00E75745" w:rsidP="009734DA">
            <w:pPr>
              <w:jc w:val="both"/>
              <w:rPr>
                <w:sz w:val="20"/>
              </w:rPr>
            </w:pP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Applicants’ appeal dismissed with costs of $750 payable to each Respondent</w:t>
            </w:r>
          </w:p>
          <w:p w:rsidR="00E75745" w:rsidRPr="009F4C66" w:rsidRDefault="00E75745" w:rsidP="009734DA">
            <w:pPr>
              <w:jc w:val="both"/>
              <w:rPr>
                <w:sz w:val="20"/>
              </w:rPr>
            </w:pPr>
          </w:p>
        </w:tc>
      </w:tr>
      <w:tr w:rsidR="00E75745" w:rsidRPr="009F4C66" w:rsidTr="00D515A0">
        <w:trPr>
          <w:cantSplit/>
          <w:trHeight w:val="615"/>
        </w:trPr>
        <w:tc>
          <w:tcPr>
            <w:tcW w:w="2427" w:type="pct"/>
          </w:tcPr>
          <w:p w:rsidR="00E75745" w:rsidRPr="009F4C66" w:rsidRDefault="00E75745" w:rsidP="009734DA">
            <w:pPr>
              <w:jc w:val="both"/>
              <w:rPr>
                <w:sz w:val="20"/>
              </w:rPr>
            </w:pPr>
            <w:r w:rsidRPr="009F4C66">
              <w:rPr>
                <w:sz w:val="20"/>
              </w:rPr>
              <w:t>February 8, 2011</w:t>
            </w:r>
          </w:p>
          <w:p w:rsidR="00E75745" w:rsidRPr="009F4C66" w:rsidRDefault="00E75745" w:rsidP="009734DA">
            <w:pPr>
              <w:jc w:val="both"/>
              <w:rPr>
                <w:sz w:val="20"/>
              </w:rPr>
            </w:pPr>
            <w:r w:rsidRPr="009F4C66">
              <w:rPr>
                <w:sz w:val="20"/>
              </w:rPr>
              <w:t>Federal Court of Appeal</w:t>
            </w:r>
          </w:p>
          <w:p w:rsidR="00E75745" w:rsidRPr="009F4C66" w:rsidRDefault="00E75745" w:rsidP="009734DA">
            <w:pPr>
              <w:jc w:val="both"/>
              <w:rPr>
                <w:sz w:val="20"/>
              </w:rPr>
            </w:pPr>
            <w:r w:rsidRPr="009F4C66">
              <w:rPr>
                <w:sz w:val="20"/>
              </w:rPr>
              <w:t>(Layden-Stevenson J.A.)</w:t>
            </w:r>
          </w:p>
          <w:p w:rsidR="00E75745" w:rsidRPr="009F4C66" w:rsidRDefault="00E75745" w:rsidP="009734DA">
            <w:pPr>
              <w:jc w:val="both"/>
              <w:rPr>
                <w:sz w:val="20"/>
              </w:rPr>
            </w:pPr>
            <w:r w:rsidRPr="009F4C66">
              <w:rPr>
                <w:sz w:val="20"/>
              </w:rPr>
              <w:t xml:space="preserve">2011 FCA 48 </w:t>
            </w:r>
          </w:p>
          <w:p w:rsidR="00E75745" w:rsidRPr="009F4C66" w:rsidRDefault="00E75745" w:rsidP="009734DA">
            <w:pPr>
              <w:jc w:val="both"/>
              <w:rPr>
                <w:sz w:val="20"/>
              </w:rPr>
            </w:pP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Motions by several Respondents to have Applicants pay security for costs granted;  Applicants ordered to pay $10,000 within six months</w:t>
            </w:r>
          </w:p>
          <w:p w:rsidR="00E75745" w:rsidRPr="009F4C66" w:rsidRDefault="00E75745" w:rsidP="009734DA">
            <w:pPr>
              <w:jc w:val="both"/>
              <w:rPr>
                <w:sz w:val="20"/>
              </w:rPr>
            </w:pPr>
          </w:p>
        </w:tc>
      </w:tr>
      <w:tr w:rsidR="00E75745" w:rsidRPr="009F4C66" w:rsidTr="00D515A0">
        <w:trPr>
          <w:cantSplit/>
          <w:trHeight w:val="615"/>
        </w:trPr>
        <w:tc>
          <w:tcPr>
            <w:tcW w:w="2427" w:type="pct"/>
          </w:tcPr>
          <w:p w:rsidR="00E75745" w:rsidRPr="009F4C66" w:rsidRDefault="00E75745" w:rsidP="009734DA">
            <w:pPr>
              <w:jc w:val="both"/>
              <w:rPr>
                <w:sz w:val="20"/>
              </w:rPr>
            </w:pPr>
            <w:r w:rsidRPr="009F4C66">
              <w:rPr>
                <w:sz w:val="20"/>
              </w:rPr>
              <w:t>October 13, 2011</w:t>
            </w:r>
          </w:p>
          <w:p w:rsidR="00E75745" w:rsidRPr="009F4C66" w:rsidRDefault="00E75745" w:rsidP="009734DA">
            <w:pPr>
              <w:jc w:val="both"/>
              <w:rPr>
                <w:sz w:val="20"/>
              </w:rPr>
            </w:pPr>
            <w:r w:rsidRPr="009F4C66">
              <w:rPr>
                <w:sz w:val="20"/>
              </w:rPr>
              <w:t>Supreme Court of Canada</w:t>
            </w:r>
          </w:p>
          <w:p w:rsidR="00E75745" w:rsidRPr="009F4C66" w:rsidRDefault="00E75745" w:rsidP="009734DA">
            <w:pPr>
              <w:jc w:val="both"/>
              <w:rPr>
                <w:sz w:val="20"/>
              </w:rPr>
            </w:pP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Applicants’ application for leave to appeal dismissed</w:t>
            </w:r>
          </w:p>
        </w:tc>
      </w:tr>
      <w:tr w:rsidR="00E75745" w:rsidRPr="009F4C66" w:rsidTr="00D515A0">
        <w:trPr>
          <w:cantSplit/>
        </w:trPr>
        <w:tc>
          <w:tcPr>
            <w:tcW w:w="2427" w:type="pct"/>
          </w:tcPr>
          <w:p w:rsidR="00E75745" w:rsidRPr="009F4C66" w:rsidRDefault="00E75745" w:rsidP="009734DA">
            <w:pPr>
              <w:jc w:val="both"/>
              <w:rPr>
                <w:sz w:val="20"/>
              </w:rPr>
            </w:pPr>
            <w:r w:rsidRPr="009F4C66">
              <w:rPr>
                <w:sz w:val="20"/>
              </w:rPr>
              <w:t>October 19, 2011</w:t>
            </w:r>
          </w:p>
          <w:p w:rsidR="00E75745" w:rsidRPr="009F4C66" w:rsidRDefault="00E75745" w:rsidP="009734DA">
            <w:pPr>
              <w:jc w:val="both"/>
              <w:rPr>
                <w:sz w:val="20"/>
              </w:rPr>
            </w:pPr>
            <w:r w:rsidRPr="009F4C66">
              <w:rPr>
                <w:sz w:val="20"/>
              </w:rPr>
              <w:t>Federal Court of Appeal</w:t>
            </w:r>
          </w:p>
          <w:p w:rsidR="00E75745" w:rsidRPr="009F4C66" w:rsidRDefault="00E75745" w:rsidP="009734DA">
            <w:pPr>
              <w:jc w:val="both"/>
              <w:rPr>
                <w:sz w:val="20"/>
              </w:rPr>
            </w:pPr>
            <w:r w:rsidRPr="009F4C66">
              <w:rPr>
                <w:sz w:val="20"/>
              </w:rPr>
              <w:t>(Nadon, Sharlow and Dawson JJ.A.)</w:t>
            </w:r>
          </w:p>
          <w:p w:rsidR="00E75745" w:rsidRPr="009F4C66" w:rsidRDefault="00E75745" w:rsidP="009734DA">
            <w:pPr>
              <w:jc w:val="both"/>
              <w:rPr>
                <w:sz w:val="20"/>
              </w:rPr>
            </w:pP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Applicants’ appeal pursuant to Notice of Status Review dismissed</w:t>
            </w:r>
          </w:p>
          <w:p w:rsidR="00E75745" w:rsidRPr="009F4C66" w:rsidRDefault="00E75745" w:rsidP="009734DA">
            <w:pPr>
              <w:jc w:val="both"/>
              <w:rPr>
                <w:sz w:val="20"/>
              </w:rPr>
            </w:pPr>
          </w:p>
        </w:tc>
      </w:tr>
      <w:tr w:rsidR="00E75745" w:rsidRPr="009F4C66" w:rsidTr="00D515A0">
        <w:trPr>
          <w:cantSplit/>
        </w:trPr>
        <w:tc>
          <w:tcPr>
            <w:tcW w:w="2427" w:type="pct"/>
          </w:tcPr>
          <w:p w:rsidR="00E75745" w:rsidRPr="009F4C66" w:rsidRDefault="00E75745" w:rsidP="009734DA">
            <w:pPr>
              <w:jc w:val="both"/>
              <w:rPr>
                <w:sz w:val="20"/>
              </w:rPr>
            </w:pPr>
            <w:r w:rsidRPr="009F4C66">
              <w:rPr>
                <w:sz w:val="20"/>
              </w:rPr>
              <w:t>December 13, 2011</w:t>
            </w:r>
          </w:p>
          <w:p w:rsidR="00E75745" w:rsidRPr="009F4C66" w:rsidRDefault="00E75745" w:rsidP="009734DA">
            <w:pPr>
              <w:jc w:val="both"/>
              <w:rPr>
                <w:sz w:val="20"/>
              </w:rPr>
            </w:pPr>
            <w:r w:rsidRPr="009F4C66">
              <w:rPr>
                <w:sz w:val="20"/>
              </w:rPr>
              <w:t>Supreme Court of Canada</w:t>
            </w: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Application for leave to appeal filed</w:t>
            </w:r>
          </w:p>
          <w:p w:rsidR="00E75745" w:rsidRPr="009F4C66" w:rsidRDefault="00E75745" w:rsidP="009734DA">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48"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9527"/>
      </w:tblGrid>
      <w:tr w:rsidR="00E75745" w:rsidRPr="00832ABE" w:rsidTr="009734DA">
        <w:tc>
          <w:tcPr>
            <w:tcW w:w="5000" w:type="pct"/>
          </w:tcPr>
          <w:p w:rsidR="00E75745" w:rsidRPr="009F4C66" w:rsidRDefault="00E75745" w:rsidP="009734DA">
            <w:pPr>
              <w:jc w:val="both"/>
              <w:rPr>
                <w:rFonts w:eastAsia="Calibri"/>
                <w:sz w:val="20"/>
                <w:lang w:val="fr-CA"/>
              </w:rPr>
            </w:pPr>
            <w:r w:rsidRPr="009F4C66">
              <w:rPr>
                <w:rFonts w:eastAsia="Calibri"/>
                <w:sz w:val="20"/>
                <w:lang w:val="fr-CA"/>
              </w:rPr>
              <w:t>Procédure civile – Appels – Dépens – Cautionnement pour dépens – Les demandeurs se sont vu ordonner de fournir un cautionnement pour dépens après qu'ils eurent interjeté appel d'une ordonnance radiant la déclaration – Les intimés ont</w:t>
            </w:r>
            <w:r w:rsidRPr="009F4C66">
              <w:rPr>
                <w:rFonts w:eastAsia="Calibri"/>
                <w:sz w:val="20"/>
                <w:lang w:val="fr-CA"/>
              </w:rPr>
              <w:noBreakHyphen/>
              <w:t>ils obtenu les ordonnances portées en appel dans un but illégitime dans le cadre d'un stratagème visant à dissimuler une activité criminelle du gouvernement? – Les demandeurs se sont</w:t>
            </w:r>
            <w:r w:rsidRPr="009F4C66">
              <w:rPr>
                <w:rFonts w:eastAsia="Calibri"/>
                <w:sz w:val="20"/>
                <w:lang w:val="fr-CA"/>
              </w:rPr>
              <w:noBreakHyphen/>
              <w:t>ils vu priver d'accès à un recours? – Les juges des tribunaux d'instance inférieure ont</w:t>
            </w:r>
            <w:r w:rsidRPr="009F4C66">
              <w:rPr>
                <w:rFonts w:eastAsia="Calibri"/>
                <w:sz w:val="20"/>
                <w:lang w:val="fr-CA"/>
              </w:rPr>
              <w:noBreakHyphen/>
              <w:t>ils agi avec partialité envers les demandeurs et ont</w:t>
            </w:r>
            <w:r w:rsidRPr="009F4C66">
              <w:rPr>
                <w:rFonts w:eastAsia="Calibri"/>
                <w:sz w:val="20"/>
                <w:lang w:val="fr-CA"/>
              </w:rPr>
              <w:noBreakHyphen/>
              <w:t>ils abusé de leur pouvoir?</w:t>
            </w:r>
          </w:p>
          <w:p w:rsidR="00E75745" w:rsidRPr="009F4C66" w:rsidRDefault="00E75745" w:rsidP="009734DA">
            <w:pPr>
              <w:jc w:val="both"/>
              <w:rPr>
                <w:rFonts w:eastAsia="Calibri"/>
                <w:sz w:val="20"/>
                <w:lang w:val="fr-CA"/>
              </w:rPr>
            </w:pPr>
          </w:p>
        </w:tc>
      </w:tr>
      <w:tr w:rsidR="00E75745" w:rsidRPr="00832ABE" w:rsidTr="009734DA">
        <w:tc>
          <w:tcPr>
            <w:tcW w:w="5000" w:type="pct"/>
          </w:tcPr>
          <w:p w:rsidR="00E75745" w:rsidRPr="009F4C66" w:rsidRDefault="00E75745" w:rsidP="009734DA">
            <w:pPr>
              <w:jc w:val="both"/>
              <w:rPr>
                <w:rFonts w:eastAsia="Calibri"/>
                <w:sz w:val="20"/>
                <w:lang w:val="fr-CA"/>
              </w:rPr>
            </w:pPr>
            <w:r w:rsidRPr="009F4C66">
              <w:rPr>
                <w:rFonts w:eastAsia="Calibri"/>
                <w:sz w:val="20"/>
                <w:lang w:val="fr-CA"/>
              </w:rPr>
              <w:t>Les demandeurs ont déposé une action au civil en dommages</w:t>
            </w:r>
            <w:r w:rsidRPr="009F4C66">
              <w:rPr>
                <w:rFonts w:eastAsia="Calibri"/>
                <w:sz w:val="20"/>
                <w:lang w:val="fr-CA"/>
              </w:rPr>
              <w:noBreakHyphen/>
              <w:t>intérêts, fondée sur des actes et des omissions présumés de la Couronne fédérale dans la conservation et la protection de secrets liés à la question des politiques d'exportation de l'eau en vrac du Canada et de la Colombie</w:t>
            </w:r>
            <w:r w:rsidRPr="009F4C66">
              <w:rPr>
                <w:rFonts w:eastAsia="Calibri"/>
                <w:sz w:val="20"/>
                <w:lang w:val="fr-CA"/>
              </w:rPr>
              <w:noBreakHyphen/>
              <w:t>Britannique. Les autres intimés, y compris la province de la Colombie</w:t>
            </w:r>
            <w:r w:rsidRPr="009F4C66">
              <w:rPr>
                <w:rFonts w:eastAsia="Calibri"/>
                <w:sz w:val="20"/>
                <w:lang w:val="fr-CA"/>
              </w:rPr>
              <w:noBreakHyphen/>
              <w:t>Britannique, des politiciens et des fonctionnaires ont été poursuivis parce qu'ils auraient agi comme mandataires ou employés de la Couronne fédérale. Le protonotaire a radié la déclaration sans donner l’autorisation de la modifier, avec dépens. L'appel de cette ordonnance interjetée par les demandeurs a été rejeté avec dépens. Le 8 février 2011, plusieurs intimés ont obtenu une ordonnance de la Cour d'appel fédérale obligeant les demandeurs à fourni un cautionnement pour dépens d'un montant de 10 000 $, payable dans les six mois de l'ordonnance. Les demandeurs ont sollicité l'autorisation d'en appeler de cette décision, mais leur demande a été rejetée par la Cour le 13 octobre 2011. La Cour d'appel fédérale a établi un examen de l’état de l’instance, obligeant les demandeurs à déposer et à signifier des observations exposant les raisons pour lesquelles leur appel ne devrait pas être rejeté pour cause de retard et leur enjoignant de justifier leur retard et de proposer un échéancier des étapes requises pour faire progresser le déroulement de l’appel d’une manière expéditive.</w:t>
            </w:r>
          </w:p>
          <w:p w:rsidR="00E75745" w:rsidRPr="009F4C66" w:rsidRDefault="00E75745" w:rsidP="009734DA">
            <w:pPr>
              <w:jc w:val="both"/>
              <w:rPr>
                <w:rFonts w:eastAsia="Calibri"/>
                <w:sz w:val="20"/>
                <w:lang w:val="fr-CA"/>
              </w:rPr>
            </w:pPr>
          </w:p>
        </w:tc>
      </w:tr>
    </w:tbl>
    <w:p w:rsidR="00D515A0" w:rsidRPr="00377F92" w:rsidRDefault="00D515A0">
      <w:pPr>
        <w:rPr>
          <w:lang w:val="fr-CA"/>
        </w:rPr>
      </w:pPr>
    </w:p>
    <w:tbl>
      <w:tblPr>
        <w:tblW w:w="4952" w:type="pct"/>
        <w:tblLayout w:type="fixed"/>
        <w:tblCellMar>
          <w:left w:w="0" w:type="dxa"/>
          <w:bottom w:w="99" w:type="dxa"/>
          <w:right w:w="0" w:type="dxa"/>
        </w:tblCellMar>
        <w:tblLook w:val="00A0"/>
      </w:tblPr>
      <w:tblGrid>
        <w:gridCol w:w="4624"/>
        <w:gridCol w:w="463"/>
        <w:gridCol w:w="4440"/>
      </w:tblGrid>
      <w:tr w:rsidR="00E75745" w:rsidRPr="00832ABE" w:rsidTr="00D515A0">
        <w:trPr>
          <w:cantSplit/>
        </w:trPr>
        <w:tc>
          <w:tcPr>
            <w:tcW w:w="2427" w:type="pct"/>
          </w:tcPr>
          <w:p w:rsidR="00E75745" w:rsidRPr="009F4C66" w:rsidRDefault="00E75745" w:rsidP="009734DA">
            <w:pPr>
              <w:jc w:val="both"/>
              <w:rPr>
                <w:rFonts w:eastAsia="Calibri"/>
                <w:sz w:val="20"/>
                <w:lang w:val="fr-CA"/>
              </w:rPr>
            </w:pPr>
            <w:r w:rsidRPr="009F4C66">
              <w:rPr>
                <w:rFonts w:eastAsia="Calibri"/>
                <w:sz w:val="20"/>
                <w:lang w:val="fr-CA"/>
              </w:rPr>
              <w:t>1</w:t>
            </w:r>
            <w:r w:rsidRPr="009F4C66">
              <w:rPr>
                <w:rFonts w:eastAsia="Calibri"/>
                <w:sz w:val="20"/>
                <w:vertAlign w:val="superscript"/>
                <w:lang w:val="fr-CA"/>
              </w:rPr>
              <w:t>er</w:t>
            </w:r>
            <w:r w:rsidRPr="009F4C66">
              <w:rPr>
                <w:rFonts w:eastAsia="Calibri"/>
                <w:sz w:val="20"/>
                <w:lang w:val="fr-CA"/>
              </w:rPr>
              <w:t xml:space="preserve"> décembre 2009</w:t>
            </w:r>
          </w:p>
          <w:p w:rsidR="00E75745" w:rsidRPr="009F4C66" w:rsidRDefault="00E75745" w:rsidP="009734DA">
            <w:pPr>
              <w:jc w:val="both"/>
              <w:rPr>
                <w:rFonts w:eastAsia="Calibri"/>
                <w:sz w:val="20"/>
                <w:lang w:val="fr-CA"/>
              </w:rPr>
            </w:pPr>
            <w:r w:rsidRPr="009F4C66">
              <w:rPr>
                <w:rFonts w:eastAsia="Calibri"/>
                <w:sz w:val="20"/>
                <w:lang w:val="fr-CA"/>
              </w:rPr>
              <w:t xml:space="preserve">Cour fédérale </w:t>
            </w:r>
          </w:p>
          <w:p w:rsidR="00E75745" w:rsidRPr="009F4C66" w:rsidRDefault="00E75745" w:rsidP="009734DA">
            <w:pPr>
              <w:jc w:val="both"/>
              <w:rPr>
                <w:rFonts w:eastAsia="Calibri"/>
                <w:sz w:val="20"/>
                <w:lang w:val="fr-CA"/>
              </w:rPr>
            </w:pPr>
            <w:r w:rsidRPr="009F4C66">
              <w:rPr>
                <w:rFonts w:eastAsia="Calibri"/>
                <w:sz w:val="20"/>
                <w:lang w:val="fr-CA"/>
              </w:rPr>
              <w:t>(Protonotaire Lafrenière)</w:t>
            </w:r>
          </w:p>
          <w:p w:rsidR="00E75745" w:rsidRPr="009F4C66" w:rsidRDefault="00E75745" w:rsidP="009734DA">
            <w:pPr>
              <w:jc w:val="both"/>
              <w:rPr>
                <w:rFonts w:eastAsia="Calibri"/>
                <w:sz w:val="20"/>
                <w:lang w:val="fr-CA"/>
              </w:rPr>
            </w:pPr>
            <w:r w:rsidRPr="009F4C66">
              <w:rPr>
                <w:rFonts w:eastAsia="Calibri"/>
                <w:sz w:val="20"/>
                <w:lang w:val="fr-CA"/>
              </w:rPr>
              <w:t>2009 FC 1233</w:t>
            </w:r>
          </w:p>
          <w:p w:rsidR="00E75745" w:rsidRPr="009F4C66" w:rsidRDefault="00E75745" w:rsidP="009734DA">
            <w:pPr>
              <w:jc w:val="both"/>
              <w:rPr>
                <w:rFonts w:eastAsia="Calibri"/>
                <w:sz w:val="20"/>
                <w:lang w:val="fr-CA"/>
              </w:rPr>
            </w:pP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Ordonnance radiant la déclaration des demandeurs</w:t>
            </w:r>
          </w:p>
          <w:p w:rsidR="00E75745" w:rsidRPr="009F4C66" w:rsidRDefault="00E75745" w:rsidP="009734DA">
            <w:pPr>
              <w:jc w:val="both"/>
              <w:rPr>
                <w:rFonts w:eastAsia="Calibri"/>
                <w:sz w:val="20"/>
                <w:lang w:val="fr-CA"/>
              </w:rPr>
            </w:pPr>
          </w:p>
        </w:tc>
      </w:tr>
      <w:tr w:rsidR="00E75745" w:rsidRPr="00832ABE" w:rsidTr="00D515A0">
        <w:trPr>
          <w:cantSplit/>
        </w:trPr>
        <w:tc>
          <w:tcPr>
            <w:tcW w:w="2427" w:type="pct"/>
          </w:tcPr>
          <w:p w:rsidR="00E75745" w:rsidRPr="009F4C66" w:rsidRDefault="00E75745" w:rsidP="009734DA">
            <w:pPr>
              <w:jc w:val="both"/>
              <w:rPr>
                <w:rFonts w:eastAsia="Calibri"/>
                <w:sz w:val="20"/>
                <w:lang w:val="fr-CA"/>
              </w:rPr>
            </w:pPr>
            <w:r w:rsidRPr="009F4C66">
              <w:rPr>
                <w:rFonts w:eastAsia="Calibri"/>
                <w:sz w:val="20"/>
                <w:lang w:val="fr-CA"/>
              </w:rPr>
              <w:t>27 août 2010</w:t>
            </w:r>
          </w:p>
          <w:p w:rsidR="00E75745" w:rsidRPr="009F4C66" w:rsidRDefault="00E75745" w:rsidP="009734DA">
            <w:pPr>
              <w:jc w:val="both"/>
              <w:rPr>
                <w:rFonts w:eastAsia="Calibri"/>
                <w:sz w:val="20"/>
                <w:lang w:val="fr-CA"/>
              </w:rPr>
            </w:pPr>
            <w:r w:rsidRPr="009F4C66">
              <w:rPr>
                <w:rFonts w:eastAsia="Calibri"/>
                <w:sz w:val="20"/>
                <w:lang w:val="fr-CA"/>
              </w:rPr>
              <w:t xml:space="preserve">Cour fédérale </w:t>
            </w:r>
          </w:p>
          <w:p w:rsidR="00E75745" w:rsidRPr="009F4C66" w:rsidRDefault="00E75745" w:rsidP="009734DA">
            <w:pPr>
              <w:jc w:val="both"/>
              <w:rPr>
                <w:rFonts w:eastAsia="Calibri"/>
                <w:sz w:val="20"/>
                <w:lang w:val="fr-CA"/>
              </w:rPr>
            </w:pPr>
            <w:r w:rsidRPr="009F4C66">
              <w:rPr>
                <w:rFonts w:eastAsia="Calibri"/>
                <w:sz w:val="20"/>
                <w:lang w:val="fr-CA"/>
              </w:rPr>
              <w:t>(Juge Gauthier)</w:t>
            </w:r>
          </w:p>
          <w:p w:rsidR="00E75745" w:rsidRPr="009F4C66" w:rsidRDefault="00E75745" w:rsidP="009734DA">
            <w:pPr>
              <w:jc w:val="both"/>
              <w:rPr>
                <w:rFonts w:eastAsia="Calibri"/>
                <w:sz w:val="20"/>
                <w:lang w:val="fr-CA"/>
              </w:rPr>
            </w:pPr>
            <w:r w:rsidRPr="009F4C66">
              <w:rPr>
                <w:rFonts w:eastAsia="Calibri"/>
                <w:sz w:val="20"/>
                <w:lang w:val="fr-CA"/>
              </w:rPr>
              <w:t>2010 FC 857</w:t>
            </w:r>
          </w:p>
          <w:p w:rsidR="00E75745" w:rsidRPr="009F4C66" w:rsidRDefault="00E75745" w:rsidP="009734DA">
            <w:pPr>
              <w:jc w:val="both"/>
              <w:rPr>
                <w:rFonts w:eastAsia="Calibri"/>
                <w:sz w:val="20"/>
                <w:lang w:val="fr-CA"/>
              </w:rPr>
            </w:pP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Appel des demandeurs rejeté avec dépens de 750 $ payables à chaque intimé</w:t>
            </w:r>
          </w:p>
          <w:p w:rsidR="00E75745" w:rsidRPr="009F4C66" w:rsidRDefault="00E75745" w:rsidP="009734DA">
            <w:pPr>
              <w:jc w:val="both"/>
              <w:rPr>
                <w:rFonts w:eastAsia="Calibri"/>
                <w:sz w:val="20"/>
                <w:lang w:val="fr-CA"/>
              </w:rPr>
            </w:pPr>
          </w:p>
        </w:tc>
      </w:tr>
      <w:tr w:rsidR="00E75745" w:rsidRPr="00832ABE" w:rsidTr="00D515A0">
        <w:trPr>
          <w:cantSplit/>
          <w:trHeight w:val="690"/>
        </w:trPr>
        <w:tc>
          <w:tcPr>
            <w:tcW w:w="2427" w:type="pct"/>
          </w:tcPr>
          <w:p w:rsidR="00E75745" w:rsidRPr="009F4C66" w:rsidRDefault="00E75745" w:rsidP="009734DA">
            <w:pPr>
              <w:jc w:val="both"/>
              <w:rPr>
                <w:rFonts w:eastAsia="Calibri"/>
                <w:sz w:val="20"/>
                <w:lang w:val="fr-CA"/>
              </w:rPr>
            </w:pPr>
            <w:r w:rsidRPr="009F4C66">
              <w:rPr>
                <w:rFonts w:eastAsia="Calibri"/>
                <w:sz w:val="20"/>
                <w:lang w:val="fr-CA"/>
              </w:rPr>
              <w:t>8 février 2011</w:t>
            </w:r>
          </w:p>
          <w:p w:rsidR="00E75745" w:rsidRPr="009F4C66" w:rsidRDefault="00E75745" w:rsidP="009734DA">
            <w:pPr>
              <w:jc w:val="both"/>
              <w:rPr>
                <w:rFonts w:eastAsia="Calibri"/>
                <w:sz w:val="20"/>
                <w:lang w:val="fr-CA"/>
              </w:rPr>
            </w:pPr>
            <w:r w:rsidRPr="009F4C66">
              <w:rPr>
                <w:rFonts w:eastAsia="Calibri"/>
                <w:sz w:val="20"/>
                <w:lang w:val="fr-CA"/>
              </w:rPr>
              <w:t xml:space="preserve">Cour d'appel fédérale </w:t>
            </w:r>
          </w:p>
          <w:p w:rsidR="00E75745" w:rsidRPr="009F4C66" w:rsidRDefault="00E75745" w:rsidP="009734DA">
            <w:pPr>
              <w:jc w:val="both"/>
              <w:rPr>
                <w:rFonts w:eastAsia="Calibri"/>
                <w:sz w:val="20"/>
                <w:lang w:val="fr-CA"/>
              </w:rPr>
            </w:pPr>
            <w:r w:rsidRPr="009F4C66">
              <w:rPr>
                <w:rFonts w:eastAsia="Calibri"/>
                <w:sz w:val="20"/>
                <w:lang w:val="fr-CA"/>
              </w:rPr>
              <w:t>(Juge Layden</w:t>
            </w:r>
            <w:r w:rsidRPr="009F4C66">
              <w:rPr>
                <w:rFonts w:eastAsia="Calibri"/>
                <w:sz w:val="20"/>
                <w:lang w:val="fr-CA"/>
              </w:rPr>
              <w:noBreakHyphen/>
              <w:t>Stevenson)</w:t>
            </w:r>
          </w:p>
          <w:p w:rsidR="00E75745" w:rsidRPr="009F4C66" w:rsidRDefault="00E75745" w:rsidP="009734DA">
            <w:pPr>
              <w:jc w:val="both"/>
              <w:rPr>
                <w:rFonts w:eastAsia="Calibri"/>
                <w:sz w:val="20"/>
                <w:lang w:val="fr-CA"/>
              </w:rPr>
            </w:pPr>
            <w:r w:rsidRPr="009F4C66">
              <w:rPr>
                <w:rFonts w:eastAsia="Calibri"/>
                <w:sz w:val="20"/>
                <w:lang w:val="fr-CA"/>
              </w:rPr>
              <w:t xml:space="preserve">2011 FCA 48 </w:t>
            </w:r>
          </w:p>
          <w:p w:rsidR="00E75745" w:rsidRPr="009F4C66" w:rsidRDefault="00E75745" w:rsidP="009734DA">
            <w:pPr>
              <w:jc w:val="both"/>
              <w:rPr>
                <w:rFonts w:eastAsia="Calibri"/>
                <w:sz w:val="20"/>
                <w:lang w:val="fr-CA"/>
              </w:rPr>
            </w:pP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Requêtes de plusieurs intimés pour obliger les demandeurs à verser un cautionnement pour dépens, accueillies; le juge ordonne aux demandeurs de payer 10 000 $ dans un délai de six mois</w:t>
            </w:r>
          </w:p>
          <w:p w:rsidR="00E75745" w:rsidRPr="009F4C66" w:rsidRDefault="00E75745" w:rsidP="009734DA">
            <w:pPr>
              <w:jc w:val="both"/>
              <w:rPr>
                <w:rFonts w:eastAsia="Calibri"/>
                <w:sz w:val="20"/>
                <w:lang w:val="fr-CA"/>
              </w:rPr>
            </w:pPr>
          </w:p>
        </w:tc>
      </w:tr>
      <w:tr w:rsidR="00E75745" w:rsidRPr="00832ABE" w:rsidTr="00D515A0">
        <w:trPr>
          <w:cantSplit/>
          <w:trHeight w:val="690"/>
        </w:trPr>
        <w:tc>
          <w:tcPr>
            <w:tcW w:w="2427" w:type="pct"/>
          </w:tcPr>
          <w:p w:rsidR="00E75745" w:rsidRPr="009F4C66" w:rsidRDefault="00E75745" w:rsidP="009734DA">
            <w:pPr>
              <w:jc w:val="both"/>
              <w:rPr>
                <w:rFonts w:eastAsia="Calibri"/>
                <w:sz w:val="20"/>
                <w:lang w:val="fr-CA"/>
              </w:rPr>
            </w:pPr>
            <w:r w:rsidRPr="009F4C66">
              <w:rPr>
                <w:rFonts w:eastAsia="Calibri"/>
                <w:sz w:val="20"/>
                <w:lang w:val="fr-CA"/>
              </w:rPr>
              <w:t>13 octobre 2011</w:t>
            </w:r>
          </w:p>
          <w:p w:rsidR="00E75745" w:rsidRPr="009F4C66" w:rsidRDefault="00E75745" w:rsidP="009734DA">
            <w:pPr>
              <w:jc w:val="both"/>
              <w:rPr>
                <w:rFonts w:eastAsia="Calibri"/>
                <w:sz w:val="20"/>
                <w:lang w:val="fr-CA"/>
              </w:rPr>
            </w:pPr>
            <w:r w:rsidRPr="009F4C66">
              <w:rPr>
                <w:rFonts w:eastAsia="Calibri"/>
                <w:sz w:val="20"/>
                <w:lang w:val="fr-CA"/>
              </w:rPr>
              <w:t>Cour suprême du Canada</w:t>
            </w:r>
          </w:p>
          <w:p w:rsidR="00E75745" w:rsidRPr="009F4C66" w:rsidRDefault="00E75745" w:rsidP="009734DA">
            <w:pPr>
              <w:jc w:val="both"/>
              <w:rPr>
                <w:rFonts w:eastAsia="Calibri"/>
                <w:sz w:val="20"/>
                <w:lang w:val="fr-CA"/>
              </w:rPr>
            </w:pP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Demande d'autorisation d'appel des demandeurs, rejetée</w:t>
            </w:r>
          </w:p>
        </w:tc>
      </w:tr>
      <w:tr w:rsidR="00E75745" w:rsidRPr="00832ABE" w:rsidTr="00D515A0">
        <w:trPr>
          <w:cantSplit/>
        </w:trPr>
        <w:tc>
          <w:tcPr>
            <w:tcW w:w="2427" w:type="pct"/>
          </w:tcPr>
          <w:p w:rsidR="00E75745" w:rsidRPr="009F4C66" w:rsidRDefault="00E75745" w:rsidP="009734DA">
            <w:pPr>
              <w:jc w:val="both"/>
              <w:rPr>
                <w:rFonts w:eastAsia="Calibri"/>
                <w:sz w:val="20"/>
                <w:lang w:val="fr-CA"/>
              </w:rPr>
            </w:pPr>
            <w:r w:rsidRPr="009F4C66">
              <w:rPr>
                <w:rFonts w:eastAsia="Calibri"/>
                <w:sz w:val="20"/>
                <w:lang w:val="fr-CA"/>
              </w:rPr>
              <w:t>19 octobre 2011</w:t>
            </w:r>
          </w:p>
          <w:p w:rsidR="00E75745" w:rsidRPr="009F4C66" w:rsidRDefault="00E75745" w:rsidP="009734DA">
            <w:pPr>
              <w:jc w:val="both"/>
              <w:rPr>
                <w:rFonts w:eastAsia="Calibri"/>
                <w:sz w:val="20"/>
                <w:lang w:val="fr-CA"/>
              </w:rPr>
            </w:pPr>
            <w:r w:rsidRPr="009F4C66">
              <w:rPr>
                <w:rFonts w:eastAsia="Calibri"/>
                <w:sz w:val="20"/>
                <w:lang w:val="fr-CA"/>
              </w:rPr>
              <w:t xml:space="preserve">Cour d'appel fédérale </w:t>
            </w:r>
          </w:p>
          <w:p w:rsidR="00E75745" w:rsidRPr="009F4C66" w:rsidRDefault="00E75745" w:rsidP="009734DA">
            <w:pPr>
              <w:jc w:val="both"/>
              <w:rPr>
                <w:rFonts w:eastAsia="Calibri"/>
                <w:sz w:val="20"/>
                <w:lang w:val="fr-CA"/>
              </w:rPr>
            </w:pPr>
            <w:r w:rsidRPr="009F4C66">
              <w:rPr>
                <w:rFonts w:eastAsia="Calibri"/>
                <w:sz w:val="20"/>
                <w:lang w:val="fr-CA"/>
              </w:rPr>
              <w:t>(Juges Nadon, Sharlow et Dawson)</w:t>
            </w:r>
          </w:p>
          <w:p w:rsidR="00E75745" w:rsidRPr="009F4C66" w:rsidRDefault="00E75745" w:rsidP="009734DA">
            <w:pPr>
              <w:jc w:val="both"/>
              <w:rPr>
                <w:rFonts w:eastAsia="Calibri"/>
                <w:sz w:val="20"/>
                <w:lang w:val="fr-CA"/>
              </w:rPr>
            </w:pP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Appel des demandeurs à la suite de l'examen de l’état de l’instance, rejeté</w:t>
            </w:r>
          </w:p>
          <w:p w:rsidR="00E75745" w:rsidRPr="009F4C66" w:rsidRDefault="00E75745" w:rsidP="009734DA">
            <w:pPr>
              <w:jc w:val="both"/>
              <w:rPr>
                <w:rFonts w:eastAsia="Calibri"/>
                <w:sz w:val="20"/>
                <w:lang w:val="fr-CA"/>
              </w:rPr>
            </w:pPr>
          </w:p>
        </w:tc>
      </w:tr>
      <w:tr w:rsidR="00E75745" w:rsidRPr="009F4C66" w:rsidTr="00D515A0">
        <w:trPr>
          <w:cantSplit/>
        </w:trPr>
        <w:tc>
          <w:tcPr>
            <w:tcW w:w="2427" w:type="pct"/>
          </w:tcPr>
          <w:p w:rsidR="00E75745" w:rsidRPr="009F4C66" w:rsidRDefault="00E75745" w:rsidP="009734DA">
            <w:pPr>
              <w:jc w:val="both"/>
              <w:rPr>
                <w:rFonts w:eastAsia="Calibri"/>
                <w:sz w:val="20"/>
                <w:lang w:val="fr-CA"/>
              </w:rPr>
            </w:pPr>
            <w:r w:rsidRPr="009F4C66">
              <w:rPr>
                <w:rFonts w:eastAsia="Calibri"/>
                <w:sz w:val="20"/>
                <w:lang w:val="fr-CA"/>
              </w:rPr>
              <w:t>13 décembre 2011</w:t>
            </w:r>
          </w:p>
          <w:p w:rsidR="00E75745" w:rsidRPr="009F4C66" w:rsidRDefault="00E75745" w:rsidP="009734DA">
            <w:pPr>
              <w:jc w:val="both"/>
              <w:rPr>
                <w:rFonts w:eastAsia="Calibri"/>
                <w:sz w:val="20"/>
                <w:lang w:val="fr-CA"/>
              </w:rPr>
            </w:pPr>
            <w:r w:rsidRPr="009F4C66">
              <w:rPr>
                <w:rFonts w:eastAsia="Calibri"/>
                <w:sz w:val="20"/>
                <w:lang w:val="fr-CA"/>
              </w:rPr>
              <w:t>Cour suprême du Canada</w:t>
            </w: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Demande d'autorisation d'appel, déposée</w:t>
            </w:r>
          </w:p>
          <w:p w:rsidR="00E75745" w:rsidRPr="009F4C66" w:rsidRDefault="00E75745" w:rsidP="009734DA">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49"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15A0" w:rsidRPr="00D515A0" w:rsidTr="001600B8">
        <w:trPr>
          <w:cantSplit/>
        </w:trPr>
        <w:tc>
          <w:tcPr>
            <w:tcW w:w="1458" w:type="dxa"/>
          </w:tcPr>
          <w:p w:rsidR="00D515A0" w:rsidRPr="00D515A0" w:rsidRDefault="00D515A0" w:rsidP="001600B8">
            <w:pPr>
              <w:rPr>
                <w:sz w:val="20"/>
                <w:szCs w:val="20"/>
              </w:rPr>
            </w:pPr>
            <w:r w:rsidRPr="00D515A0">
              <w:rPr>
                <w:rStyle w:val="SCCFileNumberChar"/>
                <w:sz w:val="20"/>
                <w:szCs w:val="20"/>
              </w:rPr>
              <w:t>343</w:t>
            </w:r>
            <w:r>
              <w:rPr>
                <w:rStyle w:val="SCCFileNumberChar"/>
                <w:sz w:val="20"/>
                <w:szCs w:val="20"/>
              </w:rPr>
              <w:t>04</w:t>
            </w:r>
          </w:p>
          <w:p w:rsidR="00D515A0" w:rsidRPr="00D515A0" w:rsidRDefault="00D515A0" w:rsidP="001600B8">
            <w:pPr>
              <w:rPr>
                <w:b/>
                <w:sz w:val="20"/>
                <w:szCs w:val="20"/>
                <w:lang w:val="fr-CA"/>
              </w:rPr>
            </w:pPr>
          </w:p>
        </w:tc>
        <w:tc>
          <w:tcPr>
            <w:tcW w:w="8118" w:type="dxa"/>
          </w:tcPr>
          <w:p w:rsidR="00537D5C" w:rsidRDefault="001600B8" w:rsidP="001600B8">
            <w:pPr>
              <w:jc w:val="both"/>
              <w:rPr>
                <w:sz w:val="20"/>
              </w:rPr>
            </w:pPr>
            <w:r w:rsidRPr="001600B8">
              <w:rPr>
                <w:b/>
                <w:sz w:val="20"/>
                <w:u w:val="single"/>
              </w:rPr>
              <w:t>Eric Victor Cojocaru, an infant by his Guardian Ad Litem, Monica Cojocaru, and the said Monica Cojocaru v. British Columbia Women's Hospital and Health Center and F. Bellini, Dale R. Steele, Jeremy A. Green, Jenise Yue, Jennifer Muir, Fawaz Edris, C. Scott, C. Wong, M. Voerwold, K. Gleeson, C. MacQueen, Jane Doe and John Doe AND BETWEEN Eric Victor Cojocaru, an infant by his Guardian Ad Litem, Monica Cojocaru, and the said Monica Cojocaru v. Dale R. Steele, Jenise Yue, Fawaz Edris, Jeremy A. Green, Jennifer Muir, C. Scott, C. Wong, M. Voerwold, K. Gleeson, C. Macqueen, Jane Doe and John Doe, British Columbia Women's Hospital and Health Center and F. Bellini</w:t>
            </w:r>
            <w:r>
              <w:rPr>
                <w:b/>
                <w:sz w:val="20"/>
              </w:rPr>
              <w:t xml:space="preserve"> </w:t>
            </w:r>
            <w:r w:rsidRPr="009F4C66">
              <w:rPr>
                <w:sz w:val="20"/>
              </w:rPr>
              <w:t>(B.C.) (Civil) (By Leave)</w:t>
            </w:r>
          </w:p>
          <w:p w:rsidR="00D515A0" w:rsidRPr="00D515A0" w:rsidRDefault="00D515A0" w:rsidP="001600B8">
            <w:pPr>
              <w:rPr>
                <w:sz w:val="20"/>
                <w:szCs w:val="20"/>
              </w:rPr>
            </w:pPr>
          </w:p>
        </w:tc>
      </w:tr>
      <w:tr w:rsidR="00D515A0" w:rsidRPr="00D515A0" w:rsidTr="001600B8">
        <w:trPr>
          <w:cantSplit/>
        </w:trPr>
        <w:tc>
          <w:tcPr>
            <w:tcW w:w="1458" w:type="dxa"/>
          </w:tcPr>
          <w:p w:rsidR="00D515A0" w:rsidRPr="00D515A0" w:rsidRDefault="00D515A0" w:rsidP="001600B8">
            <w:pPr>
              <w:rPr>
                <w:sz w:val="20"/>
                <w:szCs w:val="20"/>
              </w:rPr>
            </w:pPr>
            <w:r w:rsidRPr="00D515A0">
              <w:rPr>
                <w:sz w:val="20"/>
                <w:szCs w:val="20"/>
              </w:rPr>
              <w:t>Coram :</w:t>
            </w:r>
          </w:p>
        </w:tc>
        <w:tc>
          <w:tcPr>
            <w:tcW w:w="8118" w:type="dxa"/>
          </w:tcPr>
          <w:p w:rsidR="00D515A0" w:rsidRPr="00D515A0" w:rsidRDefault="00D515A0" w:rsidP="001600B8">
            <w:pPr>
              <w:rPr>
                <w:sz w:val="20"/>
                <w:szCs w:val="20"/>
              </w:rPr>
            </w:pPr>
            <w:r w:rsidRPr="00D515A0">
              <w:rPr>
                <w:rStyle w:val="SCCCoramChar"/>
                <w:sz w:val="20"/>
                <w:szCs w:val="20"/>
                <w:lang w:val="en-CA"/>
              </w:rPr>
              <w:t xml:space="preserve">McLachlin C.J. and </w:t>
            </w:r>
            <w:r>
              <w:rPr>
                <w:rStyle w:val="SCCCoramChar"/>
                <w:sz w:val="20"/>
                <w:szCs w:val="20"/>
                <w:lang w:val="en-CA"/>
              </w:rPr>
              <w:t xml:space="preserve">Rothstein </w:t>
            </w:r>
            <w:r w:rsidRPr="00D515A0">
              <w:rPr>
                <w:rStyle w:val="SCCCoramChar"/>
                <w:sz w:val="20"/>
                <w:szCs w:val="20"/>
                <w:lang w:val="en-CA"/>
              </w:rPr>
              <w:t xml:space="preserve">and </w:t>
            </w:r>
            <w:r>
              <w:rPr>
                <w:rStyle w:val="SCCCoramChar"/>
                <w:sz w:val="20"/>
                <w:szCs w:val="20"/>
                <w:lang w:val="en-CA"/>
              </w:rPr>
              <w:t>Moldaver</w:t>
            </w:r>
            <w:r w:rsidRPr="00D515A0">
              <w:rPr>
                <w:rStyle w:val="SCCCoramChar"/>
                <w:sz w:val="20"/>
                <w:szCs w:val="20"/>
                <w:lang w:val="en-CA"/>
              </w:rPr>
              <w:t> JJ.</w:t>
            </w:r>
          </w:p>
          <w:p w:rsidR="00D515A0" w:rsidRPr="00D515A0" w:rsidRDefault="00D515A0" w:rsidP="001600B8">
            <w:pPr>
              <w:rPr>
                <w:sz w:val="20"/>
                <w:szCs w:val="20"/>
                <w:u w:val="single"/>
              </w:rPr>
            </w:pPr>
          </w:p>
        </w:tc>
      </w:tr>
      <w:tr w:rsidR="00D515A0" w:rsidRPr="00832ABE" w:rsidTr="001600B8">
        <w:trPr>
          <w:cantSplit/>
        </w:trPr>
        <w:tc>
          <w:tcPr>
            <w:tcW w:w="9576" w:type="dxa"/>
            <w:gridSpan w:val="2"/>
          </w:tcPr>
          <w:p w:rsidR="00D515A0" w:rsidRPr="00D515A0" w:rsidRDefault="00537D5C" w:rsidP="00537D5C">
            <w:pPr>
              <w:pStyle w:val="SCCShortJudgment"/>
              <w:rPr>
                <w:szCs w:val="20"/>
              </w:rPr>
            </w:pPr>
            <w:r w:rsidRPr="00A819B6">
              <w:rPr>
                <w:szCs w:val="20"/>
              </w:rPr>
              <w:t>The motion for an extension of time to serve and file the application for leave to cross-appeal is granted. The application for leave to cross-appeal from the judgment of the</w:t>
            </w:r>
            <w:bookmarkStart w:id="1" w:name="BM_1_"/>
            <w:bookmarkEnd w:id="1"/>
            <w:r w:rsidRPr="00A819B6">
              <w:rPr>
                <w:szCs w:val="20"/>
              </w:rPr>
              <w:t xml:space="preserve"> Court of Appeal for British Columbia (Vancouver), Numbers CA037090 and CA037107, 2011 BCCA 192, dated April 14, 2011 is granted with costs in the cause.</w:t>
            </w:r>
          </w:p>
          <w:p w:rsidR="00D515A0" w:rsidRPr="00D515A0" w:rsidRDefault="00D515A0" w:rsidP="001600B8">
            <w:pPr>
              <w:pStyle w:val="SCCShortJudgment"/>
              <w:ind w:firstLine="0"/>
              <w:rPr>
                <w:szCs w:val="20"/>
              </w:rPr>
            </w:pPr>
          </w:p>
          <w:p w:rsidR="00D515A0" w:rsidRPr="00D515A0" w:rsidRDefault="00537D5C" w:rsidP="00537D5C">
            <w:pPr>
              <w:pStyle w:val="SCCShortJudgment"/>
              <w:rPr>
                <w:szCs w:val="20"/>
                <w:lang w:val="fr-CA"/>
              </w:rPr>
            </w:pPr>
            <w:r w:rsidRPr="00A819B6">
              <w:rPr>
                <w:szCs w:val="20"/>
                <w:lang w:val="fr-CA"/>
              </w:rPr>
              <w:t>La requête en  prorogation du délai de signification et de dépôt de la demande d’autorisation d’appel incident est accueillie.  La demande d’autorisation d’appel incident de l’arrêt de la Cour d’appel de la Colombie-Britannique (Vancouver), numéros CA037090 et CA037107, 2011 BCCA 192, daté du 14 avril 2011, est accueillie avec dépens suivant l’issue de la cause.</w:t>
            </w:r>
            <w:r w:rsidRPr="00D515A0">
              <w:rPr>
                <w:szCs w:val="20"/>
                <w:lang w:val="fr-CA"/>
              </w:rPr>
              <w:t xml:space="preserve"> </w:t>
            </w:r>
          </w:p>
        </w:tc>
      </w:tr>
    </w:tbl>
    <w:p w:rsidR="00140B84" w:rsidRPr="00D515A0"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75745" w:rsidRPr="009F4C66" w:rsidTr="009734DA">
        <w:tc>
          <w:tcPr>
            <w:tcW w:w="5000" w:type="pct"/>
            <w:gridSpan w:val="3"/>
          </w:tcPr>
          <w:p w:rsidR="00E75745" w:rsidRPr="009F4C66" w:rsidRDefault="00E75745" w:rsidP="009734DA">
            <w:pPr>
              <w:jc w:val="both"/>
              <w:rPr>
                <w:sz w:val="20"/>
              </w:rPr>
            </w:pPr>
            <w:r w:rsidRPr="009F4C66">
              <w:rPr>
                <w:sz w:val="20"/>
              </w:rPr>
              <w:t>Appeals ― Judgments ― Reasons for judgment ― Decision of the trial judge contained large sections of the applicants’ written closing submissions, without attribution ― Court of Appeal majority allowed appeals and ordered a new trial ― When and under what circumstances can a trial judge adopt and incorporate in a judgment, without attribution, the submissions of a party?</w:t>
            </w:r>
          </w:p>
          <w:p w:rsidR="00E75745" w:rsidRPr="009F4C66" w:rsidRDefault="00E75745" w:rsidP="009734DA">
            <w:pPr>
              <w:jc w:val="both"/>
              <w:rPr>
                <w:sz w:val="20"/>
              </w:rPr>
            </w:pPr>
          </w:p>
        </w:tc>
      </w:tr>
      <w:tr w:rsidR="00E75745" w:rsidRPr="009F4C66" w:rsidTr="009734DA">
        <w:tc>
          <w:tcPr>
            <w:tcW w:w="5000" w:type="pct"/>
            <w:gridSpan w:val="3"/>
          </w:tcPr>
          <w:p w:rsidR="00E75745" w:rsidRPr="009F4C66" w:rsidRDefault="00E75745" w:rsidP="009734DA">
            <w:pPr>
              <w:jc w:val="both"/>
              <w:rPr>
                <w:sz w:val="20"/>
              </w:rPr>
            </w:pPr>
            <w:r w:rsidRPr="009F4C66">
              <w:rPr>
                <w:sz w:val="20"/>
              </w:rPr>
              <w:t>The applicant, Eric Victor Cojocaru, the son of the applicant Monica Cojocaru, suffered brain damage during his birth at the B.C. Women’s Hospital and Health Care Center.  An action was commenced against the hospital and its employees.  At trial, the respondents were found to be liable and damages of $4 million were awarded.  However, in his reasons, the trial judge copied almost word</w:t>
            </w:r>
            <w:r w:rsidRPr="009F4C66">
              <w:rPr>
                <w:sz w:val="20"/>
              </w:rPr>
              <w:noBreakHyphen/>
              <w:t>for</w:t>
            </w:r>
            <w:r w:rsidRPr="009F4C66">
              <w:rPr>
                <w:sz w:val="20"/>
              </w:rPr>
              <w:noBreakHyphen/>
              <w:t>word, without attribution, significant portions of the applicants’ closing submissions.</w:t>
            </w:r>
          </w:p>
          <w:p w:rsidR="00E75745" w:rsidRPr="009F4C66" w:rsidRDefault="00E75745" w:rsidP="009734DA">
            <w:pPr>
              <w:jc w:val="both"/>
              <w:rPr>
                <w:sz w:val="20"/>
              </w:rPr>
            </w:pPr>
          </w:p>
          <w:p w:rsidR="00E75745" w:rsidRPr="009F4C66" w:rsidRDefault="00E75745" w:rsidP="009734DA">
            <w:pPr>
              <w:jc w:val="both"/>
              <w:rPr>
                <w:sz w:val="20"/>
              </w:rPr>
            </w:pPr>
            <w:r w:rsidRPr="009F4C66">
              <w:rPr>
                <w:sz w:val="20"/>
              </w:rPr>
              <w:t xml:space="preserve">The majority of the Court of Appeal allowed the appeals and ordered a new trial.  The dissenting reasons reviewed the trial decision on its merits and would have allowed the appeals in part.  </w:t>
            </w:r>
          </w:p>
          <w:p w:rsidR="00E75745" w:rsidRPr="009F4C66" w:rsidRDefault="00E75745" w:rsidP="009734DA">
            <w:pPr>
              <w:jc w:val="both"/>
              <w:rPr>
                <w:sz w:val="20"/>
              </w:rPr>
            </w:pPr>
          </w:p>
        </w:tc>
      </w:tr>
      <w:tr w:rsidR="00E75745" w:rsidRPr="009F4C66" w:rsidTr="009734DA">
        <w:tc>
          <w:tcPr>
            <w:tcW w:w="2427" w:type="pct"/>
          </w:tcPr>
          <w:p w:rsidR="00E75745" w:rsidRPr="009F4C66" w:rsidRDefault="00E75745" w:rsidP="009734DA">
            <w:pPr>
              <w:jc w:val="both"/>
              <w:rPr>
                <w:sz w:val="20"/>
              </w:rPr>
            </w:pPr>
            <w:r w:rsidRPr="009F4C66">
              <w:rPr>
                <w:sz w:val="20"/>
              </w:rPr>
              <w:t>April 9, 2009</w:t>
            </w:r>
          </w:p>
          <w:p w:rsidR="00E75745" w:rsidRPr="009F4C66" w:rsidRDefault="00E75745" w:rsidP="009734DA">
            <w:pPr>
              <w:jc w:val="both"/>
              <w:rPr>
                <w:sz w:val="20"/>
              </w:rPr>
            </w:pPr>
            <w:r w:rsidRPr="009F4C66">
              <w:rPr>
                <w:sz w:val="20"/>
              </w:rPr>
              <w:t>Supreme Court of British Columbia</w:t>
            </w:r>
          </w:p>
          <w:p w:rsidR="00E75745" w:rsidRPr="009F4C66" w:rsidRDefault="00E75745" w:rsidP="009734DA">
            <w:pPr>
              <w:jc w:val="both"/>
              <w:rPr>
                <w:sz w:val="20"/>
              </w:rPr>
            </w:pPr>
            <w:r w:rsidRPr="009F4C66">
              <w:rPr>
                <w:sz w:val="20"/>
              </w:rPr>
              <w:t>(Groves J.)</w:t>
            </w:r>
          </w:p>
          <w:p w:rsidR="00E75745" w:rsidRPr="009F4C66" w:rsidRDefault="00E75745" w:rsidP="009734DA">
            <w:pPr>
              <w:jc w:val="both"/>
              <w:rPr>
                <w:sz w:val="20"/>
              </w:rPr>
            </w:pPr>
            <w:r w:rsidRPr="009F4C66">
              <w:rPr>
                <w:sz w:val="20"/>
              </w:rPr>
              <w:t xml:space="preserve">2009 BCSC 494 </w:t>
            </w:r>
          </w:p>
          <w:p w:rsidR="00E75745" w:rsidRPr="009F4C66" w:rsidRDefault="00E75745" w:rsidP="009734DA">
            <w:pPr>
              <w:jc w:val="both"/>
              <w:rPr>
                <w:sz w:val="20"/>
              </w:rPr>
            </w:pP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 xml:space="preserve">Respondents found liable and applicants awarded damages </w:t>
            </w:r>
          </w:p>
        </w:tc>
      </w:tr>
      <w:tr w:rsidR="00E75745" w:rsidRPr="009F4C66" w:rsidTr="009734DA">
        <w:tc>
          <w:tcPr>
            <w:tcW w:w="2427" w:type="pct"/>
          </w:tcPr>
          <w:p w:rsidR="00E75745" w:rsidRPr="009F4C66" w:rsidRDefault="00E75745" w:rsidP="009734DA">
            <w:pPr>
              <w:jc w:val="both"/>
              <w:rPr>
                <w:sz w:val="20"/>
              </w:rPr>
            </w:pPr>
            <w:r w:rsidRPr="009F4C66">
              <w:rPr>
                <w:sz w:val="20"/>
              </w:rPr>
              <w:t>April 14, 2011</w:t>
            </w:r>
          </w:p>
          <w:p w:rsidR="00E75745" w:rsidRPr="009F4C66" w:rsidRDefault="00E75745" w:rsidP="009734DA">
            <w:pPr>
              <w:jc w:val="both"/>
              <w:rPr>
                <w:sz w:val="20"/>
              </w:rPr>
            </w:pPr>
            <w:r w:rsidRPr="009F4C66">
              <w:rPr>
                <w:sz w:val="20"/>
              </w:rPr>
              <w:t>Court of Appeal for British Columbia (Vancouver)</w:t>
            </w:r>
          </w:p>
          <w:p w:rsidR="00E75745" w:rsidRPr="009F4C66" w:rsidRDefault="00E75745" w:rsidP="009734DA">
            <w:pPr>
              <w:jc w:val="both"/>
              <w:rPr>
                <w:sz w:val="20"/>
              </w:rPr>
            </w:pPr>
            <w:r w:rsidRPr="009F4C66">
              <w:rPr>
                <w:sz w:val="20"/>
              </w:rPr>
              <w:t>(Smith J.A. (dissenting) and Levine and Kirkpatrick JJ.A)</w:t>
            </w:r>
          </w:p>
          <w:p w:rsidR="00E75745" w:rsidRPr="009F4C66" w:rsidRDefault="00E75745" w:rsidP="009734DA">
            <w:pPr>
              <w:jc w:val="both"/>
              <w:rPr>
                <w:sz w:val="20"/>
              </w:rPr>
            </w:pPr>
            <w:r w:rsidRPr="009F4C66">
              <w:rPr>
                <w:sz w:val="20"/>
              </w:rPr>
              <w:t>2011 BCCA 192</w:t>
            </w:r>
          </w:p>
          <w:p w:rsidR="00E75745" w:rsidRPr="009F4C66" w:rsidRDefault="00E75745" w:rsidP="009734DA">
            <w:pPr>
              <w:jc w:val="both"/>
              <w:rPr>
                <w:sz w:val="20"/>
              </w:rPr>
            </w:pP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Appeals allowed and new trial ordered.</w:t>
            </w:r>
          </w:p>
          <w:p w:rsidR="00E75745" w:rsidRPr="009F4C66" w:rsidRDefault="00E75745" w:rsidP="009734DA">
            <w:pPr>
              <w:jc w:val="both"/>
              <w:rPr>
                <w:sz w:val="20"/>
              </w:rPr>
            </w:pPr>
          </w:p>
        </w:tc>
      </w:tr>
      <w:tr w:rsidR="00E75745" w:rsidRPr="009F4C66" w:rsidTr="009734DA">
        <w:tc>
          <w:tcPr>
            <w:tcW w:w="2427" w:type="pct"/>
          </w:tcPr>
          <w:p w:rsidR="00E75745" w:rsidRPr="009F4C66" w:rsidRDefault="00E75745" w:rsidP="009734DA">
            <w:pPr>
              <w:jc w:val="both"/>
              <w:rPr>
                <w:sz w:val="20"/>
              </w:rPr>
            </w:pPr>
            <w:r w:rsidRPr="009F4C66">
              <w:rPr>
                <w:sz w:val="20"/>
              </w:rPr>
              <w:t>June 10, 2011</w:t>
            </w:r>
          </w:p>
          <w:p w:rsidR="00E75745" w:rsidRPr="009F4C66" w:rsidRDefault="00E75745" w:rsidP="009734DA">
            <w:pPr>
              <w:jc w:val="both"/>
              <w:rPr>
                <w:sz w:val="20"/>
              </w:rPr>
            </w:pPr>
            <w:r w:rsidRPr="009F4C66">
              <w:rPr>
                <w:sz w:val="20"/>
              </w:rPr>
              <w:t>Supreme Court of Canada</w:t>
            </w:r>
          </w:p>
        </w:tc>
        <w:tc>
          <w:tcPr>
            <w:tcW w:w="243" w:type="pct"/>
          </w:tcPr>
          <w:p w:rsidR="00E75745" w:rsidRPr="009F4C66" w:rsidRDefault="00E75745" w:rsidP="009734DA">
            <w:pPr>
              <w:jc w:val="both"/>
              <w:rPr>
                <w:sz w:val="20"/>
              </w:rPr>
            </w:pPr>
          </w:p>
        </w:tc>
        <w:tc>
          <w:tcPr>
            <w:tcW w:w="2330" w:type="pct"/>
          </w:tcPr>
          <w:p w:rsidR="00E75745" w:rsidRPr="009F4C66" w:rsidRDefault="00E75745" w:rsidP="009734DA">
            <w:pPr>
              <w:jc w:val="both"/>
              <w:rPr>
                <w:sz w:val="20"/>
              </w:rPr>
            </w:pPr>
            <w:r w:rsidRPr="009F4C66">
              <w:rPr>
                <w:sz w:val="20"/>
              </w:rPr>
              <w:t>Application for leave to appeal filed</w:t>
            </w:r>
          </w:p>
          <w:p w:rsidR="00E75745" w:rsidRPr="009F4C66" w:rsidRDefault="00E75745" w:rsidP="009734DA">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50"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75745" w:rsidRPr="00832ABE" w:rsidTr="009734DA">
        <w:tc>
          <w:tcPr>
            <w:tcW w:w="5000" w:type="pct"/>
            <w:gridSpan w:val="3"/>
          </w:tcPr>
          <w:p w:rsidR="00E75745" w:rsidRPr="009F4C66" w:rsidRDefault="00E75745" w:rsidP="009734DA">
            <w:pPr>
              <w:jc w:val="both"/>
              <w:rPr>
                <w:rFonts w:eastAsia="Calibri"/>
                <w:sz w:val="20"/>
                <w:lang w:val="fr-CA"/>
              </w:rPr>
            </w:pPr>
            <w:r w:rsidRPr="009F4C66">
              <w:rPr>
                <w:rFonts w:eastAsia="Calibri"/>
                <w:sz w:val="20"/>
                <w:lang w:val="fr-CA"/>
              </w:rPr>
              <w:t>Appels ― Jugements ― Motifs du jugement ― La décision du juge de première instance renfermait d'importants extraits de l’argumentation écrite finale des demandeurs, sans mention de la source ― Les juges majoritaires de la Cour d'appel ont accueilli les appels et ordonné un nouveau procès ― Quand et dans quelles situations un juge de première instance peut</w:t>
            </w:r>
            <w:r w:rsidRPr="009F4C66">
              <w:rPr>
                <w:rFonts w:eastAsia="Calibri"/>
                <w:sz w:val="20"/>
                <w:lang w:val="fr-CA"/>
              </w:rPr>
              <w:noBreakHyphen/>
              <w:t>il adopter et incorporer dans un jugement, sans mention de la source, l’argumentation d'une partie?</w:t>
            </w:r>
          </w:p>
          <w:p w:rsidR="00E75745" w:rsidRPr="009F4C66" w:rsidRDefault="00E75745" w:rsidP="009734DA">
            <w:pPr>
              <w:jc w:val="both"/>
              <w:rPr>
                <w:rFonts w:eastAsia="Calibri"/>
                <w:sz w:val="20"/>
                <w:lang w:val="fr-CA"/>
              </w:rPr>
            </w:pPr>
          </w:p>
        </w:tc>
      </w:tr>
      <w:tr w:rsidR="00E75745" w:rsidRPr="00832ABE" w:rsidTr="009734DA">
        <w:tc>
          <w:tcPr>
            <w:tcW w:w="5000" w:type="pct"/>
            <w:gridSpan w:val="3"/>
          </w:tcPr>
          <w:p w:rsidR="00E75745" w:rsidRPr="009F4C66" w:rsidRDefault="00E75745" w:rsidP="009734DA">
            <w:pPr>
              <w:jc w:val="both"/>
              <w:rPr>
                <w:rFonts w:eastAsia="Calibri"/>
                <w:sz w:val="20"/>
                <w:lang w:val="fr-CA"/>
              </w:rPr>
            </w:pPr>
            <w:r w:rsidRPr="009F4C66">
              <w:rPr>
                <w:rFonts w:eastAsia="Calibri"/>
                <w:sz w:val="20"/>
                <w:lang w:val="fr-CA"/>
              </w:rPr>
              <w:t>Le demandeur, Eric Victor Cojocaru, le fils de la demanderesse Monica Cojocaru, a subi des lésions cérébrales à sa naissance au B.C. Women’s Hospital and Health Care Center.  Une action a été intentée contre l'hôpital et ses employés.  Au procès, les intimés ont été jugés responsables et des dommages</w:t>
            </w:r>
            <w:r w:rsidRPr="009F4C66">
              <w:rPr>
                <w:rFonts w:eastAsia="Calibri"/>
                <w:sz w:val="20"/>
                <w:lang w:val="fr-CA"/>
              </w:rPr>
              <w:noBreakHyphen/>
              <w:t xml:space="preserve">intérêts de 4 millions de dollars ont été accordés.  Toutefois, dans ses motifs, le juge de première instance a copié presque mot pour mot, sans mention de la source, des extraits importants de l’argumentation finale des demandeurs.  </w:t>
            </w:r>
          </w:p>
          <w:p w:rsidR="00E75745" w:rsidRPr="009F4C66" w:rsidRDefault="00E75745" w:rsidP="009734DA">
            <w:pPr>
              <w:jc w:val="both"/>
              <w:rPr>
                <w:rFonts w:eastAsia="Calibri"/>
                <w:sz w:val="20"/>
                <w:lang w:val="fr-CA"/>
              </w:rPr>
            </w:pPr>
          </w:p>
          <w:p w:rsidR="00E75745" w:rsidRPr="009F4C66" w:rsidRDefault="00E75745" w:rsidP="009734DA">
            <w:pPr>
              <w:jc w:val="both"/>
              <w:rPr>
                <w:rFonts w:eastAsia="Calibri"/>
                <w:sz w:val="20"/>
                <w:lang w:val="fr-CA"/>
              </w:rPr>
            </w:pPr>
            <w:r w:rsidRPr="009F4C66">
              <w:rPr>
                <w:rFonts w:eastAsia="Calibri"/>
                <w:sz w:val="20"/>
                <w:lang w:val="fr-CA"/>
              </w:rPr>
              <w:t>Les juges majoritaires de la Cour d'appel ont accueilli les appels et ordonné un nouveau procès. Dans ses motifs, le juge dissident a examiné sur le fond la décision de première instance et aurait accueilli les appels en partie.</w:t>
            </w:r>
          </w:p>
          <w:p w:rsidR="00E75745" w:rsidRPr="009F4C66" w:rsidRDefault="00E75745" w:rsidP="009734DA">
            <w:pPr>
              <w:jc w:val="both"/>
              <w:rPr>
                <w:rFonts w:eastAsia="Calibri"/>
                <w:sz w:val="20"/>
                <w:lang w:val="fr-CA"/>
              </w:rPr>
            </w:pPr>
          </w:p>
        </w:tc>
      </w:tr>
      <w:tr w:rsidR="00E75745" w:rsidRPr="00832ABE" w:rsidTr="009734DA">
        <w:tc>
          <w:tcPr>
            <w:tcW w:w="2427" w:type="pct"/>
          </w:tcPr>
          <w:p w:rsidR="00E75745" w:rsidRPr="009F4C66" w:rsidRDefault="00E75745" w:rsidP="009734DA">
            <w:pPr>
              <w:jc w:val="both"/>
              <w:rPr>
                <w:rFonts w:eastAsia="Calibri"/>
                <w:sz w:val="20"/>
                <w:lang w:val="fr-CA"/>
              </w:rPr>
            </w:pPr>
            <w:r w:rsidRPr="009F4C66">
              <w:rPr>
                <w:rFonts w:eastAsia="Calibri"/>
                <w:sz w:val="20"/>
                <w:lang w:val="fr-CA"/>
              </w:rPr>
              <w:t>9 avril 2009</w:t>
            </w:r>
          </w:p>
          <w:p w:rsidR="00E75745" w:rsidRPr="009F4C66" w:rsidRDefault="00E75745" w:rsidP="009734DA">
            <w:pPr>
              <w:jc w:val="both"/>
              <w:rPr>
                <w:rFonts w:eastAsia="Calibri"/>
                <w:sz w:val="20"/>
                <w:lang w:val="fr-CA"/>
              </w:rPr>
            </w:pPr>
            <w:r w:rsidRPr="009F4C66">
              <w:rPr>
                <w:rFonts w:eastAsia="Calibri"/>
                <w:sz w:val="20"/>
                <w:lang w:val="fr-CA"/>
              </w:rPr>
              <w:t>Cour suprême de la Colombie</w:t>
            </w:r>
            <w:r w:rsidRPr="009F4C66">
              <w:rPr>
                <w:rFonts w:eastAsia="Calibri"/>
                <w:sz w:val="20"/>
                <w:lang w:val="fr-CA"/>
              </w:rPr>
              <w:noBreakHyphen/>
              <w:t xml:space="preserve">Britannique </w:t>
            </w:r>
          </w:p>
          <w:p w:rsidR="00E75745" w:rsidRPr="009F4C66" w:rsidRDefault="00E75745" w:rsidP="009734DA">
            <w:pPr>
              <w:jc w:val="both"/>
              <w:rPr>
                <w:rFonts w:eastAsia="Calibri"/>
                <w:sz w:val="20"/>
                <w:lang w:val="fr-CA"/>
              </w:rPr>
            </w:pPr>
            <w:r w:rsidRPr="009F4C66">
              <w:rPr>
                <w:rFonts w:eastAsia="Calibri"/>
                <w:sz w:val="20"/>
                <w:lang w:val="fr-CA"/>
              </w:rPr>
              <w:t>(Juge Groves)</w:t>
            </w:r>
          </w:p>
          <w:p w:rsidR="00E75745" w:rsidRPr="009F4C66" w:rsidRDefault="00E75745" w:rsidP="009734DA">
            <w:pPr>
              <w:jc w:val="both"/>
              <w:rPr>
                <w:rFonts w:eastAsia="Calibri"/>
                <w:sz w:val="20"/>
                <w:lang w:val="fr-CA"/>
              </w:rPr>
            </w:pPr>
            <w:r w:rsidRPr="009F4C66">
              <w:rPr>
                <w:rFonts w:eastAsia="Calibri"/>
                <w:sz w:val="20"/>
                <w:lang w:val="fr-CA"/>
              </w:rPr>
              <w:t xml:space="preserve">2009 BCSC 494 </w:t>
            </w:r>
          </w:p>
          <w:p w:rsidR="00E75745" w:rsidRPr="009F4C66" w:rsidRDefault="00E75745" w:rsidP="009734DA">
            <w:pPr>
              <w:jc w:val="both"/>
              <w:rPr>
                <w:rFonts w:eastAsia="Calibri"/>
                <w:sz w:val="20"/>
                <w:lang w:val="fr-CA"/>
              </w:rPr>
            </w:pP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Intimés jugés responsables et condamnés à verser des dommages</w:t>
            </w:r>
            <w:r w:rsidRPr="009F4C66">
              <w:rPr>
                <w:rFonts w:eastAsia="Calibri"/>
                <w:sz w:val="20"/>
                <w:lang w:val="fr-CA"/>
              </w:rPr>
              <w:noBreakHyphen/>
              <w:t>intérêts aux demandeurs</w:t>
            </w:r>
          </w:p>
        </w:tc>
      </w:tr>
      <w:tr w:rsidR="00E75745" w:rsidRPr="00832ABE" w:rsidTr="009734DA">
        <w:tc>
          <w:tcPr>
            <w:tcW w:w="2427" w:type="pct"/>
          </w:tcPr>
          <w:p w:rsidR="00E75745" w:rsidRPr="009F4C66" w:rsidRDefault="00E75745" w:rsidP="009734DA">
            <w:pPr>
              <w:jc w:val="both"/>
              <w:rPr>
                <w:rFonts w:eastAsia="Calibri"/>
                <w:sz w:val="20"/>
                <w:lang w:val="fr-CA"/>
              </w:rPr>
            </w:pPr>
            <w:r w:rsidRPr="009F4C66">
              <w:rPr>
                <w:rFonts w:eastAsia="Calibri"/>
                <w:sz w:val="20"/>
                <w:lang w:val="fr-CA"/>
              </w:rPr>
              <w:t>14 avril 2011</w:t>
            </w:r>
          </w:p>
          <w:p w:rsidR="00E75745" w:rsidRPr="009F4C66" w:rsidRDefault="00E75745" w:rsidP="009734DA">
            <w:pPr>
              <w:jc w:val="both"/>
              <w:rPr>
                <w:rFonts w:eastAsia="Calibri"/>
                <w:sz w:val="20"/>
                <w:lang w:val="fr-CA"/>
              </w:rPr>
            </w:pPr>
            <w:r w:rsidRPr="009F4C66">
              <w:rPr>
                <w:rFonts w:eastAsia="Calibri"/>
                <w:sz w:val="20"/>
                <w:lang w:val="fr-CA"/>
              </w:rPr>
              <w:t>Cour d'appel de la Colombie</w:t>
            </w:r>
            <w:r w:rsidRPr="009F4C66">
              <w:rPr>
                <w:rFonts w:eastAsia="Calibri"/>
                <w:sz w:val="20"/>
                <w:lang w:val="fr-CA"/>
              </w:rPr>
              <w:noBreakHyphen/>
              <w:t>Britannique (Vancouver)</w:t>
            </w:r>
          </w:p>
          <w:p w:rsidR="00E75745" w:rsidRPr="009F4C66" w:rsidRDefault="00E75745" w:rsidP="009734DA">
            <w:pPr>
              <w:jc w:val="both"/>
              <w:rPr>
                <w:rFonts w:eastAsia="Calibri"/>
                <w:sz w:val="20"/>
                <w:lang w:val="fr-CA"/>
              </w:rPr>
            </w:pPr>
            <w:r w:rsidRPr="009F4C66">
              <w:rPr>
                <w:rFonts w:eastAsia="Calibri"/>
                <w:sz w:val="20"/>
                <w:lang w:val="fr-CA"/>
              </w:rPr>
              <w:t>(Juges Smith (dissident), Levine et Kirkpatrick)</w:t>
            </w:r>
          </w:p>
          <w:p w:rsidR="00E75745" w:rsidRPr="009F4C66" w:rsidRDefault="00E75745" w:rsidP="009734DA">
            <w:pPr>
              <w:jc w:val="both"/>
              <w:rPr>
                <w:rFonts w:eastAsia="Calibri"/>
                <w:sz w:val="20"/>
                <w:lang w:val="fr-CA"/>
              </w:rPr>
            </w:pPr>
            <w:r w:rsidRPr="009F4C66">
              <w:rPr>
                <w:rFonts w:eastAsia="Calibri"/>
                <w:sz w:val="20"/>
                <w:lang w:val="fr-CA"/>
              </w:rPr>
              <w:t>2011 BCCA 192</w:t>
            </w:r>
          </w:p>
          <w:p w:rsidR="00E75745" w:rsidRPr="009F4C66" w:rsidRDefault="00E75745" w:rsidP="009734DA">
            <w:pPr>
              <w:jc w:val="both"/>
              <w:rPr>
                <w:rFonts w:eastAsia="Calibri"/>
                <w:sz w:val="20"/>
                <w:lang w:val="fr-CA"/>
              </w:rPr>
            </w:pP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Appels accueillis et nouveau procès ordonné.</w:t>
            </w:r>
          </w:p>
          <w:p w:rsidR="00E75745" w:rsidRPr="009F4C66" w:rsidRDefault="00E75745" w:rsidP="009734DA">
            <w:pPr>
              <w:jc w:val="both"/>
              <w:rPr>
                <w:rFonts w:eastAsia="Calibri"/>
                <w:sz w:val="20"/>
                <w:lang w:val="fr-CA"/>
              </w:rPr>
            </w:pPr>
          </w:p>
        </w:tc>
      </w:tr>
      <w:tr w:rsidR="00E75745" w:rsidRPr="009F4C66" w:rsidTr="009734DA">
        <w:tc>
          <w:tcPr>
            <w:tcW w:w="2427" w:type="pct"/>
          </w:tcPr>
          <w:p w:rsidR="00E75745" w:rsidRPr="009F4C66" w:rsidRDefault="00E75745" w:rsidP="009734DA">
            <w:pPr>
              <w:jc w:val="both"/>
              <w:rPr>
                <w:rFonts w:eastAsia="Calibri"/>
                <w:sz w:val="20"/>
                <w:lang w:val="fr-CA"/>
              </w:rPr>
            </w:pPr>
            <w:r w:rsidRPr="009F4C66">
              <w:rPr>
                <w:rFonts w:eastAsia="Calibri"/>
                <w:sz w:val="20"/>
                <w:lang w:val="fr-CA"/>
              </w:rPr>
              <w:t>10 juin 2011</w:t>
            </w:r>
          </w:p>
          <w:p w:rsidR="00E75745" w:rsidRPr="009F4C66" w:rsidRDefault="00E75745" w:rsidP="009734DA">
            <w:pPr>
              <w:jc w:val="both"/>
              <w:rPr>
                <w:rFonts w:eastAsia="Calibri"/>
                <w:sz w:val="20"/>
                <w:lang w:val="fr-CA"/>
              </w:rPr>
            </w:pPr>
            <w:r w:rsidRPr="009F4C66">
              <w:rPr>
                <w:rFonts w:eastAsia="Calibri"/>
                <w:sz w:val="20"/>
                <w:lang w:val="fr-CA"/>
              </w:rPr>
              <w:t>Cour suprême du Canada</w:t>
            </w:r>
          </w:p>
        </w:tc>
        <w:tc>
          <w:tcPr>
            <w:tcW w:w="243" w:type="pct"/>
          </w:tcPr>
          <w:p w:rsidR="00E75745" w:rsidRPr="009F4C66" w:rsidRDefault="00E75745" w:rsidP="009734DA">
            <w:pPr>
              <w:jc w:val="both"/>
              <w:rPr>
                <w:rFonts w:eastAsia="Calibri"/>
                <w:sz w:val="20"/>
                <w:lang w:val="fr-CA"/>
              </w:rPr>
            </w:pPr>
          </w:p>
        </w:tc>
        <w:tc>
          <w:tcPr>
            <w:tcW w:w="2330" w:type="pct"/>
          </w:tcPr>
          <w:p w:rsidR="00E75745" w:rsidRPr="009F4C66" w:rsidRDefault="00E75745" w:rsidP="009734DA">
            <w:pPr>
              <w:jc w:val="both"/>
              <w:rPr>
                <w:rFonts w:eastAsia="Calibri"/>
                <w:sz w:val="20"/>
                <w:lang w:val="fr-CA"/>
              </w:rPr>
            </w:pPr>
            <w:r w:rsidRPr="009F4C66">
              <w:rPr>
                <w:rFonts w:eastAsia="Calibri"/>
                <w:sz w:val="20"/>
                <w:lang w:val="fr-CA"/>
              </w:rPr>
              <w:t>Demande d'autorisation d'appel, déposée</w:t>
            </w:r>
          </w:p>
          <w:p w:rsidR="00E75745" w:rsidRPr="009F4C66" w:rsidRDefault="00E75745" w:rsidP="009734DA">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51"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037A0" w:rsidRPr="000F2BC0" w:rsidTr="001600B8">
        <w:trPr>
          <w:cantSplit/>
        </w:trPr>
        <w:tc>
          <w:tcPr>
            <w:tcW w:w="1458" w:type="dxa"/>
          </w:tcPr>
          <w:p w:rsidR="00D037A0" w:rsidRPr="000F2BC0" w:rsidRDefault="00D037A0" w:rsidP="001600B8">
            <w:pPr>
              <w:rPr>
                <w:sz w:val="20"/>
                <w:szCs w:val="20"/>
              </w:rPr>
            </w:pPr>
            <w:r w:rsidRPr="000F2BC0">
              <w:rPr>
                <w:rStyle w:val="SCCFileNumberChar"/>
                <w:sz w:val="20"/>
                <w:szCs w:val="20"/>
              </w:rPr>
              <w:t>34317</w:t>
            </w:r>
          </w:p>
          <w:p w:rsidR="00D037A0" w:rsidRPr="000F2BC0" w:rsidRDefault="00D037A0" w:rsidP="001600B8">
            <w:pPr>
              <w:rPr>
                <w:b/>
                <w:sz w:val="20"/>
                <w:szCs w:val="20"/>
                <w:lang w:val="fr-CA"/>
              </w:rPr>
            </w:pPr>
          </w:p>
        </w:tc>
        <w:tc>
          <w:tcPr>
            <w:tcW w:w="8118" w:type="dxa"/>
          </w:tcPr>
          <w:p w:rsidR="00D037A0" w:rsidRPr="000F2BC0" w:rsidRDefault="00D037A0" w:rsidP="00D037A0">
            <w:pPr>
              <w:jc w:val="both"/>
              <w:rPr>
                <w:sz w:val="20"/>
                <w:szCs w:val="20"/>
              </w:rPr>
            </w:pPr>
            <w:r w:rsidRPr="000F2BC0">
              <w:rPr>
                <w:rStyle w:val="SCCLsocChar"/>
                <w:sz w:val="20"/>
                <w:szCs w:val="20"/>
                <w:lang w:val="en-CA"/>
              </w:rPr>
              <w:t>Her Majesty the Queen v. Criminal Lawyers' Association of Ontario AND BETWEEN Her Majesty the Queen v. Criminal Lawyers' Association of Ontario AND BETWEEN Her Majesty the Queen v. Criminal Lawyers' Association of Ontario AND BETWEEN Her Majesty the Queen v. Criminal Lawyers' Association of Ontario</w:t>
            </w:r>
            <w:r w:rsidR="00793AE8">
              <w:rPr>
                <w:rStyle w:val="SCCLsocChar"/>
                <w:sz w:val="20"/>
                <w:szCs w:val="20"/>
                <w:lang w:val="en-CA"/>
              </w:rPr>
              <w:t xml:space="preserve"> and</w:t>
            </w:r>
            <w:r w:rsidRPr="000F2BC0">
              <w:rPr>
                <w:rStyle w:val="SCCLsocChar"/>
                <w:sz w:val="20"/>
                <w:szCs w:val="20"/>
                <w:lang w:val="en-CA"/>
              </w:rPr>
              <w:t xml:space="preserve"> Lawrence Greenspon</w:t>
            </w:r>
            <w:r w:rsidRPr="000F2BC0">
              <w:rPr>
                <w:sz w:val="20"/>
                <w:szCs w:val="20"/>
              </w:rPr>
              <w:t xml:space="preserve"> (Ont.) (Criminal) (By Leave)</w:t>
            </w:r>
          </w:p>
          <w:p w:rsidR="00D037A0" w:rsidRPr="000F2BC0" w:rsidRDefault="00D037A0" w:rsidP="001600B8">
            <w:pPr>
              <w:rPr>
                <w:sz w:val="20"/>
                <w:szCs w:val="20"/>
              </w:rPr>
            </w:pPr>
          </w:p>
        </w:tc>
      </w:tr>
      <w:tr w:rsidR="00D037A0" w:rsidRPr="000F2BC0" w:rsidTr="001600B8">
        <w:trPr>
          <w:cantSplit/>
        </w:trPr>
        <w:tc>
          <w:tcPr>
            <w:tcW w:w="1458" w:type="dxa"/>
          </w:tcPr>
          <w:p w:rsidR="00D037A0" w:rsidRPr="000F2BC0" w:rsidRDefault="00D037A0" w:rsidP="001600B8">
            <w:pPr>
              <w:rPr>
                <w:sz w:val="20"/>
                <w:szCs w:val="20"/>
              </w:rPr>
            </w:pPr>
            <w:r w:rsidRPr="000F2BC0">
              <w:rPr>
                <w:sz w:val="20"/>
                <w:szCs w:val="20"/>
              </w:rPr>
              <w:t>Coram :</w:t>
            </w:r>
          </w:p>
        </w:tc>
        <w:tc>
          <w:tcPr>
            <w:tcW w:w="8118" w:type="dxa"/>
          </w:tcPr>
          <w:p w:rsidR="00D037A0" w:rsidRPr="000F2BC0" w:rsidRDefault="00D037A0" w:rsidP="001600B8">
            <w:pPr>
              <w:rPr>
                <w:sz w:val="20"/>
                <w:szCs w:val="20"/>
              </w:rPr>
            </w:pPr>
            <w:r w:rsidRPr="000F2BC0">
              <w:rPr>
                <w:rStyle w:val="SCCCoramChar"/>
                <w:sz w:val="20"/>
                <w:szCs w:val="20"/>
                <w:lang w:val="en-CA"/>
              </w:rPr>
              <w:t>McLachlin C.J. and Deschamps and Abella JJ.</w:t>
            </w:r>
          </w:p>
          <w:p w:rsidR="00D037A0" w:rsidRPr="000F2BC0" w:rsidRDefault="00D037A0" w:rsidP="001600B8">
            <w:pPr>
              <w:rPr>
                <w:sz w:val="20"/>
                <w:szCs w:val="20"/>
                <w:u w:val="single"/>
              </w:rPr>
            </w:pPr>
          </w:p>
        </w:tc>
      </w:tr>
      <w:tr w:rsidR="00D037A0" w:rsidRPr="00832ABE" w:rsidTr="001600B8">
        <w:trPr>
          <w:cantSplit/>
        </w:trPr>
        <w:tc>
          <w:tcPr>
            <w:tcW w:w="9576" w:type="dxa"/>
            <w:gridSpan w:val="2"/>
          </w:tcPr>
          <w:p w:rsidR="00D037A0" w:rsidRPr="000F2BC0" w:rsidRDefault="00D037A0" w:rsidP="001600B8">
            <w:pPr>
              <w:pStyle w:val="SCCShortJudgment"/>
              <w:rPr>
                <w:szCs w:val="20"/>
              </w:rPr>
            </w:pPr>
            <w:r w:rsidRPr="000F2BC0">
              <w:rPr>
                <w:szCs w:val="20"/>
              </w:rPr>
              <w:t>The motion to consolidate the applications for leave to appeal and to vary the style of cause is granted. The application for leave to appeal from the judgment of the Court of Appeal for Ontario, Numbers C51139, C51166, C51456 and C51877, 2011 ONCA 303, dated April 19, 2011, is granted without costs.</w:t>
            </w:r>
          </w:p>
          <w:p w:rsidR="00D037A0" w:rsidRPr="000F2BC0" w:rsidRDefault="00D037A0" w:rsidP="001600B8">
            <w:pPr>
              <w:pStyle w:val="SCCShortJudgment"/>
              <w:ind w:firstLine="0"/>
              <w:rPr>
                <w:szCs w:val="20"/>
              </w:rPr>
            </w:pPr>
          </w:p>
          <w:p w:rsidR="00D037A0" w:rsidRPr="000F2BC0" w:rsidRDefault="00D037A0" w:rsidP="001600B8">
            <w:pPr>
              <w:pStyle w:val="SCCShortJudgment"/>
              <w:rPr>
                <w:szCs w:val="20"/>
                <w:lang w:val="fr-CA"/>
              </w:rPr>
            </w:pPr>
            <w:r w:rsidRPr="000F2BC0">
              <w:rPr>
                <w:szCs w:val="20"/>
                <w:lang w:val="fr-CA"/>
              </w:rPr>
              <w:t>La requête sollicitant la réunion des demandes d’autorisation d’appel et la modification de l’intitulé est accueillie. La demande d’autorisation d’appel de l’arrêt de la Cour d’appel de l’Ontario, numéros C51139, C51166, C51456 et C51877, 2011 ONCA 303, daté du 19 avril 2011, est accueillie sans dépens.</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528"/>
        <w:gridCol w:w="453"/>
        <w:gridCol w:w="4546"/>
      </w:tblGrid>
      <w:tr w:rsidR="004650E7" w:rsidRPr="009F4C66" w:rsidTr="009734DA">
        <w:tc>
          <w:tcPr>
            <w:tcW w:w="5000" w:type="pct"/>
            <w:gridSpan w:val="3"/>
          </w:tcPr>
          <w:p w:rsidR="004650E7" w:rsidRPr="009F4C66" w:rsidRDefault="004650E7" w:rsidP="009734DA">
            <w:pPr>
              <w:jc w:val="both"/>
              <w:rPr>
                <w:sz w:val="20"/>
              </w:rPr>
            </w:pPr>
            <w:r w:rsidRPr="009F4C66">
              <w:rPr>
                <w:sz w:val="20"/>
              </w:rPr>
              <w:t xml:space="preserve">Constitutional Law — Division of powers — Court’s jurisdiction to order fees be paid to </w:t>
            </w:r>
            <w:r w:rsidRPr="009F4C66">
              <w:rPr>
                <w:i/>
                <w:sz w:val="20"/>
              </w:rPr>
              <w:t>amicus curiae</w:t>
            </w:r>
            <w:r w:rsidRPr="009F4C66">
              <w:rPr>
                <w:sz w:val="20"/>
              </w:rPr>
              <w:t xml:space="preserve"> from Consolidated Revenue Fund — Court’s authority to set fees payable to </w:t>
            </w:r>
            <w:r w:rsidRPr="009F4C66">
              <w:rPr>
                <w:i/>
                <w:sz w:val="20"/>
              </w:rPr>
              <w:t>amicus curiae</w:t>
            </w:r>
            <w:r w:rsidRPr="009F4C66">
              <w:rPr>
                <w:sz w:val="20"/>
              </w:rPr>
              <w:t xml:space="preserve"> — Whether a court’s jurisdiction to control its own process to appoint counsel includes authority to order the government to use public money to fund counsel in the face of the legislature’s exclusive jurisdiction to disburse public funds — Whether general statutory provisions that permit proceedings against the Crown confer jurisdiction on courts to compel Ontario to allocate and spend indeterminate public funds to compensate </w:t>
            </w:r>
            <w:r w:rsidRPr="009F4C66">
              <w:rPr>
                <w:i/>
                <w:sz w:val="20"/>
              </w:rPr>
              <w:t>amicus curiae</w:t>
            </w:r>
            <w:r w:rsidRPr="009F4C66">
              <w:rPr>
                <w:sz w:val="20"/>
              </w:rPr>
              <w:t xml:space="preserve"> in criminal cases when the court finds it necessary for the administration of justice — Whether a court must take the least restrictive approach when it has ordered that </w:t>
            </w:r>
            <w:r w:rsidRPr="009F4C66">
              <w:rPr>
                <w:i/>
                <w:sz w:val="20"/>
              </w:rPr>
              <w:t>amicus curiae</w:t>
            </w:r>
            <w:r w:rsidRPr="009F4C66">
              <w:rPr>
                <w:sz w:val="20"/>
              </w:rPr>
              <w:t xml:space="preserve"> is necessary or whether a court may proceed directly to set the rates for </w:t>
            </w:r>
            <w:r w:rsidRPr="009F4C66">
              <w:rPr>
                <w:i/>
                <w:sz w:val="20"/>
              </w:rPr>
              <w:t>amicus curiae</w:t>
            </w:r>
            <w:r w:rsidRPr="009F4C66">
              <w:rPr>
                <w:sz w:val="20"/>
              </w:rPr>
              <w:t>.</w:t>
            </w:r>
          </w:p>
          <w:p w:rsidR="004650E7" w:rsidRPr="009F4C66" w:rsidRDefault="004650E7" w:rsidP="009734DA">
            <w:pPr>
              <w:jc w:val="both"/>
              <w:rPr>
                <w:sz w:val="20"/>
              </w:rPr>
            </w:pPr>
          </w:p>
        </w:tc>
      </w:tr>
      <w:tr w:rsidR="004650E7" w:rsidRPr="009F4C66" w:rsidTr="009734DA">
        <w:tc>
          <w:tcPr>
            <w:tcW w:w="5000" w:type="pct"/>
            <w:gridSpan w:val="3"/>
          </w:tcPr>
          <w:p w:rsidR="004650E7" w:rsidRPr="009F4C66" w:rsidRDefault="004650E7" w:rsidP="009734DA">
            <w:pPr>
              <w:jc w:val="both"/>
              <w:rPr>
                <w:sz w:val="20"/>
              </w:rPr>
            </w:pPr>
            <w:r w:rsidRPr="009F4C66">
              <w:rPr>
                <w:sz w:val="20"/>
              </w:rPr>
              <w:t xml:space="preserve">In these criminal proceedings, the trial judges appointed </w:t>
            </w:r>
            <w:r w:rsidRPr="009F4C66">
              <w:rPr>
                <w:i/>
                <w:sz w:val="20"/>
              </w:rPr>
              <w:t>amicus curiae</w:t>
            </w:r>
            <w:r w:rsidRPr="009F4C66">
              <w:rPr>
                <w:sz w:val="20"/>
              </w:rPr>
              <w:t xml:space="preserve"> to ensure that proceedings would proceed fairly and expeditiously.  In all cases, the trial judges ordered a rate of remuneration to be paid to the </w:t>
            </w:r>
            <w:r w:rsidRPr="009F4C66">
              <w:rPr>
                <w:i/>
                <w:sz w:val="20"/>
              </w:rPr>
              <w:t>amicus curiae</w:t>
            </w:r>
            <w:r w:rsidRPr="009F4C66">
              <w:rPr>
                <w:sz w:val="20"/>
              </w:rPr>
              <w:t xml:space="preserve"> by the Attorney General.  In Mr. Imona Russel’s case, the trial judge also appointed an independent assessor to monitor and approve the </w:t>
            </w:r>
            <w:r w:rsidRPr="009F4C66">
              <w:rPr>
                <w:i/>
                <w:sz w:val="20"/>
              </w:rPr>
              <w:t>amicus curiae</w:t>
            </w:r>
            <w:r w:rsidRPr="009F4C66">
              <w:rPr>
                <w:sz w:val="20"/>
              </w:rPr>
              <w:t xml:space="preserve">’s accounts.  The Attorney General disputes the courts’ jurisdiction to set rates of remuneration and to order payment of fees to </w:t>
            </w:r>
            <w:r w:rsidRPr="009F4C66">
              <w:rPr>
                <w:i/>
                <w:sz w:val="20"/>
              </w:rPr>
              <w:t>amicus curiae</w:t>
            </w:r>
            <w:r w:rsidRPr="009F4C66">
              <w:rPr>
                <w:sz w:val="20"/>
              </w:rPr>
              <w:t xml:space="preserve"> from the Consolidated Revenue Fund.</w:t>
            </w:r>
          </w:p>
        </w:tc>
      </w:tr>
      <w:tr w:rsidR="004650E7" w:rsidRPr="009F4C66" w:rsidTr="009734DA">
        <w:tc>
          <w:tcPr>
            <w:tcW w:w="5000" w:type="pct"/>
            <w:gridSpan w:val="3"/>
          </w:tcPr>
          <w:p w:rsidR="004650E7" w:rsidRPr="009F4C66" w:rsidRDefault="004650E7" w:rsidP="009734DA">
            <w:pPr>
              <w:jc w:val="both"/>
              <w:rPr>
                <w:sz w:val="20"/>
              </w:rPr>
            </w:pPr>
            <w:r w:rsidRPr="009F4C66">
              <w:rPr>
                <w:sz w:val="20"/>
              </w:rPr>
              <w:t xml:space="preserve"> </w:t>
            </w:r>
          </w:p>
        </w:tc>
      </w:tr>
      <w:tr w:rsidR="004650E7" w:rsidRPr="009F4C66" w:rsidTr="009734DA">
        <w:tc>
          <w:tcPr>
            <w:tcW w:w="2376" w:type="pct"/>
          </w:tcPr>
          <w:p w:rsidR="004650E7" w:rsidRPr="009F4C66" w:rsidRDefault="004650E7" w:rsidP="009734DA">
            <w:pPr>
              <w:jc w:val="both"/>
              <w:rPr>
                <w:sz w:val="20"/>
              </w:rPr>
            </w:pPr>
            <w:r w:rsidRPr="009F4C66">
              <w:rPr>
                <w:sz w:val="20"/>
              </w:rPr>
              <w:t xml:space="preserve">June 17, 2008 </w:t>
            </w:r>
          </w:p>
          <w:p w:rsidR="004650E7" w:rsidRPr="009F4C66" w:rsidRDefault="004650E7" w:rsidP="009734DA">
            <w:pPr>
              <w:jc w:val="both"/>
              <w:rPr>
                <w:sz w:val="20"/>
              </w:rPr>
            </w:pPr>
            <w:r w:rsidRPr="009F4C66">
              <w:rPr>
                <w:sz w:val="20"/>
              </w:rPr>
              <w:t>Ontario Superior Court of Justice</w:t>
            </w:r>
          </w:p>
          <w:p w:rsidR="004650E7" w:rsidRPr="009F4C66" w:rsidRDefault="004650E7" w:rsidP="009734DA">
            <w:pPr>
              <w:jc w:val="both"/>
              <w:rPr>
                <w:sz w:val="20"/>
              </w:rPr>
            </w:pPr>
            <w:r w:rsidRPr="009F4C66">
              <w:rPr>
                <w:sz w:val="20"/>
              </w:rPr>
              <w:t>(Marrocco J.)</w:t>
            </w:r>
          </w:p>
          <w:p w:rsidR="004650E7" w:rsidRPr="009F4C66" w:rsidRDefault="004650E7" w:rsidP="009734DA">
            <w:pPr>
              <w:jc w:val="both"/>
              <w:rPr>
                <w:sz w:val="20"/>
              </w:rPr>
            </w:pP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 xml:space="preserve">Order appointing </w:t>
            </w:r>
            <w:r w:rsidRPr="009F4C66">
              <w:rPr>
                <w:i/>
                <w:sz w:val="20"/>
              </w:rPr>
              <w:t xml:space="preserve">amicus curiae </w:t>
            </w:r>
            <w:r w:rsidRPr="009F4C66">
              <w:rPr>
                <w:sz w:val="20"/>
              </w:rPr>
              <w:t xml:space="preserve">in </w:t>
            </w:r>
            <w:r w:rsidRPr="009F4C66">
              <w:rPr>
                <w:i/>
                <w:sz w:val="20"/>
              </w:rPr>
              <w:t>R. v. Imona Russel</w:t>
            </w:r>
            <w:r w:rsidRPr="009F4C66">
              <w:rPr>
                <w:sz w:val="20"/>
              </w:rPr>
              <w:t xml:space="preserve">  at Legal Aid Rates  </w:t>
            </w:r>
          </w:p>
        </w:tc>
      </w:tr>
      <w:tr w:rsidR="004650E7" w:rsidRPr="009F4C66" w:rsidTr="00460A3C">
        <w:trPr>
          <w:cantSplit/>
        </w:trPr>
        <w:tc>
          <w:tcPr>
            <w:tcW w:w="2376" w:type="pct"/>
          </w:tcPr>
          <w:p w:rsidR="004650E7" w:rsidRPr="009F4C66" w:rsidRDefault="004650E7" w:rsidP="009734DA">
            <w:pPr>
              <w:jc w:val="both"/>
              <w:rPr>
                <w:sz w:val="20"/>
              </w:rPr>
            </w:pPr>
            <w:r w:rsidRPr="009F4C66">
              <w:rPr>
                <w:sz w:val="20"/>
              </w:rPr>
              <w:t>September 25, 2009</w:t>
            </w:r>
          </w:p>
          <w:p w:rsidR="004650E7" w:rsidRPr="009F4C66" w:rsidRDefault="004650E7" w:rsidP="009734DA">
            <w:pPr>
              <w:jc w:val="both"/>
              <w:rPr>
                <w:sz w:val="20"/>
              </w:rPr>
            </w:pPr>
            <w:r w:rsidRPr="009F4C66">
              <w:rPr>
                <w:sz w:val="20"/>
              </w:rPr>
              <w:t>Ontario Court of Justice</w:t>
            </w:r>
          </w:p>
          <w:p w:rsidR="004650E7" w:rsidRPr="009F4C66" w:rsidRDefault="004650E7" w:rsidP="009734DA">
            <w:pPr>
              <w:jc w:val="both"/>
              <w:rPr>
                <w:sz w:val="20"/>
              </w:rPr>
            </w:pPr>
            <w:r w:rsidRPr="009F4C66">
              <w:rPr>
                <w:sz w:val="20"/>
              </w:rPr>
              <w:t xml:space="preserve">(Forestell J.) </w:t>
            </w:r>
          </w:p>
          <w:p w:rsidR="004650E7" w:rsidRPr="009F4C66" w:rsidRDefault="004650E7" w:rsidP="009734DA">
            <w:pPr>
              <w:jc w:val="both"/>
              <w:rPr>
                <w:sz w:val="20"/>
              </w:rPr>
            </w:pP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 xml:space="preserve">Order amending appointment of </w:t>
            </w:r>
            <w:r w:rsidRPr="009F4C66">
              <w:rPr>
                <w:i/>
                <w:sz w:val="20"/>
              </w:rPr>
              <w:t xml:space="preserve">amicus </w:t>
            </w:r>
            <w:r w:rsidRPr="009F4C66">
              <w:rPr>
                <w:sz w:val="20"/>
              </w:rPr>
              <w:t xml:space="preserve">to order remuneration rate of $192 per hour, Junior counsel appointed as </w:t>
            </w:r>
            <w:r w:rsidRPr="009F4C66">
              <w:rPr>
                <w:i/>
                <w:sz w:val="20"/>
              </w:rPr>
              <w:t>amicus curiae</w:t>
            </w:r>
            <w:r w:rsidRPr="009F4C66">
              <w:rPr>
                <w:sz w:val="20"/>
              </w:rPr>
              <w:t xml:space="preserve"> at rate of $110 per hour</w:t>
            </w:r>
          </w:p>
        </w:tc>
      </w:tr>
      <w:tr w:rsidR="004650E7" w:rsidRPr="009F4C66" w:rsidTr="00460A3C">
        <w:trPr>
          <w:cantSplit/>
        </w:trPr>
        <w:tc>
          <w:tcPr>
            <w:tcW w:w="2376" w:type="pct"/>
          </w:tcPr>
          <w:p w:rsidR="004650E7" w:rsidRPr="009F4C66" w:rsidRDefault="004650E7" w:rsidP="009734DA">
            <w:pPr>
              <w:jc w:val="both"/>
              <w:rPr>
                <w:sz w:val="20"/>
              </w:rPr>
            </w:pPr>
            <w:r w:rsidRPr="009F4C66">
              <w:rPr>
                <w:sz w:val="20"/>
              </w:rPr>
              <w:t>February 26, 2010</w:t>
            </w:r>
          </w:p>
          <w:p w:rsidR="004650E7" w:rsidRPr="009F4C66" w:rsidRDefault="004650E7" w:rsidP="009734DA">
            <w:pPr>
              <w:jc w:val="both"/>
              <w:rPr>
                <w:sz w:val="20"/>
              </w:rPr>
            </w:pPr>
            <w:r w:rsidRPr="009F4C66">
              <w:rPr>
                <w:sz w:val="20"/>
              </w:rPr>
              <w:t>Ontario Court of Justice</w:t>
            </w:r>
          </w:p>
          <w:p w:rsidR="004650E7" w:rsidRPr="009F4C66" w:rsidRDefault="004650E7" w:rsidP="009734DA">
            <w:pPr>
              <w:jc w:val="both"/>
              <w:rPr>
                <w:sz w:val="20"/>
              </w:rPr>
            </w:pPr>
            <w:r w:rsidRPr="009F4C66">
              <w:rPr>
                <w:sz w:val="20"/>
              </w:rPr>
              <w:t xml:space="preserve">(Forestell J.) </w:t>
            </w: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 xml:space="preserve">Order appointing independent assessor at rate of $192 per hour to set budget for </w:t>
            </w:r>
            <w:r w:rsidRPr="009F4C66">
              <w:rPr>
                <w:i/>
                <w:sz w:val="20"/>
              </w:rPr>
              <w:t>amicus curiae</w:t>
            </w:r>
            <w:r w:rsidRPr="009F4C66">
              <w:rPr>
                <w:sz w:val="20"/>
              </w:rPr>
              <w:t xml:space="preserve"> and to review, monitor and assess</w:t>
            </w:r>
            <w:r w:rsidRPr="009F4C66">
              <w:rPr>
                <w:i/>
                <w:sz w:val="20"/>
              </w:rPr>
              <w:t xml:space="preserve"> </w:t>
            </w:r>
            <w:r w:rsidRPr="009F4C66">
              <w:rPr>
                <w:sz w:val="20"/>
              </w:rPr>
              <w:t xml:space="preserve">accounts of </w:t>
            </w:r>
            <w:r w:rsidRPr="009F4C66">
              <w:rPr>
                <w:i/>
                <w:sz w:val="20"/>
              </w:rPr>
              <w:t>amicus</w:t>
            </w:r>
            <w:r w:rsidRPr="009F4C66">
              <w:rPr>
                <w:sz w:val="20"/>
              </w:rPr>
              <w:t xml:space="preserve"> </w:t>
            </w:r>
            <w:r w:rsidRPr="009F4C66">
              <w:rPr>
                <w:i/>
                <w:sz w:val="20"/>
              </w:rPr>
              <w:t xml:space="preserve">curiae  </w:t>
            </w:r>
            <w:r w:rsidRPr="009F4C66">
              <w:rPr>
                <w:sz w:val="20"/>
              </w:rPr>
              <w:t xml:space="preserve"> </w:t>
            </w:r>
          </w:p>
          <w:p w:rsidR="004650E7" w:rsidRPr="009F4C66" w:rsidRDefault="004650E7" w:rsidP="009734DA">
            <w:pPr>
              <w:jc w:val="both"/>
              <w:rPr>
                <w:sz w:val="20"/>
              </w:rPr>
            </w:pPr>
          </w:p>
        </w:tc>
      </w:tr>
      <w:tr w:rsidR="004650E7" w:rsidRPr="009F4C66" w:rsidTr="00460A3C">
        <w:trPr>
          <w:cantSplit/>
        </w:trPr>
        <w:tc>
          <w:tcPr>
            <w:tcW w:w="2376" w:type="pct"/>
          </w:tcPr>
          <w:p w:rsidR="004650E7" w:rsidRPr="009F4C66" w:rsidRDefault="004650E7" w:rsidP="009734DA">
            <w:pPr>
              <w:jc w:val="both"/>
              <w:rPr>
                <w:sz w:val="20"/>
              </w:rPr>
            </w:pPr>
            <w:r w:rsidRPr="009F4C66">
              <w:rPr>
                <w:sz w:val="20"/>
              </w:rPr>
              <w:t>September 18, 2009</w:t>
            </w:r>
          </w:p>
          <w:p w:rsidR="004650E7" w:rsidRPr="009F4C66" w:rsidRDefault="004650E7" w:rsidP="009734DA">
            <w:pPr>
              <w:jc w:val="both"/>
              <w:rPr>
                <w:sz w:val="20"/>
              </w:rPr>
            </w:pPr>
            <w:r w:rsidRPr="009F4C66">
              <w:rPr>
                <w:sz w:val="20"/>
              </w:rPr>
              <w:t>Ontario Court of Justice</w:t>
            </w:r>
          </w:p>
          <w:p w:rsidR="004650E7" w:rsidRPr="009F4C66" w:rsidRDefault="004650E7" w:rsidP="009734DA">
            <w:pPr>
              <w:jc w:val="both"/>
              <w:rPr>
                <w:sz w:val="20"/>
              </w:rPr>
            </w:pPr>
            <w:r w:rsidRPr="009F4C66">
              <w:rPr>
                <w:sz w:val="20"/>
              </w:rPr>
              <w:t xml:space="preserve">(Keast J.)  </w:t>
            </w:r>
          </w:p>
          <w:p w:rsidR="004650E7" w:rsidRPr="009F4C66" w:rsidRDefault="004650E7" w:rsidP="009734DA">
            <w:pPr>
              <w:jc w:val="both"/>
              <w:rPr>
                <w:sz w:val="20"/>
              </w:rPr>
            </w:pP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Amicus curiae appointed</w:t>
            </w:r>
            <w:r w:rsidRPr="009F4C66">
              <w:rPr>
                <w:b/>
                <w:sz w:val="20"/>
              </w:rPr>
              <w:t xml:space="preserve"> </w:t>
            </w:r>
            <w:r w:rsidRPr="009F4C66">
              <w:rPr>
                <w:sz w:val="20"/>
              </w:rPr>
              <w:t xml:space="preserve">in </w:t>
            </w:r>
            <w:r w:rsidRPr="009F4C66">
              <w:rPr>
                <w:i/>
                <w:sz w:val="20"/>
              </w:rPr>
              <w:t>R. v. Paul Whalen</w:t>
            </w:r>
            <w:r w:rsidRPr="009F4C66">
              <w:rPr>
                <w:sz w:val="20"/>
              </w:rPr>
              <w:t xml:space="preserve"> at rate of $200 per hour, Attorney General ordered to provide funding   </w:t>
            </w:r>
          </w:p>
        </w:tc>
      </w:tr>
      <w:tr w:rsidR="004650E7" w:rsidRPr="009F4C66" w:rsidTr="00460A3C">
        <w:trPr>
          <w:cantSplit/>
        </w:trPr>
        <w:tc>
          <w:tcPr>
            <w:tcW w:w="2376" w:type="pct"/>
          </w:tcPr>
          <w:p w:rsidR="004650E7" w:rsidRPr="009F4C66" w:rsidRDefault="004650E7" w:rsidP="009734DA">
            <w:pPr>
              <w:jc w:val="both"/>
              <w:rPr>
                <w:sz w:val="20"/>
              </w:rPr>
            </w:pPr>
            <w:r w:rsidRPr="009F4C66">
              <w:rPr>
                <w:sz w:val="20"/>
              </w:rPr>
              <w:t>August 11, 2009</w:t>
            </w:r>
          </w:p>
          <w:p w:rsidR="004650E7" w:rsidRPr="009F4C66" w:rsidRDefault="004650E7" w:rsidP="009734DA">
            <w:pPr>
              <w:jc w:val="both"/>
              <w:rPr>
                <w:sz w:val="20"/>
              </w:rPr>
            </w:pPr>
            <w:r w:rsidRPr="009F4C66">
              <w:rPr>
                <w:sz w:val="20"/>
              </w:rPr>
              <w:t>Ontario Superior Court of Justice</w:t>
            </w:r>
          </w:p>
          <w:p w:rsidR="004650E7" w:rsidRPr="009F4C66" w:rsidRDefault="004650E7" w:rsidP="009734DA">
            <w:pPr>
              <w:jc w:val="both"/>
              <w:rPr>
                <w:sz w:val="20"/>
              </w:rPr>
            </w:pPr>
            <w:r w:rsidRPr="009F4C66">
              <w:rPr>
                <w:sz w:val="20"/>
              </w:rPr>
              <w:t>(Ratushny J.)</w:t>
            </w:r>
          </w:p>
          <w:p w:rsidR="004650E7" w:rsidRPr="009F4C66" w:rsidRDefault="004650E7" w:rsidP="009734DA">
            <w:pPr>
              <w:jc w:val="both"/>
              <w:rPr>
                <w:sz w:val="20"/>
              </w:rPr>
            </w:pP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 xml:space="preserve">Order that rate of remuneration of </w:t>
            </w:r>
            <w:r w:rsidRPr="009F4C66">
              <w:rPr>
                <w:i/>
                <w:sz w:val="20"/>
              </w:rPr>
              <w:t>amicus curiae</w:t>
            </w:r>
            <w:r w:rsidRPr="009F4C66">
              <w:rPr>
                <w:sz w:val="20"/>
              </w:rPr>
              <w:t xml:space="preserve"> in </w:t>
            </w:r>
            <w:r w:rsidRPr="009F4C66">
              <w:rPr>
                <w:i/>
                <w:sz w:val="20"/>
              </w:rPr>
              <w:t>R. v. Lawrence Greenspon</w:t>
            </w:r>
            <w:r w:rsidRPr="009F4C66">
              <w:rPr>
                <w:sz w:val="20"/>
              </w:rPr>
              <w:t xml:space="preserve"> be fixed at $250 per hour for 3.25 hours rendered </w:t>
            </w:r>
          </w:p>
        </w:tc>
      </w:tr>
      <w:tr w:rsidR="004650E7" w:rsidRPr="009F4C66" w:rsidTr="00460A3C">
        <w:trPr>
          <w:cantSplit/>
        </w:trPr>
        <w:tc>
          <w:tcPr>
            <w:tcW w:w="2376" w:type="pct"/>
          </w:tcPr>
          <w:p w:rsidR="004650E7" w:rsidRPr="009F4C66" w:rsidRDefault="004650E7" w:rsidP="009734DA">
            <w:pPr>
              <w:jc w:val="both"/>
              <w:rPr>
                <w:sz w:val="20"/>
              </w:rPr>
            </w:pPr>
            <w:r w:rsidRPr="009F4C66">
              <w:rPr>
                <w:sz w:val="20"/>
              </w:rPr>
              <w:t>April 19, 2011</w:t>
            </w:r>
          </w:p>
          <w:p w:rsidR="004650E7" w:rsidRPr="009F4C66" w:rsidRDefault="004650E7" w:rsidP="009734DA">
            <w:pPr>
              <w:jc w:val="both"/>
              <w:rPr>
                <w:sz w:val="20"/>
              </w:rPr>
            </w:pPr>
            <w:r w:rsidRPr="009F4C66">
              <w:rPr>
                <w:sz w:val="20"/>
              </w:rPr>
              <w:t>Court of Appeal for Ontario</w:t>
            </w:r>
          </w:p>
          <w:p w:rsidR="004650E7" w:rsidRPr="009F4C66" w:rsidRDefault="004650E7" w:rsidP="009734DA">
            <w:pPr>
              <w:jc w:val="both"/>
              <w:rPr>
                <w:sz w:val="20"/>
              </w:rPr>
            </w:pPr>
            <w:r w:rsidRPr="009F4C66">
              <w:rPr>
                <w:sz w:val="20"/>
              </w:rPr>
              <w:t>(Rosenberg, Goudge, Armstrong JJ.A.)</w:t>
            </w:r>
          </w:p>
          <w:p w:rsidR="004650E7" w:rsidRPr="009F4C66" w:rsidRDefault="004650E7" w:rsidP="009734DA">
            <w:pPr>
              <w:jc w:val="both"/>
              <w:rPr>
                <w:sz w:val="20"/>
              </w:rPr>
            </w:pPr>
            <w:r w:rsidRPr="009F4C66">
              <w:rPr>
                <w:sz w:val="20"/>
              </w:rPr>
              <w:t xml:space="preserve">2011 ONCA 303 </w:t>
            </w:r>
          </w:p>
          <w:p w:rsidR="004650E7" w:rsidRPr="009F4C66" w:rsidRDefault="004650E7" w:rsidP="009734DA">
            <w:pPr>
              <w:jc w:val="both"/>
              <w:rPr>
                <w:sz w:val="20"/>
              </w:rPr>
            </w:pP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Appeals dismissed</w:t>
            </w:r>
          </w:p>
          <w:p w:rsidR="004650E7" w:rsidRPr="009F4C66" w:rsidRDefault="004650E7" w:rsidP="009734DA">
            <w:pPr>
              <w:jc w:val="both"/>
              <w:rPr>
                <w:sz w:val="20"/>
              </w:rPr>
            </w:pPr>
          </w:p>
        </w:tc>
      </w:tr>
      <w:tr w:rsidR="004650E7" w:rsidRPr="009F4C66" w:rsidTr="00460A3C">
        <w:trPr>
          <w:cantSplit/>
        </w:trPr>
        <w:tc>
          <w:tcPr>
            <w:tcW w:w="2376" w:type="pct"/>
          </w:tcPr>
          <w:p w:rsidR="004650E7" w:rsidRPr="009F4C66" w:rsidRDefault="004650E7" w:rsidP="009734DA">
            <w:pPr>
              <w:jc w:val="both"/>
              <w:rPr>
                <w:sz w:val="20"/>
              </w:rPr>
            </w:pPr>
            <w:r w:rsidRPr="009F4C66">
              <w:rPr>
                <w:sz w:val="20"/>
              </w:rPr>
              <w:t>June 17, 2011</w:t>
            </w:r>
          </w:p>
          <w:p w:rsidR="004650E7" w:rsidRPr="009F4C66" w:rsidRDefault="004650E7" w:rsidP="009734DA">
            <w:pPr>
              <w:jc w:val="both"/>
              <w:rPr>
                <w:sz w:val="20"/>
              </w:rPr>
            </w:pPr>
            <w:r w:rsidRPr="009F4C66">
              <w:rPr>
                <w:sz w:val="20"/>
              </w:rPr>
              <w:t>Supreme Court of Canada</w:t>
            </w:r>
          </w:p>
          <w:p w:rsidR="004650E7" w:rsidRPr="009F4C66" w:rsidRDefault="004650E7" w:rsidP="009734DA">
            <w:pPr>
              <w:jc w:val="both"/>
              <w:rPr>
                <w:sz w:val="20"/>
              </w:rPr>
            </w:pP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Application for leave to appeal filed</w:t>
            </w:r>
          </w:p>
        </w:tc>
      </w:tr>
      <w:tr w:rsidR="004650E7" w:rsidRPr="009F4C66" w:rsidTr="00460A3C">
        <w:trPr>
          <w:cantSplit/>
        </w:trPr>
        <w:tc>
          <w:tcPr>
            <w:tcW w:w="2376" w:type="pct"/>
          </w:tcPr>
          <w:p w:rsidR="004650E7" w:rsidRPr="009F4C66" w:rsidRDefault="004650E7" w:rsidP="009734DA">
            <w:pPr>
              <w:jc w:val="both"/>
              <w:rPr>
                <w:sz w:val="20"/>
              </w:rPr>
            </w:pPr>
            <w:r w:rsidRPr="009F4C66">
              <w:rPr>
                <w:sz w:val="20"/>
              </w:rPr>
              <w:t>August 23, 2011</w:t>
            </w:r>
          </w:p>
          <w:p w:rsidR="004650E7" w:rsidRPr="009F4C66" w:rsidRDefault="004650E7" w:rsidP="009734DA">
            <w:pPr>
              <w:jc w:val="both"/>
              <w:rPr>
                <w:sz w:val="20"/>
              </w:rPr>
            </w:pPr>
            <w:r w:rsidRPr="009F4C66">
              <w:rPr>
                <w:sz w:val="20"/>
              </w:rPr>
              <w:t>Supreme Court of Canada</w:t>
            </w:r>
          </w:p>
        </w:tc>
        <w:tc>
          <w:tcPr>
            <w:tcW w:w="238" w:type="pct"/>
          </w:tcPr>
          <w:p w:rsidR="004650E7" w:rsidRPr="009F4C66" w:rsidRDefault="004650E7" w:rsidP="009734DA">
            <w:pPr>
              <w:jc w:val="both"/>
              <w:rPr>
                <w:sz w:val="20"/>
              </w:rPr>
            </w:pPr>
          </w:p>
        </w:tc>
        <w:tc>
          <w:tcPr>
            <w:tcW w:w="2386" w:type="pct"/>
          </w:tcPr>
          <w:p w:rsidR="004650E7" w:rsidRPr="009F4C66" w:rsidRDefault="004650E7" w:rsidP="009734DA">
            <w:pPr>
              <w:jc w:val="both"/>
              <w:rPr>
                <w:sz w:val="20"/>
              </w:rPr>
            </w:pPr>
            <w:r w:rsidRPr="009F4C66">
              <w:rPr>
                <w:sz w:val="20"/>
              </w:rPr>
              <w:t>Motion to consolidate applications for leave to appeal and to vary style of cause filed</w:t>
            </w: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52"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531"/>
        <w:gridCol w:w="452"/>
        <w:gridCol w:w="4544"/>
      </w:tblGrid>
      <w:tr w:rsidR="004650E7" w:rsidRPr="00832ABE" w:rsidTr="009734DA">
        <w:tc>
          <w:tcPr>
            <w:tcW w:w="5000" w:type="pct"/>
            <w:gridSpan w:val="3"/>
          </w:tcPr>
          <w:p w:rsidR="004650E7" w:rsidRPr="009F4C66" w:rsidRDefault="004650E7" w:rsidP="009734DA">
            <w:pPr>
              <w:jc w:val="both"/>
              <w:rPr>
                <w:rFonts w:eastAsia="Calibri"/>
                <w:sz w:val="20"/>
                <w:lang w:val="fr-CA"/>
              </w:rPr>
            </w:pPr>
            <w:r w:rsidRPr="009F4C66">
              <w:rPr>
                <w:rFonts w:eastAsia="Calibri"/>
                <w:sz w:val="20"/>
                <w:lang w:val="fr-CA"/>
              </w:rPr>
              <w:t xml:space="preserve">Droit constitutionnel — Partage des compétences — Compétence du tribunal pour ordonner que des honoraires soient payés à des </w:t>
            </w:r>
            <w:r w:rsidRPr="009F4C66">
              <w:rPr>
                <w:rFonts w:eastAsia="Calibri"/>
                <w:i/>
                <w:sz w:val="20"/>
                <w:lang w:val="fr-CA"/>
              </w:rPr>
              <w:t>amicus curiae</w:t>
            </w:r>
            <w:r w:rsidRPr="009F4C66">
              <w:rPr>
                <w:rFonts w:eastAsia="Calibri"/>
                <w:sz w:val="20"/>
                <w:lang w:val="fr-CA"/>
              </w:rPr>
              <w:t xml:space="preserve"> sur le Trésor — Pouvoir du tribunal de fixer les honoraires payables aux </w:t>
            </w:r>
            <w:r w:rsidRPr="009F4C66">
              <w:rPr>
                <w:rFonts w:eastAsia="Calibri"/>
                <w:i/>
                <w:sz w:val="20"/>
                <w:lang w:val="fr-CA"/>
              </w:rPr>
              <w:t>amicus curiae</w:t>
            </w:r>
            <w:r w:rsidRPr="009F4C66">
              <w:rPr>
                <w:rFonts w:eastAsia="Calibri"/>
                <w:sz w:val="20"/>
                <w:lang w:val="fr-CA"/>
              </w:rPr>
              <w:t xml:space="preserve"> — La compétence du tribunal pour être maître de sa propre procédure qui lui permet de nommer des avocats comprend-elle le pouvoir d'ordonner au gouvernement d'utiliser des fonds publics pour payer des avocats eu égard à la compétence exclusive du législateur pour débourser des fonds publics? — Les dispositions législatives générales qui permettent les recours contre la Couronne confèrent-elles aux tribunaux la compétence pour ordonner à l'Ontario d'affecter et de dépenser des fonds publics indéterminés pour rémunérer des </w:t>
            </w:r>
            <w:r w:rsidRPr="009F4C66">
              <w:rPr>
                <w:rFonts w:eastAsia="Calibri"/>
                <w:i/>
                <w:sz w:val="20"/>
                <w:lang w:val="fr-CA"/>
              </w:rPr>
              <w:t>amicus curiae</w:t>
            </w:r>
            <w:r w:rsidRPr="009F4C66">
              <w:rPr>
                <w:rFonts w:eastAsia="Calibri"/>
                <w:sz w:val="20"/>
                <w:lang w:val="fr-CA"/>
              </w:rPr>
              <w:t xml:space="preserve"> dans des affaires criminelles lorsque le tribunal le juge nécessaire pour l'administration de la justice? — Le tribunal doit-il adopter l'approche la moins restrictive lorsqu'il a ordonné que la présence d'</w:t>
            </w:r>
            <w:r w:rsidRPr="009F4C66">
              <w:rPr>
                <w:rFonts w:eastAsia="Calibri"/>
                <w:i/>
                <w:sz w:val="20"/>
                <w:lang w:val="fr-CA"/>
              </w:rPr>
              <w:t>amicus curiae</w:t>
            </w:r>
            <w:r w:rsidRPr="009F4C66">
              <w:rPr>
                <w:rFonts w:eastAsia="Calibri"/>
                <w:sz w:val="20"/>
                <w:lang w:val="fr-CA"/>
              </w:rPr>
              <w:t xml:space="preserve"> est nécessaire ou bien est-ce que le tribunal peut procéder directement pour fixer les tarifs pour les </w:t>
            </w:r>
            <w:r w:rsidRPr="009F4C66">
              <w:rPr>
                <w:rFonts w:eastAsia="Calibri"/>
                <w:i/>
                <w:sz w:val="20"/>
                <w:lang w:val="fr-CA"/>
              </w:rPr>
              <w:t>amicus curiae</w:t>
            </w:r>
            <w:r w:rsidRPr="009F4C66">
              <w:rPr>
                <w:rFonts w:eastAsia="Calibri"/>
                <w:sz w:val="20"/>
                <w:lang w:val="fr-CA"/>
              </w:rPr>
              <w:t>?</w:t>
            </w:r>
          </w:p>
          <w:p w:rsidR="004650E7" w:rsidRPr="009F4C66" w:rsidRDefault="004650E7" w:rsidP="009734DA">
            <w:pPr>
              <w:jc w:val="both"/>
              <w:rPr>
                <w:rFonts w:eastAsia="Calibri"/>
                <w:sz w:val="20"/>
                <w:lang w:val="fr-CA"/>
              </w:rPr>
            </w:pPr>
          </w:p>
        </w:tc>
      </w:tr>
      <w:tr w:rsidR="004650E7" w:rsidRPr="00832ABE" w:rsidTr="009734DA">
        <w:tc>
          <w:tcPr>
            <w:tcW w:w="5000" w:type="pct"/>
            <w:gridSpan w:val="3"/>
          </w:tcPr>
          <w:p w:rsidR="004650E7" w:rsidRPr="009F4C66" w:rsidRDefault="004650E7" w:rsidP="009734DA">
            <w:pPr>
              <w:jc w:val="both"/>
              <w:rPr>
                <w:rFonts w:eastAsia="Calibri"/>
                <w:sz w:val="20"/>
                <w:lang w:val="fr-CA"/>
              </w:rPr>
            </w:pPr>
            <w:r w:rsidRPr="009F4C66">
              <w:rPr>
                <w:rFonts w:eastAsia="Calibri"/>
                <w:sz w:val="20"/>
                <w:lang w:val="fr-CA"/>
              </w:rPr>
              <w:t xml:space="preserve">Dans les affaires criminelles dont il est question en l’espèce, les juges de première instance ont nommé des </w:t>
            </w:r>
            <w:r w:rsidRPr="009F4C66">
              <w:rPr>
                <w:rFonts w:eastAsia="Calibri"/>
                <w:i/>
                <w:sz w:val="20"/>
                <w:lang w:val="fr-CA"/>
              </w:rPr>
              <w:t>amicus curiae</w:t>
            </w:r>
            <w:r w:rsidRPr="009F4C66">
              <w:rPr>
                <w:rFonts w:eastAsia="Calibri"/>
                <w:sz w:val="20"/>
                <w:lang w:val="fr-CA"/>
              </w:rPr>
              <w:t xml:space="preserve"> pour assurer que les instances procèdent équitablement et rapidement. Dans tous les cas, le juge de première instance a ordonné un tarif de rémunération à payer aux </w:t>
            </w:r>
            <w:r w:rsidRPr="009F4C66">
              <w:rPr>
                <w:rFonts w:eastAsia="Calibri"/>
                <w:i/>
                <w:sz w:val="20"/>
                <w:lang w:val="fr-CA"/>
              </w:rPr>
              <w:t>amicus curiae</w:t>
            </w:r>
            <w:r w:rsidRPr="009F4C66">
              <w:rPr>
                <w:rFonts w:eastAsia="Calibri"/>
                <w:sz w:val="20"/>
                <w:lang w:val="fr-CA"/>
              </w:rPr>
              <w:t xml:space="preserve"> par le procureur général.  Dans le cas de M. Imona Russel, le juge de première instance a également nommé un évaluateur indépendant pour contrôler et approuver les comptes de l'</w:t>
            </w:r>
            <w:r w:rsidRPr="009F4C66">
              <w:rPr>
                <w:rFonts w:eastAsia="Calibri"/>
                <w:i/>
                <w:sz w:val="20"/>
                <w:lang w:val="fr-CA"/>
              </w:rPr>
              <w:t>amicus curiae</w:t>
            </w:r>
            <w:r w:rsidRPr="009F4C66">
              <w:rPr>
                <w:rFonts w:eastAsia="Calibri"/>
                <w:sz w:val="20"/>
                <w:lang w:val="fr-CA"/>
              </w:rPr>
              <w:t xml:space="preserve">.  Le procureur général conteste la compétence des tribunaux pour fixer des tarifs de rémunération et d'ordonner le paiement d'honoraires aux </w:t>
            </w:r>
            <w:r w:rsidRPr="009F4C66">
              <w:rPr>
                <w:rFonts w:eastAsia="Calibri"/>
                <w:i/>
                <w:sz w:val="20"/>
                <w:lang w:val="fr-CA"/>
              </w:rPr>
              <w:t>amicus curiae</w:t>
            </w:r>
            <w:r w:rsidRPr="009F4C66">
              <w:rPr>
                <w:rFonts w:eastAsia="Calibri"/>
                <w:sz w:val="20"/>
                <w:lang w:val="fr-CA"/>
              </w:rPr>
              <w:t xml:space="preserve"> sur le Trésor.</w:t>
            </w:r>
          </w:p>
        </w:tc>
      </w:tr>
      <w:tr w:rsidR="004650E7" w:rsidRPr="00832ABE" w:rsidTr="009734DA">
        <w:tc>
          <w:tcPr>
            <w:tcW w:w="5000" w:type="pct"/>
            <w:gridSpan w:val="3"/>
          </w:tcPr>
          <w:p w:rsidR="004650E7" w:rsidRPr="009F4C66" w:rsidRDefault="004650E7" w:rsidP="009734DA">
            <w:pPr>
              <w:jc w:val="both"/>
              <w:rPr>
                <w:rFonts w:eastAsia="Calibri"/>
                <w:sz w:val="20"/>
                <w:lang w:val="fr-CA"/>
              </w:rPr>
            </w:pPr>
            <w:r w:rsidRPr="009F4C66">
              <w:rPr>
                <w:rFonts w:eastAsia="Calibri"/>
                <w:sz w:val="20"/>
                <w:lang w:val="fr-CA"/>
              </w:rPr>
              <w:t xml:space="preserve"> </w:t>
            </w:r>
          </w:p>
        </w:tc>
      </w:tr>
      <w:tr w:rsidR="004650E7" w:rsidRPr="00832ABE"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 xml:space="preserve">17 juin 2008 </w:t>
            </w:r>
          </w:p>
          <w:p w:rsidR="004650E7" w:rsidRPr="009F4C66" w:rsidRDefault="004650E7" w:rsidP="009734DA">
            <w:pPr>
              <w:jc w:val="both"/>
              <w:rPr>
                <w:rFonts w:eastAsia="Calibri"/>
                <w:sz w:val="20"/>
                <w:lang w:val="fr-CA"/>
              </w:rPr>
            </w:pPr>
            <w:r w:rsidRPr="009F4C66">
              <w:rPr>
                <w:rFonts w:eastAsia="Calibri"/>
                <w:sz w:val="20"/>
                <w:lang w:val="fr-CA"/>
              </w:rPr>
              <w:t xml:space="preserve">Cour supérieure de justice de l'Ontario </w:t>
            </w:r>
          </w:p>
          <w:p w:rsidR="004650E7" w:rsidRPr="009F4C66" w:rsidRDefault="004650E7" w:rsidP="009734DA">
            <w:pPr>
              <w:jc w:val="both"/>
              <w:rPr>
                <w:rFonts w:eastAsia="Calibri"/>
                <w:sz w:val="20"/>
                <w:lang w:val="fr-CA"/>
              </w:rPr>
            </w:pPr>
            <w:r w:rsidRPr="009F4C66">
              <w:rPr>
                <w:rFonts w:eastAsia="Calibri"/>
                <w:sz w:val="20"/>
                <w:lang w:val="fr-CA"/>
              </w:rPr>
              <w:t>(Juge Marrocco)</w:t>
            </w:r>
          </w:p>
          <w:p w:rsidR="004650E7" w:rsidRPr="009F4C66" w:rsidRDefault="004650E7" w:rsidP="009734DA">
            <w:pPr>
              <w:jc w:val="both"/>
              <w:rPr>
                <w:rFonts w:eastAsia="Calibri"/>
                <w:sz w:val="20"/>
                <w:lang w:val="fr-CA"/>
              </w:rPr>
            </w:pP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sz w:val="20"/>
                <w:lang w:val="fr-CA"/>
              </w:rPr>
              <w:t xml:space="preserve">Ordonnance nommant un </w:t>
            </w:r>
            <w:r w:rsidRPr="009F4C66">
              <w:rPr>
                <w:rFonts w:eastAsia="Calibri"/>
                <w:i/>
                <w:sz w:val="20"/>
                <w:lang w:val="fr-CA"/>
              </w:rPr>
              <w:t>amicus curiae</w:t>
            </w:r>
            <w:r w:rsidRPr="009F4C66">
              <w:rPr>
                <w:rFonts w:eastAsia="Calibri"/>
                <w:sz w:val="20"/>
                <w:lang w:val="fr-CA"/>
              </w:rPr>
              <w:t xml:space="preserve"> dans l'affaire </w:t>
            </w:r>
            <w:r w:rsidRPr="009F4C66">
              <w:rPr>
                <w:rFonts w:eastAsia="Calibri"/>
                <w:i/>
                <w:sz w:val="20"/>
                <w:lang w:val="fr-CA"/>
              </w:rPr>
              <w:t>R. c. Imona Russel</w:t>
            </w:r>
            <w:r w:rsidRPr="009F4C66">
              <w:rPr>
                <w:rFonts w:eastAsia="Calibri"/>
                <w:sz w:val="20"/>
                <w:lang w:val="fr-CA"/>
              </w:rPr>
              <w:t xml:space="preserve"> au tarif de l'aide juridique</w:t>
            </w:r>
          </w:p>
          <w:p w:rsidR="004650E7" w:rsidRPr="009F4C66" w:rsidRDefault="004650E7" w:rsidP="009734DA">
            <w:pPr>
              <w:jc w:val="both"/>
              <w:rPr>
                <w:rFonts w:eastAsia="Calibri"/>
                <w:sz w:val="20"/>
                <w:lang w:val="fr-CA"/>
              </w:rPr>
            </w:pPr>
          </w:p>
        </w:tc>
      </w:tr>
      <w:tr w:rsidR="004650E7" w:rsidRPr="00832ABE"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25 septembre 2009</w:t>
            </w:r>
          </w:p>
          <w:p w:rsidR="004650E7" w:rsidRPr="009F4C66" w:rsidRDefault="004650E7" w:rsidP="009734DA">
            <w:pPr>
              <w:jc w:val="both"/>
              <w:rPr>
                <w:rFonts w:eastAsia="Calibri"/>
                <w:sz w:val="20"/>
                <w:lang w:val="fr-CA"/>
              </w:rPr>
            </w:pPr>
            <w:r w:rsidRPr="009F4C66">
              <w:rPr>
                <w:rFonts w:eastAsia="Calibri"/>
                <w:sz w:val="20"/>
                <w:lang w:val="fr-CA"/>
              </w:rPr>
              <w:t xml:space="preserve">Cour de justice de l'Ontario </w:t>
            </w:r>
          </w:p>
          <w:p w:rsidR="004650E7" w:rsidRPr="009F4C66" w:rsidRDefault="004650E7" w:rsidP="009734DA">
            <w:pPr>
              <w:jc w:val="both"/>
              <w:rPr>
                <w:rFonts w:eastAsia="Calibri"/>
                <w:sz w:val="20"/>
                <w:lang w:val="fr-CA"/>
              </w:rPr>
            </w:pPr>
            <w:r w:rsidRPr="009F4C66">
              <w:rPr>
                <w:rFonts w:eastAsia="Calibri"/>
                <w:sz w:val="20"/>
                <w:lang w:val="fr-CA"/>
              </w:rPr>
              <w:t xml:space="preserve">(Juge Forestell) </w:t>
            </w: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sz w:val="20"/>
                <w:lang w:val="fr-CA"/>
              </w:rPr>
              <w:t xml:space="preserve">Ordonnance modifiant la nomination de l'intervenant pour ordonner un tarif de rémunération de 192 $ l’heure, avocat en second nommé comme </w:t>
            </w:r>
            <w:r w:rsidRPr="009F4C66">
              <w:rPr>
                <w:rFonts w:eastAsia="Calibri"/>
                <w:i/>
                <w:sz w:val="20"/>
                <w:lang w:val="fr-CA"/>
              </w:rPr>
              <w:t>amicus curiae</w:t>
            </w:r>
            <w:r w:rsidRPr="009F4C66">
              <w:rPr>
                <w:rFonts w:eastAsia="Calibri"/>
                <w:sz w:val="20"/>
                <w:lang w:val="fr-CA"/>
              </w:rPr>
              <w:t xml:space="preserve"> au tarif de 110 $ l'heure</w:t>
            </w:r>
          </w:p>
          <w:p w:rsidR="004650E7" w:rsidRPr="009F4C66" w:rsidRDefault="004650E7" w:rsidP="009734DA">
            <w:pPr>
              <w:jc w:val="both"/>
              <w:rPr>
                <w:rFonts w:eastAsia="Calibri"/>
                <w:sz w:val="20"/>
                <w:lang w:val="fr-CA"/>
              </w:rPr>
            </w:pPr>
          </w:p>
        </w:tc>
      </w:tr>
      <w:tr w:rsidR="004650E7" w:rsidRPr="00832ABE"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26 février 2010</w:t>
            </w:r>
          </w:p>
          <w:p w:rsidR="004650E7" w:rsidRPr="009F4C66" w:rsidRDefault="004650E7" w:rsidP="009734DA">
            <w:pPr>
              <w:jc w:val="both"/>
              <w:rPr>
                <w:rFonts w:eastAsia="Calibri"/>
                <w:sz w:val="20"/>
                <w:lang w:val="fr-CA"/>
              </w:rPr>
            </w:pPr>
            <w:r w:rsidRPr="009F4C66">
              <w:rPr>
                <w:rFonts w:eastAsia="Calibri"/>
                <w:sz w:val="20"/>
                <w:lang w:val="fr-CA"/>
              </w:rPr>
              <w:t xml:space="preserve">Cour de justice de l'Ontario </w:t>
            </w:r>
          </w:p>
          <w:p w:rsidR="004650E7" w:rsidRPr="009F4C66" w:rsidRDefault="004650E7" w:rsidP="009734DA">
            <w:pPr>
              <w:jc w:val="both"/>
              <w:rPr>
                <w:rFonts w:eastAsia="Calibri"/>
                <w:sz w:val="20"/>
                <w:lang w:val="fr-CA"/>
              </w:rPr>
            </w:pPr>
            <w:r w:rsidRPr="009F4C66">
              <w:rPr>
                <w:rFonts w:eastAsia="Calibri"/>
                <w:sz w:val="20"/>
                <w:lang w:val="fr-CA"/>
              </w:rPr>
              <w:t xml:space="preserve">(Juge Forestell) </w:t>
            </w: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sz w:val="20"/>
                <w:lang w:val="fr-CA"/>
              </w:rPr>
              <w:t>Ordonnance nommant un vérificateur indépendant au tarif de 192 $ l'heure pour fixer le budget de l'</w:t>
            </w:r>
            <w:r w:rsidRPr="009F4C66">
              <w:rPr>
                <w:rFonts w:eastAsia="Calibri"/>
                <w:i/>
                <w:sz w:val="20"/>
                <w:lang w:val="fr-CA"/>
              </w:rPr>
              <w:t>amicus curiae</w:t>
            </w:r>
            <w:r w:rsidRPr="009F4C66">
              <w:rPr>
                <w:rFonts w:eastAsia="Calibri"/>
                <w:sz w:val="20"/>
                <w:lang w:val="fr-CA"/>
              </w:rPr>
              <w:t xml:space="preserve"> et pour examiner,  contrôler et évaluer les comptes de l'</w:t>
            </w:r>
            <w:r w:rsidRPr="009F4C66">
              <w:rPr>
                <w:rFonts w:eastAsia="Calibri"/>
                <w:i/>
                <w:sz w:val="20"/>
                <w:lang w:val="fr-CA"/>
              </w:rPr>
              <w:t xml:space="preserve">amicus curiae  </w:t>
            </w:r>
            <w:r w:rsidRPr="009F4C66">
              <w:rPr>
                <w:rFonts w:eastAsia="Calibri"/>
                <w:sz w:val="20"/>
                <w:lang w:val="fr-CA"/>
              </w:rPr>
              <w:t xml:space="preserve"> </w:t>
            </w:r>
          </w:p>
          <w:p w:rsidR="004650E7" w:rsidRPr="009F4C66" w:rsidRDefault="004650E7" w:rsidP="009734DA">
            <w:pPr>
              <w:jc w:val="both"/>
              <w:rPr>
                <w:rFonts w:eastAsia="Calibri"/>
                <w:sz w:val="20"/>
                <w:lang w:val="fr-CA"/>
              </w:rPr>
            </w:pPr>
          </w:p>
        </w:tc>
      </w:tr>
      <w:tr w:rsidR="004650E7" w:rsidRPr="00832ABE"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18 septembre 2009</w:t>
            </w:r>
          </w:p>
          <w:p w:rsidR="004650E7" w:rsidRPr="009F4C66" w:rsidRDefault="004650E7" w:rsidP="009734DA">
            <w:pPr>
              <w:jc w:val="both"/>
              <w:rPr>
                <w:rFonts w:eastAsia="Calibri"/>
                <w:sz w:val="20"/>
                <w:lang w:val="fr-CA"/>
              </w:rPr>
            </w:pPr>
            <w:r w:rsidRPr="009F4C66">
              <w:rPr>
                <w:rFonts w:eastAsia="Calibri"/>
                <w:sz w:val="20"/>
                <w:lang w:val="fr-CA"/>
              </w:rPr>
              <w:t xml:space="preserve">Cour de justice de l'Ontario </w:t>
            </w:r>
          </w:p>
          <w:p w:rsidR="004650E7" w:rsidRPr="009F4C66" w:rsidRDefault="004650E7" w:rsidP="009734DA">
            <w:pPr>
              <w:jc w:val="both"/>
              <w:rPr>
                <w:rFonts w:eastAsia="Calibri"/>
                <w:sz w:val="20"/>
                <w:lang w:val="fr-CA"/>
              </w:rPr>
            </w:pPr>
            <w:r w:rsidRPr="009F4C66">
              <w:rPr>
                <w:rFonts w:eastAsia="Calibri"/>
                <w:sz w:val="20"/>
                <w:lang w:val="fr-CA"/>
              </w:rPr>
              <w:t xml:space="preserve">(Juge Keast)  </w:t>
            </w: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i/>
                <w:sz w:val="20"/>
                <w:lang w:val="fr-CA"/>
              </w:rPr>
              <w:t>Amicus curiae</w:t>
            </w:r>
            <w:r w:rsidRPr="009F4C66">
              <w:rPr>
                <w:rFonts w:eastAsia="Calibri"/>
                <w:sz w:val="20"/>
                <w:lang w:val="fr-CA"/>
              </w:rPr>
              <w:t xml:space="preserve"> nommé dans l'affaire </w:t>
            </w:r>
            <w:r w:rsidRPr="009F4C66">
              <w:rPr>
                <w:rFonts w:eastAsia="Calibri"/>
                <w:i/>
                <w:sz w:val="20"/>
                <w:lang w:val="fr-CA"/>
              </w:rPr>
              <w:t>R. c. Paul Whalen</w:t>
            </w:r>
            <w:r w:rsidRPr="009F4C66">
              <w:rPr>
                <w:rFonts w:eastAsia="Calibri"/>
                <w:sz w:val="20"/>
                <w:lang w:val="fr-CA"/>
              </w:rPr>
              <w:t xml:space="preserve"> au tarif de 200 $ l’heure, le procureur général est sommé de fournir le financement</w:t>
            </w:r>
          </w:p>
          <w:p w:rsidR="004650E7" w:rsidRPr="009F4C66" w:rsidRDefault="004650E7" w:rsidP="009734DA">
            <w:pPr>
              <w:jc w:val="both"/>
              <w:rPr>
                <w:rFonts w:eastAsia="Calibri"/>
                <w:sz w:val="20"/>
                <w:lang w:val="fr-CA"/>
              </w:rPr>
            </w:pPr>
          </w:p>
        </w:tc>
      </w:tr>
      <w:tr w:rsidR="004650E7" w:rsidRPr="00832ABE"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11 août 2009</w:t>
            </w:r>
          </w:p>
          <w:p w:rsidR="004650E7" w:rsidRPr="009F4C66" w:rsidRDefault="004650E7" w:rsidP="009734DA">
            <w:pPr>
              <w:jc w:val="both"/>
              <w:rPr>
                <w:rFonts w:eastAsia="Calibri"/>
                <w:sz w:val="20"/>
                <w:lang w:val="fr-CA"/>
              </w:rPr>
            </w:pPr>
            <w:r w:rsidRPr="009F4C66">
              <w:rPr>
                <w:rFonts w:eastAsia="Calibri"/>
                <w:sz w:val="20"/>
                <w:lang w:val="fr-CA"/>
              </w:rPr>
              <w:t>Cour supérieure de justice de l'Ontario</w:t>
            </w:r>
          </w:p>
          <w:p w:rsidR="004650E7" w:rsidRPr="009F4C66" w:rsidRDefault="004650E7" w:rsidP="009734DA">
            <w:pPr>
              <w:jc w:val="both"/>
              <w:rPr>
                <w:rFonts w:eastAsia="Calibri"/>
                <w:sz w:val="20"/>
                <w:lang w:val="fr-CA"/>
              </w:rPr>
            </w:pPr>
            <w:r w:rsidRPr="009F4C66">
              <w:rPr>
                <w:rFonts w:eastAsia="Calibri"/>
                <w:sz w:val="20"/>
                <w:lang w:val="fr-CA"/>
              </w:rPr>
              <w:t>(Juge Ratushny)</w:t>
            </w: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sz w:val="20"/>
                <w:lang w:val="fr-CA"/>
              </w:rPr>
              <w:t>Ordonnance pour que le tarif de rémunération de l'</w:t>
            </w:r>
            <w:r w:rsidRPr="009F4C66">
              <w:rPr>
                <w:rFonts w:eastAsia="Calibri"/>
                <w:i/>
                <w:sz w:val="20"/>
                <w:lang w:val="fr-CA"/>
              </w:rPr>
              <w:t>amicus curiae</w:t>
            </w:r>
            <w:r w:rsidRPr="009F4C66">
              <w:rPr>
                <w:rFonts w:eastAsia="Calibri"/>
                <w:sz w:val="20"/>
                <w:lang w:val="fr-CA"/>
              </w:rPr>
              <w:t xml:space="preserve"> dans l'affaire </w:t>
            </w:r>
            <w:r w:rsidRPr="009F4C66">
              <w:rPr>
                <w:rFonts w:eastAsia="Calibri"/>
                <w:i/>
                <w:sz w:val="20"/>
                <w:lang w:val="fr-CA"/>
              </w:rPr>
              <w:t>R. c. Lawrence Greenspon</w:t>
            </w:r>
            <w:r w:rsidRPr="009F4C66">
              <w:rPr>
                <w:rFonts w:eastAsia="Calibri"/>
                <w:sz w:val="20"/>
                <w:lang w:val="fr-CA"/>
              </w:rPr>
              <w:t xml:space="preserve"> soit fixé à 250 $ l’heure pour 3,25 heures travaillées</w:t>
            </w:r>
          </w:p>
          <w:p w:rsidR="004650E7" w:rsidRPr="009F4C66" w:rsidRDefault="004650E7" w:rsidP="009734DA">
            <w:pPr>
              <w:jc w:val="both"/>
              <w:rPr>
                <w:rFonts w:eastAsia="Calibri"/>
                <w:sz w:val="20"/>
                <w:lang w:val="fr-CA"/>
              </w:rPr>
            </w:pPr>
          </w:p>
        </w:tc>
      </w:tr>
      <w:tr w:rsidR="004650E7" w:rsidRPr="009F4C66"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19 avril 2011</w:t>
            </w:r>
          </w:p>
          <w:p w:rsidR="004650E7" w:rsidRPr="009F4C66" w:rsidRDefault="004650E7" w:rsidP="009734DA">
            <w:pPr>
              <w:jc w:val="both"/>
              <w:rPr>
                <w:rFonts w:eastAsia="Calibri"/>
                <w:sz w:val="20"/>
                <w:lang w:val="fr-CA"/>
              </w:rPr>
            </w:pPr>
            <w:r w:rsidRPr="009F4C66">
              <w:rPr>
                <w:rFonts w:eastAsia="Calibri"/>
                <w:sz w:val="20"/>
                <w:lang w:val="fr-CA"/>
              </w:rPr>
              <w:t xml:space="preserve">Cour d'appel de l'Ontario </w:t>
            </w:r>
          </w:p>
          <w:p w:rsidR="004650E7" w:rsidRPr="009F4C66" w:rsidRDefault="004650E7" w:rsidP="009734DA">
            <w:pPr>
              <w:jc w:val="both"/>
              <w:rPr>
                <w:rFonts w:eastAsia="Calibri"/>
                <w:sz w:val="20"/>
                <w:lang w:val="fr-CA"/>
              </w:rPr>
            </w:pPr>
            <w:r w:rsidRPr="009F4C66">
              <w:rPr>
                <w:rFonts w:eastAsia="Calibri"/>
                <w:sz w:val="20"/>
                <w:lang w:val="fr-CA"/>
              </w:rPr>
              <w:t>(Juges Rosenberg, Goudge et Armstrong)</w:t>
            </w:r>
          </w:p>
          <w:p w:rsidR="004650E7" w:rsidRPr="009F4C66" w:rsidRDefault="004650E7" w:rsidP="009734DA">
            <w:pPr>
              <w:jc w:val="both"/>
              <w:rPr>
                <w:rFonts w:eastAsia="Calibri"/>
                <w:sz w:val="20"/>
                <w:lang w:val="fr-CA"/>
              </w:rPr>
            </w:pPr>
            <w:r w:rsidRPr="009F4C66">
              <w:rPr>
                <w:rFonts w:eastAsia="Calibri"/>
                <w:sz w:val="20"/>
                <w:lang w:val="fr-CA"/>
              </w:rPr>
              <w:t xml:space="preserve">2011 ONCA 303 </w:t>
            </w:r>
          </w:p>
          <w:p w:rsidR="004650E7" w:rsidRPr="009F4C66" w:rsidRDefault="004650E7" w:rsidP="009734DA">
            <w:pPr>
              <w:jc w:val="both"/>
              <w:rPr>
                <w:rFonts w:eastAsia="Calibri"/>
                <w:sz w:val="20"/>
                <w:lang w:val="fr-CA"/>
              </w:rPr>
            </w:pP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sz w:val="20"/>
                <w:lang w:val="fr-CA"/>
              </w:rPr>
              <w:t>Appels rejetés</w:t>
            </w:r>
          </w:p>
          <w:p w:rsidR="004650E7" w:rsidRPr="009F4C66" w:rsidRDefault="004650E7" w:rsidP="009734DA">
            <w:pPr>
              <w:jc w:val="both"/>
              <w:rPr>
                <w:rFonts w:eastAsia="Calibri"/>
                <w:sz w:val="20"/>
                <w:lang w:val="fr-CA"/>
              </w:rPr>
            </w:pPr>
          </w:p>
        </w:tc>
      </w:tr>
      <w:tr w:rsidR="004650E7" w:rsidRPr="009F4C66"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17 juin 2011</w:t>
            </w:r>
          </w:p>
          <w:p w:rsidR="004650E7" w:rsidRPr="009F4C66" w:rsidRDefault="004650E7" w:rsidP="009734DA">
            <w:pPr>
              <w:jc w:val="both"/>
              <w:rPr>
                <w:rFonts w:eastAsia="Calibri"/>
                <w:sz w:val="20"/>
                <w:lang w:val="fr-CA"/>
              </w:rPr>
            </w:pPr>
            <w:r w:rsidRPr="009F4C66">
              <w:rPr>
                <w:rFonts w:eastAsia="Calibri"/>
                <w:sz w:val="20"/>
                <w:lang w:val="fr-CA"/>
              </w:rPr>
              <w:t>Cour suprême du Canada</w:t>
            </w:r>
          </w:p>
          <w:p w:rsidR="004650E7" w:rsidRPr="009F4C66" w:rsidRDefault="004650E7" w:rsidP="009734DA">
            <w:pPr>
              <w:jc w:val="both"/>
              <w:rPr>
                <w:rFonts w:eastAsia="Calibri"/>
                <w:sz w:val="20"/>
                <w:lang w:val="fr-CA"/>
              </w:rPr>
            </w:pP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sz w:val="20"/>
                <w:lang w:val="fr-CA"/>
              </w:rPr>
              <w:t>Demande d'autorisation d'appel, déposée</w:t>
            </w:r>
          </w:p>
        </w:tc>
      </w:tr>
      <w:tr w:rsidR="004650E7" w:rsidRPr="00832ABE" w:rsidTr="00460A3C">
        <w:trPr>
          <w:cantSplit/>
        </w:trPr>
        <w:tc>
          <w:tcPr>
            <w:tcW w:w="2378" w:type="pct"/>
          </w:tcPr>
          <w:p w:rsidR="004650E7" w:rsidRPr="009F4C66" w:rsidRDefault="004650E7" w:rsidP="009734DA">
            <w:pPr>
              <w:jc w:val="both"/>
              <w:rPr>
                <w:rFonts w:eastAsia="Calibri"/>
                <w:sz w:val="20"/>
                <w:lang w:val="fr-CA"/>
              </w:rPr>
            </w:pPr>
            <w:r w:rsidRPr="009F4C66">
              <w:rPr>
                <w:rFonts w:eastAsia="Calibri"/>
                <w:sz w:val="20"/>
                <w:lang w:val="fr-CA"/>
              </w:rPr>
              <w:t>23 août 2011</w:t>
            </w:r>
          </w:p>
          <w:p w:rsidR="004650E7" w:rsidRPr="009F4C66" w:rsidRDefault="004650E7" w:rsidP="009734DA">
            <w:pPr>
              <w:jc w:val="both"/>
              <w:rPr>
                <w:rFonts w:eastAsia="Calibri"/>
                <w:sz w:val="20"/>
                <w:lang w:val="fr-CA"/>
              </w:rPr>
            </w:pPr>
            <w:r w:rsidRPr="009F4C66">
              <w:rPr>
                <w:rFonts w:eastAsia="Calibri"/>
                <w:sz w:val="20"/>
                <w:lang w:val="fr-CA"/>
              </w:rPr>
              <w:t>Cour suprême du Canada</w:t>
            </w:r>
          </w:p>
        </w:tc>
        <w:tc>
          <w:tcPr>
            <w:tcW w:w="237" w:type="pct"/>
          </w:tcPr>
          <w:p w:rsidR="004650E7" w:rsidRPr="009F4C66" w:rsidRDefault="004650E7" w:rsidP="009734DA">
            <w:pPr>
              <w:jc w:val="both"/>
              <w:rPr>
                <w:rFonts w:eastAsia="Calibri"/>
                <w:sz w:val="20"/>
                <w:lang w:val="fr-CA"/>
              </w:rPr>
            </w:pPr>
          </w:p>
        </w:tc>
        <w:tc>
          <w:tcPr>
            <w:tcW w:w="2385" w:type="pct"/>
          </w:tcPr>
          <w:p w:rsidR="004650E7" w:rsidRPr="009F4C66" w:rsidRDefault="004650E7" w:rsidP="009734DA">
            <w:pPr>
              <w:jc w:val="both"/>
              <w:rPr>
                <w:rFonts w:eastAsia="Calibri"/>
                <w:sz w:val="20"/>
                <w:lang w:val="fr-CA"/>
              </w:rPr>
            </w:pPr>
            <w:r w:rsidRPr="009F4C66">
              <w:rPr>
                <w:rFonts w:eastAsia="Calibri"/>
                <w:sz w:val="20"/>
                <w:lang w:val="fr-CA"/>
              </w:rPr>
              <w:t>Requête en consolidation des demandes d'autorisation d'appel et en modification de l'intitulé de la cause, déposée</w:t>
            </w:r>
          </w:p>
        </w:tc>
      </w:tr>
    </w:tbl>
    <w:p w:rsidR="00140B84" w:rsidRPr="004650E7" w:rsidRDefault="00140B84" w:rsidP="00140B84">
      <w:pPr>
        <w:rPr>
          <w:sz w:val="20"/>
          <w:szCs w:val="20"/>
          <w:lang w:val="fr-CA"/>
        </w:rPr>
      </w:pPr>
    </w:p>
    <w:p w:rsidR="00140B84" w:rsidRDefault="00E5065D" w:rsidP="00140B84">
      <w:pPr>
        <w:rPr>
          <w:sz w:val="20"/>
          <w:szCs w:val="20"/>
          <w:lang w:val="fr-CA"/>
        </w:rPr>
      </w:pPr>
      <w:r w:rsidRPr="00E5065D">
        <w:rPr>
          <w:sz w:val="20"/>
          <w:szCs w:val="20"/>
          <w:lang w:val="fr-CA"/>
        </w:rPr>
        <w:pict>
          <v:rect id="_x0000_i1053"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037A0" w:rsidRPr="000F2BC0" w:rsidTr="001600B8">
        <w:trPr>
          <w:cantSplit/>
        </w:trPr>
        <w:tc>
          <w:tcPr>
            <w:tcW w:w="1458" w:type="dxa"/>
          </w:tcPr>
          <w:p w:rsidR="00D037A0" w:rsidRPr="000F2BC0" w:rsidRDefault="00D037A0" w:rsidP="001600B8">
            <w:pPr>
              <w:rPr>
                <w:sz w:val="20"/>
                <w:szCs w:val="20"/>
              </w:rPr>
            </w:pPr>
            <w:r w:rsidRPr="000F2BC0">
              <w:rPr>
                <w:rStyle w:val="SCCFileNumberChar"/>
                <w:sz w:val="20"/>
                <w:szCs w:val="20"/>
              </w:rPr>
              <w:t>34333</w:t>
            </w:r>
          </w:p>
          <w:p w:rsidR="00D037A0" w:rsidRPr="000F2BC0" w:rsidRDefault="00D037A0" w:rsidP="001600B8">
            <w:pPr>
              <w:rPr>
                <w:b/>
                <w:sz w:val="20"/>
                <w:szCs w:val="20"/>
                <w:lang w:val="fr-CA"/>
              </w:rPr>
            </w:pPr>
          </w:p>
        </w:tc>
        <w:tc>
          <w:tcPr>
            <w:tcW w:w="8118" w:type="dxa"/>
          </w:tcPr>
          <w:p w:rsidR="00D037A0" w:rsidRPr="000F2BC0" w:rsidRDefault="00D037A0" w:rsidP="00D037A0">
            <w:pPr>
              <w:jc w:val="both"/>
              <w:rPr>
                <w:sz w:val="20"/>
                <w:szCs w:val="20"/>
              </w:rPr>
            </w:pPr>
            <w:r w:rsidRPr="000F2BC0">
              <w:rPr>
                <w:rStyle w:val="SCCLsocChar"/>
                <w:sz w:val="20"/>
                <w:szCs w:val="20"/>
                <w:lang w:val="en-CA"/>
              </w:rPr>
              <w:t>Corporation of the Township of Galway-Cavendish and Harvey v. John Gordon Pate</w:t>
            </w:r>
            <w:r w:rsidRPr="000F2BC0">
              <w:rPr>
                <w:sz w:val="20"/>
                <w:szCs w:val="20"/>
              </w:rPr>
              <w:t xml:space="preserve"> (Ont.) (Civil) (By Leave)</w:t>
            </w:r>
          </w:p>
          <w:p w:rsidR="00D037A0" w:rsidRPr="000F2BC0" w:rsidRDefault="00D037A0" w:rsidP="001600B8">
            <w:pPr>
              <w:rPr>
                <w:sz w:val="20"/>
                <w:szCs w:val="20"/>
              </w:rPr>
            </w:pPr>
          </w:p>
        </w:tc>
      </w:tr>
      <w:tr w:rsidR="00D037A0" w:rsidRPr="000F2BC0" w:rsidTr="001600B8">
        <w:trPr>
          <w:cantSplit/>
        </w:trPr>
        <w:tc>
          <w:tcPr>
            <w:tcW w:w="1458" w:type="dxa"/>
          </w:tcPr>
          <w:p w:rsidR="00D037A0" w:rsidRPr="000F2BC0" w:rsidRDefault="00D037A0" w:rsidP="001600B8">
            <w:pPr>
              <w:rPr>
                <w:sz w:val="20"/>
                <w:szCs w:val="20"/>
              </w:rPr>
            </w:pPr>
            <w:r w:rsidRPr="000F2BC0">
              <w:rPr>
                <w:sz w:val="20"/>
                <w:szCs w:val="20"/>
              </w:rPr>
              <w:t>Coram :</w:t>
            </w:r>
          </w:p>
        </w:tc>
        <w:tc>
          <w:tcPr>
            <w:tcW w:w="8118" w:type="dxa"/>
          </w:tcPr>
          <w:p w:rsidR="00D037A0" w:rsidRPr="000F2BC0" w:rsidRDefault="00D037A0" w:rsidP="001600B8">
            <w:pPr>
              <w:rPr>
                <w:sz w:val="20"/>
                <w:szCs w:val="20"/>
              </w:rPr>
            </w:pPr>
            <w:r w:rsidRPr="000F2BC0">
              <w:rPr>
                <w:rStyle w:val="SCCCoramChar"/>
                <w:sz w:val="20"/>
                <w:szCs w:val="20"/>
                <w:lang w:val="en-CA"/>
              </w:rPr>
              <w:t>McLachlin C.J. and Rothstein and Moldaver JJ.</w:t>
            </w:r>
          </w:p>
          <w:p w:rsidR="00D037A0" w:rsidRPr="000F2BC0" w:rsidRDefault="00D037A0" w:rsidP="001600B8">
            <w:pPr>
              <w:rPr>
                <w:sz w:val="20"/>
                <w:szCs w:val="20"/>
                <w:u w:val="single"/>
              </w:rPr>
            </w:pPr>
          </w:p>
        </w:tc>
      </w:tr>
      <w:tr w:rsidR="00D037A0" w:rsidRPr="00832ABE" w:rsidTr="001600B8">
        <w:trPr>
          <w:cantSplit/>
        </w:trPr>
        <w:tc>
          <w:tcPr>
            <w:tcW w:w="9576" w:type="dxa"/>
            <w:gridSpan w:val="2"/>
          </w:tcPr>
          <w:p w:rsidR="00D037A0" w:rsidRPr="000F2BC0" w:rsidRDefault="00D037A0" w:rsidP="001600B8">
            <w:pPr>
              <w:pStyle w:val="SCCShortJudgment"/>
              <w:rPr>
                <w:szCs w:val="20"/>
              </w:rPr>
            </w:pPr>
            <w:r w:rsidRPr="000F2BC0">
              <w:rPr>
                <w:szCs w:val="20"/>
              </w:rPr>
              <w:t>The application for leave to appeal from the judgment of the Court of Appeal for Ontario, Number C51565, 2011 ONCA 329, dated April 28, 2011, is dismissed without costs.</w:t>
            </w:r>
          </w:p>
          <w:p w:rsidR="00D037A0" w:rsidRPr="000F2BC0" w:rsidRDefault="00D037A0" w:rsidP="001600B8">
            <w:pPr>
              <w:pStyle w:val="SCCShortJudgment"/>
              <w:ind w:firstLine="0"/>
              <w:rPr>
                <w:szCs w:val="20"/>
              </w:rPr>
            </w:pPr>
          </w:p>
          <w:p w:rsidR="00D037A0" w:rsidRPr="000F2BC0" w:rsidRDefault="00D037A0" w:rsidP="001600B8">
            <w:pPr>
              <w:pStyle w:val="SCCShortJudgment"/>
              <w:rPr>
                <w:szCs w:val="20"/>
                <w:lang w:val="fr-CA"/>
              </w:rPr>
            </w:pPr>
            <w:r w:rsidRPr="000F2BC0">
              <w:rPr>
                <w:szCs w:val="20"/>
                <w:lang w:val="fr-CA"/>
              </w:rPr>
              <w:t>La demande d’autorisation d’appel de l’arrêt de la Cour d’appel de l’Ontario, numéro C51565, 2011 ONCA 329, daté du 28 avril 2011, est rejetée sans dépens.</w:t>
            </w:r>
          </w:p>
        </w:tc>
      </w:tr>
    </w:tbl>
    <w:p w:rsidR="00140B84" w:rsidRPr="00214CB8" w:rsidRDefault="00140B84" w:rsidP="00140B84">
      <w:pPr>
        <w:rPr>
          <w:sz w:val="20"/>
          <w:szCs w:val="20"/>
          <w:lang w:val="fr-CA"/>
        </w:rPr>
      </w:pPr>
    </w:p>
    <w:p w:rsidR="00460A3C" w:rsidRPr="00377F92" w:rsidRDefault="00460A3C">
      <w:pPr>
        <w:rPr>
          <w:sz w:val="20"/>
          <w:szCs w:val="20"/>
          <w:u w:val="single"/>
          <w:lang w:val="fr-CA"/>
        </w:rPr>
      </w:pPr>
      <w:r w:rsidRPr="00377F92">
        <w:rPr>
          <w:sz w:val="20"/>
          <w:szCs w:val="20"/>
          <w:u w:val="single"/>
          <w:lang w:val="fr-CA"/>
        </w:rPr>
        <w:br w:type="page"/>
      </w: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50E7" w:rsidRPr="009F4C66" w:rsidTr="009734DA">
        <w:tc>
          <w:tcPr>
            <w:tcW w:w="5000" w:type="pct"/>
            <w:gridSpan w:val="3"/>
          </w:tcPr>
          <w:p w:rsidR="004650E7" w:rsidRPr="009F4C66" w:rsidRDefault="004650E7" w:rsidP="009734DA">
            <w:pPr>
              <w:jc w:val="both"/>
              <w:rPr>
                <w:sz w:val="20"/>
              </w:rPr>
            </w:pPr>
            <w:r w:rsidRPr="009F4C66">
              <w:rPr>
                <w:sz w:val="20"/>
              </w:rPr>
              <w:t xml:space="preserve">Administrative law ― Appeals ― Standard of review ― Employee dismissed without notice for alleged failure to remit collected permit fees </w:t>
            </w:r>
            <w:proofErr w:type="gramStart"/>
            <w:r w:rsidRPr="009F4C66">
              <w:rPr>
                <w:sz w:val="20"/>
              </w:rPr>
              <w:t>―  Police</w:t>
            </w:r>
            <w:proofErr w:type="gramEnd"/>
            <w:r w:rsidRPr="009F4C66">
              <w:rPr>
                <w:sz w:val="20"/>
              </w:rPr>
              <w:t xml:space="preserve"> laid charges ― Employee acquitted of criminal charges ― Employee’s case for malicious prosecution against employer deemed not met but damages awarded for wrongful dismissal in Superior Court ―  Court of Appeal allowed appeal and ordered new trial ― Whether the Court of Appeal erred by ordering a new trial.</w:t>
            </w:r>
          </w:p>
        </w:tc>
      </w:tr>
      <w:tr w:rsidR="004650E7" w:rsidRPr="009F4C66" w:rsidTr="009734DA">
        <w:tc>
          <w:tcPr>
            <w:tcW w:w="5000" w:type="pct"/>
            <w:gridSpan w:val="3"/>
          </w:tcPr>
          <w:p w:rsidR="004650E7" w:rsidRPr="009F4C66" w:rsidRDefault="004650E7" w:rsidP="009734DA">
            <w:pPr>
              <w:jc w:val="both"/>
              <w:rPr>
                <w:sz w:val="20"/>
              </w:rPr>
            </w:pPr>
          </w:p>
        </w:tc>
      </w:tr>
      <w:tr w:rsidR="004650E7" w:rsidRPr="009F4C66" w:rsidTr="009734DA">
        <w:tc>
          <w:tcPr>
            <w:tcW w:w="5000" w:type="pct"/>
            <w:gridSpan w:val="3"/>
          </w:tcPr>
          <w:p w:rsidR="004650E7" w:rsidRPr="009F4C66" w:rsidRDefault="004650E7" w:rsidP="009734DA">
            <w:pPr>
              <w:jc w:val="both"/>
              <w:rPr>
                <w:sz w:val="20"/>
              </w:rPr>
            </w:pPr>
            <w:r w:rsidRPr="009F4C66">
              <w:rPr>
                <w:sz w:val="20"/>
              </w:rPr>
              <w:t xml:space="preserve">The respondent, John Gordon Pate served as Chief Building Official for the Township of Galway and Cavendish for about 9 years and then as a building inspector for the applicant, The Corporation of the Township of Galway-Cavendish and Harvey (“Township”) for about three months.  Mr. Pate was dismissed from his employment without notice on March 26, 1999.  </w:t>
            </w:r>
          </w:p>
          <w:p w:rsidR="004650E7" w:rsidRPr="009F4C66" w:rsidRDefault="004650E7" w:rsidP="009734DA">
            <w:pPr>
              <w:jc w:val="both"/>
              <w:rPr>
                <w:sz w:val="20"/>
              </w:rPr>
            </w:pPr>
          </w:p>
          <w:p w:rsidR="004650E7" w:rsidRPr="009F4C66" w:rsidRDefault="004650E7" w:rsidP="009734DA">
            <w:pPr>
              <w:jc w:val="both"/>
              <w:rPr>
                <w:sz w:val="20"/>
              </w:rPr>
            </w:pPr>
            <w:r w:rsidRPr="009F4C66">
              <w:rPr>
                <w:sz w:val="20"/>
              </w:rPr>
              <w:t>Mr. Pate was told that the matter would not be reported to the police if he resigned immediately.</w:t>
            </w:r>
            <w:r w:rsidR="00460A3C">
              <w:rPr>
                <w:sz w:val="20"/>
              </w:rPr>
              <w:t xml:space="preserve"> </w:t>
            </w:r>
            <w:r w:rsidRPr="009F4C66">
              <w:rPr>
                <w:sz w:val="20"/>
              </w:rPr>
              <w:t>Mr. Pate did not resign, the matter was reported to the police and charges were laid.  In December 2002, following a criminal trial, Mr. Pate was acquitted of all charges.  In December 2003, he commenced an action claiming damages for wrongful dismissal and malicious prosecution.</w:t>
            </w:r>
          </w:p>
          <w:p w:rsidR="004650E7" w:rsidRPr="009F4C66" w:rsidRDefault="004650E7" w:rsidP="009734DA">
            <w:pPr>
              <w:jc w:val="both"/>
              <w:rPr>
                <w:sz w:val="20"/>
              </w:rPr>
            </w:pPr>
          </w:p>
          <w:p w:rsidR="004650E7" w:rsidRPr="009F4C66" w:rsidRDefault="004650E7" w:rsidP="009734DA">
            <w:pPr>
              <w:jc w:val="both"/>
              <w:rPr>
                <w:sz w:val="20"/>
              </w:rPr>
            </w:pPr>
            <w:r w:rsidRPr="009F4C66">
              <w:rPr>
                <w:sz w:val="20"/>
              </w:rPr>
              <w:t xml:space="preserve">At the commencement of the trial, the Township conceded that Mr. Pate was wrongfully dismissed and the parties agreed on a 12-month notice period without prejudice to Mr. Pate’s right to litigate his remaining claims.  The trial judge dismissed Mr. Pate’s claim for malicious prosecution but awarded damages, including aggravated and punitive damages.  </w:t>
            </w:r>
          </w:p>
          <w:p w:rsidR="004650E7" w:rsidRPr="009F4C66" w:rsidRDefault="004650E7" w:rsidP="009734DA">
            <w:pPr>
              <w:jc w:val="both"/>
              <w:rPr>
                <w:sz w:val="20"/>
              </w:rPr>
            </w:pPr>
          </w:p>
          <w:p w:rsidR="004650E7" w:rsidRPr="009F4C66" w:rsidRDefault="004650E7" w:rsidP="009734DA">
            <w:pPr>
              <w:jc w:val="both"/>
              <w:rPr>
                <w:sz w:val="20"/>
              </w:rPr>
            </w:pPr>
            <w:r w:rsidRPr="009F4C66">
              <w:rPr>
                <w:sz w:val="20"/>
              </w:rPr>
              <w:t>Mr. Pate raised two issues at the Court of Appeal: whether the trial judge erred in dismissing the malicious prosecution claim and in only awarding punitive damages of $25, 000.  The Court of Appeal allowed Mr. Pate’s appeal, set aside the trial judge’s order concerning these issues and ordered a new trial.</w:t>
            </w:r>
          </w:p>
          <w:p w:rsidR="004650E7" w:rsidRPr="009F4C66" w:rsidRDefault="004650E7" w:rsidP="009734DA">
            <w:pPr>
              <w:jc w:val="both"/>
              <w:rPr>
                <w:sz w:val="20"/>
              </w:rPr>
            </w:pPr>
          </w:p>
        </w:tc>
      </w:tr>
      <w:tr w:rsidR="004650E7" w:rsidRPr="009F4C66" w:rsidTr="009734DA">
        <w:tc>
          <w:tcPr>
            <w:tcW w:w="2427" w:type="pct"/>
          </w:tcPr>
          <w:p w:rsidR="004650E7" w:rsidRPr="009F4C66" w:rsidRDefault="004650E7" w:rsidP="009734DA">
            <w:pPr>
              <w:jc w:val="both"/>
              <w:rPr>
                <w:sz w:val="20"/>
              </w:rPr>
            </w:pPr>
            <w:r w:rsidRPr="009F4C66">
              <w:rPr>
                <w:sz w:val="20"/>
              </w:rPr>
              <w:t>December 16, 2009</w:t>
            </w:r>
          </w:p>
          <w:p w:rsidR="004650E7" w:rsidRPr="009F4C66" w:rsidRDefault="004650E7" w:rsidP="009734DA">
            <w:pPr>
              <w:jc w:val="both"/>
              <w:rPr>
                <w:sz w:val="20"/>
              </w:rPr>
            </w:pPr>
            <w:r w:rsidRPr="009F4C66">
              <w:rPr>
                <w:sz w:val="20"/>
              </w:rPr>
              <w:t>Ontario Superior Court of Justice</w:t>
            </w:r>
          </w:p>
          <w:p w:rsidR="004650E7" w:rsidRPr="009F4C66" w:rsidRDefault="004650E7" w:rsidP="009734DA">
            <w:pPr>
              <w:jc w:val="both"/>
              <w:rPr>
                <w:sz w:val="20"/>
              </w:rPr>
            </w:pPr>
            <w:r w:rsidRPr="009F4C66">
              <w:rPr>
                <w:sz w:val="20"/>
              </w:rPr>
              <w:t>(Gunsolus J.)</w:t>
            </w:r>
          </w:p>
          <w:p w:rsidR="004650E7" w:rsidRPr="009F4C66" w:rsidRDefault="004650E7" w:rsidP="009734DA">
            <w:pPr>
              <w:jc w:val="both"/>
              <w:rPr>
                <w:sz w:val="20"/>
              </w:rPr>
            </w:pPr>
          </w:p>
        </w:tc>
        <w:tc>
          <w:tcPr>
            <w:tcW w:w="243" w:type="pct"/>
          </w:tcPr>
          <w:p w:rsidR="004650E7" w:rsidRPr="009F4C66" w:rsidRDefault="004650E7" w:rsidP="009734DA">
            <w:pPr>
              <w:jc w:val="both"/>
              <w:rPr>
                <w:sz w:val="20"/>
              </w:rPr>
            </w:pPr>
          </w:p>
        </w:tc>
        <w:tc>
          <w:tcPr>
            <w:tcW w:w="2330" w:type="pct"/>
          </w:tcPr>
          <w:p w:rsidR="004650E7" w:rsidRPr="009F4C66" w:rsidRDefault="004650E7" w:rsidP="009734DA">
            <w:pPr>
              <w:jc w:val="both"/>
              <w:rPr>
                <w:sz w:val="20"/>
              </w:rPr>
            </w:pPr>
            <w:r w:rsidRPr="009F4C66">
              <w:rPr>
                <w:sz w:val="20"/>
              </w:rPr>
              <w:t>Action allowed in part: Mr. Pate’s case for malicious prosecution not met but damages awarded for wrongful dismissal</w:t>
            </w:r>
          </w:p>
          <w:p w:rsidR="004650E7" w:rsidRPr="009F4C66" w:rsidRDefault="004650E7" w:rsidP="009734DA">
            <w:pPr>
              <w:jc w:val="both"/>
              <w:rPr>
                <w:sz w:val="20"/>
              </w:rPr>
            </w:pPr>
          </w:p>
        </w:tc>
      </w:tr>
      <w:tr w:rsidR="004650E7" w:rsidRPr="009F4C66" w:rsidTr="009734DA">
        <w:tc>
          <w:tcPr>
            <w:tcW w:w="2427" w:type="pct"/>
          </w:tcPr>
          <w:p w:rsidR="004650E7" w:rsidRPr="009F4C66" w:rsidRDefault="004650E7" w:rsidP="009734DA">
            <w:pPr>
              <w:jc w:val="both"/>
              <w:rPr>
                <w:sz w:val="20"/>
              </w:rPr>
            </w:pPr>
            <w:r w:rsidRPr="009F4C66">
              <w:rPr>
                <w:sz w:val="20"/>
              </w:rPr>
              <w:t>April 28, 2011</w:t>
            </w:r>
          </w:p>
          <w:p w:rsidR="004650E7" w:rsidRPr="009F4C66" w:rsidRDefault="004650E7" w:rsidP="009734DA">
            <w:pPr>
              <w:jc w:val="both"/>
              <w:rPr>
                <w:sz w:val="20"/>
              </w:rPr>
            </w:pPr>
            <w:r w:rsidRPr="009F4C66">
              <w:rPr>
                <w:sz w:val="20"/>
              </w:rPr>
              <w:t>Court of Appeal for Ontario</w:t>
            </w:r>
          </w:p>
          <w:p w:rsidR="004650E7" w:rsidRPr="009F4C66" w:rsidRDefault="004650E7" w:rsidP="009734DA">
            <w:pPr>
              <w:jc w:val="both"/>
              <w:rPr>
                <w:sz w:val="20"/>
              </w:rPr>
            </w:pPr>
            <w:r w:rsidRPr="009F4C66">
              <w:rPr>
                <w:sz w:val="20"/>
              </w:rPr>
              <w:t>(Simmons, Cronk and MacFarland JJ.A.)</w:t>
            </w:r>
          </w:p>
          <w:p w:rsidR="004650E7" w:rsidRPr="009F4C66" w:rsidRDefault="004650E7" w:rsidP="009734DA">
            <w:pPr>
              <w:jc w:val="both"/>
              <w:rPr>
                <w:sz w:val="20"/>
              </w:rPr>
            </w:pPr>
            <w:r w:rsidRPr="009F4C66">
              <w:rPr>
                <w:sz w:val="20"/>
              </w:rPr>
              <w:t>2011 ONCA 329</w:t>
            </w:r>
          </w:p>
          <w:p w:rsidR="004650E7" w:rsidRPr="009F4C66" w:rsidRDefault="004650E7" w:rsidP="009734DA">
            <w:pPr>
              <w:jc w:val="both"/>
              <w:rPr>
                <w:sz w:val="20"/>
              </w:rPr>
            </w:pPr>
          </w:p>
        </w:tc>
        <w:tc>
          <w:tcPr>
            <w:tcW w:w="243" w:type="pct"/>
          </w:tcPr>
          <w:p w:rsidR="004650E7" w:rsidRPr="009F4C66" w:rsidRDefault="004650E7" w:rsidP="009734DA">
            <w:pPr>
              <w:jc w:val="both"/>
              <w:rPr>
                <w:sz w:val="20"/>
              </w:rPr>
            </w:pPr>
          </w:p>
        </w:tc>
        <w:tc>
          <w:tcPr>
            <w:tcW w:w="2330" w:type="pct"/>
          </w:tcPr>
          <w:p w:rsidR="004650E7" w:rsidRPr="009F4C66" w:rsidRDefault="004650E7" w:rsidP="009734DA">
            <w:pPr>
              <w:jc w:val="both"/>
              <w:rPr>
                <w:sz w:val="20"/>
              </w:rPr>
            </w:pPr>
            <w:r w:rsidRPr="009F4C66">
              <w:rPr>
                <w:sz w:val="20"/>
              </w:rPr>
              <w:t xml:space="preserve">Appeal allowed: trial judge’s order dismissing Mr. Pate’s claim for malicious prosecution and award of punitive damages for wrongful dismissal set aside and new trial ordered </w:t>
            </w:r>
          </w:p>
          <w:p w:rsidR="004650E7" w:rsidRPr="009F4C66" w:rsidRDefault="004650E7" w:rsidP="009734DA">
            <w:pPr>
              <w:jc w:val="both"/>
              <w:rPr>
                <w:sz w:val="20"/>
              </w:rPr>
            </w:pPr>
          </w:p>
        </w:tc>
      </w:tr>
      <w:tr w:rsidR="004650E7" w:rsidRPr="009F4C66" w:rsidTr="009734DA">
        <w:tc>
          <w:tcPr>
            <w:tcW w:w="2427" w:type="pct"/>
          </w:tcPr>
          <w:p w:rsidR="004650E7" w:rsidRPr="009F4C66" w:rsidRDefault="004650E7" w:rsidP="009734DA">
            <w:pPr>
              <w:jc w:val="both"/>
              <w:rPr>
                <w:sz w:val="20"/>
              </w:rPr>
            </w:pPr>
            <w:r w:rsidRPr="009F4C66">
              <w:rPr>
                <w:sz w:val="20"/>
              </w:rPr>
              <w:t>June 24, 2011</w:t>
            </w:r>
          </w:p>
          <w:p w:rsidR="004650E7" w:rsidRPr="009F4C66" w:rsidRDefault="004650E7" w:rsidP="009734DA">
            <w:pPr>
              <w:jc w:val="both"/>
              <w:rPr>
                <w:sz w:val="20"/>
              </w:rPr>
            </w:pPr>
            <w:r w:rsidRPr="009F4C66">
              <w:rPr>
                <w:sz w:val="20"/>
              </w:rPr>
              <w:t>Supreme Court of Canada</w:t>
            </w:r>
          </w:p>
        </w:tc>
        <w:tc>
          <w:tcPr>
            <w:tcW w:w="243" w:type="pct"/>
          </w:tcPr>
          <w:p w:rsidR="004650E7" w:rsidRPr="009F4C66" w:rsidRDefault="004650E7" w:rsidP="009734DA">
            <w:pPr>
              <w:jc w:val="both"/>
              <w:rPr>
                <w:sz w:val="20"/>
              </w:rPr>
            </w:pPr>
          </w:p>
        </w:tc>
        <w:tc>
          <w:tcPr>
            <w:tcW w:w="2330" w:type="pct"/>
          </w:tcPr>
          <w:p w:rsidR="004650E7" w:rsidRPr="009F4C66" w:rsidRDefault="004650E7" w:rsidP="009734DA">
            <w:pPr>
              <w:jc w:val="both"/>
              <w:rPr>
                <w:sz w:val="20"/>
              </w:rPr>
            </w:pPr>
            <w:r w:rsidRPr="009F4C66">
              <w:rPr>
                <w:sz w:val="20"/>
              </w:rPr>
              <w:t>Application for leave to appeal filed</w:t>
            </w:r>
          </w:p>
          <w:p w:rsidR="004650E7" w:rsidRPr="009F4C66" w:rsidRDefault="004650E7" w:rsidP="009734DA">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54"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650E7" w:rsidRPr="00832ABE" w:rsidTr="009734DA">
        <w:tc>
          <w:tcPr>
            <w:tcW w:w="5000" w:type="pct"/>
            <w:gridSpan w:val="3"/>
          </w:tcPr>
          <w:p w:rsidR="004650E7" w:rsidRPr="009F4C66" w:rsidRDefault="004650E7" w:rsidP="009734DA">
            <w:pPr>
              <w:jc w:val="both"/>
              <w:rPr>
                <w:rFonts w:eastAsia="Calibri"/>
                <w:sz w:val="20"/>
                <w:lang w:val="fr-CA"/>
              </w:rPr>
            </w:pPr>
            <w:r w:rsidRPr="009F4C66">
              <w:rPr>
                <w:rFonts w:eastAsia="Calibri"/>
                <w:sz w:val="20"/>
                <w:lang w:val="fr-CA"/>
              </w:rPr>
              <w:t>Droit administratif ― Appels ― Norme de contrôle ― L'employé a été congédié sans préavis pour avoir censément omis de verser des droits de permis perçus ― La police a déposé des accusations ― L'employé a été acquitté ― La Cour supérieure a estimé que l'employé n'avait pas réussi à prouver que l'employeur était responsable de poursuite abusive mais lui a accordé des dommages-intérêts pour congédiement injustifié ― La Cour d'appel a accueilli l'appel et a ordonné la tenue d'un nouveau procès ― La Cour d'appel a-t-elle eu tort d'ordonner la tenue d'un nouveau procès?</w:t>
            </w:r>
          </w:p>
        </w:tc>
      </w:tr>
      <w:tr w:rsidR="004650E7" w:rsidRPr="00832ABE" w:rsidTr="009734DA">
        <w:tc>
          <w:tcPr>
            <w:tcW w:w="5000" w:type="pct"/>
            <w:gridSpan w:val="3"/>
          </w:tcPr>
          <w:p w:rsidR="004650E7" w:rsidRPr="009F4C66" w:rsidRDefault="004650E7" w:rsidP="009734DA">
            <w:pPr>
              <w:jc w:val="both"/>
              <w:rPr>
                <w:rFonts w:eastAsia="Calibri"/>
                <w:sz w:val="20"/>
                <w:lang w:val="fr-CA"/>
              </w:rPr>
            </w:pPr>
          </w:p>
        </w:tc>
      </w:tr>
      <w:tr w:rsidR="004650E7" w:rsidRPr="00832ABE" w:rsidTr="009734DA">
        <w:tc>
          <w:tcPr>
            <w:tcW w:w="5000" w:type="pct"/>
            <w:gridSpan w:val="3"/>
          </w:tcPr>
          <w:p w:rsidR="004650E7" w:rsidRPr="009F4C66" w:rsidRDefault="004650E7" w:rsidP="009734DA">
            <w:pPr>
              <w:jc w:val="both"/>
              <w:rPr>
                <w:rFonts w:eastAsia="Calibri"/>
                <w:sz w:val="20"/>
                <w:lang w:val="fr-CA"/>
              </w:rPr>
            </w:pPr>
            <w:r w:rsidRPr="009F4C66">
              <w:rPr>
                <w:rFonts w:eastAsia="Calibri"/>
                <w:sz w:val="20"/>
                <w:lang w:val="fr-CA"/>
              </w:rPr>
              <w:t xml:space="preserve">L'intimé, John Gordon Pate a occupé le poste de chef du service de la construction du canton de Galway and Cavendish pendant environ neuf ans, puis comme inspecteur en bâtiment de la demanderesse, la Corporation de la municipalité de Galway-Cavendish and Harvey (la « municipalité ») pendant environ trois mois. Monsieur Pate a été congédié de son poste sans préavis le 26 mars 1999.  </w:t>
            </w:r>
          </w:p>
          <w:p w:rsidR="004650E7" w:rsidRPr="009F4C66" w:rsidRDefault="004650E7" w:rsidP="009734DA">
            <w:pPr>
              <w:jc w:val="both"/>
              <w:rPr>
                <w:rFonts w:eastAsia="Calibri"/>
                <w:sz w:val="20"/>
                <w:lang w:val="fr-CA"/>
              </w:rPr>
            </w:pPr>
          </w:p>
          <w:p w:rsidR="004650E7" w:rsidRPr="009F4C66" w:rsidRDefault="004650E7" w:rsidP="009734DA">
            <w:pPr>
              <w:jc w:val="both"/>
              <w:rPr>
                <w:rFonts w:eastAsia="Calibri"/>
                <w:sz w:val="20"/>
                <w:lang w:val="fr-CA"/>
              </w:rPr>
            </w:pPr>
            <w:r w:rsidRPr="009F4C66">
              <w:rPr>
                <w:rFonts w:eastAsia="Calibri"/>
                <w:sz w:val="20"/>
                <w:lang w:val="fr-CA"/>
              </w:rPr>
              <w:t>On a dit à M. Pate que l'affaire ne serait pas signalée à la police s'il démissionnait immédiatement. Monsieur Pate n'a pas démissionné, l'affaire a été signalée à la police et des accusations ont été déposées. En décembre 2002, au terme d'un procès criminel, M. Pate a été acquitté relativement à toutes les accusations. En décembre 2003, il a intenté une action en dommages-intérêts pour congédiement injustifié et poursuite abusive.</w:t>
            </w:r>
          </w:p>
          <w:p w:rsidR="004650E7" w:rsidRPr="009F4C66" w:rsidRDefault="004650E7" w:rsidP="009734DA">
            <w:pPr>
              <w:jc w:val="both"/>
              <w:rPr>
                <w:rFonts w:eastAsia="Calibri"/>
                <w:sz w:val="20"/>
                <w:lang w:val="fr-CA"/>
              </w:rPr>
            </w:pPr>
          </w:p>
          <w:p w:rsidR="004650E7" w:rsidRPr="009F4C66" w:rsidRDefault="004650E7" w:rsidP="009734DA">
            <w:pPr>
              <w:jc w:val="both"/>
              <w:rPr>
                <w:rFonts w:eastAsia="Calibri"/>
                <w:sz w:val="20"/>
                <w:lang w:val="fr-CA"/>
              </w:rPr>
            </w:pPr>
            <w:r w:rsidRPr="009F4C66">
              <w:rPr>
                <w:rFonts w:eastAsia="Calibri"/>
                <w:sz w:val="20"/>
                <w:lang w:val="fr-CA"/>
              </w:rPr>
              <w:t xml:space="preserve">Au début du procès, la municipalité a admis que M. Pate avait été injustement congédié et les parties ont convenu d'un délai de préavis de 12 mois sous réserve du droit de M. Pate de faire valoir ses autres réclamations en justice. Le juge de première instance a rejeté la demande de M. Pate en poursuite abusive, mais lui a accordé des dommages-intérêts, y compris des dommages-intérêts majorés et punitifs.  </w:t>
            </w:r>
          </w:p>
          <w:p w:rsidR="004650E7" w:rsidRPr="009F4C66" w:rsidRDefault="004650E7" w:rsidP="009734DA">
            <w:pPr>
              <w:jc w:val="both"/>
              <w:rPr>
                <w:rFonts w:eastAsia="Calibri"/>
                <w:sz w:val="20"/>
                <w:lang w:val="fr-CA"/>
              </w:rPr>
            </w:pPr>
          </w:p>
          <w:p w:rsidR="004650E7" w:rsidRPr="009F4C66" w:rsidRDefault="004650E7" w:rsidP="009734DA">
            <w:pPr>
              <w:jc w:val="both"/>
              <w:rPr>
                <w:rFonts w:eastAsia="Calibri"/>
                <w:sz w:val="20"/>
                <w:lang w:val="fr-CA"/>
              </w:rPr>
            </w:pPr>
            <w:r w:rsidRPr="009F4C66">
              <w:rPr>
                <w:rFonts w:eastAsia="Calibri"/>
                <w:sz w:val="20"/>
                <w:lang w:val="fr-CA"/>
              </w:rPr>
              <w:t>Monsieur Pate a soulevé deux questions en Cour d'appel, à savoir si le juge de première instance avait eu tort de rejeter la demande en poursuite abusive et de n’avoir attribué que 25 000 $ à titre de dommages-intérêts punitifs. La Cour d'appel a accueilli l'appel de M. Pate, annulé l'ordonnance du juge de première instance sur ces questions et ordonné la tenue d'un nouveau procès.</w:t>
            </w:r>
          </w:p>
          <w:p w:rsidR="004650E7" w:rsidRPr="009F4C66" w:rsidRDefault="004650E7" w:rsidP="009734DA">
            <w:pPr>
              <w:jc w:val="both"/>
              <w:rPr>
                <w:rFonts w:eastAsia="Calibri"/>
                <w:sz w:val="20"/>
                <w:lang w:val="fr-CA"/>
              </w:rPr>
            </w:pPr>
          </w:p>
        </w:tc>
      </w:tr>
      <w:tr w:rsidR="004650E7" w:rsidRPr="00832ABE" w:rsidTr="009734DA">
        <w:tc>
          <w:tcPr>
            <w:tcW w:w="2427" w:type="pct"/>
          </w:tcPr>
          <w:p w:rsidR="004650E7" w:rsidRPr="009F4C66" w:rsidRDefault="004650E7" w:rsidP="009734DA">
            <w:pPr>
              <w:jc w:val="both"/>
              <w:rPr>
                <w:rFonts w:eastAsia="Calibri"/>
                <w:sz w:val="20"/>
                <w:lang w:val="fr-CA"/>
              </w:rPr>
            </w:pPr>
            <w:r w:rsidRPr="009F4C66">
              <w:rPr>
                <w:rFonts w:eastAsia="Calibri"/>
                <w:sz w:val="20"/>
                <w:lang w:val="fr-CA"/>
              </w:rPr>
              <w:t>16 décembre 2009</w:t>
            </w:r>
          </w:p>
          <w:p w:rsidR="004650E7" w:rsidRPr="009F4C66" w:rsidRDefault="004650E7" w:rsidP="009734DA">
            <w:pPr>
              <w:jc w:val="both"/>
              <w:rPr>
                <w:rFonts w:eastAsia="Calibri"/>
                <w:sz w:val="20"/>
                <w:lang w:val="fr-CA"/>
              </w:rPr>
            </w:pPr>
            <w:r w:rsidRPr="009F4C66">
              <w:rPr>
                <w:rFonts w:eastAsia="Calibri"/>
                <w:sz w:val="20"/>
                <w:lang w:val="fr-CA"/>
              </w:rPr>
              <w:t xml:space="preserve">Cour supérieure de justice de l'Ontario </w:t>
            </w:r>
          </w:p>
          <w:p w:rsidR="004650E7" w:rsidRPr="009F4C66" w:rsidRDefault="004650E7" w:rsidP="009734DA">
            <w:pPr>
              <w:jc w:val="both"/>
              <w:rPr>
                <w:rFonts w:eastAsia="Calibri"/>
                <w:sz w:val="20"/>
                <w:lang w:val="fr-CA"/>
              </w:rPr>
            </w:pPr>
            <w:r w:rsidRPr="009F4C66">
              <w:rPr>
                <w:rFonts w:eastAsia="Calibri"/>
                <w:sz w:val="20"/>
                <w:lang w:val="fr-CA"/>
              </w:rPr>
              <w:t>(Juge Gunsolus)</w:t>
            </w:r>
          </w:p>
          <w:p w:rsidR="004650E7" w:rsidRPr="009F4C66" w:rsidRDefault="004650E7" w:rsidP="009734DA">
            <w:pPr>
              <w:jc w:val="both"/>
              <w:rPr>
                <w:rFonts w:eastAsia="Calibri"/>
                <w:sz w:val="20"/>
                <w:lang w:val="fr-CA"/>
              </w:rPr>
            </w:pPr>
          </w:p>
        </w:tc>
        <w:tc>
          <w:tcPr>
            <w:tcW w:w="243" w:type="pct"/>
          </w:tcPr>
          <w:p w:rsidR="004650E7" w:rsidRPr="009F4C66" w:rsidRDefault="004650E7" w:rsidP="009734DA">
            <w:pPr>
              <w:jc w:val="both"/>
              <w:rPr>
                <w:rFonts w:eastAsia="Calibri"/>
                <w:sz w:val="20"/>
                <w:lang w:val="fr-CA"/>
              </w:rPr>
            </w:pPr>
          </w:p>
        </w:tc>
        <w:tc>
          <w:tcPr>
            <w:tcW w:w="2330" w:type="pct"/>
          </w:tcPr>
          <w:p w:rsidR="004650E7" w:rsidRPr="009F4C66" w:rsidRDefault="004650E7" w:rsidP="009734DA">
            <w:pPr>
              <w:jc w:val="both"/>
              <w:rPr>
                <w:rFonts w:eastAsia="Calibri"/>
                <w:sz w:val="20"/>
                <w:lang w:val="fr-CA"/>
              </w:rPr>
            </w:pPr>
            <w:r w:rsidRPr="009F4C66">
              <w:rPr>
                <w:rFonts w:eastAsia="Calibri"/>
                <w:sz w:val="20"/>
                <w:lang w:val="fr-CA"/>
              </w:rPr>
              <w:t>Action accueillie en partie : M. Pate n'a pas fait la preuve de la poursuite abusive mais il se voit attribuer des dommages-intérêts pour congédiement injustifié</w:t>
            </w:r>
          </w:p>
          <w:p w:rsidR="004650E7" w:rsidRPr="009F4C66" w:rsidRDefault="004650E7" w:rsidP="009734DA">
            <w:pPr>
              <w:jc w:val="both"/>
              <w:rPr>
                <w:rFonts w:eastAsia="Calibri"/>
                <w:sz w:val="20"/>
                <w:lang w:val="fr-CA"/>
              </w:rPr>
            </w:pPr>
          </w:p>
        </w:tc>
      </w:tr>
      <w:tr w:rsidR="004650E7" w:rsidRPr="00832ABE" w:rsidTr="009734DA">
        <w:tc>
          <w:tcPr>
            <w:tcW w:w="2427" w:type="pct"/>
          </w:tcPr>
          <w:p w:rsidR="004650E7" w:rsidRPr="009F4C66" w:rsidRDefault="004650E7" w:rsidP="009734DA">
            <w:pPr>
              <w:jc w:val="both"/>
              <w:rPr>
                <w:rFonts w:eastAsia="Calibri"/>
                <w:sz w:val="20"/>
                <w:lang w:val="fr-CA"/>
              </w:rPr>
            </w:pPr>
            <w:r w:rsidRPr="009F4C66">
              <w:rPr>
                <w:rFonts w:eastAsia="Calibri"/>
                <w:sz w:val="20"/>
                <w:lang w:val="fr-CA"/>
              </w:rPr>
              <w:t>28 avril 2011</w:t>
            </w:r>
          </w:p>
          <w:p w:rsidR="004650E7" w:rsidRPr="009F4C66" w:rsidRDefault="004650E7" w:rsidP="009734DA">
            <w:pPr>
              <w:jc w:val="both"/>
              <w:rPr>
                <w:rFonts w:eastAsia="Calibri"/>
                <w:sz w:val="20"/>
                <w:lang w:val="fr-CA"/>
              </w:rPr>
            </w:pPr>
            <w:r w:rsidRPr="009F4C66">
              <w:rPr>
                <w:rFonts w:eastAsia="Calibri"/>
                <w:sz w:val="20"/>
                <w:lang w:val="fr-CA"/>
              </w:rPr>
              <w:t xml:space="preserve">Cour d'appel de l'Ontario </w:t>
            </w:r>
          </w:p>
          <w:p w:rsidR="004650E7" w:rsidRPr="009F4C66" w:rsidRDefault="004650E7" w:rsidP="009734DA">
            <w:pPr>
              <w:jc w:val="both"/>
              <w:rPr>
                <w:rFonts w:eastAsia="Calibri"/>
                <w:sz w:val="20"/>
                <w:lang w:val="fr-CA"/>
              </w:rPr>
            </w:pPr>
            <w:r w:rsidRPr="009F4C66">
              <w:rPr>
                <w:rFonts w:eastAsia="Calibri"/>
                <w:sz w:val="20"/>
                <w:lang w:val="fr-CA"/>
              </w:rPr>
              <w:t>(Juges Simmons, Cronk et MacFarland)</w:t>
            </w:r>
          </w:p>
          <w:p w:rsidR="004650E7" w:rsidRPr="009F4C66" w:rsidRDefault="004650E7" w:rsidP="009734DA">
            <w:pPr>
              <w:jc w:val="both"/>
              <w:rPr>
                <w:rFonts w:eastAsia="Calibri"/>
                <w:sz w:val="20"/>
                <w:lang w:val="fr-CA"/>
              </w:rPr>
            </w:pPr>
            <w:r w:rsidRPr="009F4C66">
              <w:rPr>
                <w:rFonts w:eastAsia="Calibri"/>
                <w:sz w:val="20"/>
                <w:lang w:val="fr-CA"/>
              </w:rPr>
              <w:t>2011 ONCA 329</w:t>
            </w:r>
          </w:p>
          <w:p w:rsidR="004650E7" w:rsidRPr="009F4C66" w:rsidRDefault="004650E7" w:rsidP="009734DA">
            <w:pPr>
              <w:jc w:val="both"/>
              <w:rPr>
                <w:rFonts w:eastAsia="Calibri"/>
                <w:sz w:val="20"/>
                <w:lang w:val="fr-CA"/>
              </w:rPr>
            </w:pPr>
          </w:p>
        </w:tc>
        <w:tc>
          <w:tcPr>
            <w:tcW w:w="243" w:type="pct"/>
          </w:tcPr>
          <w:p w:rsidR="004650E7" w:rsidRPr="009F4C66" w:rsidRDefault="004650E7" w:rsidP="009734DA">
            <w:pPr>
              <w:jc w:val="both"/>
              <w:rPr>
                <w:rFonts w:eastAsia="Calibri"/>
                <w:sz w:val="20"/>
                <w:lang w:val="fr-CA"/>
              </w:rPr>
            </w:pPr>
          </w:p>
        </w:tc>
        <w:tc>
          <w:tcPr>
            <w:tcW w:w="2330" w:type="pct"/>
          </w:tcPr>
          <w:p w:rsidR="004650E7" w:rsidRPr="009F4C66" w:rsidRDefault="004650E7" w:rsidP="009734DA">
            <w:pPr>
              <w:jc w:val="both"/>
              <w:rPr>
                <w:rFonts w:eastAsia="Calibri"/>
                <w:sz w:val="20"/>
                <w:lang w:val="fr-CA"/>
              </w:rPr>
            </w:pPr>
            <w:r w:rsidRPr="009F4C66">
              <w:rPr>
                <w:rFonts w:eastAsia="Calibri"/>
                <w:sz w:val="20"/>
                <w:lang w:val="fr-CA"/>
              </w:rPr>
              <w:t>Appel accueilli : l'ordonnance du juge de première instance rejetant la demande de M. Pate en poursuite abusive et l'attribution de dommages-intérêts punitifs pour congédiement injustifié sont annulées et la tenue d'un nouveau procès est ordonnée</w:t>
            </w:r>
          </w:p>
          <w:p w:rsidR="004650E7" w:rsidRPr="009F4C66" w:rsidRDefault="004650E7" w:rsidP="009734DA">
            <w:pPr>
              <w:jc w:val="both"/>
              <w:rPr>
                <w:rFonts w:eastAsia="Calibri"/>
                <w:sz w:val="20"/>
                <w:lang w:val="fr-CA"/>
              </w:rPr>
            </w:pPr>
          </w:p>
        </w:tc>
      </w:tr>
      <w:tr w:rsidR="004650E7" w:rsidRPr="009F4C66" w:rsidTr="009734DA">
        <w:tc>
          <w:tcPr>
            <w:tcW w:w="2427" w:type="pct"/>
          </w:tcPr>
          <w:p w:rsidR="004650E7" w:rsidRPr="009F4C66" w:rsidRDefault="004650E7" w:rsidP="009734DA">
            <w:pPr>
              <w:jc w:val="both"/>
              <w:rPr>
                <w:rFonts w:eastAsia="Calibri"/>
                <w:sz w:val="20"/>
                <w:lang w:val="fr-CA"/>
              </w:rPr>
            </w:pPr>
            <w:r w:rsidRPr="009F4C66">
              <w:rPr>
                <w:rFonts w:eastAsia="Calibri"/>
                <w:sz w:val="20"/>
                <w:lang w:val="fr-CA"/>
              </w:rPr>
              <w:t>24 juin 2011</w:t>
            </w:r>
          </w:p>
          <w:p w:rsidR="004650E7" w:rsidRPr="009F4C66" w:rsidRDefault="004650E7" w:rsidP="009734DA">
            <w:pPr>
              <w:jc w:val="both"/>
              <w:rPr>
                <w:rFonts w:eastAsia="Calibri"/>
                <w:sz w:val="20"/>
                <w:lang w:val="fr-CA"/>
              </w:rPr>
            </w:pPr>
            <w:r w:rsidRPr="009F4C66">
              <w:rPr>
                <w:rFonts w:eastAsia="Calibri"/>
                <w:sz w:val="20"/>
                <w:lang w:val="fr-CA"/>
              </w:rPr>
              <w:t>Cour suprême du Canada</w:t>
            </w:r>
          </w:p>
        </w:tc>
        <w:tc>
          <w:tcPr>
            <w:tcW w:w="243" w:type="pct"/>
          </w:tcPr>
          <w:p w:rsidR="004650E7" w:rsidRPr="009F4C66" w:rsidRDefault="004650E7" w:rsidP="009734DA">
            <w:pPr>
              <w:jc w:val="both"/>
              <w:rPr>
                <w:rFonts w:eastAsia="Calibri"/>
                <w:sz w:val="20"/>
                <w:lang w:val="fr-CA"/>
              </w:rPr>
            </w:pPr>
          </w:p>
        </w:tc>
        <w:tc>
          <w:tcPr>
            <w:tcW w:w="2330" w:type="pct"/>
          </w:tcPr>
          <w:p w:rsidR="004650E7" w:rsidRPr="009F4C66" w:rsidRDefault="004650E7" w:rsidP="009734DA">
            <w:pPr>
              <w:jc w:val="both"/>
              <w:rPr>
                <w:rFonts w:eastAsia="Calibri"/>
                <w:sz w:val="20"/>
                <w:lang w:val="fr-CA"/>
              </w:rPr>
            </w:pPr>
            <w:r w:rsidRPr="009F4C66">
              <w:rPr>
                <w:rFonts w:eastAsia="Calibri"/>
                <w:sz w:val="20"/>
                <w:lang w:val="fr-CA"/>
              </w:rPr>
              <w:t>Demande d'autorisation d'appel, déposée</w:t>
            </w:r>
          </w:p>
          <w:p w:rsidR="004650E7" w:rsidRPr="009F4C66" w:rsidRDefault="004650E7" w:rsidP="009734DA">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55"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0F2BC0"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34404</w:t>
            </w:r>
          </w:p>
          <w:p w:rsidR="00425DAC" w:rsidRPr="000F2BC0" w:rsidRDefault="00425DAC" w:rsidP="001600B8">
            <w:pPr>
              <w:rPr>
                <w:b/>
                <w:sz w:val="20"/>
                <w:szCs w:val="20"/>
                <w:lang w:val="fr-CA"/>
              </w:rPr>
            </w:pPr>
          </w:p>
        </w:tc>
        <w:tc>
          <w:tcPr>
            <w:tcW w:w="8118" w:type="dxa"/>
          </w:tcPr>
          <w:p w:rsidR="00425DAC" w:rsidRPr="000F2BC0" w:rsidRDefault="00425DAC" w:rsidP="00425DAC">
            <w:pPr>
              <w:jc w:val="both"/>
              <w:rPr>
                <w:sz w:val="20"/>
                <w:szCs w:val="20"/>
              </w:rPr>
            </w:pPr>
            <w:r w:rsidRPr="000F2BC0">
              <w:rPr>
                <w:rStyle w:val="SCCLsocChar"/>
                <w:sz w:val="20"/>
                <w:szCs w:val="20"/>
                <w:lang w:val="en-CA"/>
              </w:rPr>
              <w:t>Sally Behn, Susan Behn, Richard Behn, Greg Behn, Rup</w:t>
            </w:r>
            <w:r w:rsidR="008B11D9">
              <w:rPr>
                <w:rStyle w:val="SCCLsocChar"/>
                <w:sz w:val="20"/>
                <w:szCs w:val="20"/>
                <w:lang w:val="en-CA"/>
              </w:rPr>
              <w:t>ert Behn, Lovey Behn, Mary Behn and</w:t>
            </w:r>
            <w:r w:rsidRPr="000F2BC0">
              <w:rPr>
                <w:rStyle w:val="SCCLsocChar"/>
                <w:sz w:val="20"/>
                <w:szCs w:val="20"/>
                <w:lang w:val="en-CA"/>
              </w:rPr>
              <w:t xml:space="preserve"> George Behn v. Moulton Contracting Ltd., Her Majesty the Queen in the Right of the Province of British Columbia, Chief Liz Logan, on behalf of herself and all other members of the Fort Nelson First Nation and the said Fort Nelson First Nation</w:t>
            </w:r>
            <w:r w:rsidRPr="000F2BC0">
              <w:rPr>
                <w:sz w:val="20"/>
                <w:szCs w:val="20"/>
              </w:rPr>
              <w:t xml:space="preserve"> (B.C.) (Civil) (By Leave)</w:t>
            </w:r>
          </w:p>
          <w:p w:rsidR="00425DAC" w:rsidRPr="000F2BC0" w:rsidRDefault="00425DAC" w:rsidP="001600B8">
            <w:pPr>
              <w:rPr>
                <w:sz w:val="20"/>
                <w:szCs w:val="20"/>
              </w:rPr>
            </w:pPr>
          </w:p>
        </w:tc>
      </w:tr>
      <w:tr w:rsidR="00425DAC" w:rsidRPr="000F2BC0"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rPr>
            </w:pPr>
            <w:r w:rsidRPr="000F2BC0">
              <w:rPr>
                <w:rStyle w:val="SCCCoramChar"/>
                <w:sz w:val="20"/>
                <w:szCs w:val="20"/>
                <w:lang w:val="en-CA"/>
              </w:rPr>
              <w:t>McLachlin C.J. and Rothstein and Moldaver JJ.</w:t>
            </w:r>
          </w:p>
          <w:p w:rsidR="00425DAC" w:rsidRPr="000F2BC0" w:rsidRDefault="00425DAC" w:rsidP="001600B8">
            <w:pPr>
              <w:rPr>
                <w:sz w:val="20"/>
                <w:szCs w:val="20"/>
                <w:u w:val="single"/>
              </w:rPr>
            </w:pPr>
          </w:p>
        </w:tc>
      </w:tr>
      <w:tr w:rsidR="00425DAC" w:rsidRPr="00832ABE" w:rsidTr="001600B8">
        <w:trPr>
          <w:cantSplit/>
        </w:trPr>
        <w:tc>
          <w:tcPr>
            <w:tcW w:w="9576" w:type="dxa"/>
            <w:gridSpan w:val="2"/>
          </w:tcPr>
          <w:p w:rsidR="00425DAC" w:rsidRPr="000F2BC0" w:rsidRDefault="00425DAC" w:rsidP="001600B8">
            <w:pPr>
              <w:pStyle w:val="SCCShortJudgment"/>
              <w:rPr>
                <w:szCs w:val="20"/>
              </w:rPr>
            </w:pPr>
            <w:r w:rsidRPr="000F2BC0">
              <w:rPr>
                <w:szCs w:val="20"/>
              </w:rPr>
              <w:t>The application for leave to appeal from the judgment of the Court of Appeal for British Columbia (Vancouver), Number CA038107, 2011 BCCA 311, dated July 6, 2011, is granted with costs in the cause.</w:t>
            </w:r>
          </w:p>
          <w:p w:rsidR="00425DAC" w:rsidRPr="000F2BC0" w:rsidRDefault="00425DAC" w:rsidP="001600B8">
            <w:pPr>
              <w:pStyle w:val="SCCShortJudgment"/>
              <w:ind w:firstLine="0"/>
              <w:rPr>
                <w:szCs w:val="20"/>
              </w:rPr>
            </w:pPr>
          </w:p>
          <w:p w:rsidR="00425DAC" w:rsidRPr="000F2BC0" w:rsidRDefault="00425DAC" w:rsidP="001600B8">
            <w:pPr>
              <w:pStyle w:val="SCCShortJudgment"/>
              <w:rPr>
                <w:szCs w:val="20"/>
                <w:lang w:val="fr-CA"/>
              </w:rPr>
            </w:pPr>
            <w:r w:rsidRPr="000F2BC0">
              <w:rPr>
                <w:szCs w:val="20"/>
                <w:lang w:val="fr-CA"/>
              </w:rPr>
              <w:t xml:space="preserve">La demande d’autorisation d’appel de l’arrêt de la Cour d’appel de la Colombie-Britannique (Vancouver), numéro CA038107, 2011 BCCA 311, daté du 6 juillet 2011, est accueillie avec dépens suivant l’issue de la cause. </w:t>
            </w:r>
          </w:p>
        </w:tc>
      </w:tr>
    </w:tbl>
    <w:p w:rsidR="00140B84" w:rsidRPr="00425DAC"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50E7" w:rsidRPr="009F4C66" w:rsidTr="009734DA">
        <w:tc>
          <w:tcPr>
            <w:tcW w:w="5000" w:type="pct"/>
            <w:gridSpan w:val="3"/>
          </w:tcPr>
          <w:p w:rsidR="004650E7" w:rsidRPr="009F4C66" w:rsidRDefault="004650E7" w:rsidP="009734DA">
            <w:pPr>
              <w:jc w:val="both"/>
              <w:rPr>
                <w:sz w:val="20"/>
              </w:rPr>
            </w:pPr>
            <w:r w:rsidRPr="009F4C66">
              <w:rPr>
                <w:sz w:val="20"/>
              </w:rPr>
              <w:t xml:space="preserve">Aboriginal law – Treaty rights – Logging – Duty to consult – Civil procedure – Standing – Collateral attack – Whether the Court of Appeal correctly concluded that it is plain and obvious that aboriginal individuals who hold rights under s. 35 of the </w:t>
            </w:r>
            <w:r w:rsidRPr="009F4C66">
              <w:rPr>
                <w:i/>
                <w:sz w:val="20"/>
              </w:rPr>
              <w:t>Constitution Act, 1982</w:t>
            </w:r>
            <w:r w:rsidRPr="009F4C66">
              <w:rPr>
                <w:sz w:val="20"/>
              </w:rPr>
              <w:t xml:space="preserve"> lack standing to assert, in a civil action, defences rooted in either their aboriginal and treaty rights or the Crown’s duty to consult – Whether it is an impermissible collateral attack for a party to challenge government instruments – on the basis of non-compliance with the Constitution – in the defence of civil actions, when those Crown decisions are used as the basis for a private cause of action.</w:t>
            </w:r>
          </w:p>
        </w:tc>
      </w:tr>
      <w:tr w:rsidR="004650E7" w:rsidRPr="009F4C66" w:rsidTr="009734DA">
        <w:tc>
          <w:tcPr>
            <w:tcW w:w="5000" w:type="pct"/>
            <w:gridSpan w:val="3"/>
          </w:tcPr>
          <w:p w:rsidR="004650E7" w:rsidRPr="009F4C66" w:rsidRDefault="004650E7" w:rsidP="009734DA">
            <w:pPr>
              <w:jc w:val="both"/>
              <w:rPr>
                <w:sz w:val="20"/>
              </w:rPr>
            </w:pPr>
          </w:p>
        </w:tc>
      </w:tr>
      <w:tr w:rsidR="004650E7" w:rsidRPr="009F4C66" w:rsidTr="009734DA">
        <w:tc>
          <w:tcPr>
            <w:tcW w:w="5000" w:type="pct"/>
            <w:gridSpan w:val="3"/>
          </w:tcPr>
          <w:p w:rsidR="004650E7" w:rsidRPr="009F4C66" w:rsidRDefault="004650E7" w:rsidP="009734DA">
            <w:pPr>
              <w:jc w:val="both"/>
              <w:rPr>
                <w:sz w:val="20"/>
              </w:rPr>
            </w:pPr>
            <w:r w:rsidRPr="009F4C66">
              <w:rPr>
                <w:sz w:val="20"/>
              </w:rPr>
              <w:t xml:space="preserve">The Crown granted the respondent Moulton Contracting Inc. two timber sale licences and one road permit by which it could log certain areas of land located within the Behn Family Territory. That territory is located within the Treaty 8 territory of the Fort Nelson First Nation. The applicants are members of the Behn family and are, with one exception, members of the Fort Nelson First Nation. After Moulton’s access to the area was impeded by at least some of the applicants, Moulton filed a claim for damages against them, the First Nation and their Chief, and the Crown. </w:t>
            </w:r>
          </w:p>
          <w:p w:rsidR="004650E7" w:rsidRPr="009F4C66" w:rsidRDefault="004650E7" w:rsidP="009734DA">
            <w:pPr>
              <w:jc w:val="both"/>
              <w:rPr>
                <w:sz w:val="20"/>
              </w:rPr>
            </w:pPr>
          </w:p>
          <w:p w:rsidR="004650E7" w:rsidRPr="009F4C66" w:rsidRDefault="004650E7" w:rsidP="009734DA">
            <w:pPr>
              <w:jc w:val="both"/>
              <w:rPr>
                <w:sz w:val="20"/>
              </w:rPr>
            </w:pPr>
            <w:r w:rsidRPr="009F4C66">
              <w:rPr>
                <w:sz w:val="20"/>
              </w:rPr>
              <w:t xml:space="preserve">In their statement of defence, the applicants denied, </w:t>
            </w:r>
            <w:r w:rsidRPr="009F4C66">
              <w:rPr>
                <w:i/>
                <w:sz w:val="20"/>
              </w:rPr>
              <w:t>inter alia</w:t>
            </w:r>
            <w:r w:rsidRPr="009F4C66">
              <w:rPr>
                <w:sz w:val="20"/>
              </w:rPr>
              <w:t>, that their acts were unlawful because, they alleged, the licenses and permit were issued unlawfully and gave no rights to harvest the timber or access the area. They alleged that the Crown both failed to consult adequately with the Fort Nelson First Nation prior to issuing the licences and permit to Moulton and, in issuing the instruments, interfered with the ability of the Fort Nelson First Nation to exercise its Treaty 8 rights meaningfully. In their view, this constituted an impermissible intrusion into the exclusive legislative jurisdiction of Parliament. The Crown and Moulton successfully applied to have paragraphs of the applicants’ statement of defence struck on the basis that the applicants did not have standing to advance constitutional arguments relating to treaty rights that belong to the Fort Nelson First Nation, and that it was plain and obvious that the pleadings disclosed no reasonable defence or that they constituted an abuse of process.</w:t>
            </w:r>
          </w:p>
          <w:p w:rsidR="004650E7" w:rsidRPr="009F4C66" w:rsidRDefault="004650E7" w:rsidP="009734DA">
            <w:pPr>
              <w:jc w:val="both"/>
              <w:rPr>
                <w:sz w:val="20"/>
              </w:rPr>
            </w:pPr>
          </w:p>
        </w:tc>
      </w:tr>
      <w:tr w:rsidR="004650E7" w:rsidRPr="009F4C66" w:rsidTr="009734DA">
        <w:tc>
          <w:tcPr>
            <w:tcW w:w="2427" w:type="pct"/>
          </w:tcPr>
          <w:p w:rsidR="004650E7" w:rsidRPr="009F4C66" w:rsidRDefault="004650E7" w:rsidP="009734DA">
            <w:pPr>
              <w:jc w:val="both"/>
              <w:rPr>
                <w:sz w:val="20"/>
              </w:rPr>
            </w:pPr>
            <w:r w:rsidRPr="009F4C66">
              <w:rPr>
                <w:sz w:val="20"/>
              </w:rPr>
              <w:t>April 15, 2010</w:t>
            </w:r>
          </w:p>
          <w:p w:rsidR="004650E7" w:rsidRPr="009F4C66" w:rsidRDefault="004650E7" w:rsidP="009734DA">
            <w:pPr>
              <w:jc w:val="both"/>
              <w:rPr>
                <w:sz w:val="20"/>
              </w:rPr>
            </w:pPr>
            <w:r w:rsidRPr="009F4C66">
              <w:rPr>
                <w:sz w:val="20"/>
              </w:rPr>
              <w:t>Supreme Court of British Columbia</w:t>
            </w:r>
          </w:p>
          <w:p w:rsidR="004650E7" w:rsidRPr="009F4C66" w:rsidRDefault="004650E7" w:rsidP="009734DA">
            <w:pPr>
              <w:jc w:val="both"/>
              <w:rPr>
                <w:sz w:val="20"/>
              </w:rPr>
            </w:pPr>
            <w:r w:rsidRPr="009F4C66">
              <w:rPr>
                <w:sz w:val="20"/>
              </w:rPr>
              <w:t>(Hinkson J.)</w:t>
            </w:r>
          </w:p>
          <w:p w:rsidR="004650E7" w:rsidRPr="009F4C66" w:rsidRDefault="004650E7" w:rsidP="009734DA">
            <w:pPr>
              <w:jc w:val="both"/>
              <w:rPr>
                <w:sz w:val="20"/>
              </w:rPr>
            </w:pPr>
            <w:r w:rsidRPr="009F4C66">
              <w:rPr>
                <w:sz w:val="20"/>
              </w:rPr>
              <w:t>2010 BCSC 506</w:t>
            </w:r>
          </w:p>
          <w:p w:rsidR="004650E7" w:rsidRPr="009F4C66" w:rsidRDefault="004650E7" w:rsidP="009734DA">
            <w:pPr>
              <w:jc w:val="both"/>
              <w:rPr>
                <w:sz w:val="20"/>
              </w:rPr>
            </w:pPr>
          </w:p>
        </w:tc>
        <w:tc>
          <w:tcPr>
            <w:tcW w:w="243" w:type="pct"/>
          </w:tcPr>
          <w:p w:rsidR="004650E7" w:rsidRPr="009F4C66" w:rsidRDefault="004650E7" w:rsidP="009734DA">
            <w:pPr>
              <w:jc w:val="both"/>
              <w:rPr>
                <w:sz w:val="20"/>
              </w:rPr>
            </w:pPr>
          </w:p>
        </w:tc>
        <w:tc>
          <w:tcPr>
            <w:tcW w:w="2330" w:type="pct"/>
          </w:tcPr>
          <w:p w:rsidR="004650E7" w:rsidRPr="009F4C66" w:rsidRDefault="004650E7" w:rsidP="009734DA">
            <w:pPr>
              <w:jc w:val="both"/>
              <w:rPr>
                <w:sz w:val="20"/>
              </w:rPr>
            </w:pPr>
            <w:r w:rsidRPr="009F4C66">
              <w:rPr>
                <w:sz w:val="20"/>
              </w:rPr>
              <w:t>Applications by Moulton and the Crown to have portions of applicants’ pleadings struck out granted in part</w:t>
            </w:r>
          </w:p>
          <w:p w:rsidR="004650E7" w:rsidRPr="009F4C66" w:rsidRDefault="004650E7" w:rsidP="009734DA">
            <w:pPr>
              <w:jc w:val="both"/>
              <w:rPr>
                <w:sz w:val="20"/>
              </w:rPr>
            </w:pPr>
          </w:p>
        </w:tc>
      </w:tr>
      <w:tr w:rsidR="004650E7" w:rsidRPr="009F4C66" w:rsidTr="009734DA">
        <w:tc>
          <w:tcPr>
            <w:tcW w:w="2427" w:type="pct"/>
          </w:tcPr>
          <w:p w:rsidR="004650E7" w:rsidRPr="009F4C66" w:rsidRDefault="004650E7" w:rsidP="009734DA">
            <w:pPr>
              <w:jc w:val="both"/>
              <w:rPr>
                <w:sz w:val="20"/>
              </w:rPr>
            </w:pPr>
            <w:r w:rsidRPr="009F4C66">
              <w:rPr>
                <w:sz w:val="20"/>
              </w:rPr>
              <w:t>July 6, 2011</w:t>
            </w:r>
          </w:p>
          <w:p w:rsidR="004650E7" w:rsidRPr="009F4C66" w:rsidRDefault="004650E7" w:rsidP="009734DA">
            <w:pPr>
              <w:jc w:val="both"/>
              <w:rPr>
                <w:sz w:val="20"/>
              </w:rPr>
            </w:pPr>
            <w:r w:rsidRPr="009F4C66">
              <w:rPr>
                <w:sz w:val="20"/>
              </w:rPr>
              <w:t>Court of Appeal for British Columbia (Vancouver)</w:t>
            </w:r>
          </w:p>
          <w:p w:rsidR="004650E7" w:rsidRPr="009F4C66" w:rsidRDefault="004650E7" w:rsidP="009734DA">
            <w:pPr>
              <w:jc w:val="both"/>
              <w:rPr>
                <w:sz w:val="20"/>
              </w:rPr>
            </w:pPr>
            <w:r w:rsidRPr="009F4C66">
              <w:rPr>
                <w:sz w:val="20"/>
              </w:rPr>
              <w:t>(Saunders, Chiasson and Frankel JJ.A.)</w:t>
            </w:r>
          </w:p>
          <w:p w:rsidR="004650E7" w:rsidRPr="009F4C66" w:rsidRDefault="004650E7" w:rsidP="009734DA">
            <w:pPr>
              <w:jc w:val="both"/>
              <w:rPr>
                <w:sz w:val="20"/>
              </w:rPr>
            </w:pPr>
            <w:r w:rsidRPr="009F4C66">
              <w:rPr>
                <w:sz w:val="20"/>
              </w:rPr>
              <w:t>2011 BCCA 311; CAO38107</w:t>
            </w:r>
          </w:p>
          <w:p w:rsidR="004650E7" w:rsidRPr="009F4C66" w:rsidRDefault="004650E7" w:rsidP="009734DA">
            <w:pPr>
              <w:jc w:val="both"/>
              <w:rPr>
                <w:sz w:val="20"/>
              </w:rPr>
            </w:pPr>
          </w:p>
        </w:tc>
        <w:tc>
          <w:tcPr>
            <w:tcW w:w="243" w:type="pct"/>
          </w:tcPr>
          <w:p w:rsidR="004650E7" w:rsidRPr="009F4C66" w:rsidRDefault="004650E7" w:rsidP="009734DA">
            <w:pPr>
              <w:jc w:val="both"/>
              <w:rPr>
                <w:sz w:val="20"/>
              </w:rPr>
            </w:pPr>
          </w:p>
        </w:tc>
        <w:tc>
          <w:tcPr>
            <w:tcW w:w="2330" w:type="pct"/>
          </w:tcPr>
          <w:p w:rsidR="004650E7" w:rsidRPr="009F4C66" w:rsidRDefault="004650E7" w:rsidP="009734DA">
            <w:pPr>
              <w:jc w:val="both"/>
              <w:rPr>
                <w:sz w:val="20"/>
              </w:rPr>
            </w:pPr>
            <w:r w:rsidRPr="009F4C66">
              <w:rPr>
                <w:sz w:val="20"/>
              </w:rPr>
              <w:t>Appeal from order striking paragraphs from amended statement of defence dismissed</w:t>
            </w:r>
          </w:p>
          <w:p w:rsidR="004650E7" w:rsidRPr="009F4C66" w:rsidRDefault="004650E7" w:rsidP="009734DA">
            <w:pPr>
              <w:jc w:val="both"/>
              <w:rPr>
                <w:sz w:val="20"/>
              </w:rPr>
            </w:pPr>
          </w:p>
        </w:tc>
      </w:tr>
      <w:tr w:rsidR="004650E7" w:rsidRPr="009F4C66" w:rsidTr="009734DA">
        <w:tc>
          <w:tcPr>
            <w:tcW w:w="2427" w:type="pct"/>
          </w:tcPr>
          <w:p w:rsidR="004650E7" w:rsidRPr="009F4C66" w:rsidRDefault="004650E7" w:rsidP="009734DA">
            <w:pPr>
              <w:jc w:val="both"/>
              <w:rPr>
                <w:sz w:val="20"/>
              </w:rPr>
            </w:pPr>
            <w:r w:rsidRPr="009F4C66">
              <w:rPr>
                <w:sz w:val="20"/>
              </w:rPr>
              <w:t>August 25, 2011</w:t>
            </w:r>
          </w:p>
          <w:p w:rsidR="004650E7" w:rsidRPr="009F4C66" w:rsidRDefault="004650E7" w:rsidP="009734DA">
            <w:pPr>
              <w:jc w:val="both"/>
              <w:rPr>
                <w:sz w:val="20"/>
              </w:rPr>
            </w:pPr>
            <w:r w:rsidRPr="009F4C66">
              <w:rPr>
                <w:sz w:val="20"/>
              </w:rPr>
              <w:t>Supreme Court of Canada</w:t>
            </w:r>
          </w:p>
        </w:tc>
        <w:tc>
          <w:tcPr>
            <w:tcW w:w="243" w:type="pct"/>
          </w:tcPr>
          <w:p w:rsidR="004650E7" w:rsidRPr="009F4C66" w:rsidRDefault="004650E7" w:rsidP="009734DA">
            <w:pPr>
              <w:jc w:val="both"/>
              <w:rPr>
                <w:sz w:val="20"/>
              </w:rPr>
            </w:pPr>
          </w:p>
        </w:tc>
        <w:tc>
          <w:tcPr>
            <w:tcW w:w="2330" w:type="pct"/>
          </w:tcPr>
          <w:p w:rsidR="004650E7" w:rsidRPr="009F4C66" w:rsidRDefault="004650E7" w:rsidP="009734DA">
            <w:pPr>
              <w:jc w:val="both"/>
              <w:rPr>
                <w:sz w:val="20"/>
              </w:rPr>
            </w:pPr>
            <w:r w:rsidRPr="009F4C66">
              <w:rPr>
                <w:sz w:val="20"/>
              </w:rPr>
              <w:t>Application for leave to appeal filed</w:t>
            </w:r>
          </w:p>
          <w:p w:rsidR="004650E7" w:rsidRPr="009F4C66" w:rsidRDefault="004650E7" w:rsidP="009734DA">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56"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5"/>
        <w:gridCol w:w="556"/>
        <w:gridCol w:w="4346"/>
      </w:tblGrid>
      <w:tr w:rsidR="004650E7" w:rsidRPr="00832ABE" w:rsidTr="009734DA">
        <w:tc>
          <w:tcPr>
            <w:tcW w:w="5000" w:type="pct"/>
            <w:gridSpan w:val="3"/>
          </w:tcPr>
          <w:p w:rsidR="004650E7" w:rsidRPr="009F4C66" w:rsidRDefault="004650E7" w:rsidP="009734DA">
            <w:pPr>
              <w:jc w:val="both"/>
              <w:rPr>
                <w:sz w:val="20"/>
                <w:lang w:val="fr-CA"/>
              </w:rPr>
            </w:pPr>
            <w:r w:rsidRPr="009F4C66">
              <w:rPr>
                <w:sz w:val="20"/>
                <w:lang w:val="fr-CA"/>
              </w:rPr>
              <w:t xml:space="preserve">Droits des autochtones – Droits issus de traités – Ressources forestières – Obligation de consulter – Procédure civile – Intérêt pour agir – Contestation indirecte – La Cour d’appel a-t-elle eu raison de conclure qu’il est manifeste et évident que les Autochtones qui possèdent des droits en vertu de l’art. 35 de la </w:t>
            </w:r>
            <w:r w:rsidRPr="009F4C66">
              <w:rPr>
                <w:i/>
                <w:sz w:val="20"/>
                <w:lang w:val="fr-CA"/>
              </w:rPr>
              <w:t>Loi constitutionnelle de 1982</w:t>
            </w:r>
            <w:r w:rsidRPr="009F4C66">
              <w:rPr>
                <w:sz w:val="20"/>
                <w:lang w:val="fr-CA"/>
              </w:rPr>
              <w:t xml:space="preserve"> n’ont pas l’intérêt nécessaire pour invoquer, dans une action civile, des moyens de défense fondés sur leurs droits ancestraux ou leurs droits issus de traités, ou sur l’obligation de consulter qui incombe à la Couronne? – La partie qui, en défense dans le cadre d’actions civiles, conteste la validité de documents gouvernementaux sur la base du non-respect de la Constitution fait-elle une contestation indirecte irrecevable dans le cas où ces décisions de la Couronne constituent le fondement d’un droit d’action privé?</w:t>
            </w:r>
          </w:p>
        </w:tc>
      </w:tr>
      <w:tr w:rsidR="004650E7" w:rsidRPr="00832ABE" w:rsidTr="009734DA">
        <w:tc>
          <w:tcPr>
            <w:tcW w:w="5000" w:type="pct"/>
            <w:gridSpan w:val="3"/>
          </w:tcPr>
          <w:p w:rsidR="004650E7" w:rsidRPr="009F4C66" w:rsidRDefault="004650E7" w:rsidP="009734DA">
            <w:pPr>
              <w:jc w:val="both"/>
              <w:rPr>
                <w:sz w:val="20"/>
                <w:lang w:val="fr-CA"/>
              </w:rPr>
            </w:pPr>
          </w:p>
        </w:tc>
      </w:tr>
      <w:tr w:rsidR="004650E7" w:rsidRPr="00832ABE" w:rsidTr="009734DA">
        <w:tc>
          <w:tcPr>
            <w:tcW w:w="5000" w:type="pct"/>
            <w:gridSpan w:val="3"/>
          </w:tcPr>
          <w:p w:rsidR="004650E7" w:rsidRPr="009F4C66" w:rsidRDefault="004650E7" w:rsidP="009734DA">
            <w:pPr>
              <w:jc w:val="both"/>
              <w:rPr>
                <w:sz w:val="20"/>
                <w:lang w:val="fr-CA"/>
              </w:rPr>
            </w:pPr>
            <w:r w:rsidRPr="009F4C66">
              <w:rPr>
                <w:sz w:val="20"/>
                <w:lang w:val="fr-CA"/>
              </w:rPr>
              <w:t xml:space="preserve">La Couronne a accordé à l’intimée, Moulton Contracting Inc., deux licences de vente de bois d’oeuvre et un permis d’utilisation de chemins lui permettant d’exploiter certaines zones se trouvant au sein du territoire de la famille Behn. Ce territoire fait partie du territoire de la Première nation de Fort Nelson en vertu du Traité 8.  Les demandeurs sont des membres de la famille Behn et, à l’exception d’un seul d’entre eux, ils font partie de la Première nation de Fort Nelson.  Après qu’au moins certains des demandeurs l’eurent empêchée d’accéder à ces zones, Moulton a intenté une action en dommages-intérêts contre eux, la Première nation et son chef, et la Couronne. </w:t>
            </w:r>
          </w:p>
          <w:p w:rsidR="004650E7" w:rsidRPr="009F4C66" w:rsidRDefault="004650E7" w:rsidP="009734DA">
            <w:pPr>
              <w:jc w:val="both"/>
              <w:rPr>
                <w:sz w:val="20"/>
                <w:lang w:val="fr-CA"/>
              </w:rPr>
            </w:pPr>
          </w:p>
          <w:p w:rsidR="004650E7" w:rsidRPr="009F4C66" w:rsidRDefault="004650E7" w:rsidP="009734DA">
            <w:pPr>
              <w:jc w:val="both"/>
              <w:rPr>
                <w:sz w:val="20"/>
                <w:lang w:val="fr-CA"/>
              </w:rPr>
            </w:pPr>
            <w:r w:rsidRPr="009F4C66">
              <w:rPr>
                <w:sz w:val="20"/>
                <w:lang w:val="fr-CA"/>
              </w:rPr>
              <w:t>En défense, les demandeurs ont notamment nié que leurs actes étaient illégaux car, selon eux, les licences et le permis avaient été illégalement accordés à Moulton et ne donnaient à celle-ci aucun droit d’exploitation des zones visées ou d’accès à ces dernières.  Ils ont fait valoir que la Couronne avait omis de consulter convenablement la Première nation de Fort Nelson avant d’accorder les licences et le permis à Moulton et que, en émettant ces documents, elle avait empêché la Première nation de Fort Nelson de véritablement exercer ses droits en vertu du Traité 8.  Selon eux, cela constituait un empiètement inacceptable dans un champ de compétence législative fédérale.  Les demandes de la Couronne et de Moulton en vue de faire radier des paragraphes de la défense des demandeurs ont été accueillies sur la base que ces derniers n’avaient pas l’intérêt nécessaire pour avancer des arguments constitutionnels se rapportant aux droits issus de traités de la Première nation de Fort Nelson, et qu’il était manifeste et évident que leurs arguments n’exposaient aucune défense raisonnable ou encore qu’ils constituaient un abus de procédure.</w:t>
            </w:r>
          </w:p>
          <w:p w:rsidR="004650E7" w:rsidRPr="009F4C66" w:rsidRDefault="004650E7" w:rsidP="009734DA">
            <w:pPr>
              <w:jc w:val="both"/>
              <w:rPr>
                <w:sz w:val="20"/>
                <w:lang w:val="fr-CA"/>
              </w:rPr>
            </w:pPr>
          </w:p>
        </w:tc>
      </w:tr>
      <w:tr w:rsidR="004650E7" w:rsidRPr="00832ABE" w:rsidTr="009734DA">
        <w:tc>
          <w:tcPr>
            <w:tcW w:w="2427" w:type="pct"/>
          </w:tcPr>
          <w:p w:rsidR="004650E7" w:rsidRPr="009F4C66" w:rsidRDefault="004650E7" w:rsidP="009734DA">
            <w:pPr>
              <w:jc w:val="both"/>
              <w:rPr>
                <w:sz w:val="20"/>
                <w:lang w:val="fr-CA"/>
              </w:rPr>
            </w:pPr>
            <w:r w:rsidRPr="009F4C66">
              <w:rPr>
                <w:sz w:val="20"/>
                <w:lang w:val="fr-CA"/>
              </w:rPr>
              <w:t>15 avril 2010</w:t>
            </w:r>
          </w:p>
          <w:p w:rsidR="004650E7" w:rsidRPr="009F4C66" w:rsidRDefault="004650E7" w:rsidP="009734DA">
            <w:pPr>
              <w:jc w:val="both"/>
              <w:rPr>
                <w:sz w:val="20"/>
                <w:lang w:val="fr-CA"/>
              </w:rPr>
            </w:pPr>
            <w:r w:rsidRPr="009F4C66">
              <w:rPr>
                <w:sz w:val="20"/>
                <w:lang w:val="fr-CA"/>
              </w:rPr>
              <w:t>Cour suprême de la Colombie-Britannique</w:t>
            </w:r>
          </w:p>
          <w:p w:rsidR="004650E7" w:rsidRPr="009F4C66" w:rsidRDefault="004650E7" w:rsidP="009734DA">
            <w:pPr>
              <w:jc w:val="both"/>
              <w:rPr>
                <w:sz w:val="20"/>
              </w:rPr>
            </w:pPr>
            <w:r w:rsidRPr="009F4C66">
              <w:rPr>
                <w:sz w:val="20"/>
              </w:rPr>
              <w:t>(Juge Hinkson)</w:t>
            </w:r>
          </w:p>
          <w:p w:rsidR="004650E7" w:rsidRPr="009F4C66" w:rsidRDefault="004650E7" w:rsidP="009734DA">
            <w:pPr>
              <w:jc w:val="both"/>
              <w:rPr>
                <w:sz w:val="20"/>
              </w:rPr>
            </w:pPr>
            <w:r w:rsidRPr="009F4C66">
              <w:rPr>
                <w:sz w:val="20"/>
              </w:rPr>
              <w:t>2010 BCSC 506</w:t>
            </w:r>
          </w:p>
          <w:p w:rsidR="004650E7" w:rsidRPr="009F4C66" w:rsidRDefault="004650E7" w:rsidP="009734DA">
            <w:pPr>
              <w:jc w:val="both"/>
              <w:rPr>
                <w:sz w:val="20"/>
              </w:rPr>
            </w:pPr>
          </w:p>
        </w:tc>
        <w:tc>
          <w:tcPr>
            <w:tcW w:w="292" w:type="pct"/>
          </w:tcPr>
          <w:p w:rsidR="004650E7" w:rsidRPr="009F4C66" w:rsidRDefault="004650E7" w:rsidP="009734DA">
            <w:pPr>
              <w:jc w:val="both"/>
              <w:rPr>
                <w:sz w:val="20"/>
              </w:rPr>
            </w:pPr>
          </w:p>
        </w:tc>
        <w:tc>
          <w:tcPr>
            <w:tcW w:w="2281" w:type="pct"/>
          </w:tcPr>
          <w:p w:rsidR="004650E7" w:rsidRPr="009F4C66" w:rsidRDefault="004650E7" w:rsidP="009734DA">
            <w:pPr>
              <w:jc w:val="both"/>
              <w:rPr>
                <w:sz w:val="20"/>
                <w:lang w:val="fr-CA"/>
              </w:rPr>
            </w:pPr>
            <w:r w:rsidRPr="009F4C66">
              <w:rPr>
                <w:sz w:val="20"/>
                <w:lang w:val="fr-CA"/>
              </w:rPr>
              <w:t>Demandes de Moulton et de la Couronne en vue de faire radier une partie de la défense des demandeurs, accueillies en partie</w:t>
            </w:r>
          </w:p>
          <w:p w:rsidR="004650E7" w:rsidRPr="009F4C66" w:rsidRDefault="004650E7" w:rsidP="009734DA">
            <w:pPr>
              <w:jc w:val="both"/>
              <w:rPr>
                <w:sz w:val="20"/>
                <w:lang w:val="fr-CA"/>
              </w:rPr>
            </w:pPr>
          </w:p>
        </w:tc>
      </w:tr>
      <w:tr w:rsidR="004650E7" w:rsidRPr="00832ABE" w:rsidTr="009734DA">
        <w:tc>
          <w:tcPr>
            <w:tcW w:w="2427" w:type="pct"/>
          </w:tcPr>
          <w:p w:rsidR="004650E7" w:rsidRPr="009F4C66" w:rsidRDefault="004650E7" w:rsidP="009734DA">
            <w:pPr>
              <w:jc w:val="both"/>
              <w:rPr>
                <w:sz w:val="20"/>
                <w:lang w:val="fr-CA"/>
              </w:rPr>
            </w:pPr>
            <w:r w:rsidRPr="009F4C66">
              <w:rPr>
                <w:sz w:val="20"/>
                <w:lang w:val="fr-CA"/>
              </w:rPr>
              <w:t>6 juillet 2011</w:t>
            </w:r>
          </w:p>
          <w:p w:rsidR="004650E7" w:rsidRPr="009F4C66" w:rsidRDefault="004650E7" w:rsidP="009734DA">
            <w:pPr>
              <w:jc w:val="both"/>
              <w:rPr>
                <w:sz w:val="20"/>
                <w:lang w:val="fr-CA"/>
              </w:rPr>
            </w:pPr>
            <w:r w:rsidRPr="009F4C66">
              <w:rPr>
                <w:sz w:val="20"/>
                <w:lang w:val="fr-CA"/>
              </w:rPr>
              <w:t>Cour d’appel de la Colombie-Britannique (Vancouver)</w:t>
            </w:r>
          </w:p>
          <w:p w:rsidR="004650E7" w:rsidRPr="009F4C66" w:rsidRDefault="004650E7" w:rsidP="009734DA">
            <w:pPr>
              <w:jc w:val="both"/>
              <w:rPr>
                <w:sz w:val="20"/>
                <w:lang w:val="fr-CA"/>
              </w:rPr>
            </w:pPr>
            <w:r w:rsidRPr="009F4C66">
              <w:rPr>
                <w:sz w:val="20"/>
                <w:lang w:val="fr-CA"/>
              </w:rPr>
              <w:t>(Juges Saunders, Chiasson et Frankel)</w:t>
            </w:r>
          </w:p>
          <w:p w:rsidR="004650E7" w:rsidRPr="009F4C66" w:rsidRDefault="004650E7" w:rsidP="009734DA">
            <w:pPr>
              <w:jc w:val="both"/>
              <w:rPr>
                <w:sz w:val="20"/>
              </w:rPr>
            </w:pPr>
            <w:r w:rsidRPr="009F4C66">
              <w:rPr>
                <w:sz w:val="20"/>
              </w:rPr>
              <w:t>2011 BCCA 311; CAO38107</w:t>
            </w:r>
          </w:p>
          <w:p w:rsidR="004650E7" w:rsidRPr="009F4C66" w:rsidRDefault="004650E7" w:rsidP="009734DA">
            <w:pPr>
              <w:jc w:val="both"/>
              <w:rPr>
                <w:sz w:val="20"/>
              </w:rPr>
            </w:pPr>
          </w:p>
        </w:tc>
        <w:tc>
          <w:tcPr>
            <w:tcW w:w="292" w:type="pct"/>
          </w:tcPr>
          <w:p w:rsidR="004650E7" w:rsidRPr="009F4C66" w:rsidRDefault="004650E7" w:rsidP="009734DA">
            <w:pPr>
              <w:jc w:val="both"/>
              <w:rPr>
                <w:sz w:val="20"/>
              </w:rPr>
            </w:pPr>
          </w:p>
        </w:tc>
        <w:tc>
          <w:tcPr>
            <w:tcW w:w="2281" w:type="pct"/>
          </w:tcPr>
          <w:p w:rsidR="004650E7" w:rsidRPr="009F4C66" w:rsidRDefault="004650E7" w:rsidP="009734DA">
            <w:pPr>
              <w:jc w:val="both"/>
              <w:rPr>
                <w:sz w:val="20"/>
                <w:lang w:val="fr-CA"/>
              </w:rPr>
            </w:pPr>
            <w:r w:rsidRPr="009F4C66">
              <w:rPr>
                <w:sz w:val="20"/>
                <w:lang w:val="fr-CA"/>
              </w:rPr>
              <w:t>Appel contre l’ordonnance visant la radiation de certains paragraphes de la défense modifiée, rejeté</w:t>
            </w:r>
          </w:p>
          <w:p w:rsidR="004650E7" w:rsidRPr="009F4C66" w:rsidRDefault="004650E7" w:rsidP="009734DA">
            <w:pPr>
              <w:jc w:val="both"/>
              <w:rPr>
                <w:sz w:val="20"/>
                <w:lang w:val="fr-CA"/>
              </w:rPr>
            </w:pPr>
          </w:p>
        </w:tc>
      </w:tr>
      <w:tr w:rsidR="004650E7" w:rsidRPr="009F4C66" w:rsidTr="009734DA">
        <w:tc>
          <w:tcPr>
            <w:tcW w:w="2427" w:type="pct"/>
          </w:tcPr>
          <w:p w:rsidR="004650E7" w:rsidRPr="009F4C66" w:rsidRDefault="004650E7" w:rsidP="009734DA">
            <w:pPr>
              <w:jc w:val="both"/>
              <w:rPr>
                <w:sz w:val="20"/>
                <w:lang w:val="fr-CA"/>
              </w:rPr>
            </w:pPr>
            <w:r w:rsidRPr="009F4C66">
              <w:rPr>
                <w:sz w:val="20"/>
                <w:lang w:val="fr-CA"/>
              </w:rPr>
              <w:t>25 août 2011</w:t>
            </w:r>
          </w:p>
          <w:p w:rsidR="004650E7" w:rsidRPr="009F4C66" w:rsidRDefault="004650E7" w:rsidP="009734DA">
            <w:pPr>
              <w:jc w:val="both"/>
              <w:rPr>
                <w:sz w:val="20"/>
                <w:lang w:val="fr-CA"/>
              </w:rPr>
            </w:pPr>
            <w:r w:rsidRPr="009F4C66">
              <w:rPr>
                <w:sz w:val="20"/>
                <w:lang w:val="fr-CA"/>
              </w:rPr>
              <w:t>Cour suprême du Canada</w:t>
            </w:r>
          </w:p>
        </w:tc>
        <w:tc>
          <w:tcPr>
            <w:tcW w:w="292" w:type="pct"/>
          </w:tcPr>
          <w:p w:rsidR="004650E7" w:rsidRPr="009F4C66" w:rsidRDefault="004650E7" w:rsidP="009734DA">
            <w:pPr>
              <w:jc w:val="both"/>
              <w:rPr>
                <w:sz w:val="20"/>
                <w:lang w:val="fr-CA"/>
              </w:rPr>
            </w:pPr>
          </w:p>
        </w:tc>
        <w:tc>
          <w:tcPr>
            <w:tcW w:w="2281" w:type="pct"/>
          </w:tcPr>
          <w:p w:rsidR="004650E7" w:rsidRPr="009F4C66" w:rsidRDefault="004650E7" w:rsidP="009734DA">
            <w:pPr>
              <w:jc w:val="both"/>
              <w:rPr>
                <w:sz w:val="20"/>
              </w:rPr>
            </w:pPr>
            <w:r w:rsidRPr="009F4C66">
              <w:rPr>
                <w:sz w:val="20"/>
              </w:rPr>
              <w:t>Demande d’autorisation de pourvoi déposée</w:t>
            </w:r>
          </w:p>
          <w:p w:rsidR="004650E7" w:rsidRPr="009F4C66" w:rsidRDefault="004650E7" w:rsidP="009734DA">
            <w:pPr>
              <w:jc w:val="both"/>
              <w:rPr>
                <w:sz w:val="20"/>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57"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0F2BC0"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34429</w:t>
            </w:r>
          </w:p>
          <w:p w:rsidR="00425DAC" w:rsidRPr="000F2BC0" w:rsidRDefault="00425DAC" w:rsidP="001600B8">
            <w:pPr>
              <w:rPr>
                <w:b/>
                <w:sz w:val="20"/>
                <w:szCs w:val="20"/>
                <w:lang w:val="fr-CA"/>
              </w:rPr>
            </w:pPr>
          </w:p>
        </w:tc>
        <w:tc>
          <w:tcPr>
            <w:tcW w:w="8118" w:type="dxa"/>
          </w:tcPr>
          <w:p w:rsidR="00425DAC" w:rsidRPr="000F2BC0" w:rsidRDefault="00425DAC" w:rsidP="00425DAC">
            <w:pPr>
              <w:jc w:val="both"/>
              <w:rPr>
                <w:sz w:val="20"/>
                <w:szCs w:val="20"/>
              </w:rPr>
            </w:pPr>
            <w:r w:rsidRPr="000F2BC0">
              <w:rPr>
                <w:rStyle w:val="SCCLsocChar"/>
                <w:sz w:val="20"/>
                <w:szCs w:val="20"/>
                <w:lang w:val="en-CA"/>
              </w:rPr>
              <w:t>Marine Services International Limited</w:t>
            </w:r>
            <w:r w:rsidR="00C43D1F">
              <w:rPr>
                <w:rStyle w:val="SCCLsocChar"/>
                <w:sz w:val="20"/>
                <w:szCs w:val="20"/>
                <w:lang w:val="en-CA"/>
              </w:rPr>
              <w:t xml:space="preserve"> and </w:t>
            </w:r>
            <w:r w:rsidRPr="000F2BC0">
              <w:rPr>
                <w:rStyle w:val="SCCLsocChar"/>
                <w:sz w:val="20"/>
                <w:szCs w:val="20"/>
                <w:lang w:val="en-CA"/>
              </w:rPr>
              <w:t>David Porter v. Estate of Joseph Ryan, by its Administratrix, Yvonne Ryan, Yvonne Ryan, in her own right, Stephen Ryan, a Minor, by his Guardian, ad litem, Yvonne Ryan , Jennifer Ryan, a Minor, by her Guardian, ad litem, Yvonne Ryan, Estate of David Ryan, by its Administratrix , Marilyn Ryan, and Marilyn Ryan, in her own right, David Michael Ryan, a Minor, by his Guardian, ad litem, Marilyn Ryan, J and Y Fisheries Inc. and D and M Fisheries Inc., bodies corporate, trading and operating as Ryan's Fisheries Partnership, Universal Marine Limited</w:t>
            </w:r>
            <w:r w:rsidR="00C43D1F">
              <w:rPr>
                <w:rStyle w:val="SCCLsocChar"/>
                <w:sz w:val="20"/>
                <w:szCs w:val="20"/>
                <w:lang w:val="en-CA"/>
              </w:rPr>
              <w:t xml:space="preserve"> and </w:t>
            </w:r>
            <w:r w:rsidRPr="000F2BC0">
              <w:rPr>
                <w:rStyle w:val="SCCLsocChar"/>
                <w:sz w:val="20"/>
                <w:szCs w:val="20"/>
                <w:lang w:val="en-CA"/>
              </w:rPr>
              <w:t>Attorney General of Canada</w:t>
            </w:r>
            <w:r w:rsidRPr="000F2BC0">
              <w:rPr>
                <w:sz w:val="20"/>
                <w:szCs w:val="20"/>
              </w:rPr>
              <w:t xml:space="preserve"> (N.L.) (Civil) (By Leave)</w:t>
            </w:r>
          </w:p>
          <w:p w:rsidR="00425DAC" w:rsidRPr="000F2BC0" w:rsidRDefault="00425DAC" w:rsidP="001600B8">
            <w:pPr>
              <w:rPr>
                <w:sz w:val="20"/>
                <w:szCs w:val="20"/>
              </w:rPr>
            </w:pPr>
          </w:p>
        </w:tc>
      </w:tr>
      <w:tr w:rsidR="00425DAC" w:rsidRPr="000F2BC0"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rPr>
            </w:pPr>
            <w:r w:rsidRPr="000F2BC0">
              <w:rPr>
                <w:rStyle w:val="SCCCoramChar"/>
                <w:sz w:val="20"/>
                <w:szCs w:val="20"/>
                <w:lang w:val="en-CA"/>
              </w:rPr>
              <w:t>McLachlin C.J. and Rothstein and Moldaver JJ.</w:t>
            </w:r>
          </w:p>
          <w:p w:rsidR="00425DAC" w:rsidRPr="000F2BC0" w:rsidRDefault="00425DAC" w:rsidP="001600B8">
            <w:pPr>
              <w:rPr>
                <w:sz w:val="20"/>
                <w:szCs w:val="20"/>
                <w:u w:val="single"/>
              </w:rPr>
            </w:pPr>
          </w:p>
        </w:tc>
      </w:tr>
      <w:tr w:rsidR="00425DAC" w:rsidRPr="00832ABE" w:rsidTr="001600B8">
        <w:trPr>
          <w:cantSplit/>
        </w:trPr>
        <w:tc>
          <w:tcPr>
            <w:tcW w:w="9576" w:type="dxa"/>
            <w:gridSpan w:val="2"/>
          </w:tcPr>
          <w:p w:rsidR="00425DAC" w:rsidRPr="000F2BC0" w:rsidRDefault="00425DAC" w:rsidP="001600B8">
            <w:pPr>
              <w:pStyle w:val="SCCShortJudgment"/>
              <w:rPr>
                <w:szCs w:val="20"/>
              </w:rPr>
            </w:pPr>
            <w:r w:rsidRPr="000F2BC0">
              <w:rPr>
                <w:szCs w:val="20"/>
              </w:rPr>
              <w:t>The application for leave to appeal from the judgment of the Supreme Court of Newfoundland and Labrador - Court of Appeal, Number 09/96, 2011 NLCA 42, dated June 15, 2011, is granted with costs in the cause.</w:t>
            </w:r>
          </w:p>
          <w:p w:rsidR="00425DAC" w:rsidRPr="000F2BC0" w:rsidRDefault="00425DAC" w:rsidP="001600B8">
            <w:pPr>
              <w:pStyle w:val="SCCShortJudgment"/>
              <w:ind w:firstLine="0"/>
              <w:rPr>
                <w:szCs w:val="20"/>
              </w:rPr>
            </w:pPr>
          </w:p>
          <w:p w:rsidR="00425DAC" w:rsidRPr="000F2BC0" w:rsidRDefault="00425DAC" w:rsidP="001600B8">
            <w:pPr>
              <w:pStyle w:val="SCCShortJudgment"/>
              <w:rPr>
                <w:szCs w:val="20"/>
                <w:lang w:val="fr-CA"/>
              </w:rPr>
            </w:pPr>
            <w:r w:rsidRPr="000F2BC0">
              <w:rPr>
                <w:szCs w:val="20"/>
                <w:lang w:val="fr-CA"/>
              </w:rPr>
              <w:t>La demande d’autorisation d’appel de l’arrêt de la Cour suprême de Terre-Neuve-et-Labrador - Cour d’appel, numéro 09/96, 2011 NLCA 42, daté du 15 juin 2011, est accueillie avec dépens suivant l’issue de la cause.</w:t>
            </w:r>
          </w:p>
        </w:tc>
      </w:tr>
    </w:tbl>
    <w:p w:rsidR="00140B84" w:rsidRPr="00425DAC"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4650E7" w:rsidRPr="009F4C66" w:rsidTr="009734DA">
        <w:trPr>
          <w:gridAfter w:val="1"/>
          <w:wAfter w:w="48" w:type="pct"/>
        </w:trPr>
        <w:tc>
          <w:tcPr>
            <w:tcW w:w="4952" w:type="pct"/>
            <w:gridSpan w:val="3"/>
          </w:tcPr>
          <w:p w:rsidR="004650E7" w:rsidRPr="009F4C66" w:rsidRDefault="004650E7" w:rsidP="009734DA">
            <w:pPr>
              <w:jc w:val="both"/>
              <w:rPr>
                <w:sz w:val="20"/>
              </w:rPr>
            </w:pPr>
            <w:r w:rsidRPr="009F4C66">
              <w:rPr>
                <w:sz w:val="20"/>
              </w:rPr>
              <w:t xml:space="preserve">Constitutional law – Division of powers – Navigation and shipping – Paramountcy – Interjurisdictional immunity – Action in negligence by estates and families of two  men who drowned after fishing vessel designed, built and inspected by defendants capsizes – Whether s. 6 of the </w:t>
            </w:r>
            <w:r w:rsidRPr="009F4C66">
              <w:rPr>
                <w:i/>
                <w:sz w:val="20"/>
              </w:rPr>
              <w:t>Marine Liability Act</w:t>
            </w:r>
            <w:r w:rsidRPr="009F4C66">
              <w:rPr>
                <w:sz w:val="20"/>
              </w:rPr>
              <w:t xml:space="preserve">, S.C. 2001, c. 6, authorizes a federal right of action or whether limitation in s. 44 of  </w:t>
            </w:r>
            <w:r w:rsidRPr="009F4C66">
              <w:rPr>
                <w:i/>
                <w:sz w:val="20"/>
              </w:rPr>
              <w:t>Workplace Health, Safety and Compensation Act</w:t>
            </w:r>
            <w:r w:rsidRPr="009F4C66">
              <w:rPr>
                <w:sz w:val="20"/>
              </w:rPr>
              <w:t>, RSNL1990, c. W-11, applies to bar action – Whether doctrines of paramountcy and interjurisdictional immunity apply – Whether relevant case law conflicts.</w:t>
            </w:r>
          </w:p>
        </w:tc>
      </w:tr>
      <w:tr w:rsidR="004650E7" w:rsidRPr="009F4C66" w:rsidTr="009734DA">
        <w:trPr>
          <w:gridAfter w:val="1"/>
          <w:wAfter w:w="48" w:type="pct"/>
        </w:trPr>
        <w:tc>
          <w:tcPr>
            <w:tcW w:w="4952" w:type="pct"/>
            <w:gridSpan w:val="3"/>
          </w:tcPr>
          <w:p w:rsidR="004650E7" w:rsidRPr="009F4C66" w:rsidRDefault="004650E7" w:rsidP="009734DA">
            <w:pPr>
              <w:jc w:val="both"/>
              <w:rPr>
                <w:sz w:val="20"/>
              </w:rPr>
            </w:pPr>
          </w:p>
        </w:tc>
      </w:tr>
      <w:tr w:rsidR="004650E7" w:rsidRPr="009F4C66" w:rsidTr="009734DA">
        <w:trPr>
          <w:gridAfter w:val="1"/>
          <w:wAfter w:w="48" w:type="pct"/>
        </w:trPr>
        <w:tc>
          <w:tcPr>
            <w:tcW w:w="4952" w:type="pct"/>
            <w:gridSpan w:val="3"/>
          </w:tcPr>
          <w:p w:rsidR="004650E7" w:rsidRPr="009F4C66" w:rsidRDefault="004650E7" w:rsidP="009734DA">
            <w:pPr>
              <w:jc w:val="both"/>
              <w:rPr>
                <w:sz w:val="20"/>
              </w:rPr>
            </w:pPr>
            <w:r w:rsidRPr="009F4C66">
              <w:rPr>
                <w:sz w:val="20"/>
              </w:rPr>
              <w:t xml:space="preserve">Joseph and David Ryan drowned at sea after the fishing vessel they crewed capsized.  Proceeding under the </w:t>
            </w:r>
            <w:r w:rsidRPr="009F4C66">
              <w:rPr>
                <w:i/>
                <w:sz w:val="20"/>
              </w:rPr>
              <w:t>Marine Liability Act</w:t>
            </w:r>
            <w:r w:rsidRPr="009F4C66">
              <w:rPr>
                <w:sz w:val="20"/>
              </w:rPr>
              <w:t xml:space="preserve">, S.C. 2001, c. 6, (“the </w:t>
            </w:r>
            <w:r w:rsidRPr="009F4C66">
              <w:rPr>
                <w:i/>
                <w:sz w:val="20"/>
              </w:rPr>
              <w:t>MLA</w:t>
            </w:r>
            <w:r w:rsidRPr="009F4C66">
              <w:rPr>
                <w:sz w:val="20"/>
              </w:rPr>
              <w:t xml:space="preserve">”), their estates and families commenced an action against a number of defendants claiming negligence in the design, construction and inspection of the vessel.  The applicants, defendants to the action, applied to the Workplace Health, Safety and Compensation Commission for a determination that the action is statute-barred by s. 44 of the </w:t>
            </w:r>
            <w:r w:rsidRPr="009F4C66">
              <w:rPr>
                <w:i/>
                <w:sz w:val="20"/>
              </w:rPr>
              <w:t>Workplace Health, Safety and Compensation Act</w:t>
            </w:r>
            <w:r w:rsidRPr="009F4C66">
              <w:rPr>
                <w:sz w:val="20"/>
              </w:rPr>
              <w:t>, RSNL1990, c. W-11 (“</w:t>
            </w:r>
            <w:r w:rsidRPr="009F4C66">
              <w:rPr>
                <w:i/>
                <w:sz w:val="20"/>
              </w:rPr>
              <w:t>WHSCA</w:t>
            </w:r>
            <w:r w:rsidRPr="009F4C66">
              <w:rPr>
                <w:sz w:val="20"/>
              </w:rPr>
              <w:t>”).  An internal review specialist with the Commission held that the action is statute-barred.  That decision was set aside on judicial review.  A majority of the Court of Appeal upheld the reviewing judge’s decision.</w:t>
            </w:r>
          </w:p>
          <w:p w:rsidR="004650E7" w:rsidRPr="009F4C66" w:rsidRDefault="004650E7" w:rsidP="009734DA">
            <w:pPr>
              <w:jc w:val="both"/>
              <w:rPr>
                <w:sz w:val="20"/>
              </w:rPr>
            </w:pPr>
          </w:p>
        </w:tc>
      </w:tr>
      <w:tr w:rsidR="004650E7" w:rsidRPr="009F4C66" w:rsidTr="009734DA">
        <w:tblPrEx>
          <w:tblCellMar>
            <w:bottom w:w="0" w:type="dxa"/>
          </w:tblCellMar>
        </w:tblPrEx>
        <w:tc>
          <w:tcPr>
            <w:tcW w:w="2367" w:type="pct"/>
          </w:tcPr>
          <w:p w:rsidR="004650E7" w:rsidRPr="009F4C66" w:rsidRDefault="004650E7" w:rsidP="009734DA">
            <w:pPr>
              <w:jc w:val="both"/>
              <w:rPr>
                <w:sz w:val="20"/>
              </w:rPr>
            </w:pPr>
            <w:r w:rsidRPr="009F4C66">
              <w:rPr>
                <w:sz w:val="20"/>
              </w:rPr>
              <w:t>July 28, 2009</w:t>
            </w:r>
          </w:p>
          <w:p w:rsidR="004650E7" w:rsidRPr="009F4C66" w:rsidRDefault="004650E7" w:rsidP="009734DA">
            <w:pPr>
              <w:jc w:val="both"/>
              <w:rPr>
                <w:sz w:val="20"/>
              </w:rPr>
            </w:pPr>
            <w:r w:rsidRPr="009F4C66">
              <w:rPr>
                <w:sz w:val="20"/>
              </w:rPr>
              <w:t>Supreme Court of Newfoundland &amp; Labrador, Trial Division</w:t>
            </w:r>
          </w:p>
          <w:p w:rsidR="004650E7" w:rsidRPr="009F4C66" w:rsidRDefault="004650E7" w:rsidP="009734DA">
            <w:pPr>
              <w:jc w:val="both"/>
              <w:rPr>
                <w:sz w:val="20"/>
              </w:rPr>
            </w:pPr>
            <w:r w:rsidRPr="009F4C66">
              <w:rPr>
                <w:sz w:val="20"/>
              </w:rPr>
              <w:t>(Hall J.)</w:t>
            </w:r>
          </w:p>
          <w:p w:rsidR="004650E7" w:rsidRPr="009F4C66" w:rsidRDefault="004650E7" w:rsidP="009734DA">
            <w:pPr>
              <w:jc w:val="both"/>
              <w:rPr>
                <w:sz w:val="20"/>
              </w:rPr>
            </w:pPr>
            <w:r w:rsidRPr="009F4C66">
              <w:rPr>
                <w:sz w:val="20"/>
              </w:rPr>
              <w:t>2009 NLTD 120</w:t>
            </w:r>
          </w:p>
          <w:p w:rsidR="004650E7" w:rsidRPr="009F4C66" w:rsidRDefault="004650E7" w:rsidP="009734DA">
            <w:pPr>
              <w:jc w:val="both"/>
              <w:rPr>
                <w:sz w:val="20"/>
              </w:rPr>
            </w:pPr>
          </w:p>
        </w:tc>
        <w:tc>
          <w:tcPr>
            <w:tcW w:w="267" w:type="pct"/>
          </w:tcPr>
          <w:p w:rsidR="004650E7" w:rsidRPr="009F4C66" w:rsidRDefault="004650E7" w:rsidP="009734DA">
            <w:pPr>
              <w:jc w:val="both"/>
              <w:rPr>
                <w:sz w:val="20"/>
              </w:rPr>
            </w:pPr>
          </w:p>
        </w:tc>
        <w:tc>
          <w:tcPr>
            <w:tcW w:w="2366" w:type="pct"/>
            <w:gridSpan w:val="2"/>
          </w:tcPr>
          <w:p w:rsidR="004650E7" w:rsidRPr="009F4C66" w:rsidRDefault="004650E7" w:rsidP="009734DA">
            <w:pPr>
              <w:jc w:val="both"/>
              <w:rPr>
                <w:sz w:val="20"/>
              </w:rPr>
            </w:pPr>
            <w:r w:rsidRPr="009F4C66">
              <w:rPr>
                <w:sz w:val="20"/>
              </w:rPr>
              <w:t>Application for judicial review allowed; Decision by Workplace Health, Safety and Compensation Commission that action is statute-barred quashed</w:t>
            </w:r>
          </w:p>
          <w:p w:rsidR="004650E7" w:rsidRPr="009F4C66" w:rsidRDefault="004650E7" w:rsidP="009734DA">
            <w:pPr>
              <w:jc w:val="both"/>
              <w:rPr>
                <w:sz w:val="20"/>
              </w:rPr>
            </w:pPr>
          </w:p>
        </w:tc>
      </w:tr>
      <w:tr w:rsidR="004650E7" w:rsidRPr="009F4C66" w:rsidTr="009734DA">
        <w:tblPrEx>
          <w:tblCellMar>
            <w:bottom w:w="0" w:type="dxa"/>
          </w:tblCellMar>
        </w:tblPrEx>
        <w:tc>
          <w:tcPr>
            <w:tcW w:w="2367" w:type="pct"/>
          </w:tcPr>
          <w:p w:rsidR="004650E7" w:rsidRPr="009F4C66" w:rsidRDefault="004650E7" w:rsidP="009734DA">
            <w:pPr>
              <w:jc w:val="both"/>
              <w:rPr>
                <w:sz w:val="20"/>
              </w:rPr>
            </w:pPr>
            <w:r w:rsidRPr="009F4C66">
              <w:rPr>
                <w:sz w:val="20"/>
              </w:rPr>
              <w:t>June 15, 2011</w:t>
            </w:r>
          </w:p>
          <w:p w:rsidR="004650E7" w:rsidRPr="009F4C66" w:rsidRDefault="004650E7" w:rsidP="009734DA">
            <w:pPr>
              <w:jc w:val="both"/>
              <w:rPr>
                <w:sz w:val="20"/>
              </w:rPr>
            </w:pPr>
            <w:r w:rsidRPr="009F4C66">
              <w:rPr>
                <w:sz w:val="20"/>
              </w:rPr>
              <w:t>Supreme Court of Newfoundland and Labrador - Court of Appeal</w:t>
            </w:r>
          </w:p>
          <w:p w:rsidR="004650E7" w:rsidRPr="009F4C66" w:rsidRDefault="004650E7" w:rsidP="009734DA">
            <w:pPr>
              <w:jc w:val="both"/>
              <w:rPr>
                <w:sz w:val="20"/>
              </w:rPr>
            </w:pPr>
            <w:r w:rsidRPr="009F4C66">
              <w:rPr>
                <w:sz w:val="20"/>
              </w:rPr>
              <w:t>(Green, Welsh [dissenting], Rowe JJ.A.)</w:t>
            </w:r>
          </w:p>
          <w:p w:rsidR="004650E7" w:rsidRPr="009F4C66" w:rsidRDefault="004650E7" w:rsidP="009734DA">
            <w:pPr>
              <w:jc w:val="both"/>
              <w:rPr>
                <w:sz w:val="20"/>
              </w:rPr>
            </w:pPr>
            <w:r w:rsidRPr="009F4C66">
              <w:rPr>
                <w:sz w:val="20"/>
              </w:rPr>
              <w:t>2011 NLCA 42, Docket No. 09/95</w:t>
            </w:r>
          </w:p>
          <w:p w:rsidR="004650E7" w:rsidRPr="009F4C66" w:rsidRDefault="004650E7" w:rsidP="009734DA">
            <w:pPr>
              <w:jc w:val="both"/>
              <w:rPr>
                <w:sz w:val="20"/>
              </w:rPr>
            </w:pPr>
          </w:p>
        </w:tc>
        <w:tc>
          <w:tcPr>
            <w:tcW w:w="267" w:type="pct"/>
          </w:tcPr>
          <w:p w:rsidR="004650E7" w:rsidRPr="009F4C66" w:rsidRDefault="004650E7" w:rsidP="009734DA">
            <w:pPr>
              <w:jc w:val="both"/>
              <w:rPr>
                <w:sz w:val="20"/>
              </w:rPr>
            </w:pPr>
          </w:p>
        </w:tc>
        <w:tc>
          <w:tcPr>
            <w:tcW w:w="2366" w:type="pct"/>
            <w:gridSpan w:val="2"/>
          </w:tcPr>
          <w:p w:rsidR="004650E7" w:rsidRPr="009F4C66" w:rsidRDefault="004650E7" w:rsidP="009734DA">
            <w:pPr>
              <w:jc w:val="both"/>
              <w:rPr>
                <w:sz w:val="20"/>
              </w:rPr>
            </w:pPr>
            <w:r w:rsidRPr="009F4C66">
              <w:rPr>
                <w:sz w:val="20"/>
              </w:rPr>
              <w:t xml:space="preserve">Appeal dismissed </w:t>
            </w:r>
          </w:p>
          <w:p w:rsidR="004650E7" w:rsidRPr="009F4C66" w:rsidRDefault="004650E7" w:rsidP="009734DA">
            <w:pPr>
              <w:jc w:val="both"/>
              <w:rPr>
                <w:sz w:val="20"/>
              </w:rPr>
            </w:pPr>
          </w:p>
        </w:tc>
      </w:tr>
      <w:tr w:rsidR="004650E7" w:rsidRPr="009F4C66" w:rsidTr="009734DA">
        <w:tblPrEx>
          <w:tblCellMar>
            <w:bottom w:w="0" w:type="dxa"/>
          </w:tblCellMar>
        </w:tblPrEx>
        <w:trPr>
          <w:trHeight w:val="162"/>
        </w:trPr>
        <w:tc>
          <w:tcPr>
            <w:tcW w:w="2367" w:type="pct"/>
          </w:tcPr>
          <w:p w:rsidR="004650E7" w:rsidRPr="009F4C66" w:rsidRDefault="004650E7" w:rsidP="009734DA">
            <w:pPr>
              <w:jc w:val="both"/>
              <w:rPr>
                <w:sz w:val="20"/>
              </w:rPr>
            </w:pPr>
            <w:r w:rsidRPr="009F4C66">
              <w:rPr>
                <w:sz w:val="20"/>
              </w:rPr>
              <w:t>September 9, 2011</w:t>
            </w:r>
          </w:p>
          <w:p w:rsidR="004650E7" w:rsidRPr="009F4C66" w:rsidRDefault="004650E7" w:rsidP="009734DA">
            <w:pPr>
              <w:jc w:val="both"/>
              <w:rPr>
                <w:sz w:val="20"/>
              </w:rPr>
            </w:pPr>
            <w:r w:rsidRPr="009F4C66">
              <w:rPr>
                <w:sz w:val="20"/>
              </w:rPr>
              <w:t>Supreme Court of Canada</w:t>
            </w:r>
          </w:p>
        </w:tc>
        <w:tc>
          <w:tcPr>
            <w:tcW w:w="267" w:type="pct"/>
          </w:tcPr>
          <w:p w:rsidR="004650E7" w:rsidRPr="009F4C66" w:rsidRDefault="004650E7" w:rsidP="009734DA">
            <w:pPr>
              <w:jc w:val="both"/>
              <w:rPr>
                <w:sz w:val="20"/>
              </w:rPr>
            </w:pPr>
          </w:p>
        </w:tc>
        <w:tc>
          <w:tcPr>
            <w:tcW w:w="2366" w:type="pct"/>
            <w:gridSpan w:val="2"/>
          </w:tcPr>
          <w:p w:rsidR="004650E7" w:rsidRPr="009F4C66" w:rsidRDefault="004650E7" w:rsidP="009734DA">
            <w:pPr>
              <w:jc w:val="both"/>
              <w:rPr>
                <w:sz w:val="20"/>
              </w:rPr>
            </w:pPr>
            <w:r w:rsidRPr="009F4C66">
              <w:rPr>
                <w:sz w:val="20"/>
              </w:rPr>
              <w:t>Application for leave to appeal filed</w:t>
            </w:r>
          </w:p>
          <w:p w:rsidR="004650E7" w:rsidRPr="009F4C66" w:rsidRDefault="004650E7" w:rsidP="009734DA">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58"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4650E7" w:rsidRPr="00832ABE" w:rsidTr="009734DA">
        <w:tc>
          <w:tcPr>
            <w:tcW w:w="5000" w:type="pct"/>
            <w:gridSpan w:val="3"/>
          </w:tcPr>
          <w:p w:rsidR="004650E7" w:rsidRPr="009F4C66" w:rsidRDefault="004650E7" w:rsidP="009734DA">
            <w:pPr>
              <w:jc w:val="both"/>
              <w:rPr>
                <w:rFonts w:eastAsia="Calibri"/>
                <w:sz w:val="20"/>
                <w:lang w:val="fr-CA"/>
              </w:rPr>
            </w:pPr>
            <w:r w:rsidRPr="009F4C66">
              <w:rPr>
                <w:rFonts w:eastAsia="Calibri"/>
                <w:sz w:val="20"/>
                <w:lang w:val="fr-CA"/>
              </w:rPr>
              <w:t>Droit constitutionnel – Partage des pouvoirs – Navigation et bâtiments ou navires – Prépondérance – Exclusivité des compétences – Action en négligence intentée par les successions et les familles de deux hommes qui se sont noyés après que le navire de pêche conçu, construit et inspecté par les défendeurs a chaviré – L’art. 6 de la</w:t>
            </w:r>
            <w:r w:rsidRPr="009F4C66">
              <w:rPr>
                <w:rFonts w:eastAsia="Calibri"/>
                <w:i/>
                <w:sz w:val="20"/>
                <w:lang w:val="fr-CA"/>
              </w:rPr>
              <w:t xml:space="preserve"> Loi sur la responsabilité en matière maritime</w:t>
            </w:r>
            <w:r w:rsidRPr="009F4C66">
              <w:rPr>
                <w:rFonts w:eastAsia="Calibri"/>
                <w:sz w:val="20"/>
                <w:lang w:val="fr-CA"/>
              </w:rPr>
              <w:t xml:space="preserve">, L.C. 2001, c. 6, autorise-t-il un droit d'action au fédéral, ou bien est-ce que la prescription prévue à l’art. 44 de la  </w:t>
            </w:r>
            <w:r w:rsidRPr="009F4C66">
              <w:rPr>
                <w:rFonts w:eastAsia="Calibri"/>
                <w:i/>
                <w:sz w:val="20"/>
                <w:lang w:val="fr-CA"/>
              </w:rPr>
              <w:t>Workplace Health, Safety and Compensation Act</w:t>
            </w:r>
            <w:r w:rsidRPr="009F4C66">
              <w:rPr>
                <w:rFonts w:eastAsia="Calibri"/>
                <w:sz w:val="20"/>
                <w:lang w:val="fr-CA"/>
              </w:rPr>
              <w:t>, RSNL 1990, ch. W-11 s’applique pour faire obstacle à l'action? – Les doctrines de prépondérance et d'exclusivité des compétences s'appliquent-elles? – La jurisprudence en la matière est-elle contradictoire?</w:t>
            </w:r>
          </w:p>
        </w:tc>
      </w:tr>
      <w:tr w:rsidR="004650E7" w:rsidRPr="00832ABE" w:rsidTr="009734DA">
        <w:tc>
          <w:tcPr>
            <w:tcW w:w="5000" w:type="pct"/>
            <w:gridSpan w:val="3"/>
          </w:tcPr>
          <w:p w:rsidR="004650E7" w:rsidRPr="009F4C66" w:rsidRDefault="004650E7" w:rsidP="009734DA">
            <w:pPr>
              <w:jc w:val="both"/>
              <w:rPr>
                <w:rFonts w:eastAsia="Calibri"/>
                <w:sz w:val="20"/>
                <w:lang w:val="fr-CA"/>
              </w:rPr>
            </w:pPr>
          </w:p>
        </w:tc>
      </w:tr>
      <w:tr w:rsidR="004650E7" w:rsidRPr="00832ABE" w:rsidTr="009734DA">
        <w:tc>
          <w:tcPr>
            <w:tcW w:w="5000" w:type="pct"/>
            <w:gridSpan w:val="3"/>
          </w:tcPr>
          <w:p w:rsidR="004650E7" w:rsidRPr="009F4C66" w:rsidRDefault="004650E7" w:rsidP="009734DA">
            <w:pPr>
              <w:jc w:val="both"/>
              <w:rPr>
                <w:rFonts w:eastAsia="Calibri"/>
                <w:sz w:val="20"/>
                <w:lang w:val="fr-CA"/>
              </w:rPr>
            </w:pPr>
            <w:r w:rsidRPr="009F4C66">
              <w:rPr>
                <w:rFonts w:eastAsia="Calibri"/>
                <w:sz w:val="20"/>
                <w:lang w:val="fr-CA"/>
              </w:rPr>
              <w:t>Joseph et David Ryan se sont noyés en mer après que le navire de pêche sur lequel ils travaillaient comme membres de l'équipage a chaviré. S'appuyant sur la</w:t>
            </w:r>
            <w:r w:rsidRPr="009F4C66">
              <w:rPr>
                <w:rFonts w:eastAsia="Calibri"/>
                <w:i/>
                <w:sz w:val="20"/>
                <w:lang w:val="fr-CA"/>
              </w:rPr>
              <w:t xml:space="preserve"> Loi sur la responsabilité en matière maritime</w:t>
            </w:r>
            <w:r w:rsidRPr="009F4C66">
              <w:rPr>
                <w:rFonts w:eastAsia="Calibri"/>
                <w:sz w:val="20"/>
                <w:lang w:val="fr-CA"/>
              </w:rPr>
              <w:t xml:space="preserve">, L.C. 2001, ch. 6, leurs successions et familles ont intenté une action contre un certain nombre de défendeurs, alléguant la négligence dans la conception, la construction et l'inspection du navire. Les demandeurs, défendeurs à l'action, ont présenté une demande à la Workplace Health, Safety and Compensation Commission pour qu'il soit statué que l'action était prescrite en vertu de l’art. 44 de la </w:t>
            </w:r>
            <w:r w:rsidRPr="009F4C66">
              <w:rPr>
                <w:rFonts w:eastAsia="Calibri"/>
                <w:i/>
                <w:sz w:val="20"/>
                <w:lang w:val="fr-CA"/>
              </w:rPr>
              <w:t>Workplace Health, Safety and Compensation Act</w:t>
            </w:r>
            <w:r w:rsidRPr="009F4C66">
              <w:rPr>
                <w:rFonts w:eastAsia="Calibri"/>
                <w:sz w:val="20"/>
                <w:lang w:val="fr-CA"/>
              </w:rPr>
              <w:t>, RSNL 1990, ch. W-11. Un spécialiste en révision interne de la Commission a statué que l'action était prescrite. Cette décision a été annulée à l’issue d’une procédure de contrôle judiciaire. Les juges majoritaires de la Cour d'appel ont confirmé la décision du juge de première instance.</w:t>
            </w:r>
          </w:p>
          <w:p w:rsidR="004650E7" w:rsidRPr="009F4C66" w:rsidRDefault="004650E7" w:rsidP="009734DA">
            <w:pPr>
              <w:jc w:val="both"/>
              <w:rPr>
                <w:rFonts w:eastAsia="Calibri"/>
                <w:sz w:val="20"/>
                <w:lang w:val="fr-CA"/>
              </w:rPr>
            </w:pPr>
          </w:p>
        </w:tc>
      </w:tr>
      <w:tr w:rsidR="004650E7" w:rsidRPr="00832ABE" w:rsidTr="00460A3C">
        <w:tblPrEx>
          <w:tblCellMar>
            <w:bottom w:w="0" w:type="dxa"/>
          </w:tblCellMar>
        </w:tblPrEx>
        <w:trPr>
          <w:cantSplit/>
        </w:trPr>
        <w:tc>
          <w:tcPr>
            <w:tcW w:w="2390" w:type="pct"/>
          </w:tcPr>
          <w:p w:rsidR="004650E7" w:rsidRPr="009F4C66" w:rsidRDefault="004650E7" w:rsidP="009734DA">
            <w:pPr>
              <w:jc w:val="both"/>
              <w:rPr>
                <w:rFonts w:eastAsia="Calibri"/>
                <w:sz w:val="20"/>
                <w:lang w:val="fr-CA"/>
              </w:rPr>
            </w:pPr>
            <w:r w:rsidRPr="009F4C66">
              <w:rPr>
                <w:rFonts w:eastAsia="Calibri"/>
                <w:sz w:val="20"/>
                <w:lang w:val="fr-CA"/>
              </w:rPr>
              <w:t>28 juillet 2009</w:t>
            </w:r>
          </w:p>
          <w:p w:rsidR="004650E7" w:rsidRPr="009F4C66" w:rsidRDefault="004650E7" w:rsidP="009734DA">
            <w:pPr>
              <w:jc w:val="both"/>
              <w:rPr>
                <w:rFonts w:eastAsia="Calibri"/>
                <w:sz w:val="20"/>
                <w:lang w:val="fr-CA"/>
              </w:rPr>
            </w:pPr>
            <w:r w:rsidRPr="009F4C66">
              <w:rPr>
                <w:rFonts w:eastAsia="Calibri"/>
                <w:sz w:val="20"/>
                <w:lang w:val="fr-CA"/>
              </w:rPr>
              <w:t>Cour suprême de Terre-Neuve-et-Labrador, Section de première instance</w:t>
            </w:r>
          </w:p>
          <w:p w:rsidR="004650E7" w:rsidRPr="009F4C66" w:rsidRDefault="004650E7" w:rsidP="009734DA">
            <w:pPr>
              <w:jc w:val="both"/>
              <w:rPr>
                <w:rFonts w:eastAsia="Calibri"/>
                <w:sz w:val="20"/>
                <w:lang w:val="fr-CA"/>
              </w:rPr>
            </w:pPr>
            <w:r w:rsidRPr="009F4C66">
              <w:rPr>
                <w:rFonts w:eastAsia="Calibri"/>
                <w:sz w:val="20"/>
                <w:lang w:val="fr-CA"/>
              </w:rPr>
              <w:t>(Juge Hall)</w:t>
            </w:r>
          </w:p>
          <w:p w:rsidR="004650E7" w:rsidRPr="009F4C66" w:rsidRDefault="004650E7" w:rsidP="009734DA">
            <w:pPr>
              <w:jc w:val="both"/>
              <w:rPr>
                <w:rFonts w:eastAsia="Calibri"/>
                <w:sz w:val="20"/>
                <w:lang w:val="fr-CA"/>
              </w:rPr>
            </w:pPr>
            <w:r w:rsidRPr="009F4C66">
              <w:rPr>
                <w:rFonts w:eastAsia="Calibri"/>
                <w:sz w:val="20"/>
                <w:lang w:val="fr-CA"/>
              </w:rPr>
              <w:t>2009 NLTD 120</w:t>
            </w:r>
          </w:p>
          <w:p w:rsidR="004650E7" w:rsidRPr="009F4C66" w:rsidRDefault="004650E7" w:rsidP="009734DA">
            <w:pPr>
              <w:jc w:val="both"/>
              <w:rPr>
                <w:rFonts w:eastAsia="Calibri"/>
                <w:sz w:val="20"/>
                <w:lang w:val="fr-CA"/>
              </w:rPr>
            </w:pPr>
          </w:p>
        </w:tc>
        <w:tc>
          <w:tcPr>
            <w:tcW w:w="270" w:type="pct"/>
          </w:tcPr>
          <w:p w:rsidR="004650E7" w:rsidRPr="009F4C66" w:rsidRDefault="004650E7" w:rsidP="009734DA">
            <w:pPr>
              <w:jc w:val="both"/>
              <w:rPr>
                <w:rFonts w:eastAsia="Calibri"/>
                <w:sz w:val="20"/>
                <w:lang w:val="fr-CA"/>
              </w:rPr>
            </w:pPr>
          </w:p>
        </w:tc>
        <w:tc>
          <w:tcPr>
            <w:tcW w:w="2340" w:type="pct"/>
          </w:tcPr>
          <w:p w:rsidR="004650E7" w:rsidRPr="009F4C66" w:rsidRDefault="004650E7" w:rsidP="009734DA">
            <w:pPr>
              <w:jc w:val="both"/>
              <w:rPr>
                <w:rFonts w:eastAsia="Calibri"/>
                <w:sz w:val="20"/>
                <w:lang w:val="fr-CA"/>
              </w:rPr>
            </w:pPr>
            <w:r w:rsidRPr="009F4C66">
              <w:rPr>
                <w:rFonts w:eastAsia="Calibri"/>
                <w:sz w:val="20"/>
                <w:lang w:val="fr-CA"/>
              </w:rPr>
              <w:t>Demande de contrôle judiciaire, accueillie; décision de la Workplace Health, Safety and Compensation Commission statuant que l'action est prescrite, annulée</w:t>
            </w:r>
          </w:p>
          <w:p w:rsidR="004650E7" w:rsidRPr="009F4C66" w:rsidRDefault="004650E7" w:rsidP="009734DA">
            <w:pPr>
              <w:jc w:val="both"/>
              <w:rPr>
                <w:rFonts w:eastAsia="Calibri"/>
                <w:sz w:val="20"/>
                <w:lang w:val="fr-CA"/>
              </w:rPr>
            </w:pPr>
          </w:p>
        </w:tc>
      </w:tr>
      <w:tr w:rsidR="004650E7" w:rsidRPr="009F4C66" w:rsidTr="00460A3C">
        <w:tblPrEx>
          <w:tblCellMar>
            <w:bottom w:w="0" w:type="dxa"/>
          </w:tblCellMar>
        </w:tblPrEx>
        <w:trPr>
          <w:cantSplit/>
        </w:trPr>
        <w:tc>
          <w:tcPr>
            <w:tcW w:w="2390" w:type="pct"/>
          </w:tcPr>
          <w:p w:rsidR="004650E7" w:rsidRPr="009F4C66" w:rsidRDefault="004650E7" w:rsidP="009734DA">
            <w:pPr>
              <w:jc w:val="both"/>
              <w:rPr>
                <w:rFonts w:eastAsia="Calibri"/>
                <w:sz w:val="20"/>
                <w:lang w:val="fr-CA"/>
              </w:rPr>
            </w:pPr>
            <w:r w:rsidRPr="009F4C66">
              <w:rPr>
                <w:rFonts w:eastAsia="Calibri"/>
                <w:sz w:val="20"/>
                <w:lang w:val="fr-CA"/>
              </w:rPr>
              <w:t>15 juin 2011</w:t>
            </w:r>
          </w:p>
          <w:p w:rsidR="004650E7" w:rsidRPr="009F4C66" w:rsidRDefault="004650E7" w:rsidP="009734DA">
            <w:pPr>
              <w:jc w:val="both"/>
              <w:rPr>
                <w:rFonts w:eastAsia="Calibri"/>
                <w:sz w:val="20"/>
                <w:lang w:val="fr-CA"/>
              </w:rPr>
            </w:pPr>
            <w:r w:rsidRPr="009F4C66">
              <w:rPr>
                <w:rFonts w:eastAsia="Calibri"/>
                <w:sz w:val="20"/>
                <w:lang w:val="fr-CA"/>
              </w:rPr>
              <w:t>Cour suprême de Terre-Neuve-et-Labrador, Cour d'appel</w:t>
            </w:r>
          </w:p>
          <w:p w:rsidR="004650E7" w:rsidRPr="009F4C66" w:rsidRDefault="004650E7" w:rsidP="009734DA">
            <w:pPr>
              <w:jc w:val="both"/>
              <w:rPr>
                <w:rFonts w:eastAsia="Calibri"/>
                <w:sz w:val="20"/>
                <w:lang w:val="fr-CA"/>
              </w:rPr>
            </w:pPr>
            <w:r w:rsidRPr="009F4C66">
              <w:rPr>
                <w:rFonts w:eastAsia="Calibri"/>
                <w:sz w:val="20"/>
                <w:lang w:val="fr-CA"/>
              </w:rPr>
              <w:t>(Juges Green, Welsh [dissidente] et Rowe)</w:t>
            </w:r>
          </w:p>
          <w:p w:rsidR="004650E7" w:rsidRPr="009F4C66" w:rsidRDefault="004650E7" w:rsidP="009734DA">
            <w:pPr>
              <w:jc w:val="both"/>
              <w:rPr>
                <w:rFonts w:eastAsia="Calibri"/>
                <w:sz w:val="20"/>
                <w:lang w:val="fr-CA"/>
              </w:rPr>
            </w:pPr>
            <w:r w:rsidRPr="009F4C66">
              <w:rPr>
                <w:rFonts w:eastAsia="Calibri"/>
                <w:sz w:val="20"/>
                <w:lang w:val="fr-CA"/>
              </w:rPr>
              <w:t>2011 NLCA 42, n</w:t>
            </w:r>
            <w:r w:rsidRPr="009F4C66">
              <w:rPr>
                <w:rFonts w:eastAsia="Calibri"/>
                <w:sz w:val="20"/>
                <w:vertAlign w:val="superscript"/>
                <w:lang w:val="fr-CA"/>
              </w:rPr>
              <w:t>o</w:t>
            </w:r>
            <w:r w:rsidRPr="009F4C66">
              <w:rPr>
                <w:rFonts w:eastAsia="Calibri"/>
                <w:sz w:val="20"/>
                <w:lang w:val="fr-CA"/>
              </w:rPr>
              <w:t xml:space="preserve"> du greffe 09/95</w:t>
            </w:r>
          </w:p>
          <w:p w:rsidR="004650E7" w:rsidRPr="009F4C66" w:rsidRDefault="004650E7" w:rsidP="009734DA">
            <w:pPr>
              <w:jc w:val="both"/>
              <w:rPr>
                <w:rFonts w:eastAsia="Calibri"/>
                <w:sz w:val="20"/>
                <w:lang w:val="fr-CA"/>
              </w:rPr>
            </w:pPr>
          </w:p>
        </w:tc>
        <w:tc>
          <w:tcPr>
            <w:tcW w:w="270" w:type="pct"/>
          </w:tcPr>
          <w:p w:rsidR="004650E7" w:rsidRPr="009F4C66" w:rsidRDefault="004650E7" w:rsidP="009734DA">
            <w:pPr>
              <w:jc w:val="both"/>
              <w:rPr>
                <w:rFonts w:eastAsia="Calibri"/>
                <w:sz w:val="20"/>
                <w:lang w:val="fr-CA"/>
              </w:rPr>
            </w:pPr>
          </w:p>
        </w:tc>
        <w:tc>
          <w:tcPr>
            <w:tcW w:w="2340" w:type="pct"/>
          </w:tcPr>
          <w:p w:rsidR="004650E7" w:rsidRPr="009F4C66" w:rsidRDefault="004650E7" w:rsidP="009734DA">
            <w:pPr>
              <w:jc w:val="both"/>
              <w:rPr>
                <w:rFonts w:eastAsia="Calibri"/>
                <w:sz w:val="20"/>
                <w:lang w:val="fr-CA"/>
              </w:rPr>
            </w:pPr>
            <w:r w:rsidRPr="009F4C66">
              <w:rPr>
                <w:rFonts w:eastAsia="Calibri"/>
                <w:sz w:val="20"/>
                <w:lang w:val="fr-CA"/>
              </w:rPr>
              <w:t>Appel rejeté</w:t>
            </w:r>
          </w:p>
          <w:p w:rsidR="004650E7" w:rsidRPr="009F4C66" w:rsidRDefault="004650E7" w:rsidP="009734DA">
            <w:pPr>
              <w:jc w:val="both"/>
              <w:rPr>
                <w:rFonts w:eastAsia="Calibri"/>
                <w:sz w:val="20"/>
                <w:lang w:val="fr-CA"/>
              </w:rPr>
            </w:pPr>
          </w:p>
        </w:tc>
      </w:tr>
      <w:tr w:rsidR="004650E7" w:rsidRPr="009F4C66" w:rsidTr="00460A3C">
        <w:tblPrEx>
          <w:tblCellMar>
            <w:bottom w:w="0" w:type="dxa"/>
          </w:tblCellMar>
        </w:tblPrEx>
        <w:trPr>
          <w:cantSplit/>
        </w:trPr>
        <w:tc>
          <w:tcPr>
            <w:tcW w:w="2390" w:type="pct"/>
          </w:tcPr>
          <w:p w:rsidR="004650E7" w:rsidRPr="009F4C66" w:rsidRDefault="004650E7" w:rsidP="009734DA">
            <w:pPr>
              <w:jc w:val="both"/>
              <w:rPr>
                <w:rFonts w:eastAsia="Calibri"/>
                <w:sz w:val="20"/>
                <w:lang w:val="fr-CA"/>
              </w:rPr>
            </w:pPr>
            <w:r w:rsidRPr="009F4C66">
              <w:rPr>
                <w:rFonts w:eastAsia="Calibri"/>
                <w:sz w:val="20"/>
                <w:lang w:val="fr-CA"/>
              </w:rPr>
              <w:t>9 septembre 2011</w:t>
            </w:r>
          </w:p>
          <w:p w:rsidR="004650E7" w:rsidRPr="009F4C66" w:rsidRDefault="004650E7" w:rsidP="009734DA">
            <w:pPr>
              <w:jc w:val="both"/>
              <w:rPr>
                <w:rFonts w:eastAsia="Calibri"/>
                <w:sz w:val="20"/>
                <w:lang w:val="fr-CA"/>
              </w:rPr>
            </w:pPr>
            <w:r w:rsidRPr="009F4C66">
              <w:rPr>
                <w:rFonts w:eastAsia="Calibri"/>
                <w:sz w:val="20"/>
                <w:lang w:val="fr-CA"/>
              </w:rPr>
              <w:t>Cour suprême du Canada</w:t>
            </w:r>
          </w:p>
        </w:tc>
        <w:tc>
          <w:tcPr>
            <w:tcW w:w="270" w:type="pct"/>
          </w:tcPr>
          <w:p w:rsidR="004650E7" w:rsidRPr="009F4C66" w:rsidRDefault="004650E7" w:rsidP="009734DA">
            <w:pPr>
              <w:jc w:val="both"/>
              <w:rPr>
                <w:rFonts w:eastAsia="Calibri"/>
                <w:sz w:val="20"/>
                <w:lang w:val="fr-CA"/>
              </w:rPr>
            </w:pPr>
          </w:p>
        </w:tc>
        <w:tc>
          <w:tcPr>
            <w:tcW w:w="2340" w:type="pct"/>
          </w:tcPr>
          <w:p w:rsidR="004650E7" w:rsidRPr="009F4C66" w:rsidRDefault="004650E7" w:rsidP="009734DA">
            <w:pPr>
              <w:jc w:val="both"/>
              <w:rPr>
                <w:rFonts w:eastAsia="Calibri"/>
                <w:sz w:val="20"/>
                <w:lang w:val="fr-CA"/>
              </w:rPr>
            </w:pPr>
            <w:r w:rsidRPr="009F4C66">
              <w:rPr>
                <w:rFonts w:eastAsia="Calibri"/>
                <w:sz w:val="20"/>
                <w:lang w:val="fr-CA"/>
              </w:rPr>
              <w:t>Demande d'autorisation d'appel, déposée</w:t>
            </w:r>
          </w:p>
          <w:p w:rsidR="004650E7" w:rsidRPr="009F4C66" w:rsidRDefault="004650E7" w:rsidP="009734DA">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59"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0F2BC0"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34446</w:t>
            </w:r>
          </w:p>
          <w:p w:rsidR="00425DAC" w:rsidRPr="000F2BC0" w:rsidRDefault="00425DAC" w:rsidP="001600B8">
            <w:pPr>
              <w:rPr>
                <w:b/>
                <w:sz w:val="20"/>
                <w:szCs w:val="20"/>
                <w:lang w:val="fr-CA"/>
              </w:rPr>
            </w:pPr>
          </w:p>
        </w:tc>
        <w:tc>
          <w:tcPr>
            <w:tcW w:w="8118" w:type="dxa"/>
          </w:tcPr>
          <w:p w:rsidR="00425DAC" w:rsidRPr="000F2BC0" w:rsidRDefault="00425DAC" w:rsidP="001600B8">
            <w:pPr>
              <w:rPr>
                <w:sz w:val="20"/>
                <w:szCs w:val="20"/>
              </w:rPr>
            </w:pPr>
            <w:r w:rsidRPr="000F2BC0">
              <w:rPr>
                <w:rStyle w:val="SCCLsocChar"/>
                <w:sz w:val="20"/>
                <w:szCs w:val="20"/>
                <w:lang w:val="en-CA"/>
              </w:rPr>
              <w:t>Nell Toussaint v. Attorney General of Canada</w:t>
            </w:r>
            <w:r w:rsidRPr="000F2BC0">
              <w:rPr>
                <w:sz w:val="20"/>
                <w:szCs w:val="20"/>
              </w:rPr>
              <w:t xml:space="preserve"> (F</w:t>
            </w:r>
            <w:r w:rsidR="00066E8E">
              <w:rPr>
                <w:sz w:val="20"/>
                <w:szCs w:val="20"/>
              </w:rPr>
              <w:t>.</w:t>
            </w:r>
            <w:r w:rsidRPr="000F2BC0">
              <w:rPr>
                <w:sz w:val="20"/>
                <w:szCs w:val="20"/>
              </w:rPr>
              <w:t>C</w:t>
            </w:r>
            <w:r w:rsidR="00066E8E">
              <w:rPr>
                <w:sz w:val="20"/>
                <w:szCs w:val="20"/>
              </w:rPr>
              <w:t>.</w:t>
            </w:r>
            <w:r w:rsidRPr="000F2BC0">
              <w:rPr>
                <w:sz w:val="20"/>
                <w:szCs w:val="20"/>
              </w:rPr>
              <w:t>) (Civil) (By Leave)</w:t>
            </w:r>
          </w:p>
          <w:p w:rsidR="00425DAC" w:rsidRPr="000F2BC0" w:rsidRDefault="00425DAC" w:rsidP="001600B8">
            <w:pPr>
              <w:rPr>
                <w:sz w:val="20"/>
                <w:szCs w:val="20"/>
              </w:rPr>
            </w:pPr>
          </w:p>
        </w:tc>
      </w:tr>
      <w:tr w:rsidR="00425DAC" w:rsidRPr="000F2BC0"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rPr>
            </w:pPr>
            <w:r w:rsidRPr="000F2BC0">
              <w:rPr>
                <w:rStyle w:val="SCCCoramChar"/>
                <w:sz w:val="20"/>
                <w:szCs w:val="20"/>
                <w:lang w:val="en-CA"/>
              </w:rPr>
              <w:t>LeBel, Abella and Cromwell JJ.</w:t>
            </w:r>
          </w:p>
          <w:p w:rsidR="00425DAC" w:rsidRPr="000F2BC0" w:rsidRDefault="00425DAC" w:rsidP="001600B8">
            <w:pPr>
              <w:rPr>
                <w:sz w:val="20"/>
                <w:szCs w:val="20"/>
                <w:u w:val="single"/>
              </w:rPr>
            </w:pPr>
          </w:p>
        </w:tc>
      </w:tr>
      <w:tr w:rsidR="00425DAC" w:rsidRPr="00832ABE" w:rsidTr="001600B8">
        <w:trPr>
          <w:cantSplit/>
        </w:trPr>
        <w:tc>
          <w:tcPr>
            <w:tcW w:w="9576" w:type="dxa"/>
            <w:gridSpan w:val="2"/>
          </w:tcPr>
          <w:p w:rsidR="00425DAC" w:rsidRPr="000F2BC0" w:rsidRDefault="00425DAC" w:rsidP="001600B8">
            <w:pPr>
              <w:pStyle w:val="SCCShortJudgment"/>
              <w:rPr>
                <w:szCs w:val="20"/>
              </w:rPr>
            </w:pPr>
            <w:r w:rsidRPr="000F2BC0">
              <w:rPr>
                <w:szCs w:val="20"/>
              </w:rPr>
              <w:t>The application for leave to appeal from the judgment of the Federal Court of Appeal, Number A-362-10, 2011 FCA 213, dated June 27, 2011, is dismissed without costs.</w:t>
            </w:r>
          </w:p>
          <w:p w:rsidR="00425DAC" w:rsidRPr="000F2BC0" w:rsidRDefault="00425DAC" w:rsidP="001600B8">
            <w:pPr>
              <w:pStyle w:val="SCCShortJudgment"/>
              <w:ind w:firstLine="0"/>
              <w:rPr>
                <w:szCs w:val="20"/>
              </w:rPr>
            </w:pPr>
          </w:p>
          <w:p w:rsidR="00425DAC" w:rsidRPr="000F2BC0" w:rsidRDefault="00425DAC" w:rsidP="001600B8">
            <w:pPr>
              <w:pStyle w:val="SCCShortJudgment"/>
              <w:rPr>
                <w:szCs w:val="20"/>
                <w:lang w:val="fr-CA"/>
              </w:rPr>
            </w:pPr>
            <w:r w:rsidRPr="000F2BC0">
              <w:rPr>
                <w:szCs w:val="20"/>
                <w:lang w:val="fr-CA"/>
              </w:rPr>
              <w:t>La demande d’autorisation d’appel de l’arrêt de la Cour d’appel fédérale, numéro A-362-10, 2011 CAF 213, daté du 27 juin 2011, est rejetée sans dépens.</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348"/>
        <w:gridCol w:w="278"/>
        <w:gridCol w:w="4901"/>
      </w:tblGrid>
      <w:tr w:rsidR="009734DA" w:rsidRPr="009F4C66" w:rsidTr="009734DA">
        <w:tc>
          <w:tcPr>
            <w:tcW w:w="5000" w:type="pct"/>
            <w:gridSpan w:val="3"/>
          </w:tcPr>
          <w:p w:rsidR="009734DA" w:rsidRPr="009F4C66" w:rsidRDefault="009734DA" w:rsidP="009734DA">
            <w:pPr>
              <w:jc w:val="both"/>
              <w:rPr>
                <w:sz w:val="20"/>
              </w:rPr>
            </w:pPr>
            <w:r w:rsidRPr="009F4C66">
              <w:rPr>
                <w:i/>
                <w:sz w:val="20"/>
              </w:rPr>
              <w:t>Canadian Charter of Rights and Freedoms</w:t>
            </w:r>
            <w:r w:rsidRPr="009F4C66">
              <w:rPr>
                <w:sz w:val="20"/>
              </w:rPr>
              <w:t xml:space="preserve"> – Right to life, liberty and security of the person – Fundamental Justice – Right to equality – Discrimination based on immigration status – Health care coverage – Whether it is in accordance with principles of fundamental justice or in breach of s. 7 of the </w:t>
            </w:r>
            <w:r w:rsidRPr="009F4C66">
              <w:rPr>
                <w:i/>
                <w:sz w:val="20"/>
              </w:rPr>
              <w:t xml:space="preserve">Charter </w:t>
            </w:r>
            <w:r w:rsidRPr="009F4C66">
              <w:rPr>
                <w:sz w:val="20"/>
              </w:rPr>
              <w:t xml:space="preserve"> to deny coverage for health care to persons exposed to a serious risk to life and health in order to discourage illegal behaviour – Whether a law that excludes the applicant from health coverage because of her immigration status is in breach of s. 15(1) of the </w:t>
            </w:r>
            <w:r w:rsidRPr="009F4C66">
              <w:rPr>
                <w:i/>
                <w:sz w:val="20"/>
              </w:rPr>
              <w:t>Charter</w:t>
            </w:r>
            <w:r w:rsidRPr="009F4C66">
              <w:rPr>
                <w:sz w:val="20"/>
              </w:rPr>
              <w:t>.</w:t>
            </w:r>
          </w:p>
        </w:tc>
      </w:tr>
      <w:tr w:rsidR="009734DA" w:rsidRPr="009F4C66" w:rsidTr="009734DA">
        <w:tc>
          <w:tcPr>
            <w:tcW w:w="5000" w:type="pct"/>
            <w:gridSpan w:val="3"/>
          </w:tcPr>
          <w:p w:rsidR="009734DA" w:rsidRPr="009F4C66" w:rsidRDefault="009734DA" w:rsidP="009734DA">
            <w:pPr>
              <w:jc w:val="both"/>
              <w:rPr>
                <w:sz w:val="20"/>
              </w:rPr>
            </w:pPr>
          </w:p>
        </w:tc>
      </w:tr>
      <w:tr w:rsidR="009734DA" w:rsidRPr="009F4C66" w:rsidTr="009734DA">
        <w:tc>
          <w:tcPr>
            <w:tcW w:w="5000" w:type="pct"/>
            <w:gridSpan w:val="3"/>
          </w:tcPr>
          <w:p w:rsidR="009734DA" w:rsidRPr="009F4C66" w:rsidRDefault="009734DA" w:rsidP="009734DA">
            <w:pPr>
              <w:jc w:val="both"/>
              <w:rPr>
                <w:sz w:val="20"/>
              </w:rPr>
            </w:pPr>
            <w:r w:rsidRPr="009F4C66">
              <w:rPr>
                <w:sz w:val="20"/>
              </w:rPr>
              <w:t>The applicant, a citizen of Grenada, remained in Canada illegally after her temporary residence visa expired. She requires significant medical care.  In 2008, she began an application for temporary residency status but she challenged the requirement to pay application fees and her application remains unprocessed. In May 2009, she applied to Citizenship and Immigration Canada for medical coverage under the Interim Federal Health Program established by Order in Council, OIC 1957</w:t>
            </w:r>
            <w:r w:rsidRPr="009F4C66">
              <w:rPr>
                <w:sz w:val="20"/>
              </w:rPr>
              <w:noBreakHyphen/>
              <w:t xml:space="preserve">11/848.  Under this program, Citizenship and Immigration Canada covers the cost of emergency medical care for indigent persons that it has legally admitted to Canada if eligibility criteria are met. A Director with Citizenship and Immigration Canada denied coverage.  </w:t>
            </w:r>
          </w:p>
        </w:tc>
      </w:tr>
      <w:tr w:rsidR="009734DA" w:rsidRPr="009F4C66" w:rsidTr="009734DA">
        <w:tc>
          <w:tcPr>
            <w:tcW w:w="5000" w:type="pct"/>
            <w:gridSpan w:val="3"/>
          </w:tcPr>
          <w:p w:rsidR="009734DA" w:rsidRPr="009F4C66" w:rsidRDefault="009734DA" w:rsidP="009734DA">
            <w:pPr>
              <w:jc w:val="both"/>
              <w:rPr>
                <w:sz w:val="20"/>
              </w:rPr>
            </w:pPr>
          </w:p>
        </w:tc>
      </w:tr>
      <w:tr w:rsidR="009734DA" w:rsidRPr="009F4C66" w:rsidTr="009734DA">
        <w:trPr>
          <w:trHeight w:val="351"/>
        </w:trPr>
        <w:tc>
          <w:tcPr>
            <w:tcW w:w="2282" w:type="pct"/>
          </w:tcPr>
          <w:p w:rsidR="009734DA" w:rsidRPr="009F4C66" w:rsidRDefault="009734DA" w:rsidP="009734DA">
            <w:pPr>
              <w:jc w:val="both"/>
              <w:rPr>
                <w:sz w:val="20"/>
              </w:rPr>
            </w:pPr>
            <w:r w:rsidRPr="009F4C66">
              <w:rPr>
                <w:sz w:val="20"/>
              </w:rPr>
              <w:t>August 6, 2010</w:t>
            </w:r>
          </w:p>
          <w:p w:rsidR="009734DA" w:rsidRPr="009F4C66" w:rsidRDefault="009734DA" w:rsidP="009734DA">
            <w:pPr>
              <w:jc w:val="both"/>
              <w:rPr>
                <w:sz w:val="20"/>
              </w:rPr>
            </w:pPr>
            <w:r w:rsidRPr="009F4C66">
              <w:rPr>
                <w:sz w:val="20"/>
              </w:rPr>
              <w:t>Federal Court</w:t>
            </w:r>
          </w:p>
          <w:p w:rsidR="009734DA" w:rsidRPr="009F4C66" w:rsidRDefault="009734DA" w:rsidP="009734DA">
            <w:pPr>
              <w:jc w:val="both"/>
              <w:rPr>
                <w:sz w:val="20"/>
              </w:rPr>
            </w:pPr>
            <w:r w:rsidRPr="009F4C66">
              <w:rPr>
                <w:sz w:val="20"/>
              </w:rPr>
              <w:t xml:space="preserve">(Zinn J.)  </w:t>
            </w:r>
          </w:p>
          <w:p w:rsidR="009734DA" w:rsidRPr="009F4C66" w:rsidRDefault="009734DA" w:rsidP="009734DA">
            <w:pPr>
              <w:jc w:val="both"/>
              <w:rPr>
                <w:sz w:val="20"/>
              </w:rPr>
            </w:pPr>
            <w:r w:rsidRPr="009F4C66">
              <w:rPr>
                <w:sz w:val="20"/>
              </w:rPr>
              <w:t>2010 FC 810</w:t>
            </w:r>
          </w:p>
          <w:p w:rsidR="009734DA" w:rsidRPr="009F4C66" w:rsidRDefault="009734DA" w:rsidP="009734DA">
            <w:pPr>
              <w:jc w:val="both"/>
              <w:rPr>
                <w:sz w:val="20"/>
              </w:rPr>
            </w:pPr>
          </w:p>
        </w:tc>
        <w:tc>
          <w:tcPr>
            <w:tcW w:w="146" w:type="pct"/>
          </w:tcPr>
          <w:p w:rsidR="009734DA" w:rsidRPr="009F4C66" w:rsidRDefault="009734DA" w:rsidP="009734DA">
            <w:pPr>
              <w:jc w:val="both"/>
              <w:rPr>
                <w:sz w:val="20"/>
              </w:rPr>
            </w:pPr>
          </w:p>
        </w:tc>
        <w:tc>
          <w:tcPr>
            <w:tcW w:w="2572" w:type="pct"/>
          </w:tcPr>
          <w:p w:rsidR="009734DA" w:rsidRPr="009F4C66" w:rsidRDefault="009734DA" w:rsidP="009734DA">
            <w:pPr>
              <w:jc w:val="both"/>
              <w:rPr>
                <w:sz w:val="20"/>
              </w:rPr>
            </w:pPr>
            <w:r w:rsidRPr="009F4C66">
              <w:rPr>
                <w:sz w:val="20"/>
              </w:rPr>
              <w:t xml:space="preserve">Application for judicial review dismissed </w:t>
            </w:r>
          </w:p>
        </w:tc>
      </w:tr>
      <w:tr w:rsidR="009734DA" w:rsidRPr="009F4C66" w:rsidTr="00460A3C">
        <w:trPr>
          <w:cantSplit/>
          <w:trHeight w:val="348"/>
        </w:trPr>
        <w:tc>
          <w:tcPr>
            <w:tcW w:w="2282" w:type="pct"/>
          </w:tcPr>
          <w:p w:rsidR="009734DA" w:rsidRPr="009F4C66" w:rsidRDefault="009734DA" w:rsidP="009734DA">
            <w:pPr>
              <w:jc w:val="both"/>
              <w:rPr>
                <w:sz w:val="20"/>
              </w:rPr>
            </w:pPr>
            <w:r w:rsidRPr="009F4C66">
              <w:rPr>
                <w:sz w:val="20"/>
              </w:rPr>
              <w:t>September 16, 2010</w:t>
            </w:r>
          </w:p>
          <w:p w:rsidR="009734DA" w:rsidRPr="009F4C66" w:rsidRDefault="009734DA" w:rsidP="009734DA">
            <w:pPr>
              <w:jc w:val="both"/>
              <w:rPr>
                <w:sz w:val="20"/>
              </w:rPr>
            </w:pPr>
            <w:r w:rsidRPr="009F4C66">
              <w:rPr>
                <w:sz w:val="20"/>
              </w:rPr>
              <w:t>Federal Court</w:t>
            </w:r>
          </w:p>
          <w:p w:rsidR="009734DA" w:rsidRPr="009F4C66" w:rsidRDefault="009734DA" w:rsidP="009734DA">
            <w:pPr>
              <w:jc w:val="both"/>
              <w:rPr>
                <w:sz w:val="20"/>
              </w:rPr>
            </w:pPr>
            <w:r w:rsidRPr="009F4C66">
              <w:rPr>
                <w:sz w:val="20"/>
              </w:rPr>
              <w:t xml:space="preserve">(Zinn J.) </w:t>
            </w:r>
          </w:p>
          <w:p w:rsidR="009734DA" w:rsidRPr="009F4C66" w:rsidRDefault="009734DA" w:rsidP="009734DA">
            <w:pPr>
              <w:jc w:val="both"/>
              <w:rPr>
                <w:sz w:val="20"/>
              </w:rPr>
            </w:pPr>
            <w:r w:rsidRPr="009F4C66">
              <w:rPr>
                <w:sz w:val="20"/>
              </w:rPr>
              <w:t>2010 FC 926</w:t>
            </w:r>
          </w:p>
          <w:p w:rsidR="009734DA" w:rsidRPr="009F4C66" w:rsidRDefault="009734DA" w:rsidP="009734DA">
            <w:pPr>
              <w:jc w:val="both"/>
              <w:rPr>
                <w:sz w:val="20"/>
              </w:rPr>
            </w:pPr>
          </w:p>
        </w:tc>
        <w:tc>
          <w:tcPr>
            <w:tcW w:w="146" w:type="pct"/>
          </w:tcPr>
          <w:p w:rsidR="009734DA" w:rsidRPr="009F4C66" w:rsidRDefault="009734DA" w:rsidP="009734DA">
            <w:pPr>
              <w:jc w:val="both"/>
              <w:rPr>
                <w:sz w:val="20"/>
              </w:rPr>
            </w:pPr>
          </w:p>
        </w:tc>
        <w:tc>
          <w:tcPr>
            <w:tcW w:w="2572" w:type="pct"/>
          </w:tcPr>
          <w:p w:rsidR="009734DA" w:rsidRPr="009F4C66" w:rsidRDefault="009734DA" w:rsidP="009734DA">
            <w:pPr>
              <w:jc w:val="both"/>
              <w:rPr>
                <w:sz w:val="20"/>
              </w:rPr>
            </w:pPr>
            <w:r w:rsidRPr="009F4C66">
              <w:rPr>
                <w:sz w:val="20"/>
              </w:rPr>
              <w:t xml:space="preserve">Motion for reconsideration dismissed </w:t>
            </w:r>
          </w:p>
        </w:tc>
      </w:tr>
      <w:tr w:rsidR="009734DA" w:rsidRPr="009F4C66" w:rsidTr="00460A3C">
        <w:trPr>
          <w:cantSplit/>
          <w:trHeight w:val="348"/>
        </w:trPr>
        <w:tc>
          <w:tcPr>
            <w:tcW w:w="2282" w:type="pct"/>
          </w:tcPr>
          <w:p w:rsidR="009734DA" w:rsidRPr="009F4C66" w:rsidRDefault="009734DA" w:rsidP="009734DA">
            <w:pPr>
              <w:jc w:val="both"/>
              <w:rPr>
                <w:sz w:val="20"/>
              </w:rPr>
            </w:pPr>
            <w:r w:rsidRPr="009F4C66">
              <w:rPr>
                <w:sz w:val="20"/>
              </w:rPr>
              <w:t>June 27, 2011</w:t>
            </w:r>
          </w:p>
          <w:p w:rsidR="009734DA" w:rsidRPr="009F4C66" w:rsidRDefault="009734DA" w:rsidP="009734DA">
            <w:pPr>
              <w:jc w:val="both"/>
              <w:rPr>
                <w:sz w:val="20"/>
              </w:rPr>
            </w:pPr>
            <w:r w:rsidRPr="009F4C66">
              <w:rPr>
                <w:sz w:val="20"/>
              </w:rPr>
              <w:t>Federal Court of Appeal</w:t>
            </w:r>
          </w:p>
          <w:p w:rsidR="009734DA" w:rsidRPr="009F4C66" w:rsidRDefault="009734DA" w:rsidP="009734DA">
            <w:pPr>
              <w:jc w:val="both"/>
              <w:rPr>
                <w:sz w:val="20"/>
              </w:rPr>
            </w:pPr>
            <w:r w:rsidRPr="009F4C66">
              <w:rPr>
                <w:sz w:val="20"/>
              </w:rPr>
              <w:t>(Blais, Nadon, Stratas JJ.A.)</w:t>
            </w:r>
          </w:p>
          <w:p w:rsidR="009734DA" w:rsidRPr="009F4C66" w:rsidRDefault="009734DA" w:rsidP="009734DA">
            <w:pPr>
              <w:jc w:val="both"/>
              <w:rPr>
                <w:sz w:val="20"/>
                <w:lang w:val="fr-CA"/>
              </w:rPr>
            </w:pPr>
            <w:r w:rsidRPr="009F4C66">
              <w:rPr>
                <w:sz w:val="20"/>
                <w:lang w:val="fr-CA"/>
              </w:rPr>
              <w:t>2011 FCA 213; A</w:t>
            </w:r>
            <w:r w:rsidRPr="009F4C66">
              <w:rPr>
                <w:sz w:val="20"/>
                <w:lang w:val="fr-CA"/>
              </w:rPr>
              <w:noBreakHyphen/>
              <w:t>362</w:t>
            </w:r>
            <w:r w:rsidRPr="009F4C66">
              <w:rPr>
                <w:sz w:val="20"/>
                <w:lang w:val="fr-CA"/>
              </w:rPr>
              <w:noBreakHyphen/>
              <w:t>10</w:t>
            </w:r>
          </w:p>
          <w:p w:rsidR="009734DA" w:rsidRPr="009F4C66" w:rsidRDefault="009734DA" w:rsidP="009734DA">
            <w:pPr>
              <w:jc w:val="both"/>
              <w:rPr>
                <w:sz w:val="20"/>
              </w:rPr>
            </w:pPr>
          </w:p>
        </w:tc>
        <w:tc>
          <w:tcPr>
            <w:tcW w:w="146" w:type="pct"/>
          </w:tcPr>
          <w:p w:rsidR="009734DA" w:rsidRPr="009F4C66" w:rsidRDefault="009734DA" w:rsidP="009734DA">
            <w:pPr>
              <w:jc w:val="both"/>
              <w:rPr>
                <w:sz w:val="20"/>
              </w:rPr>
            </w:pPr>
          </w:p>
        </w:tc>
        <w:tc>
          <w:tcPr>
            <w:tcW w:w="2572" w:type="pct"/>
          </w:tcPr>
          <w:p w:rsidR="009734DA" w:rsidRPr="009F4C66" w:rsidRDefault="009734DA" w:rsidP="009734DA">
            <w:pPr>
              <w:jc w:val="both"/>
              <w:rPr>
                <w:sz w:val="20"/>
              </w:rPr>
            </w:pPr>
            <w:r w:rsidRPr="009F4C66">
              <w:rPr>
                <w:sz w:val="20"/>
              </w:rPr>
              <w:t>Appeal dismissed</w:t>
            </w:r>
          </w:p>
          <w:p w:rsidR="009734DA" w:rsidRPr="009F4C66" w:rsidRDefault="009734DA" w:rsidP="009734DA">
            <w:pPr>
              <w:jc w:val="both"/>
              <w:rPr>
                <w:sz w:val="20"/>
              </w:rPr>
            </w:pPr>
          </w:p>
        </w:tc>
      </w:tr>
      <w:tr w:rsidR="009734DA" w:rsidRPr="009F4C66" w:rsidTr="00460A3C">
        <w:trPr>
          <w:cantSplit/>
          <w:trHeight w:val="348"/>
        </w:trPr>
        <w:tc>
          <w:tcPr>
            <w:tcW w:w="2282" w:type="pct"/>
          </w:tcPr>
          <w:p w:rsidR="009734DA" w:rsidRPr="009F4C66" w:rsidRDefault="009734DA" w:rsidP="009734DA">
            <w:pPr>
              <w:jc w:val="both"/>
              <w:rPr>
                <w:sz w:val="20"/>
              </w:rPr>
            </w:pPr>
            <w:r w:rsidRPr="009F4C66">
              <w:rPr>
                <w:sz w:val="20"/>
              </w:rPr>
              <w:t>September 26, 2011</w:t>
            </w:r>
          </w:p>
          <w:p w:rsidR="009734DA" w:rsidRPr="009F4C66" w:rsidRDefault="009734DA" w:rsidP="009734DA">
            <w:pPr>
              <w:jc w:val="both"/>
              <w:rPr>
                <w:sz w:val="20"/>
              </w:rPr>
            </w:pPr>
            <w:r w:rsidRPr="009F4C66">
              <w:rPr>
                <w:sz w:val="20"/>
              </w:rPr>
              <w:t>Supreme Court of Canada</w:t>
            </w:r>
          </w:p>
        </w:tc>
        <w:tc>
          <w:tcPr>
            <w:tcW w:w="146" w:type="pct"/>
          </w:tcPr>
          <w:p w:rsidR="009734DA" w:rsidRPr="009F4C66" w:rsidRDefault="009734DA" w:rsidP="009734DA">
            <w:pPr>
              <w:jc w:val="both"/>
              <w:rPr>
                <w:sz w:val="20"/>
              </w:rPr>
            </w:pPr>
          </w:p>
        </w:tc>
        <w:tc>
          <w:tcPr>
            <w:tcW w:w="2572" w:type="pct"/>
          </w:tcPr>
          <w:p w:rsidR="009734DA" w:rsidRPr="009F4C66" w:rsidRDefault="009734DA" w:rsidP="009734DA">
            <w:pPr>
              <w:jc w:val="both"/>
              <w:rPr>
                <w:sz w:val="20"/>
              </w:rPr>
            </w:pPr>
            <w:r w:rsidRPr="009F4C66">
              <w:rPr>
                <w:sz w:val="20"/>
              </w:rPr>
              <w:t>Application for leave to appeal filed</w:t>
            </w:r>
          </w:p>
          <w:p w:rsidR="009734DA" w:rsidRPr="009F4C66" w:rsidRDefault="009734DA" w:rsidP="009734DA">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60"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348"/>
        <w:gridCol w:w="278"/>
        <w:gridCol w:w="4901"/>
      </w:tblGrid>
      <w:tr w:rsidR="009734DA" w:rsidRPr="00832ABE" w:rsidTr="009734DA">
        <w:tc>
          <w:tcPr>
            <w:tcW w:w="5000" w:type="pct"/>
            <w:gridSpan w:val="3"/>
          </w:tcPr>
          <w:p w:rsidR="009734DA" w:rsidRPr="009F4C66" w:rsidRDefault="009734DA" w:rsidP="009734DA">
            <w:pPr>
              <w:jc w:val="both"/>
              <w:rPr>
                <w:sz w:val="20"/>
                <w:lang w:val="fr-FR"/>
              </w:rPr>
            </w:pPr>
            <w:r w:rsidRPr="009F4C66">
              <w:rPr>
                <w:i/>
                <w:sz w:val="20"/>
                <w:lang w:val="fr-FR"/>
              </w:rPr>
              <w:t>Charte canadienne des droits et libertés</w:t>
            </w:r>
            <w:r w:rsidRPr="009F4C66">
              <w:rPr>
                <w:sz w:val="20"/>
                <w:lang w:val="fr-FR"/>
              </w:rPr>
              <w:t xml:space="preserve"> – Droit à la vie, à la liberté et à la sécurité de la personne – Justice fondamentale – Droit à l’égalité – Discrimination fondée sur le statut en matière d’immigration – Protection offerte par le système de santé public – Est</w:t>
            </w:r>
            <w:r w:rsidRPr="009F4C66">
              <w:rPr>
                <w:sz w:val="20"/>
                <w:lang w:val="fr-FR"/>
              </w:rPr>
              <w:noBreakHyphen/>
              <w:t xml:space="preserve">il conforme aux principes de justice fondamentale ou contraire à l’art. 7 de la </w:t>
            </w:r>
            <w:r w:rsidRPr="009F4C66">
              <w:rPr>
                <w:i/>
                <w:sz w:val="20"/>
                <w:lang w:val="fr-FR"/>
              </w:rPr>
              <w:t xml:space="preserve">Charte </w:t>
            </w:r>
            <w:r w:rsidRPr="009F4C66">
              <w:rPr>
                <w:sz w:val="20"/>
                <w:lang w:val="fr-FR"/>
              </w:rPr>
              <w:t>de refuser de payer les soins de santé fournis aux personnes dont la vie et la santé sont sérieusement compromises afin de décourager les comportements illégaux? – Une loi qui refuse à la demanderesse une couverture d’assurance</w:t>
            </w:r>
            <w:r w:rsidRPr="009F4C66">
              <w:rPr>
                <w:sz w:val="20"/>
                <w:lang w:val="fr-FR"/>
              </w:rPr>
              <w:noBreakHyphen/>
              <w:t>maladie en raison de son statut d’immigrante viole</w:t>
            </w:r>
            <w:r w:rsidRPr="009F4C66">
              <w:rPr>
                <w:sz w:val="20"/>
                <w:lang w:val="fr-FR"/>
              </w:rPr>
              <w:noBreakHyphen/>
              <w:t>t</w:t>
            </w:r>
            <w:r w:rsidRPr="009F4C66">
              <w:rPr>
                <w:sz w:val="20"/>
                <w:lang w:val="fr-FR"/>
              </w:rPr>
              <w:noBreakHyphen/>
              <w:t xml:space="preserve">elle le par. 15(1) de la </w:t>
            </w:r>
            <w:r w:rsidRPr="009F4C66">
              <w:rPr>
                <w:i/>
                <w:sz w:val="20"/>
                <w:lang w:val="fr-FR"/>
              </w:rPr>
              <w:t>Charte</w:t>
            </w:r>
            <w:r w:rsidRPr="009F4C66">
              <w:rPr>
                <w:sz w:val="20"/>
                <w:lang w:val="fr-FR"/>
              </w:rPr>
              <w:t>?</w:t>
            </w:r>
          </w:p>
        </w:tc>
      </w:tr>
      <w:tr w:rsidR="009734DA" w:rsidRPr="00832ABE" w:rsidTr="009734DA">
        <w:tc>
          <w:tcPr>
            <w:tcW w:w="5000" w:type="pct"/>
            <w:gridSpan w:val="3"/>
          </w:tcPr>
          <w:p w:rsidR="009734DA" w:rsidRPr="009F4C66" w:rsidRDefault="009734DA" w:rsidP="009734DA">
            <w:pPr>
              <w:jc w:val="both"/>
              <w:rPr>
                <w:sz w:val="20"/>
                <w:lang w:val="fr-FR"/>
              </w:rPr>
            </w:pPr>
          </w:p>
        </w:tc>
      </w:tr>
      <w:tr w:rsidR="009734DA" w:rsidRPr="00832ABE" w:rsidTr="009734DA">
        <w:tc>
          <w:tcPr>
            <w:tcW w:w="5000" w:type="pct"/>
            <w:gridSpan w:val="3"/>
          </w:tcPr>
          <w:p w:rsidR="009734DA" w:rsidRPr="009F4C66" w:rsidRDefault="009734DA" w:rsidP="009734DA">
            <w:pPr>
              <w:jc w:val="both"/>
              <w:rPr>
                <w:sz w:val="20"/>
                <w:lang w:val="fr-FR"/>
              </w:rPr>
            </w:pPr>
            <w:r w:rsidRPr="009F4C66">
              <w:rPr>
                <w:sz w:val="20"/>
                <w:lang w:val="fr-FR"/>
              </w:rPr>
              <w:t>La demanderesse, une citoyenne de la Grenade, est restée illégalement au Canada après l’expiration de son visa de résident temporaire. Elle a besoin de beaucoup de soins médicaux. La demanderesse a présenté une demande de résidence temporaire en 2008, mais elle a contesté l’obligation de payer des droits de demande, et sa demande n’a toujours pas été traitée. En mai 2009, elle a demandé à Citoyenneté et Immigration Canada de lui fournir une couverture d’assurance</w:t>
            </w:r>
            <w:r w:rsidRPr="009F4C66">
              <w:rPr>
                <w:sz w:val="20"/>
                <w:lang w:val="fr-FR"/>
              </w:rPr>
              <w:noBreakHyphen/>
              <w:t>maladie en vertu du Programme fédéral de santé intérimaire établi par le décret C.P. 1957</w:t>
            </w:r>
            <w:r w:rsidRPr="009F4C66">
              <w:rPr>
                <w:sz w:val="20"/>
                <w:lang w:val="fr-FR"/>
              </w:rPr>
              <w:noBreakHyphen/>
              <w:t>11/848. Selon ce programme, Citoyenneté et Immigration Canada paie les frais des soins médicaux d’urgence offerts à la personne sans ressources légalement admise au Canada qui répond aux critères d’admissibilité. Un directeur de Citoyenneté et Immigration Canada a refusé la demande de couverture.</w:t>
            </w:r>
          </w:p>
          <w:p w:rsidR="009734DA" w:rsidRPr="009F4C66" w:rsidRDefault="009734DA" w:rsidP="009734DA">
            <w:pPr>
              <w:jc w:val="both"/>
              <w:rPr>
                <w:sz w:val="20"/>
                <w:lang w:val="fr-FR"/>
              </w:rPr>
            </w:pPr>
            <w:r w:rsidRPr="009F4C66">
              <w:rPr>
                <w:sz w:val="20"/>
                <w:lang w:val="fr-FR"/>
              </w:rPr>
              <w:t xml:space="preserve">  </w:t>
            </w:r>
          </w:p>
        </w:tc>
      </w:tr>
      <w:tr w:rsidR="009734DA" w:rsidRPr="00832ABE" w:rsidTr="009734DA">
        <w:trPr>
          <w:trHeight w:val="351"/>
        </w:trPr>
        <w:tc>
          <w:tcPr>
            <w:tcW w:w="2282" w:type="pct"/>
          </w:tcPr>
          <w:p w:rsidR="009734DA" w:rsidRPr="009F4C66" w:rsidRDefault="009734DA" w:rsidP="009734DA">
            <w:pPr>
              <w:jc w:val="both"/>
              <w:rPr>
                <w:sz w:val="20"/>
                <w:lang w:val="fr-CA"/>
              </w:rPr>
            </w:pPr>
            <w:r w:rsidRPr="009F4C66">
              <w:rPr>
                <w:sz w:val="20"/>
                <w:lang w:val="fr-CA"/>
              </w:rPr>
              <w:t>6 août 2010</w:t>
            </w:r>
          </w:p>
          <w:p w:rsidR="009734DA" w:rsidRPr="009F4C66" w:rsidRDefault="009734DA" w:rsidP="009734DA">
            <w:pPr>
              <w:jc w:val="both"/>
              <w:rPr>
                <w:sz w:val="20"/>
                <w:lang w:val="fr-CA"/>
              </w:rPr>
            </w:pPr>
            <w:r w:rsidRPr="009F4C66">
              <w:rPr>
                <w:sz w:val="20"/>
                <w:lang w:val="fr-CA"/>
              </w:rPr>
              <w:t>Cour fédérale</w:t>
            </w:r>
          </w:p>
          <w:p w:rsidR="009734DA" w:rsidRPr="009F4C66" w:rsidRDefault="009734DA" w:rsidP="009734DA">
            <w:pPr>
              <w:jc w:val="both"/>
              <w:rPr>
                <w:sz w:val="20"/>
                <w:lang w:val="fr-CA"/>
              </w:rPr>
            </w:pPr>
            <w:r w:rsidRPr="009F4C66">
              <w:rPr>
                <w:sz w:val="20"/>
                <w:lang w:val="fr-CA"/>
              </w:rPr>
              <w:t xml:space="preserve">(Juge Zinn)  </w:t>
            </w:r>
          </w:p>
          <w:p w:rsidR="009734DA" w:rsidRPr="009F4C66" w:rsidRDefault="009734DA" w:rsidP="009734DA">
            <w:pPr>
              <w:jc w:val="both"/>
              <w:rPr>
                <w:sz w:val="20"/>
              </w:rPr>
            </w:pPr>
            <w:r w:rsidRPr="009F4C66">
              <w:rPr>
                <w:sz w:val="20"/>
              </w:rPr>
              <w:t>2010 CF 810</w:t>
            </w:r>
          </w:p>
          <w:p w:rsidR="009734DA" w:rsidRPr="009F4C66" w:rsidRDefault="009734DA" w:rsidP="009734DA">
            <w:pPr>
              <w:jc w:val="both"/>
              <w:rPr>
                <w:sz w:val="20"/>
              </w:rPr>
            </w:pPr>
          </w:p>
        </w:tc>
        <w:tc>
          <w:tcPr>
            <w:tcW w:w="146" w:type="pct"/>
          </w:tcPr>
          <w:p w:rsidR="009734DA" w:rsidRPr="009F4C66" w:rsidRDefault="009734DA" w:rsidP="009734DA">
            <w:pPr>
              <w:jc w:val="both"/>
              <w:rPr>
                <w:sz w:val="20"/>
              </w:rPr>
            </w:pPr>
          </w:p>
        </w:tc>
        <w:tc>
          <w:tcPr>
            <w:tcW w:w="2572" w:type="pct"/>
          </w:tcPr>
          <w:p w:rsidR="009734DA" w:rsidRPr="009F4C66" w:rsidRDefault="009734DA" w:rsidP="009734DA">
            <w:pPr>
              <w:jc w:val="both"/>
              <w:rPr>
                <w:sz w:val="20"/>
                <w:lang w:val="fr-FR"/>
              </w:rPr>
            </w:pPr>
            <w:r w:rsidRPr="009F4C66">
              <w:rPr>
                <w:sz w:val="20"/>
                <w:lang w:val="fr-FR"/>
              </w:rPr>
              <w:t xml:space="preserve">Demande de contrôle judiciaire rejetée </w:t>
            </w:r>
          </w:p>
        </w:tc>
      </w:tr>
      <w:tr w:rsidR="009734DA" w:rsidRPr="009F4C66" w:rsidTr="009734DA">
        <w:trPr>
          <w:trHeight w:val="348"/>
        </w:trPr>
        <w:tc>
          <w:tcPr>
            <w:tcW w:w="2282" w:type="pct"/>
          </w:tcPr>
          <w:p w:rsidR="009734DA" w:rsidRPr="009F4C66" w:rsidRDefault="009734DA" w:rsidP="009734DA">
            <w:pPr>
              <w:jc w:val="both"/>
              <w:rPr>
                <w:sz w:val="20"/>
                <w:lang w:val="fr-FR"/>
              </w:rPr>
            </w:pPr>
            <w:r w:rsidRPr="009F4C66">
              <w:rPr>
                <w:sz w:val="20"/>
                <w:lang w:val="fr-FR"/>
              </w:rPr>
              <w:t>16 septembre 2010</w:t>
            </w:r>
          </w:p>
          <w:p w:rsidR="009734DA" w:rsidRPr="009F4C66" w:rsidRDefault="009734DA" w:rsidP="009734DA">
            <w:pPr>
              <w:jc w:val="both"/>
              <w:rPr>
                <w:sz w:val="20"/>
                <w:lang w:val="fr-FR"/>
              </w:rPr>
            </w:pPr>
            <w:r w:rsidRPr="009F4C66">
              <w:rPr>
                <w:sz w:val="20"/>
                <w:lang w:val="fr-FR"/>
              </w:rPr>
              <w:t>Cour fédérale</w:t>
            </w:r>
          </w:p>
          <w:p w:rsidR="009734DA" w:rsidRPr="009F4C66" w:rsidRDefault="009734DA" w:rsidP="009734DA">
            <w:pPr>
              <w:jc w:val="both"/>
              <w:rPr>
                <w:sz w:val="20"/>
                <w:lang w:val="fr-FR"/>
              </w:rPr>
            </w:pPr>
            <w:r w:rsidRPr="009F4C66">
              <w:rPr>
                <w:sz w:val="20"/>
                <w:lang w:val="fr-FR"/>
              </w:rPr>
              <w:t xml:space="preserve">(Juge Zinn) </w:t>
            </w:r>
          </w:p>
          <w:p w:rsidR="009734DA" w:rsidRPr="009F4C66" w:rsidRDefault="009734DA" w:rsidP="009734DA">
            <w:pPr>
              <w:jc w:val="both"/>
              <w:rPr>
                <w:sz w:val="20"/>
              </w:rPr>
            </w:pPr>
            <w:r w:rsidRPr="009F4C66">
              <w:rPr>
                <w:sz w:val="20"/>
              </w:rPr>
              <w:t>2010 CF 926</w:t>
            </w:r>
          </w:p>
          <w:p w:rsidR="009734DA" w:rsidRPr="009F4C66" w:rsidRDefault="009734DA" w:rsidP="009734DA">
            <w:pPr>
              <w:jc w:val="both"/>
              <w:rPr>
                <w:sz w:val="20"/>
              </w:rPr>
            </w:pPr>
          </w:p>
        </w:tc>
        <w:tc>
          <w:tcPr>
            <w:tcW w:w="146" w:type="pct"/>
          </w:tcPr>
          <w:p w:rsidR="009734DA" w:rsidRPr="009F4C66" w:rsidRDefault="009734DA" w:rsidP="009734DA">
            <w:pPr>
              <w:jc w:val="both"/>
              <w:rPr>
                <w:sz w:val="20"/>
              </w:rPr>
            </w:pPr>
          </w:p>
        </w:tc>
        <w:tc>
          <w:tcPr>
            <w:tcW w:w="2572" w:type="pct"/>
          </w:tcPr>
          <w:p w:rsidR="009734DA" w:rsidRPr="009F4C66" w:rsidRDefault="009734DA" w:rsidP="009734DA">
            <w:pPr>
              <w:jc w:val="both"/>
              <w:rPr>
                <w:sz w:val="20"/>
              </w:rPr>
            </w:pPr>
            <w:r w:rsidRPr="009F4C66">
              <w:rPr>
                <w:sz w:val="20"/>
              </w:rPr>
              <w:t xml:space="preserve">Requête en réexamen rejetée </w:t>
            </w:r>
          </w:p>
        </w:tc>
      </w:tr>
      <w:tr w:rsidR="009734DA" w:rsidRPr="009F4C66" w:rsidTr="009734DA">
        <w:trPr>
          <w:trHeight w:val="348"/>
        </w:trPr>
        <w:tc>
          <w:tcPr>
            <w:tcW w:w="2282" w:type="pct"/>
          </w:tcPr>
          <w:p w:rsidR="009734DA" w:rsidRPr="009F4C66" w:rsidRDefault="009734DA" w:rsidP="009734DA">
            <w:pPr>
              <w:jc w:val="both"/>
              <w:rPr>
                <w:sz w:val="20"/>
                <w:lang w:val="fr-CA"/>
              </w:rPr>
            </w:pPr>
            <w:r w:rsidRPr="009F4C66">
              <w:rPr>
                <w:sz w:val="20"/>
                <w:lang w:val="fr-CA"/>
              </w:rPr>
              <w:t>27 juin 2011</w:t>
            </w:r>
          </w:p>
          <w:p w:rsidR="009734DA" w:rsidRPr="009F4C66" w:rsidRDefault="009734DA" w:rsidP="009734DA">
            <w:pPr>
              <w:jc w:val="both"/>
              <w:rPr>
                <w:sz w:val="20"/>
                <w:lang w:val="fr-CA"/>
              </w:rPr>
            </w:pPr>
            <w:r w:rsidRPr="009F4C66">
              <w:rPr>
                <w:sz w:val="20"/>
                <w:lang w:val="fr-CA"/>
              </w:rPr>
              <w:t>Cour d’appel fédérale</w:t>
            </w:r>
          </w:p>
          <w:p w:rsidR="009734DA" w:rsidRPr="009F4C66" w:rsidRDefault="009734DA" w:rsidP="009734DA">
            <w:pPr>
              <w:jc w:val="both"/>
              <w:rPr>
                <w:sz w:val="20"/>
                <w:lang w:val="fr-FR"/>
              </w:rPr>
            </w:pPr>
            <w:r w:rsidRPr="009F4C66">
              <w:rPr>
                <w:sz w:val="20"/>
                <w:lang w:val="fr-FR"/>
              </w:rPr>
              <w:t>(Juges Blais, Nadon et Stratas)</w:t>
            </w:r>
          </w:p>
          <w:p w:rsidR="009734DA" w:rsidRPr="009F4C66" w:rsidRDefault="009734DA" w:rsidP="00460A3C">
            <w:pPr>
              <w:jc w:val="both"/>
              <w:rPr>
                <w:sz w:val="20"/>
              </w:rPr>
            </w:pPr>
            <w:r w:rsidRPr="009F4C66">
              <w:rPr>
                <w:sz w:val="20"/>
                <w:lang w:val="fr-CA"/>
              </w:rPr>
              <w:t>2011 CAF 213; A</w:t>
            </w:r>
            <w:r w:rsidRPr="009F4C66">
              <w:rPr>
                <w:sz w:val="20"/>
                <w:lang w:val="fr-CA"/>
              </w:rPr>
              <w:noBreakHyphen/>
              <w:t>362</w:t>
            </w:r>
            <w:r w:rsidRPr="009F4C66">
              <w:rPr>
                <w:sz w:val="20"/>
                <w:lang w:val="fr-CA"/>
              </w:rPr>
              <w:noBreakHyphen/>
              <w:t>10</w:t>
            </w:r>
          </w:p>
        </w:tc>
        <w:tc>
          <w:tcPr>
            <w:tcW w:w="146" w:type="pct"/>
          </w:tcPr>
          <w:p w:rsidR="009734DA" w:rsidRPr="009F4C66" w:rsidRDefault="009734DA" w:rsidP="009734DA">
            <w:pPr>
              <w:jc w:val="both"/>
              <w:rPr>
                <w:sz w:val="20"/>
              </w:rPr>
            </w:pPr>
          </w:p>
        </w:tc>
        <w:tc>
          <w:tcPr>
            <w:tcW w:w="2572" w:type="pct"/>
          </w:tcPr>
          <w:p w:rsidR="009734DA" w:rsidRPr="009F4C66" w:rsidRDefault="009734DA" w:rsidP="009734DA">
            <w:pPr>
              <w:jc w:val="both"/>
              <w:rPr>
                <w:sz w:val="20"/>
              </w:rPr>
            </w:pPr>
            <w:r w:rsidRPr="009F4C66">
              <w:rPr>
                <w:sz w:val="20"/>
              </w:rPr>
              <w:t>Appel rejeté</w:t>
            </w:r>
          </w:p>
          <w:p w:rsidR="009734DA" w:rsidRPr="009F4C66" w:rsidRDefault="009734DA" w:rsidP="009734DA">
            <w:pPr>
              <w:jc w:val="both"/>
              <w:rPr>
                <w:sz w:val="20"/>
              </w:rPr>
            </w:pPr>
          </w:p>
        </w:tc>
      </w:tr>
    </w:tbl>
    <w:p w:rsidR="00460A3C" w:rsidRDefault="00460A3C"/>
    <w:p w:rsidR="00460A3C" w:rsidRDefault="00460A3C">
      <w:r>
        <w:br w:type="page"/>
      </w:r>
    </w:p>
    <w:tbl>
      <w:tblPr>
        <w:tblW w:w="4952" w:type="pct"/>
        <w:tblLayout w:type="fixed"/>
        <w:tblCellMar>
          <w:left w:w="0" w:type="dxa"/>
          <w:bottom w:w="99" w:type="dxa"/>
          <w:right w:w="0" w:type="dxa"/>
        </w:tblCellMar>
        <w:tblLook w:val="04A0"/>
      </w:tblPr>
      <w:tblGrid>
        <w:gridCol w:w="4348"/>
        <w:gridCol w:w="278"/>
        <w:gridCol w:w="4901"/>
      </w:tblGrid>
      <w:tr w:rsidR="009734DA" w:rsidRPr="009F4C66" w:rsidTr="00460A3C">
        <w:trPr>
          <w:cantSplit/>
          <w:trHeight w:val="348"/>
        </w:trPr>
        <w:tc>
          <w:tcPr>
            <w:tcW w:w="2282" w:type="pct"/>
          </w:tcPr>
          <w:p w:rsidR="009734DA" w:rsidRPr="009F4C66" w:rsidRDefault="009734DA" w:rsidP="009734DA">
            <w:pPr>
              <w:jc w:val="both"/>
              <w:rPr>
                <w:sz w:val="20"/>
                <w:lang w:val="fr-FR"/>
              </w:rPr>
            </w:pPr>
            <w:r w:rsidRPr="009F4C66">
              <w:rPr>
                <w:sz w:val="20"/>
                <w:lang w:val="fr-FR"/>
              </w:rPr>
              <w:t>26 septembre 2011</w:t>
            </w:r>
          </w:p>
          <w:p w:rsidR="009734DA" w:rsidRPr="009F4C66" w:rsidRDefault="009734DA" w:rsidP="009734DA">
            <w:pPr>
              <w:jc w:val="both"/>
              <w:rPr>
                <w:sz w:val="20"/>
                <w:lang w:val="fr-FR"/>
              </w:rPr>
            </w:pPr>
            <w:r w:rsidRPr="009F4C66">
              <w:rPr>
                <w:sz w:val="20"/>
                <w:lang w:val="fr-FR"/>
              </w:rPr>
              <w:t>Cour suprême du Canada</w:t>
            </w:r>
          </w:p>
        </w:tc>
        <w:tc>
          <w:tcPr>
            <w:tcW w:w="146" w:type="pct"/>
          </w:tcPr>
          <w:p w:rsidR="009734DA" w:rsidRPr="009F4C66" w:rsidRDefault="009734DA" w:rsidP="009734DA">
            <w:pPr>
              <w:jc w:val="both"/>
              <w:rPr>
                <w:sz w:val="20"/>
                <w:lang w:val="fr-FR"/>
              </w:rPr>
            </w:pPr>
          </w:p>
        </w:tc>
        <w:tc>
          <w:tcPr>
            <w:tcW w:w="2572" w:type="pct"/>
          </w:tcPr>
          <w:p w:rsidR="009734DA" w:rsidRPr="009F4C66" w:rsidRDefault="009734DA" w:rsidP="009734DA">
            <w:pPr>
              <w:jc w:val="both"/>
              <w:rPr>
                <w:sz w:val="20"/>
              </w:rPr>
            </w:pPr>
            <w:r w:rsidRPr="009F4C66">
              <w:rPr>
                <w:sz w:val="20"/>
              </w:rPr>
              <w:t>Demande d’autorisation d’appel déposée</w:t>
            </w:r>
          </w:p>
          <w:p w:rsidR="009734DA" w:rsidRPr="009F4C66" w:rsidRDefault="009734DA" w:rsidP="009734DA">
            <w:pPr>
              <w:jc w:val="both"/>
              <w:rPr>
                <w:sz w:val="20"/>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61"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60A3C" w:rsidRPr="003A3F02" w:rsidTr="00460A3C">
        <w:trPr>
          <w:cantSplit/>
        </w:trPr>
        <w:tc>
          <w:tcPr>
            <w:tcW w:w="1458" w:type="dxa"/>
          </w:tcPr>
          <w:p w:rsidR="00460A3C" w:rsidRPr="003A3F02" w:rsidRDefault="00460A3C" w:rsidP="00460A3C">
            <w:pPr>
              <w:rPr>
                <w:sz w:val="20"/>
                <w:szCs w:val="20"/>
              </w:rPr>
            </w:pPr>
            <w:r w:rsidRPr="003A3F02">
              <w:rPr>
                <w:rStyle w:val="SCCFileNumberChar"/>
                <w:sz w:val="20"/>
                <w:szCs w:val="20"/>
              </w:rPr>
              <w:t>34472</w:t>
            </w:r>
          </w:p>
          <w:p w:rsidR="00460A3C" w:rsidRPr="003A3F02" w:rsidRDefault="00460A3C" w:rsidP="00460A3C">
            <w:pPr>
              <w:rPr>
                <w:b/>
                <w:sz w:val="20"/>
                <w:szCs w:val="20"/>
                <w:lang w:val="fr-CA"/>
              </w:rPr>
            </w:pPr>
          </w:p>
        </w:tc>
        <w:tc>
          <w:tcPr>
            <w:tcW w:w="8118" w:type="dxa"/>
          </w:tcPr>
          <w:p w:rsidR="00460A3C" w:rsidRPr="003A3F02" w:rsidRDefault="00460A3C" w:rsidP="00460A3C">
            <w:pPr>
              <w:rPr>
                <w:sz w:val="20"/>
                <w:szCs w:val="20"/>
              </w:rPr>
            </w:pPr>
            <w:r w:rsidRPr="00460A3C">
              <w:rPr>
                <w:rStyle w:val="SCCLsocChar"/>
                <w:sz w:val="20"/>
                <w:szCs w:val="20"/>
                <w:lang w:val="en-CA"/>
              </w:rPr>
              <w:t>IBM Canada Limited v. Richard Waterman</w:t>
            </w:r>
            <w:r w:rsidRPr="003A3F02">
              <w:rPr>
                <w:sz w:val="20"/>
                <w:szCs w:val="20"/>
              </w:rPr>
              <w:t xml:space="preserve"> (B.C.) (Civil) (By Leave)</w:t>
            </w:r>
          </w:p>
          <w:p w:rsidR="00460A3C" w:rsidRPr="003A3F02" w:rsidRDefault="00460A3C" w:rsidP="00460A3C">
            <w:pPr>
              <w:rPr>
                <w:sz w:val="20"/>
                <w:szCs w:val="20"/>
              </w:rPr>
            </w:pPr>
          </w:p>
        </w:tc>
      </w:tr>
      <w:tr w:rsidR="00460A3C" w:rsidRPr="003A3F02" w:rsidTr="00460A3C">
        <w:trPr>
          <w:cantSplit/>
        </w:trPr>
        <w:tc>
          <w:tcPr>
            <w:tcW w:w="1458" w:type="dxa"/>
          </w:tcPr>
          <w:p w:rsidR="00460A3C" w:rsidRPr="003A3F02" w:rsidRDefault="00460A3C" w:rsidP="00460A3C">
            <w:pPr>
              <w:rPr>
                <w:sz w:val="20"/>
                <w:szCs w:val="20"/>
              </w:rPr>
            </w:pPr>
            <w:r w:rsidRPr="003A3F02">
              <w:rPr>
                <w:sz w:val="20"/>
                <w:szCs w:val="20"/>
              </w:rPr>
              <w:t>Coram :</w:t>
            </w:r>
          </w:p>
        </w:tc>
        <w:tc>
          <w:tcPr>
            <w:tcW w:w="8118" w:type="dxa"/>
          </w:tcPr>
          <w:p w:rsidR="00460A3C" w:rsidRPr="003A3F02" w:rsidRDefault="00460A3C" w:rsidP="00460A3C">
            <w:pPr>
              <w:rPr>
                <w:sz w:val="20"/>
                <w:szCs w:val="20"/>
              </w:rPr>
            </w:pPr>
            <w:r w:rsidRPr="00460A3C">
              <w:rPr>
                <w:rStyle w:val="SCCCoramChar"/>
                <w:sz w:val="20"/>
                <w:szCs w:val="20"/>
                <w:lang w:val="en-CA"/>
              </w:rPr>
              <w:t>McLachlin C.J. and Rothstein and Moldaver JJ.</w:t>
            </w:r>
          </w:p>
          <w:p w:rsidR="00460A3C" w:rsidRPr="003A3F02" w:rsidRDefault="00460A3C" w:rsidP="00460A3C">
            <w:pPr>
              <w:rPr>
                <w:sz w:val="20"/>
                <w:szCs w:val="20"/>
                <w:u w:val="single"/>
              </w:rPr>
            </w:pPr>
          </w:p>
        </w:tc>
      </w:tr>
      <w:tr w:rsidR="00460A3C" w:rsidRPr="00832ABE" w:rsidTr="00460A3C">
        <w:trPr>
          <w:cantSplit/>
        </w:trPr>
        <w:tc>
          <w:tcPr>
            <w:tcW w:w="9576" w:type="dxa"/>
            <w:gridSpan w:val="2"/>
          </w:tcPr>
          <w:p w:rsidR="00460A3C" w:rsidRPr="003A3F02" w:rsidRDefault="00460A3C" w:rsidP="00460A3C">
            <w:pPr>
              <w:pStyle w:val="SCCShortJudgment"/>
              <w:rPr>
                <w:szCs w:val="20"/>
              </w:rPr>
            </w:pPr>
            <w:r w:rsidRPr="003A3F02">
              <w:rPr>
                <w:szCs w:val="20"/>
              </w:rPr>
              <w:t>The application for leave to appeal from the judgment of the Court of Appeal for British Columbia (Vancouver), Number CA038053, 2011 BCCA 337, dated August 2, 2011, is granted.  The issue of costs of this leave application shall be deferred and dealt with by the Court when disposing of the appeal.</w:t>
            </w:r>
          </w:p>
          <w:p w:rsidR="00460A3C" w:rsidRPr="003A3F02" w:rsidRDefault="00460A3C" w:rsidP="00460A3C">
            <w:pPr>
              <w:pStyle w:val="SCCShortJudgment"/>
              <w:ind w:firstLine="0"/>
              <w:rPr>
                <w:szCs w:val="20"/>
              </w:rPr>
            </w:pPr>
          </w:p>
          <w:p w:rsidR="00460A3C" w:rsidRPr="003A3F02" w:rsidRDefault="00460A3C" w:rsidP="00460A3C">
            <w:pPr>
              <w:pStyle w:val="SCCShortJudgment"/>
              <w:rPr>
                <w:szCs w:val="20"/>
                <w:lang w:val="fr-CA"/>
              </w:rPr>
            </w:pPr>
            <w:r w:rsidRPr="003A3F02">
              <w:rPr>
                <w:szCs w:val="20"/>
                <w:lang w:val="fr-CA"/>
              </w:rPr>
              <w:t>La demande d’autorisation d’appel de l’arrêt de la Cour d’appel de la Colombie-Britannique (Vancouver), numéro CA038053, 2011 BCCA 337, daté du 2 août 2011, est accueillie. La question des dépens relatifs à la demande d’autorisation sera tranchée par la Cour lorsqu’elle statuera sur le pourvoi.</w:t>
            </w:r>
          </w:p>
        </w:tc>
      </w:tr>
    </w:tbl>
    <w:p w:rsidR="00140B84" w:rsidRPr="00460A3C"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9734DA" w:rsidRPr="009F4C66" w:rsidTr="009734DA">
        <w:tc>
          <w:tcPr>
            <w:tcW w:w="5000" w:type="pct"/>
            <w:gridSpan w:val="3"/>
          </w:tcPr>
          <w:p w:rsidR="009734DA" w:rsidRPr="009F4C66" w:rsidRDefault="009734DA" w:rsidP="009734DA">
            <w:pPr>
              <w:jc w:val="both"/>
              <w:rPr>
                <w:sz w:val="20"/>
              </w:rPr>
            </w:pPr>
            <w:r w:rsidRPr="009F4C66">
              <w:rPr>
                <w:sz w:val="20"/>
              </w:rPr>
              <w:t>Employment law – Unjust dismissal – Damages – Pensions – Where an employee receives after termination pension benefits from an employer-funded plan, and could not receive those benefits while employed, should the benefits be taken into account when assessing damages for wrongful dismissal – Does an employer-funded plan confer property rights independent of the contract of employment in circumstances where benefits are expressly conditioned on ceasing employment.</w:t>
            </w:r>
          </w:p>
        </w:tc>
      </w:tr>
      <w:tr w:rsidR="009734DA" w:rsidRPr="009F4C66" w:rsidTr="009734DA">
        <w:tc>
          <w:tcPr>
            <w:tcW w:w="5000" w:type="pct"/>
            <w:gridSpan w:val="3"/>
          </w:tcPr>
          <w:p w:rsidR="009734DA" w:rsidRPr="009F4C66" w:rsidRDefault="009734DA" w:rsidP="009734DA">
            <w:pPr>
              <w:jc w:val="both"/>
              <w:rPr>
                <w:sz w:val="20"/>
              </w:rPr>
            </w:pPr>
          </w:p>
        </w:tc>
      </w:tr>
      <w:tr w:rsidR="009734DA" w:rsidRPr="009F4C66" w:rsidTr="009734DA">
        <w:tc>
          <w:tcPr>
            <w:tcW w:w="5000" w:type="pct"/>
            <w:gridSpan w:val="3"/>
          </w:tcPr>
          <w:p w:rsidR="009734DA" w:rsidRPr="009F4C66" w:rsidRDefault="009734DA" w:rsidP="009734DA">
            <w:pPr>
              <w:jc w:val="both"/>
              <w:rPr>
                <w:sz w:val="20"/>
              </w:rPr>
            </w:pPr>
            <w:r w:rsidRPr="009F4C66">
              <w:rPr>
                <w:color w:val="000000" w:themeColor="text1"/>
                <w:sz w:val="20"/>
              </w:rPr>
              <w:t xml:space="preserve">The respondent was employed by IBM (U.K.) Ltd. and then IBM Canada </w:t>
            </w:r>
            <w:r w:rsidRPr="009F4C66">
              <w:rPr>
                <w:sz w:val="20"/>
              </w:rPr>
              <w:t xml:space="preserve">Limited for over 40 years before being terminated without cause with two months notice. When his employment terminated, he was 65 years of age and eligible to receive benefits under IBM’s employer-funded pension plan.   He had no intention of retiring and sued for wrongful dismissal. After termination, he received a pension benefit of $2,124.25 per month.  The trial judge held that the appropriate notice period was 20 months.  He awarded damages based on lack of notice for 18 months.  The applicant was paid pension benefits after termination based on a fully vested pension.  </w:t>
            </w:r>
            <w:r w:rsidRPr="009F4C66">
              <w:rPr>
                <w:color w:val="000000" w:themeColor="text1"/>
                <w:sz w:val="20"/>
              </w:rPr>
              <w:t xml:space="preserve">The trial judge did not deduct the amount of pension benefits paid during the notice period from the damages award.  IBM Canada </w:t>
            </w:r>
            <w:r w:rsidRPr="009F4C66">
              <w:rPr>
                <w:sz w:val="20"/>
              </w:rPr>
              <w:t>Limited appealed, arguing that an amount equal to the pension benefits should have been deducted from damages.  The Court of Appeal dismissed the appeal.</w:t>
            </w:r>
          </w:p>
          <w:p w:rsidR="009734DA" w:rsidRPr="009F4C66" w:rsidRDefault="009734DA" w:rsidP="009734DA">
            <w:pPr>
              <w:jc w:val="both"/>
              <w:rPr>
                <w:sz w:val="20"/>
              </w:rPr>
            </w:pPr>
          </w:p>
        </w:tc>
      </w:tr>
      <w:tr w:rsidR="009734DA" w:rsidRPr="009F4C66" w:rsidTr="009734DA">
        <w:tblPrEx>
          <w:tblCellMar>
            <w:bottom w:w="0" w:type="dxa"/>
          </w:tblCellMar>
        </w:tblPrEx>
        <w:tc>
          <w:tcPr>
            <w:tcW w:w="2390" w:type="pct"/>
          </w:tcPr>
          <w:p w:rsidR="009734DA" w:rsidRPr="009F4C66" w:rsidRDefault="009734DA" w:rsidP="009734DA">
            <w:pPr>
              <w:jc w:val="both"/>
              <w:rPr>
                <w:sz w:val="20"/>
              </w:rPr>
            </w:pPr>
            <w:r w:rsidRPr="009F4C66">
              <w:rPr>
                <w:sz w:val="20"/>
              </w:rPr>
              <w:t>March 23, 2010</w:t>
            </w:r>
          </w:p>
          <w:p w:rsidR="009734DA" w:rsidRPr="009F4C66" w:rsidRDefault="009734DA" w:rsidP="009734DA">
            <w:pPr>
              <w:jc w:val="both"/>
              <w:rPr>
                <w:sz w:val="20"/>
              </w:rPr>
            </w:pPr>
            <w:r w:rsidRPr="009F4C66">
              <w:rPr>
                <w:sz w:val="20"/>
              </w:rPr>
              <w:t>Supreme Court of British Columbia</w:t>
            </w:r>
          </w:p>
          <w:p w:rsidR="009734DA" w:rsidRPr="009F4C66" w:rsidRDefault="009734DA" w:rsidP="009734DA">
            <w:pPr>
              <w:jc w:val="both"/>
              <w:rPr>
                <w:sz w:val="20"/>
              </w:rPr>
            </w:pPr>
            <w:r w:rsidRPr="009F4C66">
              <w:rPr>
                <w:sz w:val="20"/>
              </w:rPr>
              <w:t>(Goepel J.)</w:t>
            </w:r>
          </w:p>
          <w:p w:rsidR="009734DA" w:rsidRPr="009F4C66" w:rsidRDefault="009734DA" w:rsidP="009734DA">
            <w:pPr>
              <w:jc w:val="both"/>
              <w:rPr>
                <w:sz w:val="20"/>
              </w:rPr>
            </w:pPr>
            <w:r w:rsidRPr="009F4C66">
              <w:rPr>
                <w:sz w:val="20"/>
              </w:rPr>
              <w:t>2010 BCSC 376</w:t>
            </w:r>
          </w:p>
          <w:p w:rsidR="009734DA" w:rsidRPr="009F4C66" w:rsidRDefault="009734DA" w:rsidP="009734DA">
            <w:pPr>
              <w:jc w:val="both"/>
              <w:rPr>
                <w:sz w:val="20"/>
              </w:rPr>
            </w:pPr>
          </w:p>
        </w:tc>
        <w:tc>
          <w:tcPr>
            <w:tcW w:w="270" w:type="pct"/>
          </w:tcPr>
          <w:p w:rsidR="009734DA" w:rsidRPr="009F4C66" w:rsidRDefault="009734DA" w:rsidP="009734DA">
            <w:pPr>
              <w:jc w:val="both"/>
              <w:rPr>
                <w:sz w:val="20"/>
              </w:rPr>
            </w:pPr>
          </w:p>
        </w:tc>
        <w:tc>
          <w:tcPr>
            <w:tcW w:w="2340" w:type="pct"/>
          </w:tcPr>
          <w:p w:rsidR="009734DA" w:rsidRPr="009F4C66" w:rsidRDefault="009734DA" w:rsidP="009734DA">
            <w:pPr>
              <w:jc w:val="both"/>
              <w:rPr>
                <w:sz w:val="20"/>
              </w:rPr>
            </w:pPr>
            <w:r w:rsidRPr="009F4C66">
              <w:rPr>
                <w:sz w:val="20"/>
              </w:rPr>
              <w:t>Action for damages for wrongful dismissal allowed; Pension benefits paid during notice period not deducted from damages awarded</w:t>
            </w:r>
          </w:p>
          <w:p w:rsidR="009734DA" w:rsidRPr="009F4C66" w:rsidRDefault="009734DA" w:rsidP="009734DA">
            <w:pPr>
              <w:jc w:val="both"/>
              <w:rPr>
                <w:sz w:val="20"/>
              </w:rPr>
            </w:pPr>
          </w:p>
        </w:tc>
      </w:tr>
      <w:tr w:rsidR="009734DA" w:rsidRPr="009F4C66" w:rsidTr="009734DA">
        <w:tblPrEx>
          <w:tblCellMar>
            <w:bottom w:w="0" w:type="dxa"/>
          </w:tblCellMar>
        </w:tblPrEx>
        <w:tc>
          <w:tcPr>
            <w:tcW w:w="2390" w:type="pct"/>
          </w:tcPr>
          <w:p w:rsidR="009734DA" w:rsidRPr="009F4C66" w:rsidRDefault="009734DA" w:rsidP="009734DA">
            <w:pPr>
              <w:jc w:val="both"/>
              <w:rPr>
                <w:sz w:val="20"/>
              </w:rPr>
            </w:pPr>
            <w:r w:rsidRPr="009F4C66">
              <w:rPr>
                <w:sz w:val="20"/>
              </w:rPr>
              <w:t>August 2, 2011</w:t>
            </w:r>
          </w:p>
          <w:p w:rsidR="009734DA" w:rsidRPr="009F4C66" w:rsidRDefault="009734DA" w:rsidP="009734DA">
            <w:pPr>
              <w:jc w:val="both"/>
              <w:rPr>
                <w:sz w:val="20"/>
              </w:rPr>
            </w:pPr>
            <w:r w:rsidRPr="009F4C66">
              <w:rPr>
                <w:sz w:val="20"/>
              </w:rPr>
              <w:t>Court of Appeal for British Columbia (Vancouver)</w:t>
            </w:r>
          </w:p>
          <w:p w:rsidR="009734DA" w:rsidRPr="009F4C66" w:rsidRDefault="009734DA" w:rsidP="009734DA">
            <w:pPr>
              <w:jc w:val="both"/>
              <w:rPr>
                <w:sz w:val="20"/>
              </w:rPr>
            </w:pPr>
            <w:r w:rsidRPr="009F4C66">
              <w:rPr>
                <w:sz w:val="20"/>
              </w:rPr>
              <w:t>(Finch C.J. and Prowse and Levine JJ.A.)</w:t>
            </w:r>
          </w:p>
          <w:p w:rsidR="009734DA" w:rsidRPr="009F4C66" w:rsidRDefault="009734DA" w:rsidP="009734DA">
            <w:pPr>
              <w:jc w:val="both"/>
              <w:rPr>
                <w:sz w:val="20"/>
              </w:rPr>
            </w:pPr>
            <w:r w:rsidRPr="009F4C66">
              <w:rPr>
                <w:sz w:val="20"/>
              </w:rPr>
              <w:t>2011 BCCA 337; CA038053</w:t>
            </w:r>
          </w:p>
          <w:p w:rsidR="009734DA" w:rsidRPr="009F4C66" w:rsidRDefault="009734DA" w:rsidP="009734DA">
            <w:pPr>
              <w:jc w:val="both"/>
              <w:rPr>
                <w:sz w:val="20"/>
              </w:rPr>
            </w:pPr>
          </w:p>
        </w:tc>
        <w:tc>
          <w:tcPr>
            <w:tcW w:w="270" w:type="pct"/>
          </w:tcPr>
          <w:p w:rsidR="009734DA" w:rsidRPr="009F4C66" w:rsidRDefault="009734DA" w:rsidP="009734DA">
            <w:pPr>
              <w:jc w:val="both"/>
              <w:rPr>
                <w:sz w:val="20"/>
              </w:rPr>
            </w:pPr>
          </w:p>
        </w:tc>
        <w:tc>
          <w:tcPr>
            <w:tcW w:w="2340" w:type="pct"/>
          </w:tcPr>
          <w:p w:rsidR="009734DA" w:rsidRPr="009F4C66" w:rsidRDefault="009734DA" w:rsidP="009734DA">
            <w:pPr>
              <w:jc w:val="both"/>
              <w:rPr>
                <w:sz w:val="20"/>
              </w:rPr>
            </w:pPr>
            <w:r w:rsidRPr="009F4C66">
              <w:rPr>
                <w:sz w:val="20"/>
              </w:rPr>
              <w:t>Appeal dismissed</w:t>
            </w:r>
          </w:p>
          <w:p w:rsidR="009734DA" w:rsidRPr="009F4C66" w:rsidRDefault="009734DA" w:rsidP="009734DA">
            <w:pPr>
              <w:jc w:val="both"/>
              <w:rPr>
                <w:sz w:val="20"/>
              </w:rPr>
            </w:pPr>
          </w:p>
        </w:tc>
      </w:tr>
      <w:tr w:rsidR="009734DA" w:rsidRPr="009F4C66" w:rsidTr="009734DA">
        <w:tblPrEx>
          <w:tblCellMar>
            <w:bottom w:w="0" w:type="dxa"/>
          </w:tblCellMar>
        </w:tblPrEx>
        <w:tc>
          <w:tcPr>
            <w:tcW w:w="2390" w:type="pct"/>
          </w:tcPr>
          <w:p w:rsidR="009734DA" w:rsidRPr="009F4C66" w:rsidRDefault="009734DA" w:rsidP="009734DA">
            <w:pPr>
              <w:jc w:val="both"/>
              <w:rPr>
                <w:sz w:val="20"/>
              </w:rPr>
            </w:pPr>
            <w:r w:rsidRPr="009F4C66">
              <w:rPr>
                <w:sz w:val="20"/>
              </w:rPr>
              <w:t>October 3, 2011</w:t>
            </w:r>
          </w:p>
          <w:p w:rsidR="009734DA" w:rsidRPr="009F4C66" w:rsidRDefault="009734DA" w:rsidP="009734DA">
            <w:pPr>
              <w:jc w:val="both"/>
              <w:rPr>
                <w:sz w:val="20"/>
              </w:rPr>
            </w:pPr>
            <w:r w:rsidRPr="009F4C66">
              <w:rPr>
                <w:sz w:val="20"/>
              </w:rPr>
              <w:t>Supreme Court of Canada</w:t>
            </w:r>
          </w:p>
        </w:tc>
        <w:tc>
          <w:tcPr>
            <w:tcW w:w="270" w:type="pct"/>
          </w:tcPr>
          <w:p w:rsidR="009734DA" w:rsidRPr="009F4C66" w:rsidRDefault="009734DA" w:rsidP="009734DA">
            <w:pPr>
              <w:jc w:val="both"/>
              <w:rPr>
                <w:sz w:val="20"/>
              </w:rPr>
            </w:pPr>
          </w:p>
        </w:tc>
        <w:tc>
          <w:tcPr>
            <w:tcW w:w="2340" w:type="pct"/>
          </w:tcPr>
          <w:p w:rsidR="009734DA" w:rsidRPr="009F4C66" w:rsidRDefault="009734DA" w:rsidP="009734DA">
            <w:pPr>
              <w:jc w:val="both"/>
              <w:rPr>
                <w:sz w:val="20"/>
              </w:rPr>
            </w:pPr>
            <w:r w:rsidRPr="009F4C66">
              <w:rPr>
                <w:sz w:val="20"/>
              </w:rPr>
              <w:t>Application for leave to appeal filed</w:t>
            </w:r>
          </w:p>
          <w:p w:rsidR="009734DA" w:rsidRPr="009F4C66" w:rsidRDefault="009734DA" w:rsidP="009734DA">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62" style="width:2in;height:1pt" o:hrpct="0" o:hralign="center" o:hrstd="t" o:hrnoshade="t" o:hr="t" fillcolor="black [3213]" stroked="f"/>
        </w:pict>
      </w:r>
    </w:p>
    <w:p w:rsidR="00140B84" w:rsidRDefault="00140B84" w:rsidP="00140B84">
      <w:pPr>
        <w:rPr>
          <w:sz w:val="20"/>
          <w:szCs w:val="20"/>
        </w:rPr>
      </w:pPr>
    </w:p>
    <w:p w:rsidR="00460A3C" w:rsidRDefault="00460A3C">
      <w:pPr>
        <w:rPr>
          <w:sz w:val="20"/>
          <w:szCs w:val="20"/>
          <w:u w:val="single"/>
          <w:lang w:val="fr-CA"/>
        </w:rPr>
      </w:pPr>
      <w:r>
        <w:rPr>
          <w:sz w:val="20"/>
          <w:szCs w:val="20"/>
          <w:u w:val="single"/>
          <w:lang w:val="fr-CA"/>
        </w:rPr>
        <w:br w:type="page"/>
      </w: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9734DA" w:rsidRPr="00832ABE" w:rsidTr="009734DA">
        <w:tc>
          <w:tcPr>
            <w:tcW w:w="5000" w:type="pct"/>
            <w:gridSpan w:val="3"/>
          </w:tcPr>
          <w:p w:rsidR="009734DA" w:rsidRPr="009F4C66" w:rsidRDefault="009734DA" w:rsidP="009734DA">
            <w:pPr>
              <w:jc w:val="both"/>
              <w:rPr>
                <w:rFonts w:eastAsia="Calibri"/>
                <w:sz w:val="20"/>
                <w:lang w:val="fr-CA"/>
              </w:rPr>
            </w:pPr>
            <w:r w:rsidRPr="009F4C66">
              <w:rPr>
                <w:rFonts w:eastAsia="Calibri"/>
                <w:sz w:val="20"/>
                <w:lang w:val="fr-CA"/>
              </w:rPr>
              <w:t>Droit de l'emploi – Congédiement injustifié – Dommages-intérêts – Pensions – Lorsqu'un employé reçoit après la cessation d'emploi des prestations de retraite d’un régime capitalisé par l'employeur alors qu'il ne pouvait recevoir ces prestations pendant qu'il occupait son emploi, les prestations devraient-elles être prises en compte dans l'évaluation des dommages-intérêts pour congédiement injustifié? – Un régime capitalisé par l'employeur confère-t-il des droits de propriété indépendants du contrat d'emploi dans des situations où le versement des prestations est expressément conditionnel à la cessation d'emploi?</w:t>
            </w:r>
          </w:p>
        </w:tc>
      </w:tr>
      <w:tr w:rsidR="009734DA" w:rsidRPr="00832ABE" w:rsidTr="009734DA">
        <w:tc>
          <w:tcPr>
            <w:tcW w:w="5000" w:type="pct"/>
            <w:gridSpan w:val="3"/>
          </w:tcPr>
          <w:p w:rsidR="009734DA" w:rsidRPr="009F4C66" w:rsidRDefault="009734DA" w:rsidP="009734DA">
            <w:pPr>
              <w:jc w:val="both"/>
              <w:rPr>
                <w:rFonts w:eastAsia="Calibri"/>
                <w:sz w:val="20"/>
                <w:lang w:val="fr-CA"/>
              </w:rPr>
            </w:pPr>
          </w:p>
        </w:tc>
      </w:tr>
      <w:tr w:rsidR="009734DA" w:rsidRPr="009F4C66" w:rsidTr="009734DA">
        <w:tc>
          <w:tcPr>
            <w:tcW w:w="5000" w:type="pct"/>
            <w:gridSpan w:val="3"/>
          </w:tcPr>
          <w:p w:rsidR="009734DA" w:rsidRPr="009F4C66" w:rsidRDefault="009734DA" w:rsidP="009734DA">
            <w:pPr>
              <w:jc w:val="both"/>
              <w:rPr>
                <w:rFonts w:eastAsia="Calibri"/>
                <w:sz w:val="20"/>
                <w:lang w:val="fr-CA"/>
              </w:rPr>
            </w:pPr>
            <w:r w:rsidRPr="009F4C66">
              <w:rPr>
                <w:rFonts w:eastAsia="Calibri"/>
                <w:color w:val="000000"/>
                <w:sz w:val="20"/>
                <w:lang w:val="fr-CA"/>
              </w:rPr>
              <w:t>L'intimé avait occupé un emploi chez IBM (U.K.) Ltd., puis chez IBM Canada</w:t>
            </w:r>
            <w:r w:rsidRPr="009F4C66">
              <w:rPr>
                <w:rFonts w:eastAsia="Calibri"/>
                <w:sz w:val="20"/>
                <w:lang w:val="fr-CA"/>
              </w:rPr>
              <w:t xml:space="preserve"> limitée pendant plus de 40 ans avant d'être congédié sans motif valable moyennant un délai de préavis de deux mois. Au moment de la cessation de son emploi, il était âgé de 65 ans et avait droit de recevoir des prestations sous le régime de retraite d’IBM capitalisé par l'employeur. Il n'avait aucune intention de partir à la retraite et a intenté une poursuite en congédiement injustifié. Après la cessation d'emploi, il recevait des prestations de retraite de 2 124,25 $ par mois. Le juge de première instance a statué que le délai de préavis aurait dû être de 20 mois. Il a accordé des dommages-intérêts calculés en fonction de l'absence de préavis de 18 mois. Le demandeur s'est vu payer des prestations de retraite après la cessation d'emploi sur le fondement d'une pension entièrement dévolue.</w:t>
            </w:r>
            <w:r w:rsidRPr="009F4C66">
              <w:rPr>
                <w:rFonts w:eastAsia="Calibri"/>
                <w:color w:val="000000"/>
                <w:sz w:val="20"/>
                <w:lang w:val="fr-CA"/>
              </w:rPr>
              <w:t xml:space="preserve"> Le juge de première instance n'a pas déduit du montant des dommages- intérêts accordés le montant des prestations de retraite versées pendant la période de préavis.  IBM Canada</w:t>
            </w:r>
            <w:r w:rsidRPr="009F4C66">
              <w:rPr>
                <w:rFonts w:eastAsia="Calibri"/>
                <w:sz w:val="20"/>
                <w:lang w:val="fr-CA"/>
              </w:rPr>
              <w:t xml:space="preserve"> limitée a interjeté appel, plaidant qu'un montant égal aux prestations de retraite aurait dû être déduit des dommages-intérêts. La Cour d'appel a rejeté l'appel.</w:t>
            </w:r>
          </w:p>
          <w:p w:rsidR="009734DA" w:rsidRPr="009F4C66" w:rsidRDefault="009734DA" w:rsidP="009734DA">
            <w:pPr>
              <w:jc w:val="both"/>
              <w:rPr>
                <w:rFonts w:eastAsia="Calibri"/>
                <w:sz w:val="20"/>
                <w:lang w:val="fr-CA"/>
              </w:rPr>
            </w:pPr>
          </w:p>
        </w:tc>
      </w:tr>
      <w:tr w:rsidR="009734DA" w:rsidRPr="00832ABE" w:rsidTr="009734DA">
        <w:tblPrEx>
          <w:tblCellMar>
            <w:bottom w:w="0" w:type="dxa"/>
          </w:tblCellMar>
        </w:tblPrEx>
        <w:tc>
          <w:tcPr>
            <w:tcW w:w="2390" w:type="pct"/>
          </w:tcPr>
          <w:p w:rsidR="009734DA" w:rsidRPr="009F4C66" w:rsidRDefault="009734DA" w:rsidP="009734DA">
            <w:pPr>
              <w:jc w:val="both"/>
              <w:rPr>
                <w:rFonts w:eastAsia="Calibri"/>
                <w:sz w:val="20"/>
                <w:lang w:val="fr-CA"/>
              </w:rPr>
            </w:pPr>
            <w:r w:rsidRPr="009F4C66">
              <w:rPr>
                <w:rFonts w:eastAsia="Calibri"/>
                <w:sz w:val="20"/>
                <w:lang w:val="fr-CA"/>
              </w:rPr>
              <w:t>23 mars 2010</w:t>
            </w:r>
          </w:p>
          <w:p w:rsidR="009734DA" w:rsidRPr="009F4C66" w:rsidRDefault="009734DA" w:rsidP="009734DA">
            <w:pPr>
              <w:jc w:val="both"/>
              <w:rPr>
                <w:rFonts w:eastAsia="Calibri"/>
                <w:sz w:val="20"/>
                <w:lang w:val="fr-CA"/>
              </w:rPr>
            </w:pPr>
            <w:r w:rsidRPr="009F4C66">
              <w:rPr>
                <w:rFonts w:eastAsia="Calibri"/>
                <w:sz w:val="20"/>
                <w:lang w:val="fr-CA"/>
              </w:rPr>
              <w:t xml:space="preserve">Cour suprême de la Colombie-Britannique </w:t>
            </w:r>
          </w:p>
          <w:p w:rsidR="009734DA" w:rsidRPr="009F4C66" w:rsidRDefault="009734DA" w:rsidP="009734DA">
            <w:pPr>
              <w:jc w:val="both"/>
              <w:rPr>
                <w:rFonts w:eastAsia="Calibri"/>
                <w:sz w:val="20"/>
                <w:lang w:val="fr-CA"/>
              </w:rPr>
            </w:pPr>
            <w:r w:rsidRPr="009F4C66">
              <w:rPr>
                <w:rFonts w:eastAsia="Calibri"/>
                <w:sz w:val="20"/>
                <w:lang w:val="fr-CA"/>
              </w:rPr>
              <w:t>(Juge Goepel)</w:t>
            </w:r>
          </w:p>
          <w:p w:rsidR="009734DA" w:rsidRPr="009F4C66" w:rsidRDefault="009734DA" w:rsidP="009734DA">
            <w:pPr>
              <w:jc w:val="both"/>
              <w:rPr>
                <w:rFonts w:eastAsia="Calibri"/>
                <w:sz w:val="20"/>
                <w:lang w:val="fr-CA"/>
              </w:rPr>
            </w:pPr>
            <w:r w:rsidRPr="009F4C66">
              <w:rPr>
                <w:rFonts w:eastAsia="Calibri"/>
                <w:sz w:val="20"/>
                <w:lang w:val="fr-CA"/>
              </w:rPr>
              <w:t>2010 BCSC 376</w:t>
            </w:r>
          </w:p>
          <w:p w:rsidR="009734DA" w:rsidRPr="009F4C66" w:rsidRDefault="009734DA" w:rsidP="009734DA">
            <w:pPr>
              <w:jc w:val="both"/>
              <w:rPr>
                <w:rFonts w:eastAsia="Calibri"/>
                <w:sz w:val="20"/>
                <w:lang w:val="fr-CA"/>
              </w:rPr>
            </w:pPr>
          </w:p>
        </w:tc>
        <w:tc>
          <w:tcPr>
            <w:tcW w:w="270" w:type="pct"/>
          </w:tcPr>
          <w:p w:rsidR="009734DA" w:rsidRPr="009F4C66" w:rsidRDefault="009734DA" w:rsidP="009734DA">
            <w:pPr>
              <w:jc w:val="both"/>
              <w:rPr>
                <w:rFonts w:eastAsia="Calibri"/>
                <w:sz w:val="20"/>
                <w:lang w:val="fr-CA"/>
              </w:rPr>
            </w:pPr>
          </w:p>
        </w:tc>
        <w:tc>
          <w:tcPr>
            <w:tcW w:w="2340" w:type="pct"/>
          </w:tcPr>
          <w:p w:rsidR="009734DA" w:rsidRPr="009F4C66" w:rsidRDefault="009734DA" w:rsidP="009734DA">
            <w:pPr>
              <w:jc w:val="both"/>
              <w:rPr>
                <w:rFonts w:eastAsia="Calibri"/>
                <w:sz w:val="20"/>
                <w:lang w:val="fr-CA"/>
              </w:rPr>
            </w:pPr>
            <w:r w:rsidRPr="009F4C66">
              <w:rPr>
                <w:rFonts w:eastAsia="Calibri"/>
                <w:sz w:val="20"/>
                <w:lang w:val="fr-CA"/>
              </w:rPr>
              <w:t>Action en dommages-intérêts pour congédiement injustifié, accueillie; les prestations de retraite versées pendant le délai de préavis ne sont pas déduites du montant des dommages-intérêts accordés</w:t>
            </w:r>
          </w:p>
          <w:p w:rsidR="009734DA" w:rsidRPr="009F4C66" w:rsidRDefault="009734DA" w:rsidP="009734DA">
            <w:pPr>
              <w:jc w:val="both"/>
              <w:rPr>
                <w:rFonts w:eastAsia="Calibri"/>
                <w:sz w:val="20"/>
                <w:lang w:val="fr-CA"/>
              </w:rPr>
            </w:pPr>
          </w:p>
        </w:tc>
      </w:tr>
      <w:tr w:rsidR="009734DA" w:rsidRPr="009F4C66" w:rsidTr="009734DA">
        <w:tblPrEx>
          <w:tblCellMar>
            <w:bottom w:w="0" w:type="dxa"/>
          </w:tblCellMar>
        </w:tblPrEx>
        <w:tc>
          <w:tcPr>
            <w:tcW w:w="2390" w:type="pct"/>
          </w:tcPr>
          <w:p w:rsidR="009734DA" w:rsidRPr="009F4C66" w:rsidRDefault="009734DA" w:rsidP="009734DA">
            <w:pPr>
              <w:jc w:val="both"/>
              <w:rPr>
                <w:rFonts w:eastAsia="Calibri"/>
                <w:sz w:val="20"/>
                <w:lang w:val="fr-CA"/>
              </w:rPr>
            </w:pPr>
            <w:r w:rsidRPr="009F4C66">
              <w:rPr>
                <w:rFonts w:eastAsia="Calibri"/>
                <w:sz w:val="20"/>
                <w:lang w:val="fr-CA"/>
              </w:rPr>
              <w:t>2 août 2011</w:t>
            </w:r>
          </w:p>
          <w:p w:rsidR="009734DA" w:rsidRPr="009F4C66" w:rsidRDefault="009734DA" w:rsidP="009734DA">
            <w:pPr>
              <w:jc w:val="both"/>
              <w:rPr>
                <w:rFonts w:eastAsia="Calibri"/>
                <w:sz w:val="20"/>
                <w:lang w:val="fr-CA"/>
              </w:rPr>
            </w:pPr>
            <w:r w:rsidRPr="009F4C66">
              <w:rPr>
                <w:rFonts w:eastAsia="Calibri"/>
                <w:sz w:val="20"/>
                <w:lang w:val="fr-CA"/>
              </w:rPr>
              <w:t>Cour d'appel de la Colombie-Britannique (Vancouver)</w:t>
            </w:r>
          </w:p>
          <w:p w:rsidR="009734DA" w:rsidRPr="009F4C66" w:rsidRDefault="009734DA" w:rsidP="009734DA">
            <w:pPr>
              <w:jc w:val="both"/>
              <w:rPr>
                <w:rFonts w:eastAsia="Calibri"/>
                <w:sz w:val="20"/>
                <w:lang w:val="fr-CA"/>
              </w:rPr>
            </w:pPr>
            <w:r w:rsidRPr="009F4C66">
              <w:rPr>
                <w:rFonts w:eastAsia="Calibri"/>
                <w:sz w:val="20"/>
                <w:lang w:val="fr-CA"/>
              </w:rPr>
              <w:t>(Juge en chef Finch, juges Prowse et Levine)</w:t>
            </w:r>
          </w:p>
          <w:p w:rsidR="009734DA" w:rsidRPr="009F4C66" w:rsidRDefault="009734DA" w:rsidP="009734DA">
            <w:pPr>
              <w:jc w:val="both"/>
              <w:rPr>
                <w:rFonts w:eastAsia="Calibri"/>
                <w:sz w:val="20"/>
                <w:lang w:val="fr-CA"/>
              </w:rPr>
            </w:pPr>
            <w:r w:rsidRPr="009F4C66">
              <w:rPr>
                <w:rFonts w:eastAsia="Calibri"/>
                <w:sz w:val="20"/>
                <w:lang w:val="fr-CA"/>
              </w:rPr>
              <w:t>2011 BCCA 337; CA038053</w:t>
            </w:r>
          </w:p>
          <w:p w:rsidR="009734DA" w:rsidRPr="009F4C66" w:rsidRDefault="009734DA" w:rsidP="009734DA">
            <w:pPr>
              <w:jc w:val="both"/>
              <w:rPr>
                <w:rFonts w:eastAsia="Calibri"/>
                <w:sz w:val="20"/>
                <w:lang w:val="fr-CA"/>
              </w:rPr>
            </w:pPr>
          </w:p>
        </w:tc>
        <w:tc>
          <w:tcPr>
            <w:tcW w:w="270" w:type="pct"/>
          </w:tcPr>
          <w:p w:rsidR="009734DA" w:rsidRPr="009F4C66" w:rsidRDefault="009734DA" w:rsidP="009734DA">
            <w:pPr>
              <w:jc w:val="both"/>
              <w:rPr>
                <w:rFonts w:eastAsia="Calibri"/>
                <w:sz w:val="20"/>
                <w:lang w:val="fr-CA"/>
              </w:rPr>
            </w:pPr>
          </w:p>
        </w:tc>
        <w:tc>
          <w:tcPr>
            <w:tcW w:w="2340" w:type="pct"/>
          </w:tcPr>
          <w:p w:rsidR="009734DA" w:rsidRPr="009F4C66" w:rsidRDefault="009734DA" w:rsidP="009734DA">
            <w:pPr>
              <w:jc w:val="both"/>
              <w:rPr>
                <w:rFonts w:eastAsia="Calibri"/>
                <w:sz w:val="20"/>
                <w:lang w:val="fr-CA"/>
              </w:rPr>
            </w:pPr>
            <w:r w:rsidRPr="009F4C66">
              <w:rPr>
                <w:rFonts w:eastAsia="Calibri"/>
                <w:sz w:val="20"/>
                <w:lang w:val="fr-CA"/>
              </w:rPr>
              <w:t>Appel rejeté</w:t>
            </w:r>
          </w:p>
          <w:p w:rsidR="009734DA" w:rsidRPr="009F4C66" w:rsidRDefault="009734DA" w:rsidP="009734DA">
            <w:pPr>
              <w:jc w:val="both"/>
              <w:rPr>
                <w:rFonts w:eastAsia="Calibri"/>
                <w:sz w:val="20"/>
                <w:lang w:val="fr-CA"/>
              </w:rPr>
            </w:pPr>
          </w:p>
        </w:tc>
      </w:tr>
      <w:tr w:rsidR="009734DA" w:rsidRPr="009F4C66" w:rsidTr="009734DA">
        <w:tblPrEx>
          <w:tblCellMar>
            <w:bottom w:w="0" w:type="dxa"/>
          </w:tblCellMar>
        </w:tblPrEx>
        <w:tc>
          <w:tcPr>
            <w:tcW w:w="2390" w:type="pct"/>
          </w:tcPr>
          <w:p w:rsidR="009734DA" w:rsidRPr="009F4C66" w:rsidRDefault="009734DA" w:rsidP="009734DA">
            <w:pPr>
              <w:jc w:val="both"/>
              <w:rPr>
                <w:rFonts w:eastAsia="Calibri"/>
                <w:sz w:val="20"/>
                <w:lang w:val="fr-CA"/>
              </w:rPr>
            </w:pPr>
            <w:r w:rsidRPr="009F4C66">
              <w:rPr>
                <w:rFonts w:eastAsia="Calibri"/>
                <w:sz w:val="20"/>
                <w:lang w:val="fr-CA"/>
              </w:rPr>
              <w:t>3 octobre 2011</w:t>
            </w:r>
          </w:p>
          <w:p w:rsidR="009734DA" w:rsidRPr="009F4C66" w:rsidRDefault="009734DA" w:rsidP="009734DA">
            <w:pPr>
              <w:jc w:val="both"/>
              <w:rPr>
                <w:rFonts w:eastAsia="Calibri"/>
                <w:sz w:val="20"/>
                <w:lang w:val="fr-CA"/>
              </w:rPr>
            </w:pPr>
            <w:r w:rsidRPr="009F4C66">
              <w:rPr>
                <w:rFonts w:eastAsia="Calibri"/>
                <w:sz w:val="20"/>
                <w:lang w:val="fr-CA"/>
              </w:rPr>
              <w:t>Cour suprême du Canada</w:t>
            </w:r>
          </w:p>
        </w:tc>
        <w:tc>
          <w:tcPr>
            <w:tcW w:w="270" w:type="pct"/>
          </w:tcPr>
          <w:p w:rsidR="009734DA" w:rsidRPr="009F4C66" w:rsidRDefault="009734DA" w:rsidP="009734DA">
            <w:pPr>
              <w:jc w:val="both"/>
              <w:rPr>
                <w:rFonts w:eastAsia="Calibri"/>
                <w:sz w:val="20"/>
                <w:lang w:val="fr-CA"/>
              </w:rPr>
            </w:pPr>
          </w:p>
        </w:tc>
        <w:tc>
          <w:tcPr>
            <w:tcW w:w="2340" w:type="pct"/>
          </w:tcPr>
          <w:p w:rsidR="009734DA" w:rsidRPr="009F4C66" w:rsidRDefault="009734DA" w:rsidP="009734DA">
            <w:pPr>
              <w:jc w:val="both"/>
              <w:rPr>
                <w:rFonts w:eastAsia="Calibri"/>
                <w:sz w:val="20"/>
                <w:lang w:val="fr-CA"/>
              </w:rPr>
            </w:pPr>
            <w:r w:rsidRPr="009F4C66">
              <w:rPr>
                <w:rFonts w:eastAsia="Calibri"/>
                <w:sz w:val="20"/>
                <w:lang w:val="fr-CA"/>
              </w:rPr>
              <w:t>Demande d'autorisation d'appel, déposée</w:t>
            </w:r>
          </w:p>
          <w:p w:rsidR="009734DA" w:rsidRPr="009F4C66" w:rsidRDefault="009734DA" w:rsidP="009734DA">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63"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0F2BC0"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34477</w:t>
            </w:r>
          </w:p>
          <w:p w:rsidR="00425DAC" w:rsidRPr="000F2BC0" w:rsidRDefault="00425DAC" w:rsidP="001600B8">
            <w:pPr>
              <w:rPr>
                <w:b/>
                <w:sz w:val="20"/>
                <w:szCs w:val="20"/>
                <w:lang w:val="fr-CA"/>
              </w:rPr>
            </w:pPr>
          </w:p>
        </w:tc>
        <w:tc>
          <w:tcPr>
            <w:tcW w:w="8118" w:type="dxa"/>
          </w:tcPr>
          <w:p w:rsidR="00425DAC" w:rsidRPr="000F2BC0" w:rsidRDefault="00425DAC" w:rsidP="00425DAC">
            <w:pPr>
              <w:jc w:val="both"/>
              <w:rPr>
                <w:sz w:val="20"/>
                <w:szCs w:val="20"/>
              </w:rPr>
            </w:pPr>
            <w:r w:rsidRPr="000F2BC0">
              <w:rPr>
                <w:rStyle w:val="SCCLsocChar"/>
                <w:sz w:val="20"/>
                <w:szCs w:val="20"/>
                <w:lang w:val="en-CA"/>
              </w:rPr>
              <w:t>Kenneth E. Nelson</w:t>
            </w:r>
            <w:r w:rsidR="00EF3141">
              <w:rPr>
                <w:rStyle w:val="SCCLsocChar"/>
                <w:sz w:val="20"/>
                <w:szCs w:val="20"/>
                <w:lang w:val="en-CA"/>
              </w:rPr>
              <w:t xml:space="preserve"> and</w:t>
            </w:r>
            <w:r w:rsidRPr="000F2BC0">
              <w:rPr>
                <w:rStyle w:val="SCCLsocChar"/>
                <w:sz w:val="20"/>
                <w:szCs w:val="20"/>
                <w:lang w:val="en-CA"/>
              </w:rPr>
              <w:t xml:space="preserve"> Matrix Marine Equipment Ltd. v. Inter-Pro Property (#2) Corporation (formerly known as 1153696 Alberta Ltd.)</w:t>
            </w:r>
            <w:r w:rsidRPr="000F2BC0">
              <w:rPr>
                <w:sz w:val="20"/>
                <w:szCs w:val="20"/>
              </w:rPr>
              <w:t xml:space="preserve"> (Alta.) (Civil) (By Leave)</w:t>
            </w:r>
          </w:p>
          <w:p w:rsidR="00425DAC" w:rsidRPr="000F2BC0" w:rsidRDefault="00425DAC" w:rsidP="001600B8">
            <w:pPr>
              <w:rPr>
                <w:sz w:val="20"/>
                <w:szCs w:val="20"/>
              </w:rPr>
            </w:pPr>
          </w:p>
        </w:tc>
      </w:tr>
      <w:tr w:rsidR="00425DAC" w:rsidRPr="000F2BC0"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rPr>
            </w:pPr>
            <w:r w:rsidRPr="000F2BC0">
              <w:rPr>
                <w:rStyle w:val="SCCCoramChar"/>
                <w:sz w:val="20"/>
                <w:szCs w:val="20"/>
                <w:lang w:val="en-CA"/>
              </w:rPr>
              <w:t>LeBel, Abella and Cromwell JJ.</w:t>
            </w:r>
          </w:p>
          <w:p w:rsidR="00425DAC" w:rsidRPr="000F2BC0" w:rsidRDefault="00425DAC" w:rsidP="001600B8">
            <w:pPr>
              <w:rPr>
                <w:sz w:val="20"/>
                <w:szCs w:val="20"/>
                <w:u w:val="single"/>
              </w:rPr>
            </w:pPr>
          </w:p>
        </w:tc>
      </w:tr>
      <w:tr w:rsidR="00425DAC" w:rsidRPr="00832ABE" w:rsidTr="001600B8">
        <w:trPr>
          <w:cantSplit/>
        </w:trPr>
        <w:tc>
          <w:tcPr>
            <w:tcW w:w="9576" w:type="dxa"/>
            <w:gridSpan w:val="2"/>
          </w:tcPr>
          <w:p w:rsidR="00425DAC" w:rsidRPr="000F2BC0" w:rsidRDefault="00425DAC" w:rsidP="001600B8">
            <w:pPr>
              <w:pStyle w:val="SCCShortJudgment"/>
              <w:rPr>
                <w:szCs w:val="20"/>
              </w:rPr>
            </w:pPr>
            <w:r w:rsidRPr="000F2BC0">
              <w:rPr>
                <w:szCs w:val="20"/>
              </w:rPr>
              <w:t>The application for leave to appeal from the judgment of the Court of Appeal of Alberta (Edmonton), Number 1003-0108-AC, 2011 ABCA 203, dated July 6, 2011, is dismissed with costs.</w:t>
            </w:r>
          </w:p>
          <w:p w:rsidR="00425DAC" w:rsidRPr="000F2BC0" w:rsidRDefault="00425DAC" w:rsidP="001600B8">
            <w:pPr>
              <w:pStyle w:val="SCCShortJudgment"/>
              <w:ind w:firstLine="0"/>
              <w:rPr>
                <w:szCs w:val="20"/>
              </w:rPr>
            </w:pPr>
          </w:p>
          <w:p w:rsidR="00425DAC" w:rsidRPr="000F2BC0" w:rsidRDefault="00425DAC" w:rsidP="001600B8">
            <w:pPr>
              <w:pStyle w:val="SCCShortJudgment"/>
              <w:rPr>
                <w:szCs w:val="20"/>
                <w:lang w:val="fr-CA"/>
              </w:rPr>
            </w:pPr>
            <w:r w:rsidRPr="000F2BC0">
              <w:rPr>
                <w:szCs w:val="20"/>
                <w:lang w:val="fr-CA"/>
              </w:rPr>
              <w:t>La demande d’autorisation d’appel de l’arrêt de la Cour d'appel de l’Alberta (Edmonton), numéro 1003-0108-AC, 2011 ABCA 203, daté du 6 juillet 2011, est rejetée avec dépens.</w:t>
            </w:r>
          </w:p>
        </w:tc>
      </w:tr>
    </w:tbl>
    <w:p w:rsidR="00140B84" w:rsidRPr="00425DAC" w:rsidRDefault="00140B84" w:rsidP="00140B84">
      <w:pPr>
        <w:rPr>
          <w:b/>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734DA" w:rsidRPr="009F4C66" w:rsidTr="009734DA">
        <w:tc>
          <w:tcPr>
            <w:tcW w:w="5000" w:type="pct"/>
            <w:gridSpan w:val="3"/>
          </w:tcPr>
          <w:p w:rsidR="009734DA" w:rsidRPr="009F4C66" w:rsidRDefault="009734DA" w:rsidP="009734DA">
            <w:pPr>
              <w:jc w:val="both"/>
              <w:rPr>
                <w:sz w:val="20"/>
              </w:rPr>
            </w:pPr>
            <w:r w:rsidRPr="009F4C66">
              <w:rPr>
                <w:sz w:val="20"/>
              </w:rPr>
              <w:t>Property – Real property – Public highway – Ownership and use of private road –  Easements – Easement of necessity – Whether the Court of Appeal narrowed the scope of the doctrine of judicial knowledge so as to only apply in an aboriginal context – Whether the Court of Appeal dramatically increased the burden and due diligence requirement on purchasers of land by requiring them to ensure they have legally registered access to every parcel prior to concluding a sales transaction – Whether conflicts exist between provincial authorities on the application of the common law test for public road by dedication – Whether the Court of Appeal has made the test for admitting new evidence more stringent.</w:t>
            </w:r>
          </w:p>
          <w:p w:rsidR="009734DA" w:rsidRPr="009F4C66" w:rsidRDefault="009734DA" w:rsidP="009734DA">
            <w:pPr>
              <w:jc w:val="both"/>
              <w:rPr>
                <w:sz w:val="20"/>
              </w:rPr>
            </w:pPr>
          </w:p>
        </w:tc>
      </w:tr>
      <w:tr w:rsidR="009734DA" w:rsidRPr="009F4C66" w:rsidTr="009734DA">
        <w:tc>
          <w:tcPr>
            <w:tcW w:w="5000" w:type="pct"/>
            <w:gridSpan w:val="3"/>
          </w:tcPr>
          <w:p w:rsidR="009734DA" w:rsidRPr="009F4C66" w:rsidRDefault="009734DA" w:rsidP="009734DA">
            <w:pPr>
              <w:jc w:val="both"/>
              <w:rPr>
                <w:sz w:val="20"/>
              </w:rPr>
            </w:pPr>
            <w:r w:rsidRPr="009F4C66">
              <w:rPr>
                <w:sz w:val="20"/>
              </w:rPr>
              <w:t xml:space="preserve">The application concerns the ownership and use of a road in the County of Leduc, Alberta. The road crosses the respondent's land and leads to two recreational facilities, one of which is owned and operated by the applicant, Kenneth Nelson. The road has been used by the patrons, employees and owners of both facilities for many years. There has never been any other road or land access to either facility.  Mr. Nelson became aware that the road was not a county-owned road after he purchased the property and received a development permit in 1985; a condition for the permit imposed by the county was that Nelson </w:t>
            </w:r>
            <w:proofErr w:type="gramStart"/>
            <w:r w:rsidRPr="009F4C66">
              <w:rPr>
                <w:sz w:val="20"/>
              </w:rPr>
              <w:t>obtain</w:t>
            </w:r>
            <w:proofErr w:type="gramEnd"/>
            <w:r w:rsidRPr="009F4C66">
              <w:rPr>
                <w:sz w:val="20"/>
              </w:rPr>
              <w:t xml:space="preserve"> approval from adjoining landowners for access to the site.  Between 1986 and 1989, Nelson had discussions with the then owner of the road for the purpose of negotiating an easement agreement for use of the road. No agreement was ever formalized. Meanwhile, Nelson had begun development, including building a home, a water-ski lake and a maintenance building.  Access to the development site and the subsequent use of the commercial water-ski operation was undertaken with the then road owner’s knowledge and acquiescence.  When the respondent bought the land in 2005, it asserted that the road was private and that Nelson and his patrons, staff and family were prohibited from using it. Nelson brought an application seeking declarations that the road had been dedicated to public use, or that he had gained an easement at common law or equity over the respondent's land.  </w:t>
            </w:r>
          </w:p>
          <w:p w:rsidR="009734DA" w:rsidRPr="009F4C66" w:rsidRDefault="009734DA" w:rsidP="009734DA">
            <w:pPr>
              <w:jc w:val="both"/>
              <w:rPr>
                <w:sz w:val="20"/>
              </w:rPr>
            </w:pPr>
          </w:p>
          <w:p w:rsidR="009734DA" w:rsidRPr="009F4C66" w:rsidRDefault="009734DA" w:rsidP="009734DA">
            <w:pPr>
              <w:jc w:val="both"/>
              <w:rPr>
                <w:sz w:val="20"/>
              </w:rPr>
            </w:pPr>
            <w:r w:rsidRPr="009F4C66">
              <w:rPr>
                <w:sz w:val="20"/>
              </w:rPr>
              <w:t>The Alberta Court of Queen’s Bench granted the application, declaring the road a public highway, however dismissed the application for a declaration that the applicants had an easement over the road.  A majority of the Court of Appeal allowed the respondent’s appeal, dismissing the applicants’ application to admit fresh evidence and cross-appeal for an easement.</w:t>
            </w:r>
          </w:p>
          <w:p w:rsidR="009734DA" w:rsidRPr="009F4C66" w:rsidRDefault="009734DA" w:rsidP="009734DA">
            <w:pPr>
              <w:jc w:val="both"/>
              <w:rPr>
                <w:sz w:val="20"/>
              </w:rPr>
            </w:pPr>
          </w:p>
        </w:tc>
      </w:tr>
      <w:tr w:rsidR="009734DA" w:rsidRPr="009F4C66" w:rsidTr="009734DA">
        <w:tc>
          <w:tcPr>
            <w:tcW w:w="2427" w:type="pct"/>
          </w:tcPr>
          <w:p w:rsidR="009734DA" w:rsidRPr="009F4C66" w:rsidRDefault="009734DA" w:rsidP="009734DA">
            <w:pPr>
              <w:jc w:val="both"/>
              <w:rPr>
                <w:sz w:val="20"/>
              </w:rPr>
            </w:pPr>
            <w:r w:rsidRPr="009F4C66">
              <w:rPr>
                <w:sz w:val="20"/>
              </w:rPr>
              <w:t>December 11, 2009</w:t>
            </w:r>
          </w:p>
          <w:p w:rsidR="009734DA" w:rsidRPr="009F4C66" w:rsidRDefault="009734DA" w:rsidP="009734DA">
            <w:pPr>
              <w:jc w:val="both"/>
              <w:rPr>
                <w:sz w:val="20"/>
              </w:rPr>
            </w:pPr>
            <w:r w:rsidRPr="009F4C66">
              <w:rPr>
                <w:sz w:val="20"/>
              </w:rPr>
              <w:t>Court of Queen’s Bench of Alberta</w:t>
            </w:r>
          </w:p>
          <w:p w:rsidR="009734DA" w:rsidRPr="009F4C66" w:rsidRDefault="009734DA" w:rsidP="009734DA">
            <w:pPr>
              <w:jc w:val="both"/>
              <w:rPr>
                <w:sz w:val="20"/>
              </w:rPr>
            </w:pPr>
            <w:r w:rsidRPr="009F4C66">
              <w:rPr>
                <w:sz w:val="20"/>
              </w:rPr>
              <w:t>(Moen J.)</w:t>
            </w:r>
          </w:p>
          <w:p w:rsidR="009734DA" w:rsidRPr="009F4C66" w:rsidRDefault="009734DA" w:rsidP="009734DA">
            <w:pPr>
              <w:jc w:val="both"/>
              <w:rPr>
                <w:sz w:val="20"/>
              </w:rPr>
            </w:pPr>
          </w:p>
        </w:tc>
        <w:tc>
          <w:tcPr>
            <w:tcW w:w="243" w:type="pct"/>
          </w:tcPr>
          <w:p w:rsidR="009734DA" w:rsidRPr="009F4C66" w:rsidRDefault="009734DA" w:rsidP="009734DA">
            <w:pPr>
              <w:jc w:val="both"/>
              <w:rPr>
                <w:sz w:val="20"/>
              </w:rPr>
            </w:pPr>
          </w:p>
        </w:tc>
        <w:tc>
          <w:tcPr>
            <w:tcW w:w="2330" w:type="pct"/>
          </w:tcPr>
          <w:p w:rsidR="009734DA" w:rsidRPr="009F4C66" w:rsidRDefault="009734DA" w:rsidP="009734DA">
            <w:pPr>
              <w:jc w:val="both"/>
              <w:rPr>
                <w:sz w:val="20"/>
              </w:rPr>
            </w:pPr>
            <w:r w:rsidRPr="009F4C66">
              <w:rPr>
                <w:sz w:val="20"/>
              </w:rPr>
              <w:t>Applicants’ application for declaration road was public property, granted.  Applicants’ application for declaration of easement over respondent’s lands, dismissed.</w:t>
            </w:r>
          </w:p>
          <w:p w:rsidR="009734DA" w:rsidRPr="009F4C66" w:rsidRDefault="009734DA" w:rsidP="009734DA">
            <w:pPr>
              <w:jc w:val="both"/>
              <w:rPr>
                <w:sz w:val="20"/>
              </w:rPr>
            </w:pPr>
          </w:p>
        </w:tc>
      </w:tr>
      <w:tr w:rsidR="009734DA" w:rsidRPr="009F4C66" w:rsidTr="009734DA">
        <w:tc>
          <w:tcPr>
            <w:tcW w:w="2427" w:type="pct"/>
          </w:tcPr>
          <w:p w:rsidR="009734DA" w:rsidRPr="009F4C66" w:rsidRDefault="009734DA" w:rsidP="009734DA">
            <w:pPr>
              <w:jc w:val="both"/>
              <w:rPr>
                <w:sz w:val="20"/>
              </w:rPr>
            </w:pPr>
            <w:r w:rsidRPr="009F4C66">
              <w:rPr>
                <w:sz w:val="20"/>
              </w:rPr>
              <w:t>July 6, 2011</w:t>
            </w:r>
          </w:p>
          <w:p w:rsidR="009734DA" w:rsidRPr="009F4C66" w:rsidRDefault="009734DA" w:rsidP="009734DA">
            <w:pPr>
              <w:jc w:val="both"/>
              <w:rPr>
                <w:sz w:val="20"/>
              </w:rPr>
            </w:pPr>
            <w:r w:rsidRPr="009F4C66">
              <w:rPr>
                <w:sz w:val="20"/>
              </w:rPr>
              <w:t>Court of Appeal of Alberta (Edmonton)</w:t>
            </w:r>
          </w:p>
          <w:p w:rsidR="009734DA" w:rsidRPr="009F4C66" w:rsidRDefault="009734DA" w:rsidP="009734DA">
            <w:pPr>
              <w:jc w:val="both"/>
              <w:rPr>
                <w:sz w:val="20"/>
              </w:rPr>
            </w:pPr>
            <w:r w:rsidRPr="009F4C66">
              <w:rPr>
                <w:sz w:val="20"/>
              </w:rPr>
              <w:t>(Paperny (dissenting in part) and McDonald JJ.A. and Verville J.)</w:t>
            </w:r>
          </w:p>
          <w:p w:rsidR="009734DA" w:rsidRPr="009F4C66" w:rsidRDefault="009734DA" w:rsidP="009734DA">
            <w:pPr>
              <w:jc w:val="both"/>
              <w:rPr>
                <w:sz w:val="20"/>
              </w:rPr>
            </w:pPr>
          </w:p>
        </w:tc>
        <w:tc>
          <w:tcPr>
            <w:tcW w:w="243" w:type="pct"/>
          </w:tcPr>
          <w:p w:rsidR="009734DA" w:rsidRPr="009F4C66" w:rsidRDefault="009734DA" w:rsidP="009734DA">
            <w:pPr>
              <w:jc w:val="both"/>
              <w:rPr>
                <w:sz w:val="20"/>
              </w:rPr>
            </w:pPr>
          </w:p>
        </w:tc>
        <w:tc>
          <w:tcPr>
            <w:tcW w:w="2330" w:type="pct"/>
          </w:tcPr>
          <w:p w:rsidR="009734DA" w:rsidRPr="009F4C66" w:rsidRDefault="009734DA" w:rsidP="009734DA">
            <w:pPr>
              <w:jc w:val="both"/>
              <w:rPr>
                <w:sz w:val="20"/>
              </w:rPr>
            </w:pPr>
            <w:r w:rsidRPr="009F4C66">
              <w:rPr>
                <w:sz w:val="20"/>
              </w:rPr>
              <w:t>Respondent’s appeal, allowed; applicants’ application to admit fresh evidence and cross-appeal for easement, dismissed.</w:t>
            </w:r>
          </w:p>
        </w:tc>
      </w:tr>
      <w:tr w:rsidR="009734DA" w:rsidRPr="009F4C66" w:rsidTr="009734DA">
        <w:tc>
          <w:tcPr>
            <w:tcW w:w="2427" w:type="pct"/>
          </w:tcPr>
          <w:p w:rsidR="009734DA" w:rsidRPr="009F4C66" w:rsidRDefault="009734DA" w:rsidP="009734DA">
            <w:pPr>
              <w:jc w:val="both"/>
              <w:rPr>
                <w:sz w:val="20"/>
              </w:rPr>
            </w:pPr>
            <w:r w:rsidRPr="009F4C66">
              <w:rPr>
                <w:sz w:val="20"/>
              </w:rPr>
              <w:t>September 29, 2011</w:t>
            </w:r>
          </w:p>
          <w:p w:rsidR="009734DA" w:rsidRPr="009F4C66" w:rsidRDefault="009734DA" w:rsidP="009734DA">
            <w:pPr>
              <w:jc w:val="both"/>
              <w:rPr>
                <w:sz w:val="20"/>
              </w:rPr>
            </w:pPr>
            <w:r w:rsidRPr="009F4C66">
              <w:rPr>
                <w:sz w:val="20"/>
              </w:rPr>
              <w:t>Supreme Court of Canada</w:t>
            </w:r>
          </w:p>
        </w:tc>
        <w:tc>
          <w:tcPr>
            <w:tcW w:w="243" w:type="pct"/>
          </w:tcPr>
          <w:p w:rsidR="009734DA" w:rsidRPr="009F4C66" w:rsidRDefault="009734DA" w:rsidP="009734DA">
            <w:pPr>
              <w:jc w:val="both"/>
              <w:rPr>
                <w:sz w:val="20"/>
              </w:rPr>
            </w:pPr>
          </w:p>
        </w:tc>
        <w:tc>
          <w:tcPr>
            <w:tcW w:w="2330" w:type="pct"/>
          </w:tcPr>
          <w:p w:rsidR="009734DA" w:rsidRPr="009F4C66" w:rsidRDefault="009734DA" w:rsidP="009734DA">
            <w:pPr>
              <w:jc w:val="both"/>
              <w:rPr>
                <w:sz w:val="20"/>
              </w:rPr>
            </w:pPr>
            <w:r w:rsidRPr="009F4C66">
              <w:rPr>
                <w:sz w:val="20"/>
              </w:rPr>
              <w:t>Application for leave to appeal, filed.</w:t>
            </w: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64"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70DFA" w:rsidRPr="00832ABE" w:rsidTr="00364F37">
        <w:tc>
          <w:tcPr>
            <w:tcW w:w="5000" w:type="pct"/>
            <w:gridSpan w:val="3"/>
          </w:tcPr>
          <w:p w:rsidR="00370DFA" w:rsidRPr="009F4C66" w:rsidRDefault="00370DFA" w:rsidP="00364F37">
            <w:pPr>
              <w:jc w:val="both"/>
              <w:rPr>
                <w:rFonts w:eastAsia="Calibri"/>
                <w:sz w:val="20"/>
                <w:lang w:val="fr-CA"/>
              </w:rPr>
            </w:pPr>
            <w:r w:rsidRPr="009F4C66">
              <w:rPr>
                <w:rFonts w:eastAsia="Calibri"/>
                <w:sz w:val="20"/>
                <w:lang w:val="fr-CA"/>
              </w:rPr>
              <w:t>Biens – Biens réels – Voie publique – Propriété et usage d'un chemin privé – Servitudes – Servitude de nécessité – La Cour d'appel a-t-elle limité la portée de la doctrine de la connaissance d'office pour qu'elle ne s'applique que dans le contexte autochtone? – La Cour d'appel a-t-elle radicalement augmenté le fardeau et l'obligation de diligence raisonnable qui incombent aux acheteurs de biens-fonds en les obligeant de s’assurer qu'ils ont un accès légalement inscrit à chacune des parcelles avant de conclure une opération de vente? – La jurisprudence des provinces est-elle contradictoire quant à l'application du critère de common law en matière de voie publique par affectation? – La Cour d'appel a-t-elle rendu le critère d'admission de nouveaux éléments de preuve plus rigoureux?</w:t>
            </w:r>
          </w:p>
          <w:p w:rsidR="00370DFA" w:rsidRPr="009F4C66" w:rsidRDefault="00370DFA" w:rsidP="00364F37">
            <w:pPr>
              <w:jc w:val="both"/>
              <w:rPr>
                <w:rFonts w:eastAsia="Calibri"/>
                <w:sz w:val="20"/>
                <w:lang w:val="fr-CA"/>
              </w:rPr>
            </w:pPr>
          </w:p>
        </w:tc>
      </w:tr>
      <w:tr w:rsidR="00370DFA" w:rsidRPr="00832ABE" w:rsidTr="00364F37">
        <w:tc>
          <w:tcPr>
            <w:tcW w:w="5000" w:type="pct"/>
            <w:gridSpan w:val="3"/>
          </w:tcPr>
          <w:p w:rsidR="00370DFA" w:rsidRPr="009F4C66" w:rsidRDefault="00370DFA" w:rsidP="00364F37">
            <w:pPr>
              <w:jc w:val="both"/>
              <w:rPr>
                <w:rFonts w:eastAsia="Calibri"/>
                <w:sz w:val="20"/>
                <w:lang w:val="fr-CA"/>
              </w:rPr>
            </w:pPr>
            <w:r w:rsidRPr="009F4C66">
              <w:rPr>
                <w:rFonts w:eastAsia="Calibri"/>
                <w:sz w:val="20"/>
                <w:lang w:val="fr-CA"/>
              </w:rPr>
              <w:t xml:space="preserve">La demande porte sur la propriété et l'usage d'un chemin dans le comté de Leduc, en Alberta. Le chemin traverse le bien-fonds de l'intimée et mène à deux installations récréatives, dont une est exploitée par le demandeur, Kenneth Nelson qui en est aussi le propriétaire. Le chemin a été utilisé par les clients, les employés et les propriétaires des deux installations pendant plusieurs années. Il n'y a jamais eu d'autres chemins ou droits de passage menant à l’une ou l’autre des installations. Monsieur Nelson a appris que le chemin n’était pas un chemin appartenant au comté après qu’il  a acheté </w:t>
            </w:r>
            <w:proofErr w:type="gramStart"/>
            <w:r w:rsidRPr="009F4C66">
              <w:rPr>
                <w:rFonts w:eastAsia="Calibri"/>
                <w:sz w:val="20"/>
                <w:lang w:val="fr-CA"/>
              </w:rPr>
              <w:t>le</w:t>
            </w:r>
            <w:proofErr w:type="gramEnd"/>
            <w:r w:rsidRPr="009F4C66">
              <w:rPr>
                <w:rFonts w:eastAsia="Calibri"/>
                <w:sz w:val="20"/>
                <w:lang w:val="fr-CA"/>
              </w:rPr>
              <w:t xml:space="preserve"> bien-fonds et qu’il a reçu un permis d’aménagement en 1985; une des conditions du permis imposées par le comté était que M. Nelson obtienne l'approbation des propriétaires de biens-fonds adjacents pour avoir accès à l'emplacement. Entre 1986 et 1989, M. Nelson a eu des discussions avec le propriétaire du chemin de l'époque afin de négocier une convention de servitude pour l'utilisation du chemin. Aucune convention n'a été formellement conclue. Entre-temps, M. Nelson a entrepris l'aménagement du bien-fonds, en y construisant notamment une maison, des installations de ski nautique et un bâtiment d'entretien. L'accès à l'emplacement aménagé et l'utilisation subséquente de l'exploitation commerciale de ski nautique ont été entrepris avec la connaissance et l'acquiescement du propriétaire du chemin de l'époque. Lorsque l'intimée a acheté le bien-fonds en 2005, elle a fait valoir que le chemin était privé et elle a interdit à M. Nelson et à ses clients, son personnel et sa famille de l'utiliser. Monsieur Nelson a présenté une demande de jugement déclarant que le chemin avait été affecté à l'usage public ou qu'il avait obtenu une servitude reconnue en common law ou en équité grevant le bien-fonds de l'intimée.  </w:t>
            </w:r>
          </w:p>
          <w:p w:rsidR="00370DFA" w:rsidRPr="009F4C66" w:rsidRDefault="00370DFA" w:rsidP="00364F37">
            <w:pPr>
              <w:jc w:val="both"/>
              <w:rPr>
                <w:rFonts w:eastAsia="Calibri"/>
                <w:sz w:val="20"/>
                <w:lang w:val="fr-CA"/>
              </w:rPr>
            </w:pPr>
          </w:p>
          <w:p w:rsidR="00370DFA" w:rsidRPr="009F4C66" w:rsidRDefault="00370DFA" w:rsidP="00364F37">
            <w:pPr>
              <w:jc w:val="both"/>
              <w:rPr>
                <w:rFonts w:eastAsia="Calibri"/>
                <w:sz w:val="20"/>
                <w:lang w:val="fr-CA"/>
              </w:rPr>
            </w:pPr>
            <w:r w:rsidRPr="009F4C66">
              <w:rPr>
                <w:rFonts w:eastAsia="Calibri"/>
                <w:sz w:val="20"/>
                <w:lang w:val="fr-CA"/>
              </w:rPr>
              <w:t>La Cour du Banc de la Reine de l’Alberta a accueilli la demande, déclarant que le chemin était une voie publique, mais a rejeté la demande de jugement déclarant que les demandeurs avaient une servitude grevant le chemin. Les juges majoritaires de la Cour d'appel ont accueilli l'appel de l'intimée, rejetant la demande des demandeurs en vue d'admettre de nouveaux éléments de preuve et l'appel incident relatif à la servitude.</w:t>
            </w:r>
          </w:p>
          <w:p w:rsidR="00370DFA" w:rsidRPr="009F4C66" w:rsidRDefault="00370DFA" w:rsidP="00364F37">
            <w:pPr>
              <w:jc w:val="both"/>
              <w:rPr>
                <w:rFonts w:eastAsia="Calibri"/>
                <w:sz w:val="20"/>
                <w:lang w:val="fr-CA"/>
              </w:rPr>
            </w:pPr>
          </w:p>
        </w:tc>
      </w:tr>
      <w:tr w:rsidR="00370DFA" w:rsidRPr="00832ABE" w:rsidTr="00364F37">
        <w:tc>
          <w:tcPr>
            <w:tcW w:w="2427" w:type="pct"/>
          </w:tcPr>
          <w:p w:rsidR="00370DFA" w:rsidRPr="009F4C66" w:rsidRDefault="00370DFA" w:rsidP="00364F37">
            <w:pPr>
              <w:jc w:val="both"/>
              <w:rPr>
                <w:rFonts w:eastAsia="Calibri"/>
                <w:sz w:val="20"/>
                <w:lang w:val="fr-CA"/>
              </w:rPr>
            </w:pPr>
            <w:r w:rsidRPr="009F4C66">
              <w:rPr>
                <w:rFonts w:eastAsia="Calibri"/>
                <w:sz w:val="20"/>
                <w:lang w:val="fr-CA"/>
              </w:rPr>
              <w:t>11 décembre 2009</w:t>
            </w:r>
          </w:p>
          <w:p w:rsidR="00370DFA" w:rsidRPr="009F4C66" w:rsidRDefault="00370DFA" w:rsidP="00364F37">
            <w:pPr>
              <w:jc w:val="both"/>
              <w:rPr>
                <w:rFonts w:eastAsia="Calibri"/>
                <w:sz w:val="20"/>
                <w:lang w:val="fr-CA"/>
              </w:rPr>
            </w:pPr>
            <w:r w:rsidRPr="009F4C66">
              <w:rPr>
                <w:rFonts w:eastAsia="Calibri"/>
                <w:sz w:val="20"/>
                <w:lang w:val="fr-CA"/>
              </w:rPr>
              <w:t xml:space="preserve">Cour du Banc de la Reine de l'Alberta </w:t>
            </w:r>
          </w:p>
          <w:p w:rsidR="00370DFA" w:rsidRPr="009F4C66" w:rsidRDefault="00370DFA" w:rsidP="00364F37">
            <w:pPr>
              <w:jc w:val="both"/>
              <w:rPr>
                <w:rFonts w:eastAsia="Calibri"/>
                <w:sz w:val="20"/>
                <w:lang w:val="fr-CA"/>
              </w:rPr>
            </w:pPr>
            <w:r w:rsidRPr="009F4C66">
              <w:rPr>
                <w:rFonts w:eastAsia="Calibri"/>
                <w:sz w:val="20"/>
                <w:lang w:val="fr-CA"/>
              </w:rPr>
              <w:t>(Juge Moen)</w:t>
            </w:r>
          </w:p>
          <w:p w:rsidR="00370DFA" w:rsidRPr="009F4C66" w:rsidRDefault="00370DFA" w:rsidP="00364F37">
            <w:pPr>
              <w:jc w:val="both"/>
              <w:rPr>
                <w:rFonts w:eastAsia="Calibri"/>
                <w:sz w:val="20"/>
                <w:lang w:val="fr-CA"/>
              </w:rPr>
            </w:pPr>
          </w:p>
        </w:tc>
        <w:tc>
          <w:tcPr>
            <w:tcW w:w="243" w:type="pct"/>
          </w:tcPr>
          <w:p w:rsidR="00370DFA" w:rsidRPr="009F4C66" w:rsidRDefault="00370DFA" w:rsidP="00364F37">
            <w:pPr>
              <w:jc w:val="both"/>
              <w:rPr>
                <w:rFonts w:eastAsia="Calibri"/>
                <w:sz w:val="20"/>
                <w:lang w:val="fr-CA"/>
              </w:rPr>
            </w:pPr>
          </w:p>
        </w:tc>
        <w:tc>
          <w:tcPr>
            <w:tcW w:w="2330" w:type="pct"/>
          </w:tcPr>
          <w:p w:rsidR="00370DFA" w:rsidRDefault="00370DFA" w:rsidP="00364F37">
            <w:pPr>
              <w:jc w:val="both"/>
              <w:rPr>
                <w:rFonts w:eastAsia="Calibri"/>
                <w:sz w:val="20"/>
                <w:lang w:val="fr-CA"/>
              </w:rPr>
            </w:pPr>
            <w:r w:rsidRPr="009F4C66">
              <w:rPr>
                <w:rFonts w:eastAsia="Calibri"/>
                <w:sz w:val="20"/>
                <w:lang w:val="fr-CA"/>
              </w:rPr>
              <w:t>Demande des demandeurs de jugement déclarant que le chemin était un bien public, accueillie. Demande des demandeurs de jugement déclarant une servitude grevant les biens-fonds de l'intimé, rejetée.</w:t>
            </w:r>
          </w:p>
          <w:p w:rsidR="00370DFA" w:rsidRPr="009F4C66" w:rsidRDefault="00370DFA" w:rsidP="00364F37">
            <w:pPr>
              <w:jc w:val="both"/>
              <w:rPr>
                <w:rFonts w:eastAsia="Calibri"/>
                <w:sz w:val="20"/>
                <w:lang w:val="fr-CA"/>
              </w:rPr>
            </w:pPr>
          </w:p>
        </w:tc>
      </w:tr>
      <w:tr w:rsidR="00370DFA" w:rsidRPr="00832ABE" w:rsidTr="00364F37">
        <w:tc>
          <w:tcPr>
            <w:tcW w:w="2427" w:type="pct"/>
          </w:tcPr>
          <w:p w:rsidR="00370DFA" w:rsidRPr="009F4C66" w:rsidRDefault="00370DFA" w:rsidP="00364F37">
            <w:pPr>
              <w:jc w:val="both"/>
              <w:rPr>
                <w:rFonts w:eastAsia="Calibri"/>
                <w:sz w:val="20"/>
                <w:lang w:val="fr-CA"/>
              </w:rPr>
            </w:pPr>
            <w:r w:rsidRPr="009F4C66">
              <w:rPr>
                <w:rFonts w:eastAsia="Calibri"/>
                <w:sz w:val="20"/>
                <w:lang w:val="fr-CA"/>
              </w:rPr>
              <w:t>6 juillet 2011</w:t>
            </w:r>
          </w:p>
          <w:p w:rsidR="00370DFA" w:rsidRPr="009F4C66" w:rsidRDefault="00370DFA" w:rsidP="00364F37">
            <w:pPr>
              <w:jc w:val="both"/>
              <w:rPr>
                <w:rFonts w:eastAsia="Calibri"/>
                <w:sz w:val="20"/>
                <w:lang w:val="fr-CA"/>
              </w:rPr>
            </w:pPr>
            <w:r w:rsidRPr="009F4C66">
              <w:rPr>
                <w:rFonts w:eastAsia="Calibri"/>
                <w:sz w:val="20"/>
                <w:lang w:val="fr-CA"/>
              </w:rPr>
              <w:t>Cour d'appel de l'Alberta (Edmonton)</w:t>
            </w:r>
          </w:p>
          <w:p w:rsidR="00370DFA" w:rsidRPr="009F4C66" w:rsidRDefault="00370DFA" w:rsidP="00364F37">
            <w:pPr>
              <w:jc w:val="both"/>
              <w:rPr>
                <w:rFonts w:eastAsia="Calibri"/>
                <w:sz w:val="20"/>
                <w:lang w:val="fr-CA"/>
              </w:rPr>
            </w:pPr>
            <w:r w:rsidRPr="009F4C66">
              <w:rPr>
                <w:rFonts w:eastAsia="Calibri"/>
                <w:sz w:val="20"/>
                <w:lang w:val="fr-CA"/>
              </w:rPr>
              <w:t>(Juges Paperny (dissidente en partie), McDonald et Verville)</w:t>
            </w:r>
          </w:p>
        </w:tc>
        <w:tc>
          <w:tcPr>
            <w:tcW w:w="243" w:type="pct"/>
          </w:tcPr>
          <w:p w:rsidR="00370DFA" w:rsidRPr="009F4C66" w:rsidRDefault="00370DFA" w:rsidP="00364F37">
            <w:pPr>
              <w:jc w:val="both"/>
              <w:rPr>
                <w:rFonts w:eastAsia="Calibri"/>
                <w:sz w:val="20"/>
                <w:lang w:val="fr-CA"/>
              </w:rPr>
            </w:pPr>
          </w:p>
        </w:tc>
        <w:tc>
          <w:tcPr>
            <w:tcW w:w="2330" w:type="pct"/>
          </w:tcPr>
          <w:p w:rsidR="00370DFA" w:rsidRPr="009F4C66" w:rsidRDefault="00370DFA" w:rsidP="00364F37">
            <w:pPr>
              <w:jc w:val="both"/>
              <w:rPr>
                <w:rFonts w:eastAsia="Calibri"/>
                <w:sz w:val="20"/>
                <w:lang w:val="fr-CA"/>
              </w:rPr>
            </w:pPr>
            <w:r w:rsidRPr="009F4C66">
              <w:rPr>
                <w:rFonts w:eastAsia="Calibri"/>
                <w:sz w:val="20"/>
                <w:lang w:val="fr-CA"/>
              </w:rPr>
              <w:t>Appel de l'intimée, accueilli; demande des demandeurs en vue d'admettre de nouveaux éléments de preuves et appel incident relatif à la servitude, rejetés.</w:t>
            </w:r>
          </w:p>
          <w:p w:rsidR="00370DFA" w:rsidRPr="009F4C66" w:rsidRDefault="00370DFA" w:rsidP="00364F37">
            <w:pPr>
              <w:jc w:val="both"/>
              <w:rPr>
                <w:rFonts w:eastAsia="Calibri"/>
                <w:sz w:val="20"/>
                <w:lang w:val="fr-CA"/>
              </w:rPr>
            </w:pPr>
          </w:p>
        </w:tc>
      </w:tr>
      <w:tr w:rsidR="00370DFA" w:rsidRPr="009F4C66" w:rsidTr="00364F37">
        <w:tc>
          <w:tcPr>
            <w:tcW w:w="2427" w:type="pct"/>
          </w:tcPr>
          <w:p w:rsidR="00370DFA" w:rsidRPr="009F4C66" w:rsidRDefault="00370DFA" w:rsidP="00364F37">
            <w:pPr>
              <w:jc w:val="both"/>
              <w:rPr>
                <w:rFonts w:eastAsia="Calibri"/>
                <w:sz w:val="20"/>
                <w:lang w:val="fr-CA"/>
              </w:rPr>
            </w:pPr>
            <w:r w:rsidRPr="009F4C66">
              <w:rPr>
                <w:rFonts w:eastAsia="Calibri"/>
                <w:sz w:val="20"/>
                <w:lang w:val="fr-CA"/>
              </w:rPr>
              <w:t>29 septembre 2011</w:t>
            </w:r>
          </w:p>
          <w:p w:rsidR="00370DFA" w:rsidRPr="009F4C66" w:rsidRDefault="00370DFA" w:rsidP="00364F37">
            <w:pPr>
              <w:jc w:val="both"/>
              <w:rPr>
                <w:rFonts w:eastAsia="Calibri"/>
                <w:sz w:val="20"/>
                <w:lang w:val="fr-CA"/>
              </w:rPr>
            </w:pPr>
            <w:r w:rsidRPr="009F4C66">
              <w:rPr>
                <w:rFonts w:eastAsia="Calibri"/>
                <w:sz w:val="20"/>
                <w:lang w:val="fr-CA"/>
              </w:rPr>
              <w:t>Cour suprême du Canada</w:t>
            </w:r>
          </w:p>
        </w:tc>
        <w:tc>
          <w:tcPr>
            <w:tcW w:w="243" w:type="pct"/>
          </w:tcPr>
          <w:p w:rsidR="00370DFA" w:rsidRPr="009F4C66" w:rsidRDefault="00370DFA" w:rsidP="00364F37">
            <w:pPr>
              <w:jc w:val="both"/>
              <w:rPr>
                <w:rFonts w:eastAsia="Calibri"/>
                <w:sz w:val="20"/>
                <w:lang w:val="fr-CA"/>
              </w:rPr>
            </w:pPr>
          </w:p>
        </w:tc>
        <w:tc>
          <w:tcPr>
            <w:tcW w:w="2330" w:type="pct"/>
          </w:tcPr>
          <w:p w:rsidR="00370DFA" w:rsidRPr="009F4C66" w:rsidRDefault="00370DFA" w:rsidP="00364F37">
            <w:pPr>
              <w:jc w:val="both"/>
              <w:rPr>
                <w:rFonts w:eastAsia="Calibri"/>
                <w:sz w:val="20"/>
                <w:lang w:val="fr-CA"/>
              </w:rPr>
            </w:pPr>
            <w:r w:rsidRPr="009F4C66">
              <w:rPr>
                <w:rFonts w:eastAsia="Calibri"/>
                <w:sz w:val="20"/>
                <w:lang w:val="fr-CA"/>
              </w:rPr>
              <w:t>Demande d'autorisation d'appel, déposée.</w:t>
            </w: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65"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1320A" w:rsidRPr="003A3F02" w:rsidTr="00615936">
        <w:trPr>
          <w:cantSplit/>
        </w:trPr>
        <w:tc>
          <w:tcPr>
            <w:tcW w:w="1458" w:type="dxa"/>
          </w:tcPr>
          <w:p w:rsidR="0031320A" w:rsidRPr="003A3F02" w:rsidRDefault="0031320A" w:rsidP="00615936">
            <w:pPr>
              <w:rPr>
                <w:sz w:val="20"/>
                <w:szCs w:val="20"/>
              </w:rPr>
            </w:pPr>
            <w:r w:rsidRPr="003A3F02">
              <w:rPr>
                <w:rStyle w:val="SCCFileNumberChar"/>
                <w:sz w:val="20"/>
                <w:szCs w:val="20"/>
              </w:rPr>
              <w:t>34494</w:t>
            </w:r>
          </w:p>
          <w:p w:rsidR="0031320A" w:rsidRPr="003A3F02" w:rsidRDefault="0031320A" w:rsidP="00615936">
            <w:pPr>
              <w:rPr>
                <w:b/>
                <w:sz w:val="20"/>
                <w:szCs w:val="20"/>
                <w:lang w:val="fr-CA"/>
              </w:rPr>
            </w:pPr>
          </w:p>
        </w:tc>
        <w:tc>
          <w:tcPr>
            <w:tcW w:w="8118" w:type="dxa"/>
          </w:tcPr>
          <w:p w:rsidR="0031320A" w:rsidRPr="003A3F02" w:rsidRDefault="0031320A" w:rsidP="0031320A">
            <w:pPr>
              <w:jc w:val="both"/>
              <w:rPr>
                <w:sz w:val="20"/>
                <w:szCs w:val="20"/>
              </w:rPr>
            </w:pPr>
            <w:r w:rsidRPr="0031320A">
              <w:rPr>
                <w:rStyle w:val="SCCLsocChar"/>
                <w:sz w:val="20"/>
                <w:szCs w:val="20"/>
                <w:lang w:val="en-CA"/>
              </w:rPr>
              <w:t>City of Calgary v. Jim Christensen</w:t>
            </w:r>
            <w:r>
              <w:rPr>
                <w:rStyle w:val="SCCLsocChar"/>
                <w:sz w:val="20"/>
                <w:szCs w:val="20"/>
                <w:lang w:val="en-CA"/>
              </w:rPr>
              <w:t xml:space="preserve"> and</w:t>
            </w:r>
            <w:r w:rsidRPr="0031320A">
              <w:rPr>
                <w:rStyle w:val="SCCLsocChar"/>
                <w:sz w:val="20"/>
                <w:szCs w:val="20"/>
                <w:lang w:val="en-CA"/>
              </w:rPr>
              <w:t xml:space="preserve"> Her Majesty the Queen in Right of Alberta AND BETWEEN City of Calgary v. Stephen Neil Gaston</w:t>
            </w:r>
            <w:r w:rsidR="007B6951">
              <w:rPr>
                <w:rStyle w:val="SCCLsocChar"/>
                <w:sz w:val="20"/>
                <w:szCs w:val="20"/>
                <w:lang w:val="en-CA"/>
              </w:rPr>
              <w:t xml:space="preserve"> and</w:t>
            </w:r>
            <w:r w:rsidRPr="0031320A">
              <w:rPr>
                <w:rStyle w:val="SCCLsocChar"/>
                <w:sz w:val="20"/>
                <w:szCs w:val="20"/>
                <w:lang w:val="en-CA"/>
              </w:rPr>
              <w:t xml:space="preserve"> Her Majesty the Queen in Right of Alberta</w:t>
            </w:r>
            <w:r w:rsidRPr="003A3F02">
              <w:rPr>
                <w:sz w:val="20"/>
                <w:szCs w:val="20"/>
              </w:rPr>
              <w:t xml:space="preserve"> (Alta.) (Civil) (By Leave)</w:t>
            </w:r>
          </w:p>
          <w:p w:rsidR="0031320A" w:rsidRPr="003A3F02" w:rsidRDefault="0031320A" w:rsidP="00615936">
            <w:pPr>
              <w:rPr>
                <w:sz w:val="20"/>
                <w:szCs w:val="20"/>
              </w:rPr>
            </w:pPr>
          </w:p>
        </w:tc>
      </w:tr>
      <w:tr w:rsidR="0031320A" w:rsidRPr="003A3F02" w:rsidTr="00615936">
        <w:trPr>
          <w:cantSplit/>
        </w:trPr>
        <w:tc>
          <w:tcPr>
            <w:tcW w:w="1458" w:type="dxa"/>
          </w:tcPr>
          <w:p w:rsidR="0031320A" w:rsidRPr="003A3F02" w:rsidRDefault="0031320A" w:rsidP="00615936">
            <w:pPr>
              <w:rPr>
                <w:sz w:val="20"/>
                <w:szCs w:val="20"/>
              </w:rPr>
            </w:pPr>
            <w:r w:rsidRPr="003A3F02">
              <w:rPr>
                <w:sz w:val="20"/>
                <w:szCs w:val="20"/>
              </w:rPr>
              <w:t>Coram :</w:t>
            </w:r>
          </w:p>
        </w:tc>
        <w:tc>
          <w:tcPr>
            <w:tcW w:w="8118" w:type="dxa"/>
          </w:tcPr>
          <w:p w:rsidR="0031320A" w:rsidRPr="003A3F02" w:rsidRDefault="0031320A" w:rsidP="00615936">
            <w:pPr>
              <w:rPr>
                <w:sz w:val="20"/>
                <w:szCs w:val="20"/>
              </w:rPr>
            </w:pPr>
            <w:r w:rsidRPr="0031320A">
              <w:rPr>
                <w:rStyle w:val="SCCCoramChar"/>
                <w:sz w:val="20"/>
                <w:szCs w:val="20"/>
                <w:lang w:val="en-CA"/>
              </w:rPr>
              <w:t>Deschamps, Fish and Karakatsanis JJ.</w:t>
            </w:r>
          </w:p>
          <w:p w:rsidR="0031320A" w:rsidRPr="003A3F02" w:rsidRDefault="0031320A" w:rsidP="00615936">
            <w:pPr>
              <w:rPr>
                <w:sz w:val="20"/>
                <w:szCs w:val="20"/>
                <w:u w:val="single"/>
              </w:rPr>
            </w:pPr>
          </w:p>
        </w:tc>
      </w:tr>
      <w:tr w:rsidR="0031320A" w:rsidRPr="00832ABE" w:rsidTr="00615936">
        <w:trPr>
          <w:cantSplit/>
        </w:trPr>
        <w:tc>
          <w:tcPr>
            <w:tcW w:w="9576" w:type="dxa"/>
            <w:gridSpan w:val="2"/>
          </w:tcPr>
          <w:p w:rsidR="0031320A" w:rsidRPr="003A3F02" w:rsidRDefault="0031320A" w:rsidP="00615936">
            <w:pPr>
              <w:pStyle w:val="SCCShortJudgment"/>
              <w:rPr>
                <w:szCs w:val="20"/>
              </w:rPr>
            </w:pPr>
            <w:r w:rsidRPr="003A3F02">
              <w:rPr>
                <w:szCs w:val="20"/>
              </w:rPr>
              <w:t>The application for leave to appeal from the judgment of the Court of Appeal of Alberta (Calgary), Number 1001-0224-AC, 2011 ABCA 244, dated August 19, 2011, is dismissed with costs.</w:t>
            </w:r>
          </w:p>
          <w:p w:rsidR="0031320A" w:rsidRPr="003A3F02" w:rsidRDefault="0031320A" w:rsidP="00615936">
            <w:pPr>
              <w:pStyle w:val="SCCShortJudgment"/>
              <w:ind w:firstLine="0"/>
              <w:rPr>
                <w:szCs w:val="20"/>
              </w:rPr>
            </w:pPr>
          </w:p>
          <w:p w:rsidR="0031320A" w:rsidRPr="003A3F02" w:rsidRDefault="0031320A" w:rsidP="00615936">
            <w:pPr>
              <w:pStyle w:val="SCCShortJudgment"/>
              <w:rPr>
                <w:szCs w:val="20"/>
                <w:lang w:val="fr-CA"/>
              </w:rPr>
            </w:pPr>
            <w:r w:rsidRPr="003A3F02">
              <w:rPr>
                <w:szCs w:val="20"/>
                <w:lang w:val="fr-CA"/>
              </w:rPr>
              <w:t>La demande d’autorisation d’appel de l’arrêt de la Cour d’appel de l’Alberta (Calgary), numéro 1001-0224-AC, 2011 ABCA 244, daté du 19 août 2011, est rejetée avec dépens.</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70DFA" w:rsidRPr="009F4C66" w:rsidTr="00364F37">
        <w:tc>
          <w:tcPr>
            <w:tcW w:w="5000" w:type="pct"/>
            <w:gridSpan w:val="3"/>
          </w:tcPr>
          <w:p w:rsidR="00370DFA" w:rsidRPr="009F4C66" w:rsidRDefault="00370DFA" w:rsidP="00364F37">
            <w:pPr>
              <w:jc w:val="both"/>
              <w:rPr>
                <w:sz w:val="20"/>
              </w:rPr>
            </w:pPr>
            <w:r w:rsidRPr="009F4C66">
              <w:rPr>
                <w:sz w:val="20"/>
              </w:rPr>
              <w:t xml:space="preserve">Torts — Negligence — Occupiers’ liability — Standard of care — Respondents bringing claim against applicant City under </w:t>
            </w:r>
            <w:r w:rsidRPr="009F4C66">
              <w:rPr>
                <w:i/>
                <w:sz w:val="20"/>
              </w:rPr>
              <w:t>Occupiers' Liability Act</w:t>
            </w:r>
            <w:r w:rsidRPr="009F4C66">
              <w:rPr>
                <w:sz w:val="20"/>
              </w:rPr>
              <w:t xml:space="preserve"> after they were injured while in</w:t>
            </w:r>
            <w:r w:rsidRPr="009F4C66">
              <w:rPr>
                <w:sz w:val="20"/>
              </w:rPr>
              <w:noBreakHyphen/>
              <w:t xml:space="preserve">line skating on a recreational pathway — City arguing that respondents had failed to establish requisite standard of care — Trial judge ruling in favour of respondents and Court of Appeal upholding ruling — Whether the Occupiers’ Liability legislation in place in six of the 10 provinces negates a plaintiff’s burden of establishing the reasonable standard of care required of an occupier — </w:t>
            </w:r>
            <w:r w:rsidRPr="009F4C66">
              <w:rPr>
                <w:i/>
                <w:sz w:val="20"/>
              </w:rPr>
              <w:t>Occupiers' Liability Act</w:t>
            </w:r>
            <w:r w:rsidRPr="009F4C66">
              <w:rPr>
                <w:sz w:val="20"/>
              </w:rPr>
              <w:t>, R.S.A. 2000, c. O</w:t>
            </w:r>
            <w:r w:rsidRPr="009F4C66">
              <w:rPr>
                <w:sz w:val="20"/>
              </w:rPr>
              <w:noBreakHyphen/>
              <w:t>4, ss. 5, 9.</w:t>
            </w:r>
          </w:p>
        </w:tc>
      </w:tr>
      <w:tr w:rsidR="00370DFA" w:rsidRPr="009F4C66" w:rsidTr="00364F37">
        <w:tc>
          <w:tcPr>
            <w:tcW w:w="5000" w:type="pct"/>
            <w:gridSpan w:val="3"/>
          </w:tcPr>
          <w:p w:rsidR="00370DFA" w:rsidRPr="009F4C66" w:rsidRDefault="00370DFA" w:rsidP="00364F37">
            <w:pPr>
              <w:jc w:val="both"/>
              <w:rPr>
                <w:sz w:val="20"/>
              </w:rPr>
            </w:pPr>
          </w:p>
        </w:tc>
      </w:tr>
      <w:tr w:rsidR="00370DFA" w:rsidRPr="009F4C66" w:rsidTr="00364F37">
        <w:tc>
          <w:tcPr>
            <w:tcW w:w="5000" w:type="pct"/>
            <w:gridSpan w:val="3"/>
          </w:tcPr>
          <w:p w:rsidR="00370DFA" w:rsidRPr="009F4C66" w:rsidRDefault="00370DFA" w:rsidP="00364F37">
            <w:pPr>
              <w:jc w:val="both"/>
              <w:rPr>
                <w:sz w:val="20"/>
              </w:rPr>
            </w:pPr>
            <w:r w:rsidRPr="009F4C66">
              <w:rPr>
                <w:sz w:val="20"/>
              </w:rPr>
              <w:t>The respondents were injured in two separate accidents that occurred when they were in</w:t>
            </w:r>
            <w:r w:rsidRPr="009F4C66">
              <w:rPr>
                <w:sz w:val="20"/>
              </w:rPr>
              <w:noBreakHyphen/>
              <w:t>line skating on public land specifically designed by the applicant City for recreational use in a variety of activities.  The accidents took place on a steep hill.  The issue of liability went to trial.  The trial judge ruled in favour of the respondents, but found each of them contributorily negligent, assessing 10 percent to Mr. Christensen and 25 percent to Mr. Gaston.  The Court of Appeal, in a majority judgment, dismissed the City’s appeal.</w:t>
            </w:r>
          </w:p>
          <w:p w:rsidR="00370DFA" w:rsidRPr="009F4C66" w:rsidRDefault="00370DFA" w:rsidP="00364F37">
            <w:pPr>
              <w:jc w:val="both"/>
              <w:rPr>
                <w:sz w:val="20"/>
              </w:rPr>
            </w:pPr>
          </w:p>
        </w:tc>
      </w:tr>
      <w:tr w:rsidR="00370DFA" w:rsidRPr="009F4C66" w:rsidTr="00364F37">
        <w:tc>
          <w:tcPr>
            <w:tcW w:w="2427" w:type="pct"/>
          </w:tcPr>
          <w:p w:rsidR="00370DFA" w:rsidRPr="009F4C66" w:rsidRDefault="00370DFA" w:rsidP="00364F37">
            <w:pPr>
              <w:jc w:val="both"/>
              <w:rPr>
                <w:sz w:val="20"/>
              </w:rPr>
            </w:pPr>
            <w:r w:rsidRPr="009F4C66">
              <w:rPr>
                <w:sz w:val="20"/>
              </w:rPr>
              <w:t>July 7, 2010</w:t>
            </w:r>
          </w:p>
          <w:p w:rsidR="00370DFA" w:rsidRPr="009F4C66" w:rsidRDefault="00370DFA" w:rsidP="00364F37">
            <w:pPr>
              <w:jc w:val="both"/>
              <w:rPr>
                <w:sz w:val="20"/>
              </w:rPr>
            </w:pPr>
            <w:r w:rsidRPr="009F4C66">
              <w:rPr>
                <w:sz w:val="20"/>
              </w:rPr>
              <w:t>Court of Queen’s Bench of Alberta</w:t>
            </w:r>
          </w:p>
          <w:p w:rsidR="00370DFA" w:rsidRPr="009F4C66" w:rsidRDefault="00370DFA" w:rsidP="00364F37">
            <w:pPr>
              <w:jc w:val="both"/>
              <w:rPr>
                <w:sz w:val="20"/>
              </w:rPr>
            </w:pPr>
            <w:r w:rsidRPr="009F4C66">
              <w:rPr>
                <w:sz w:val="20"/>
              </w:rPr>
              <w:t>(Martin J.)</w:t>
            </w:r>
          </w:p>
          <w:p w:rsidR="00370DFA" w:rsidRPr="009F4C66" w:rsidRDefault="00370DFA" w:rsidP="00364F37">
            <w:pPr>
              <w:jc w:val="both"/>
              <w:rPr>
                <w:sz w:val="20"/>
              </w:rPr>
            </w:pPr>
          </w:p>
        </w:tc>
        <w:tc>
          <w:tcPr>
            <w:tcW w:w="243" w:type="pct"/>
          </w:tcPr>
          <w:p w:rsidR="00370DFA" w:rsidRPr="009F4C66" w:rsidRDefault="00370DFA" w:rsidP="00364F37">
            <w:pPr>
              <w:jc w:val="both"/>
              <w:rPr>
                <w:sz w:val="20"/>
              </w:rPr>
            </w:pPr>
          </w:p>
        </w:tc>
        <w:tc>
          <w:tcPr>
            <w:tcW w:w="2330" w:type="pct"/>
          </w:tcPr>
          <w:p w:rsidR="00370DFA" w:rsidRPr="009F4C66" w:rsidRDefault="00370DFA" w:rsidP="00364F37">
            <w:pPr>
              <w:jc w:val="both"/>
              <w:rPr>
                <w:sz w:val="20"/>
              </w:rPr>
            </w:pPr>
            <w:r w:rsidRPr="009F4C66">
              <w:rPr>
                <w:sz w:val="20"/>
              </w:rPr>
              <w:t xml:space="preserve">Applicant City found liable under </w:t>
            </w:r>
            <w:r w:rsidRPr="009F4C66">
              <w:rPr>
                <w:i/>
                <w:sz w:val="20"/>
              </w:rPr>
              <w:t>Occupiers’ Liability Act</w:t>
            </w:r>
          </w:p>
          <w:p w:rsidR="00370DFA" w:rsidRPr="009F4C66" w:rsidRDefault="00370DFA" w:rsidP="00364F37">
            <w:pPr>
              <w:jc w:val="both"/>
              <w:rPr>
                <w:sz w:val="20"/>
              </w:rPr>
            </w:pPr>
          </w:p>
        </w:tc>
      </w:tr>
      <w:tr w:rsidR="00370DFA" w:rsidRPr="009F4C66" w:rsidTr="00364F37">
        <w:tc>
          <w:tcPr>
            <w:tcW w:w="2427" w:type="pct"/>
          </w:tcPr>
          <w:p w:rsidR="00370DFA" w:rsidRPr="009F4C66" w:rsidRDefault="00370DFA" w:rsidP="00364F37">
            <w:pPr>
              <w:jc w:val="both"/>
              <w:rPr>
                <w:sz w:val="20"/>
              </w:rPr>
            </w:pPr>
            <w:r w:rsidRPr="009F4C66">
              <w:rPr>
                <w:sz w:val="20"/>
              </w:rPr>
              <w:t>August 19, 2011</w:t>
            </w:r>
          </w:p>
          <w:p w:rsidR="00370DFA" w:rsidRPr="009F4C66" w:rsidRDefault="00370DFA" w:rsidP="00364F37">
            <w:pPr>
              <w:jc w:val="both"/>
              <w:rPr>
                <w:sz w:val="20"/>
              </w:rPr>
            </w:pPr>
            <w:r w:rsidRPr="009F4C66">
              <w:rPr>
                <w:sz w:val="20"/>
              </w:rPr>
              <w:t>Court of Appeal of Alberta</w:t>
            </w:r>
          </w:p>
          <w:p w:rsidR="00370DFA" w:rsidRPr="009F4C66" w:rsidRDefault="00370DFA" w:rsidP="00364F37">
            <w:pPr>
              <w:jc w:val="both"/>
              <w:rPr>
                <w:sz w:val="20"/>
              </w:rPr>
            </w:pPr>
            <w:r w:rsidRPr="009F4C66">
              <w:rPr>
                <w:sz w:val="20"/>
              </w:rPr>
              <w:t>(Conrad, Berger and McDonald (dissenting) JJ.A.)</w:t>
            </w:r>
          </w:p>
          <w:p w:rsidR="00370DFA" w:rsidRPr="009F4C66" w:rsidRDefault="00370DFA" w:rsidP="00364F37">
            <w:pPr>
              <w:jc w:val="both"/>
              <w:rPr>
                <w:sz w:val="20"/>
              </w:rPr>
            </w:pPr>
            <w:r w:rsidRPr="009F4C66">
              <w:rPr>
                <w:sz w:val="20"/>
              </w:rPr>
              <w:t>2011 ABCA 244</w:t>
            </w:r>
          </w:p>
          <w:p w:rsidR="00370DFA" w:rsidRPr="009F4C66" w:rsidRDefault="00370DFA" w:rsidP="00364F37">
            <w:pPr>
              <w:jc w:val="both"/>
              <w:rPr>
                <w:sz w:val="20"/>
              </w:rPr>
            </w:pPr>
          </w:p>
        </w:tc>
        <w:tc>
          <w:tcPr>
            <w:tcW w:w="243" w:type="pct"/>
          </w:tcPr>
          <w:p w:rsidR="00370DFA" w:rsidRPr="009F4C66" w:rsidRDefault="00370DFA" w:rsidP="00364F37">
            <w:pPr>
              <w:jc w:val="both"/>
              <w:rPr>
                <w:sz w:val="20"/>
              </w:rPr>
            </w:pPr>
          </w:p>
        </w:tc>
        <w:tc>
          <w:tcPr>
            <w:tcW w:w="2330" w:type="pct"/>
          </w:tcPr>
          <w:p w:rsidR="00370DFA" w:rsidRPr="009F4C66" w:rsidRDefault="00370DFA" w:rsidP="00364F37">
            <w:pPr>
              <w:jc w:val="both"/>
              <w:rPr>
                <w:sz w:val="20"/>
              </w:rPr>
            </w:pPr>
            <w:r w:rsidRPr="009F4C66">
              <w:rPr>
                <w:sz w:val="20"/>
              </w:rPr>
              <w:t>Appeal dismissed</w:t>
            </w:r>
          </w:p>
          <w:p w:rsidR="00370DFA" w:rsidRPr="009F4C66" w:rsidRDefault="00370DFA" w:rsidP="00364F37">
            <w:pPr>
              <w:jc w:val="both"/>
              <w:rPr>
                <w:sz w:val="20"/>
              </w:rPr>
            </w:pPr>
          </w:p>
        </w:tc>
      </w:tr>
      <w:tr w:rsidR="00370DFA" w:rsidRPr="009F4C66" w:rsidTr="00364F37">
        <w:tc>
          <w:tcPr>
            <w:tcW w:w="2427" w:type="pct"/>
          </w:tcPr>
          <w:p w:rsidR="00370DFA" w:rsidRPr="009F4C66" w:rsidRDefault="00370DFA" w:rsidP="00364F37">
            <w:pPr>
              <w:jc w:val="both"/>
              <w:rPr>
                <w:sz w:val="20"/>
              </w:rPr>
            </w:pPr>
            <w:r w:rsidRPr="009F4C66">
              <w:rPr>
                <w:sz w:val="20"/>
              </w:rPr>
              <w:t>October 18, 2011</w:t>
            </w:r>
          </w:p>
          <w:p w:rsidR="00370DFA" w:rsidRPr="009F4C66" w:rsidRDefault="00370DFA" w:rsidP="00364F37">
            <w:pPr>
              <w:jc w:val="both"/>
              <w:rPr>
                <w:sz w:val="20"/>
              </w:rPr>
            </w:pPr>
            <w:r w:rsidRPr="009F4C66">
              <w:rPr>
                <w:sz w:val="20"/>
              </w:rPr>
              <w:t>Supreme Court of Canada</w:t>
            </w:r>
          </w:p>
        </w:tc>
        <w:tc>
          <w:tcPr>
            <w:tcW w:w="243" w:type="pct"/>
          </w:tcPr>
          <w:p w:rsidR="00370DFA" w:rsidRPr="009F4C66" w:rsidRDefault="00370DFA" w:rsidP="00364F37">
            <w:pPr>
              <w:jc w:val="both"/>
              <w:rPr>
                <w:sz w:val="20"/>
              </w:rPr>
            </w:pPr>
          </w:p>
        </w:tc>
        <w:tc>
          <w:tcPr>
            <w:tcW w:w="2330" w:type="pct"/>
          </w:tcPr>
          <w:p w:rsidR="00370DFA" w:rsidRPr="009F4C66" w:rsidRDefault="00370DFA" w:rsidP="00364F37">
            <w:pPr>
              <w:jc w:val="both"/>
              <w:rPr>
                <w:sz w:val="20"/>
              </w:rPr>
            </w:pPr>
            <w:r w:rsidRPr="009F4C66">
              <w:rPr>
                <w:sz w:val="20"/>
              </w:rPr>
              <w:t>Application for leave to appeal filed</w:t>
            </w:r>
          </w:p>
          <w:p w:rsidR="00370DFA" w:rsidRPr="009F4C66" w:rsidRDefault="00370DFA" w:rsidP="00364F37">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66"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70DFA" w:rsidRPr="00AE5A82" w:rsidTr="00364F37">
        <w:tc>
          <w:tcPr>
            <w:tcW w:w="5000" w:type="pct"/>
            <w:gridSpan w:val="3"/>
          </w:tcPr>
          <w:p w:rsidR="00370DFA" w:rsidRPr="009F4C66" w:rsidRDefault="00370DFA" w:rsidP="00364F37">
            <w:pPr>
              <w:jc w:val="both"/>
              <w:rPr>
                <w:sz w:val="20"/>
                <w:lang w:val="fr-CA"/>
              </w:rPr>
            </w:pPr>
            <w:r w:rsidRPr="009F4C66">
              <w:rPr>
                <w:sz w:val="20"/>
                <w:lang w:val="fr-CA"/>
              </w:rPr>
              <w:t>Responsabilité délictuelle — Négligence — Responsabilité de l’occupant — Norme de diligence — Poursuites intentées par les défendeurs contre la ville demanderesse sur le fondement de l’</w:t>
            </w:r>
            <w:r w:rsidRPr="009F4C66">
              <w:rPr>
                <w:i/>
                <w:sz w:val="20"/>
                <w:lang w:val="fr-CA"/>
              </w:rPr>
              <w:t>Occupiers' Liability Act</w:t>
            </w:r>
            <w:r w:rsidRPr="009F4C66">
              <w:rPr>
                <w:sz w:val="20"/>
                <w:lang w:val="fr-CA"/>
              </w:rPr>
              <w:t xml:space="preserve"> après que ces derniers eurent été blessés en s’adonnant au patin à roues alignées dans un sentier récréatif — La ville a soutenu que les défendeurs n’avaient pas établi la norme de diligence requise — La juge de première instance a tranché en faveur des défendeurs, et la Cour d’appel a confirmé son jugement — Les dispositions sur la responsabilité de l’occupant qui s’appliquent dans six des dix provinces ont</w:t>
            </w:r>
            <w:r w:rsidRPr="009F4C66">
              <w:rPr>
                <w:sz w:val="20"/>
                <w:lang w:val="fr-CA"/>
              </w:rPr>
              <w:noBreakHyphen/>
              <w:t xml:space="preserve">elles pour effet de soustraire un demandeur à l’obligation d’établir la norme de diligence raisonnable requise d’un occupant? — </w:t>
            </w:r>
            <w:r w:rsidRPr="009F4C66">
              <w:rPr>
                <w:i/>
                <w:sz w:val="20"/>
                <w:lang w:val="fr-CA"/>
              </w:rPr>
              <w:t>Occupiers' Liability Act</w:t>
            </w:r>
            <w:r w:rsidRPr="009F4C66">
              <w:rPr>
                <w:sz w:val="20"/>
                <w:lang w:val="fr-CA"/>
              </w:rPr>
              <w:t>, R.S.A. 2000, ch. O</w:t>
            </w:r>
            <w:r w:rsidRPr="009F4C66">
              <w:rPr>
                <w:sz w:val="20"/>
                <w:lang w:val="fr-CA"/>
              </w:rPr>
              <w:noBreakHyphen/>
              <w:t>4, art. 5, 9.</w:t>
            </w:r>
          </w:p>
        </w:tc>
      </w:tr>
      <w:tr w:rsidR="00370DFA" w:rsidRPr="00AE5A82" w:rsidTr="00364F37">
        <w:tc>
          <w:tcPr>
            <w:tcW w:w="5000" w:type="pct"/>
            <w:gridSpan w:val="3"/>
          </w:tcPr>
          <w:p w:rsidR="00370DFA" w:rsidRPr="009F4C66" w:rsidRDefault="00370DFA" w:rsidP="00364F37">
            <w:pPr>
              <w:jc w:val="both"/>
              <w:rPr>
                <w:sz w:val="20"/>
                <w:lang w:val="fr-CA"/>
              </w:rPr>
            </w:pPr>
          </w:p>
        </w:tc>
      </w:tr>
      <w:tr w:rsidR="00370DFA" w:rsidRPr="00832ABE" w:rsidTr="00364F37">
        <w:tc>
          <w:tcPr>
            <w:tcW w:w="5000" w:type="pct"/>
            <w:gridSpan w:val="3"/>
          </w:tcPr>
          <w:p w:rsidR="00370DFA" w:rsidRPr="009F4C66" w:rsidRDefault="00370DFA" w:rsidP="00364F37">
            <w:pPr>
              <w:jc w:val="both"/>
              <w:rPr>
                <w:sz w:val="20"/>
                <w:lang w:val="fr-CA"/>
              </w:rPr>
            </w:pPr>
            <w:r w:rsidRPr="009F4C66">
              <w:rPr>
                <w:sz w:val="20"/>
                <w:lang w:val="fr-CA"/>
              </w:rPr>
              <w:t>Les défendeurs ont subi des blessures à l’occasion de deux accidents distincts survenus tandis qu’ils s’adonnaient au patin à roues alignées dans un lieu public spécialement aménagé par la ville demanderesse pour la pratique de différentes activités récréatives.  Les accidents se sont produits sur une pente abrupte.  La question de la responsabilité a donné lieu à la tenue d’un procès.  La juge de première instance a tranché en faveur des défendeurs, mais elle a attribué à chacun une négligence contributive, à raison de 10 p. cent pour M. Christensen et de 25 p. cent pour M. Gaston.  Les juges majoritaires de la Cour d’appel ont rejeté l’appel de la ville.</w:t>
            </w:r>
          </w:p>
          <w:p w:rsidR="00370DFA" w:rsidRPr="009F4C66" w:rsidRDefault="00370DFA" w:rsidP="00364F37">
            <w:pPr>
              <w:jc w:val="both"/>
              <w:rPr>
                <w:sz w:val="20"/>
                <w:lang w:val="fr-CA"/>
              </w:rPr>
            </w:pPr>
          </w:p>
        </w:tc>
      </w:tr>
      <w:tr w:rsidR="00370DFA" w:rsidRPr="00832ABE" w:rsidTr="00364F37">
        <w:tc>
          <w:tcPr>
            <w:tcW w:w="2427" w:type="pct"/>
          </w:tcPr>
          <w:p w:rsidR="00370DFA" w:rsidRPr="009F4C66" w:rsidRDefault="00370DFA" w:rsidP="00364F37">
            <w:pPr>
              <w:jc w:val="both"/>
              <w:rPr>
                <w:sz w:val="20"/>
                <w:lang w:val="fr-CA"/>
              </w:rPr>
            </w:pPr>
            <w:r w:rsidRPr="009F4C66">
              <w:rPr>
                <w:sz w:val="20"/>
                <w:lang w:val="fr-CA"/>
              </w:rPr>
              <w:t>7 juillet 2010</w:t>
            </w:r>
          </w:p>
          <w:p w:rsidR="00370DFA" w:rsidRPr="009F4C66" w:rsidRDefault="00370DFA" w:rsidP="00364F37">
            <w:pPr>
              <w:jc w:val="both"/>
              <w:rPr>
                <w:sz w:val="20"/>
                <w:lang w:val="fr-CA"/>
              </w:rPr>
            </w:pPr>
            <w:r w:rsidRPr="009F4C66">
              <w:rPr>
                <w:sz w:val="20"/>
                <w:lang w:val="fr-CA"/>
              </w:rPr>
              <w:t>Cour du Banc de la Reine de l’Alberta</w:t>
            </w:r>
          </w:p>
          <w:p w:rsidR="00370DFA" w:rsidRPr="009F4C66" w:rsidRDefault="00370DFA" w:rsidP="00364F37">
            <w:pPr>
              <w:jc w:val="both"/>
              <w:rPr>
                <w:sz w:val="20"/>
                <w:lang w:val="fr-CA"/>
              </w:rPr>
            </w:pPr>
            <w:r w:rsidRPr="009F4C66">
              <w:rPr>
                <w:sz w:val="20"/>
                <w:lang w:val="fr-CA"/>
              </w:rPr>
              <w:t xml:space="preserve">(Juge </w:t>
            </w:r>
            <w:proofErr w:type="gramStart"/>
            <w:r w:rsidRPr="009F4C66">
              <w:rPr>
                <w:sz w:val="20"/>
                <w:lang w:val="fr-CA"/>
              </w:rPr>
              <w:t>Martin )</w:t>
            </w:r>
            <w:proofErr w:type="gramEnd"/>
          </w:p>
          <w:p w:rsidR="00370DFA" w:rsidRPr="009F4C66" w:rsidRDefault="00370DFA" w:rsidP="00364F37">
            <w:pPr>
              <w:jc w:val="both"/>
              <w:rPr>
                <w:sz w:val="20"/>
                <w:lang w:val="fr-CA"/>
              </w:rPr>
            </w:pPr>
          </w:p>
        </w:tc>
        <w:tc>
          <w:tcPr>
            <w:tcW w:w="243" w:type="pct"/>
          </w:tcPr>
          <w:p w:rsidR="00370DFA" w:rsidRPr="009F4C66" w:rsidRDefault="00370DFA" w:rsidP="00364F37">
            <w:pPr>
              <w:jc w:val="both"/>
              <w:rPr>
                <w:sz w:val="20"/>
                <w:lang w:val="fr-CA"/>
              </w:rPr>
            </w:pPr>
          </w:p>
        </w:tc>
        <w:tc>
          <w:tcPr>
            <w:tcW w:w="2330" w:type="pct"/>
          </w:tcPr>
          <w:p w:rsidR="00370DFA" w:rsidRPr="009F4C66" w:rsidRDefault="00370DFA" w:rsidP="00364F37">
            <w:pPr>
              <w:jc w:val="both"/>
              <w:rPr>
                <w:sz w:val="20"/>
                <w:lang w:val="fr-CA"/>
              </w:rPr>
            </w:pPr>
            <w:r w:rsidRPr="009F4C66">
              <w:rPr>
                <w:sz w:val="20"/>
                <w:lang w:val="fr-CA"/>
              </w:rPr>
              <w:t>Ville demanderesse tenue responsable suivant l’</w:t>
            </w:r>
            <w:r w:rsidRPr="009F4C66">
              <w:rPr>
                <w:i/>
                <w:sz w:val="20"/>
                <w:lang w:val="fr-CA"/>
              </w:rPr>
              <w:t>Occupiers’ Liability Act</w:t>
            </w:r>
          </w:p>
          <w:p w:rsidR="00370DFA" w:rsidRPr="009F4C66" w:rsidRDefault="00370DFA" w:rsidP="00364F37">
            <w:pPr>
              <w:jc w:val="both"/>
              <w:rPr>
                <w:sz w:val="20"/>
                <w:lang w:val="fr-CA"/>
              </w:rPr>
            </w:pPr>
          </w:p>
        </w:tc>
      </w:tr>
      <w:tr w:rsidR="00370DFA" w:rsidRPr="009F4C66" w:rsidTr="00615936">
        <w:trPr>
          <w:cantSplit/>
        </w:trPr>
        <w:tc>
          <w:tcPr>
            <w:tcW w:w="2427" w:type="pct"/>
          </w:tcPr>
          <w:p w:rsidR="00370DFA" w:rsidRPr="009F4C66" w:rsidRDefault="00370DFA" w:rsidP="00364F37">
            <w:pPr>
              <w:jc w:val="both"/>
              <w:rPr>
                <w:sz w:val="20"/>
                <w:lang w:val="fr-CA"/>
              </w:rPr>
            </w:pPr>
            <w:r w:rsidRPr="009F4C66">
              <w:rPr>
                <w:sz w:val="20"/>
                <w:lang w:val="fr-CA"/>
              </w:rPr>
              <w:t>19 août 2011</w:t>
            </w:r>
          </w:p>
          <w:p w:rsidR="00370DFA" w:rsidRPr="009F4C66" w:rsidRDefault="00370DFA" w:rsidP="00364F37">
            <w:pPr>
              <w:jc w:val="both"/>
              <w:rPr>
                <w:sz w:val="20"/>
                <w:lang w:val="fr-CA"/>
              </w:rPr>
            </w:pPr>
            <w:r w:rsidRPr="009F4C66">
              <w:rPr>
                <w:sz w:val="20"/>
                <w:lang w:val="fr-CA"/>
              </w:rPr>
              <w:t>Cour d’appel de l’Alberta</w:t>
            </w:r>
          </w:p>
          <w:p w:rsidR="00370DFA" w:rsidRPr="009F4C66" w:rsidRDefault="00370DFA" w:rsidP="00364F37">
            <w:pPr>
              <w:jc w:val="both"/>
              <w:rPr>
                <w:sz w:val="20"/>
                <w:lang w:val="fr-CA"/>
              </w:rPr>
            </w:pPr>
            <w:r w:rsidRPr="009F4C66">
              <w:rPr>
                <w:sz w:val="20"/>
                <w:lang w:val="fr-CA"/>
              </w:rPr>
              <w:t>(Juges Conrad et Berger, et juge McDonald, dissident)</w:t>
            </w:r>
          </w:p>
          <w:p w:rsidR="00370DFA" w:rsidRPr="009F4C66" w:rsidRDefault="00370DFA" w:rsidP="00364F37">
            <w:pPr>
              <w:jc w:val="both"/>
              <w:rPr>
                <w:sz w:val="20"/>
                <w:lang w:val="fr-CA"/>
              </w:rPr>
            </w:pPr>
            <w:r w:rsidRPr="009F4C66">
              <w:rPr>
                <w:sz w:val="20"/>
                <w:lang w:val="fr-CA"/>
              </w:rPr>
              <w:t>2011 ABCA 244</w:t>
            </w:r>
          </w:p>
          <w:p w:rsidR="00370DFA" w:rsidRPr="009F4C66" w:rsidRDefault="00370DFA" w:rsidP="00364F37">
            <w:pPr>
              <w:jc w:val="both"/>
              <w:rPr>
                <w:sz w:val="20"/>
                <w:lang w:val="fr-CA"/>
              </w:rPr>
            </w:pPr>
          </w:p>
        </w:tc>
        <w:tc>
          <w:tcPr>
            <w:tcW w:w="243" w:type="pct"/>
          </w:tcPr>
          <w:p w:rsidR="00370DFA" w:rsidRPr="009F4C66" w:rsidRDefault="00370DFA" w:rsidP="00364F37">
            <w:pPr>
              <w:jc w:val="both"/>
              <w:rPr>
                <w:sz w:val="20"/>
                <w:lang w:val="fr-CA"/>
              </w:rPr>
            </w:pPr>
          </w:p>
        </w:tc>
        <w:tc>
          <w:tcPr>
            <w:tcW w:w="2330" w:type="pct"/>
          </w:tcPr>
          <w:p w:rsidR="00370DFA" w:rsidRPr="009F4C66" w:rsidRDefault="00370DFA" w:rsidP="00364F37">
            <w:pPr>
              <w:jc w:val="both"/>
              <w:rPr>
                <w:sz w:val="20"/>
                <w:lang w:val="fr-CA"/>
              </w:rPr>
            </w:pPr>
            <w:r w:rsidRPr="009F4C66">
              <w:rPr>
                <w:sz w:val="20"/>
                <w:lang w:val="fr-CA"/>
              </w:rPr>
              <w:t>Appel rejeté</w:t>
            </w:r>
          </w:p>
          <w:p w:rsidR="00370DFA" w:rsidRPr="009F4C66" w:rsidRDefault="00370DFA" w:rsidP="00364F37">
            <w:pPr>
              <w:jc w:val="both"/>
              <w:rPr>
                <w:sz w:val="20"/>
                <w:lang w:val="fr-CA"/>
              </w:rPr>
            </w:pPr>
          </w:p>
        </w:tc>
      </w:tr>
      <w:tr w:rsidR="00370DFA" w:rsidRPr="009F4C66" w:rsidTr="00615936">
        <w:trPr>
          <w:cantSplit/>
        </w:trPr>
        <w:tc>
          <w:tcPr>
            <w:tcW w:w="2427" w:type="pct"/>
          </w:tcPr>
          <w:p w:rsidR="00370DFA" w:rsidRPr="009F4C66" w:rsidRDefault="00370DFA" w:rsidP="00364F37">
            <w:pPr>
              <w:jc w:val="both"/>
              <w:rPr>
                <w:sz w:val="20"/>
                <w:lang w:val="fr-CA"/>
              </w:rPr>
            </w:pPr>
            <w:r w:rsidRPr="009F4C66">
              <w:rPr>
                <w:sz w:val="20"/>
                <w:lang w:val="fr-CA"/>
              </w:rPr>
              <w:t>18 octobre 2011</w:t>
            </w:r>
          </w:p>
          <w:p w:rsidR="00370DFA" w:rsidRPr="009F4C66" w:rsidRDefault="00370DFA" w:rsidP="00364F37">
            <w:pPr>
              <w:jc w:val="both"/>
              <w:rPr>
                <w:sz w:val="20"/>
                <w:lang w:val="fr-CA"/>
              </w:rPr>
            </w:pPr>
            <w:r w:rsidRPr="009F4C66">
              <w:rPr>
                <w:sz w:val="20"/>
                <w:lang w:val="fr-CA"/>
              </w:rPr>
              <w:t>Cour suprême du Canada</w:t>
            </w:r>
          </w:p>
        </w:tc>
        <w:tc>
          <w:tcPr>
            <w:tcW w:w="243" w:type="pct"/>
          </w:tcPr>
          <w:p w:rsidR="00370DFA" w:rsidRPr="009F4C66" w:rsidRDefault="00370DFA" w:rsidP="00364F37">
            <w:pPr>
              <w:jc w:val="both"/>
              <w:rPr>
                <w:sz w:val="20"/>
                <w:lang w:val="fr-CA"/>
              </w:rPr>
            </w:pPr>
          </w:p>
        </w:tc>
        <w:tc>
          <w:tcPr>
            <w:tcW w:w="2330" w:type="pct"/>
          </w:tcPr>
          <w:p w:rsidR="00370DFA" w:rsidRPr="009F4C66" w:rsidRDefault="00370DFA" w:rsidP="00364F37">
            <w:pPr>
              <w:jc w:val="both"/>
              <w:rPr>
                <w:sz w:val="20"/>
                <w:lang w:val="fr-CA"/>
              </w:rPr>
            </w:pPr>
            <w:r w:rsidRPr="009F4C66">
              <w:rPr>
                <w:sz w:val="20"/>
                <w:lang w:val="fr-CA"/>
              </w:rPr>
              <w:t>Demande d’autorisation d’appel déposée</w:t>
            </w:r>
          </w:p>
          <w:p w:rsidR="00370DFA" w:rsidRPr="009F4C66" w:rsidRDefault="00370DFA" w:rsidP="00364F37">
            <w:pPr>
              <w:jc w:val="both"/>
              <w:rPr>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67"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0F2BC0"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34498</w:t>
            </w:r>
          </w:p>
          <w:p w:rsidR="00425DAC" w:rsidRPr="000F2BC0" w:rsidRDefault="00425DAC" w:rsidP="001600B8">
            <w:pPr>
              <w:rPr>
                <w:b/>
                <w:sz w:val="20"/>
                <w:szCs w:val="20"/>
                <w:lang w:val="fr-CA"/>
              </w:rPr>
            </w:pPr>
          </w:p>
        </w:tc>
        <w:tc>
          <w:tcPr>
            <w:tcW w:w="8118" w:type="dxa"/>
          </w:tcPr>
          <w:p w:rsidR="00425DAC" w:rsidRPr="000F2BC0" w:rsidRDefault="00425DAC" w:rsidP="004F57BF">
            <w:pPr>
              <w:jc w:val="both"/>
              <w:rPr>
                <w:sz w:val="20"/>
                <w:szCs w:val="20"/>
              </w:rPr>
            </w:pPr>
            <w:r w:rsidRPr="000F2BC0">
              <w:rPr>
                <w:rStyle w:val="SCCLsocChar"/>
                <w:sz w:val="20"/>
                <w:szCs w:val="20"/>
                <w:lang w:val="en-CA"/>
              </w:rPr>
              <w:t>United Nurses of Alberta, Local 85 v. Capital Health Authority (Sturgeon Community Hospital)</w:t>
            </w:r>
            <w:r w:rsidRPr="000F2BC0">
              <w:rPr>
                <w:sz w:val="20"/>
                <w:szCs w:val="20"/>
              </w:rPr>
              <w:t xml:space="preserve"> (Alta.) (Civil) (By Leave)</w:t>
            </w:r>
          </w:p>
          <w:p w:rsidR="00425DAC" w:rsidRPr="000F2BC0" w:rsidRDefault="00425DAC" w:rsidP="001600B8">
            <w:pPr>
              <w:rPr>
                <w:sz w:val="20"/>
                <w:szCs w:val="20"/>
              </w:rPr>
            </w:pPr>
          </w:p>
        </w:tc>
      </w:tr>
      <w:tr w:rsidR="00425DAC" w:rsidRPr="000F2BC0"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rPr>
            </w:pPr>
            <w:r w:rsidRPr="000F2BC0">
              <w:rPr>
                <w:rStyle w:val="SCCCoramChar"/>
                <w:sz w:val="20"/>
                <w:szCs w:val="20"/>
                <w:lang w:val="en-CA"/>
              </w:rPr>
              <w:t>LeBel, Abella and Cromwell JJ.</w:t>
            </w:r>
          </w:p>
          <w:p w:rsidR="00425DAC" w:rsidRPr="000F2BC0" w:rsidRDefault="00425DAC" w:rsidP="001600B8">
            <w:pPr>
              <w:rPr>
                <w:sz w:val="20"/>
                <w:szCs w:val="20"/>
                <w:u w:val="single"/>
              </w:rPr>
            </w:pPr>
          </w:p>
        </w:tc>
      </w:tr>
      <w:tr w:rsidR="00425DAC" w:rsidRPr="00832ABE" w:rsidTr="001600B8">
        <w:trPr>
          <w:cantSplit/>
        </w:trPr>
        <w:tc>
          <w:tcPr>
            <w:tcW w:w="9576" w:type="dxa"/>
            <w:gridSpan w:val="2"/>
          </w:tcPr>
          <w:p w:rsidR="00425DAC" w:rsidRPr="000F2BC0" w:rsidRDefault="00425DAC" w:rsidP="001600B8">
            <w:pPr>
              <w:pStyle w:val="SCCShortJudgment"/>
              <w:rPr>
                <w:szCs w:val="20"/>
              </w:rPr>
            </w:pPr>
            <w:r w:rsidRPr="000F2BC0">
              <w:rPr>
                <w:szCs w:val="20"/>
              </w:rPr>
              <w:t>The application for leave to appeal from the judgment of the Court of Appeal of Alberta (Edmonton), Number 1003-0105-AC, 2011 ABCA 247, dated August 16, 2011, is dismissed with costs.</w:t>
            </w:r>
          </w:p>
          <w:p w:rsidR="00425DAC" w:rsidRPr="000F2BC0" w:rsidRDefault="00425DAC" w:rsidP="001600B8">
            <w:pPr>
              <w:pStyle w:val="SCCShortJudgment"/>
              <w:ind w:firstLine="0"/>
              <w:rPr>
                <w:szCs w:val="20"/>
              </w:rPr>
            </w:pPr>
          </w:p>
          <w:p w:rsidR="00425DAC" w:rsidRPr="000F2BC0" w:rsidRDefault="00425DAC" w:rsidP="001600B8">
            <w:pPr>
              <w:pStyle w:val="SCCShortJudgment"/>
              <w:rPr>
                <w:szCs w:val="20"/>
                <w:lang w:val="fr-CA"/>
              </w:rPr>
            </w:pPr>
            <w:r w:rsidRPr="000F2BC0">
              <w:rPr>
                <w:szCs w:val="20"/>
                <w:lang w:val="fr-CA"/>
              </w:rPr>
              <w:t xml:space="preserve">La demande d’autorisation d’appel de l’arrêt de la Cour d'appel de l’Alberta (Edmonton), numéro 1003-0105-AC, 2011 ABCA 247, daté du 16 août 2011, est rejetée avec dépens. </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8670C" w:rsidRPr="009F4C66" w:rsidTr="00364F37">
        <w:tc>
          <w:tcPr>
            <w:tcW w:w="5000" w:type="pct"/>
            <w:gridSpan w:val="3"/>
          </w:tcPr>
          <w:p w:rsidR="00C8670C" w:rsidRPr="009F4C66" w:rsidRDefault="00C8670C" w:rsidP="00364F37">
            <w:pPr>
              <w:jc w:val="both"/>
              <w:rPr>
                <w:sz w:val="20"/>
              </w:rPr>
            </w:pPr>
            <w:r w:rsidRPr="009F4C66">
              <w:rPr>
                <w:sz w:val="20"/>
              </w:rPr>
              <w:t>Labour relations – Collective agreements – Interpretation – Call-back pay – In the context of the standard of review of reasonableness in administrative law, what is reasonable and how is it applied – Whether deference is applied differently depending on the nature of the question – Whether courts can confine an applicant to making the same arguments as before the original tribunal – Whether the reasonableness standard has been consistently applied – Whether the issue of how to understand and apply the reasonableness standard of review raises an issue of public importance.</w:t>
            </w:r>
          </w:p>
        </w:tc>
      </w:tr>
      <w:tr w:rsidR="00C8670C" w:rsidRPr="009F4C66" w:rsidTr="00364F37">
        <w:tc>
          <w:tcPr>
            <w:tcW w:w="5000" w:type="pct"/>
            <w:gridSpan w:val="3"/>
          </w:tcPr>
          <w:p w:rsidR="00C8670C" w:rsidRPr="009F4C66" w:rsidRDefault="00C8670C" w:rsidP="00364F37">
            <w:pPr>
              <w:jc w:val="both"/>
              <w:rPr>
                <w:sz w:val="20"/>
              </w:rPr>
            </w:pPr>
          </w:p>
        </w:tc>
      </w:tr>
      <w:tr w:rsidR="00C8670C" w:rsidRPr="009F4C66" w:rsidTr="00364F37">
        <w:tc>
          <w:tcPr>
            <w:tcW w:w="5000" w:type="pct"/>
            <w:gridSpan w:val="3"/>
          </w:tcPr>
          <w:p w:rsidR="00C8670C" w:rsidRPr="009F4C66" w:rsidRDefault="00C8670C" w:rsidP="00364F37">
            <w:pPr>
              <w:jc w:val="both"/>
              <w:rPr>
                <w:sz w:val="20"/>
              </w:rPr>
            </w:pPr>
            <w:r w:rsidRPr="009F4C66">
              <w:rPr>
                <w:sz w:val="20"/>
              </w:rPr>
              <w:t xml:space="preserve">According to the agreed statement of facts, two nurses belonging to the applicant union were on call from 11:00 p.m. Thursday night until 7:30 a.m. Friday morning. Their regular shift began at 7:30 a.m. on the Friday morning and ended at 3:45 p.m. in the afternoon that same day. The nurses were called by the hospital's switchboard at approximately 6:30 a.m. and were asked to report for a surgical procedure to begin at approximately 7:00 a.m. They did so and assisted with the procedure until approximately 8:30 a.m. They then remained at work until 3:45 p.m.  The nurses sought the minimum three hours call-back compensation for the work performed while on call and before the start of their regular shift. The employer did not consider that the 30 minutes they worked prior to the start of their regular shift constituted call-back duty. Instead, the employer only compensated the nurses for 30 minutes of overtime. The employer's rationale was that the work the nurses performed was contiguous to their regular shift. </w:t>
            </w:r>
          </w:p>
          <w:p w:rsidR="00C8670C" w:rsidRPr="009F4C66" w:rsidRDefault="00C8670C" w:rsidP="00364F37">
            <w:pPr>
              <w:jc w:val="both"/>
              <w:rPr>
                <w:sz w:val="20"/>
              </w:rPr>
            </w:pPr>
          </w:p>
          <w:p w:rsidR="00C8670C" w:rsidRPr="009F4C66" w:rsidRDefault="00C8670C" w:rsidP="00364F37">
            <w:pPr>
              <w:jc w:val="both"/>
              <w:rPr>
                <w:sz w:val="20"/>
              </w:rPr>
            </w:pPr>
            <w:r w:rsidRPr="009F4C66">
              <w:rPr>
                <w:sz w:val="20"/>
              </w:rPr>
              <w:t>Based on its interpretation of the collective agreement, a majority of the arbitration board dismissed the union’s grievance, ruling that no call-back pay is payable when employees are required to work hours contiguous to the start of their regular shift.  The Alberta Court of Queen’s Bench allowed the union’s application for judicial review.  The Court of Appeal allowed the employer’s appeal, O’Ferrall J.A. dissenting.</w:t>
            </w:r>
          </w:p>
          <w:p w:rsidR="00C8670C" w:rsidRPr="009F4C66" w:rsidRDefault="00C8670C" w:rsidP="00364F37">
            <w:pPr>
              <w:jc w:val="both"/>
              <w:rPr>
                <w:sz w:val="20"/>
              </w:rPr>
            </w:pPr>
          </w:p>
        </w:tc>
      </w:tr>
      <w:tr w:rsidR="00C8670C" w:rsidRPr="009F4C66" w:rsidTr="00364F37">
        <w:tc>
          <w:tcPr>
            <w:tcW w:w="2427" w:type="pct"/>
          </w:tcPr>
          <w:p w:rsidR="00C8670C" w:rsidRPr="009F4C66" w:rsidRDefault="00C8670C" w:rsidP="00364F37">
            <w:pPr>
              <w:jc w:val="both"/>
              <w:rPr>
                <w:sz w:val="20"/>
              </w:rPr>
            </w:pPr>
            <w:r w:rsidRPr="009F4C66">
              <w:rPr>
                <w:sz w:val="20"/>
              </w:rPr>
              <w:t>February 25, 2010</w:t>
            </w:r>
          </w:p>
          <w:p w:rsidR="00C8670C" w:rsidRPr="009F4C66" w:rsidRDefault="00C8670C" w:rsidP="00364F37">
            <w:pPr>
              <w:jc w:val="both"/>
              <w:rPr>
                <w:sz w:val="20"/>
              </w:rPr>
            </w:pPr>
            <w:r w:rsidRPr="009F4C66">
              <w:rPr>
                <w:sz w:val="20"/>
              </w:rPr>
              <w:t>Court of Queen’s Bench of Alberta</w:t>
            </w:r>
          </w:p>
          <w:p w:rsidR="00C8670C" w:rsidRPr="009F4C66" w:rsidRDefault="00C8670C" w:rsidP="00364F37">
            <w:pPr>
              <w:jc w:val="both"/>
              <w:rPr>
                <w:sz w:val="20"/>
              </w:rPr>
            </w:pPr>
            <w:r w:rsidRPr="009F4C66">
              <w:rPr>
                <w:sz w:val="20"/>
              </w:rPr>
              <w:t>(Acton J.)</w:t>
            </w:r>
          </w:p>
          <w:p w:rsidR="00C8670C" w:rsidRPr="009F4C66" w:rsidRDefault="00C8670C" w:rsidP="00364F37">
            <w:pPr>
              <w:jc w:val="both"/>
              <w:rPr>
                <w:sz w:val="20"/>
              </w:rPr>
            </w:pPr>
          </w:p>
        </w:tc>
        <w:tc>
          <w:tcPr>
            <w:tcW w:w="243" w:type="pct"/>
          </w:tcPr>
          <w:p w:rsidR="00C8670C" w:rsidRPr="009F4C66" w:rsidRDefault="00C8670C" w:rsidP="00364F37">
            <w:pPr>
              <w:jc w:val="both"/>
              <w:rPr>
                <w:sz w:val="20"/>
              </w:rPr>
            </w:pPr>
          </w:p>
        </w:tc>
        <w:tc>
          <w:tcPr>
            <w:tcW w:w="2330" w:type="pct"/>
          </w:tcPr>
          <w:p w:rsidR="00C8670C" w:rsidRPr="009F4C66" w:rsidRDefault="00C8670C" w:rsidP="00364F37">
            <w:pPr>
              <w:jc w:val="both"/>
              <w:rPr>
                <w:sz w:val="20"/>
              </w:rPr>
            </w:pPr>
            <w:r w:rsidRPr="009F4C66">
              <w:rPr>
                <w:sz w:val="20"/>
              </w:rPr>
              <w:t>Applicant’s application for judicial review, granted; arbitration board decision quashed.</w:t>
            </w:r>
          </w:p>
          <w:p w:rsidR="00C8670C" w:rsidRPr="009F4C66" w:rsidRDefault="00C8670C" w:rsidP="00364F37">
            <w:pPr>
              <w:jc w:val="both"/>
              <w:rPr>
                <w:sz w:val="20"/>
              </w:rPr>
            </w:pPr>
          </w:p>
        </w:tc>
      </w:tr>
      <w:tr w:rsidR="00C8670C" w:rsidRPr="009F4C66" w:rsidTr="00615936">
        <w:trPr>
          <w:cantSplit/>
        </w:trPr>
        <w:tc>
          <w:tcPr>
            <w:tcW w:w="2427" w:type="pct"/>
          </w:tcPr>
          <w:p w:rsidR="00C8670C" w:rsidRPr="009F4C66" w:rsidRDefault="00C8670C" w:rsidP="00364F37">
            <w:pPr>
              <w:jc w:val="both"/>
              <w:rPr>
                <w:sz w:val="20"/>
              </w:rPr>
            </w:pPr>
            <w:r w:rsidRPr="009F4C66">
              <w:rPr>
                <w:sz w:val="20"/>
              </w:rPr>
              <w:t>August 16, 2011</w:t>
            </w:r>
          </w:p>
          <w:p w:rsidR="00C8670C" w:rsidRPr="009F4C66" w:rsidRDefault="00C8670C" w:rsidP="00364F37">
            <w:pPr>
              <w:jc w:val="both"/>
              <w:rPr>
                <w:sz w:val="20"/>
              </w:rPr>
            </w:pPr>
            <w:r w:rsidRPr="009F4C66">
              <w:rPr>
                <w:sz w:val="20"/>
              </w:rPr>
              <w:t>Court of Appeal of Alberta (Edmonton)</w:t>
            </w:r>
          </w:p>
          <w:p w:rsidR="00C8670C" w:rsidRPr="009F4C66" w:rsidRDefault="00C8670C" w:rsidP="00364F37">
            <w:pPr>
              <w:jc w:val="both"/>
              <w:rPr>
                <w:sz w:val="20"/>
              </w:rPr>
            </w:pPr>
            <w:r w:rsidRPr="009F4C66">
              <w:rPr>
                <w:sz w:val="20"/>
              </w:rPr>
              <w:t>(O'Brien, Bielby and O'Ferrall (dissenting) JJ.A.)</w:t>
            </w:r>
          </w:p>
          <w:p w:rsidR="00C8670C" w:rsidRPr="009F4C66" w:rsidRDefault="00C8670C" w:rsidP="00364F37">
            <w:pPr>
              <w:jc w:val="both"/>
              <w:rPr>
                <w:sz w:val="20"/>
              </w:rPr>
            </w:pPr>
          </w:p>
        </w:tc>
        <w:tc>
          <w:tcPr>
            <w:tcW w:w="243" w:type="pct"/>
          </w:tcPr>
          <w:p w:rsidR="00C8670C" w:rsidRPr="009F4C66" w:rsidRDefault="00C8670C" w:rsidP="00364F37">
            <w:pPr>
              <w:jc w:val="both"/>
              <w:rPr>
                <w:sz w:val="20"/>
              </w:rPr>
            </w:pPr>
          </w:p>
        </w:tc>
        <w:tc>
          <w:tcPr>
            <w:tcW w:w="2330" w:type="pct"/>
          </w:tcPr>
          <w:p w:rsidR="00C8670C" w:rsidRPr="009F4C66" w:rsidRDefault="00C8670C" w:rsidP="00364F37">
            <w:pPr>
              <w:jc w:val="both"/>
              <w:rPr>
                <w:sz w:val="20"/>
              </w:rPr>
            </w:pPr>
            <w:r w:rsidRPr="009F4C66">
              <w:rPr>
                <w:sz w:val="20"/>
              </w:rPr>
              <w:t>Respondent’s appeal, allowed.</w:t>
            </w:r>
          </w:p>
          <w:p w:rsidR="00C8670C" w:rsidRPr="009F4C66" w:rsidRDefault="00C8670C" w:rsidP="00364F37">
            <w:pPr>
              <w:jc w:val="both"/>
              <w:rPr>
                <w:sz w:val="20"/>
              </w:rPr>
            </w:pPr>
          </w:p>
        </w:tc>
      </w:tr>
      <w:tr w:rsidR="00C8670C" w:rsidRPr="009F4C66" w:rsidTr="00615936">
        <w:trPr>
          <w:cantSplit/>
        </w:trPr>
        <w:tc>
          <w:tcPr>
            <w:tcW w:w="2427" w:type="pct"/>
          </w:tcPr>
          <w:p w:rsidR="00C8670C" w:rsidRPr="009F4C66" w:rsidRDefault="00C8670C" w:rsidP="00364F37">
            <w:pPr>
              <w:jc w:val="both"/>
              <w:rPr>
                <w:sz w:val="20"/>
              </w:rPr>
            </w:pPr>
            <w:r w:rsidRPr="009F4C66">
              <w:rPr>
                <w:sz w:val="20"/>
              </w:rPr>
              <w:t>October 14, 2011</w:t>
            </w:r>
          </w:p>
          <w:p w:rsidR="00C8670C" w:rsidRPr="009F4C66" w:rsidRDefault="00C8670C" w:rsidP="00364F37">
            <w:pPr>
              <w:jc w:val="both"/>
              <w:rPr>
                <w:sz w:val="20"/>
              </w:rPr>
            </w:pPr>
            <w:r w:rsidRPr="009F4C66">
              <w:rPr>
                <w:sz w:val="20"/>
              </w:rPr>
              <w:t>Supreme Court of Canada</w:t>
            </w:r>
          </w:p>
        </w:tc>
        <w:tc>
          <w:tcPr>
            <w:tcW w:w="243" w:type="pct"/>
          </w:tcPr>
          <w:p w:rsidR="00C8670C" w:rsidRPr="009F4C66" w:rsidRDefault="00C8670C" w:rsidP="00364F37">
            <w:pPr>
              <w:jc w:val="both"/>
              <w:rPr>
                <w:sz w:val="20"/>
              </w:rPr>
            </w:pPr>
          </w:p>
        </w:tc>
        <w:tc>
          <w:tcPr>
            <w:tcW w:w="2330" w:type="pct"/>
          </w:tcPr>
          <w:p w:rsidR="00C8670C" w:rsidRPr="009F4C66" w:rsidRDefault="00C8670C" w:rsidP="00364F37">
            <w:pPr>
              <w:jc w:val="both"/>
              <w:rPr>
                <w:sz w:val="20"/>
              </w:rPr>
            </w:pPr>
            <w:r w:rsidRPr="009F4C66">
              <w:rPr>
                <w:sz w:val="20"/>
              </w:rPr>
              <w:t>Application for leave to appeal, filed.</w:t>
            </w:r>
          </w:p>
          <w:p w:rsidR="00C8670C" w:rsidRPr="009F4C66" w:rsidRDefault="00C8670C" w:rsidP="00364F37">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68"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8670C" w:rsidRPr="00832ABE" w:rsidTr="00364F37">
        <w:tc>
          <w:tcPr>
            <w:tcW w:w="5000" w:type="pct"/>
            <w:gridSpan w:val="3"/>
          </w:tcPr>
          <w:p w:rsidR="00C8670C" w:rsidRPr="009F4C66" w:rsidRDefault="00C8670C" w:rsidP="00364F37">
            <w:pPr>
              <w:jc w:val="both"/>
              <w:rPr>
                <w:rFonts w:eastAsia="Calibri"/>
                <w:sz w:val="20"/>
                <w:lang w:val="fr-CA"/>
              </w:rPr>
            </w:pPr>
            <w:r w:rsidRPr="009F4C66">
              <w:rPr>
                <w:rFonts w:eastAsia="Calibri"/>
                <w:sz w:val="20"/>
                <w:lang w:val="fr-CA"/>
              </w:rPr>
              <w:t>Relations du travail – Conventions collectives – Interprétation – Indemnité de rappel – Dans le contexte de la norme de contrôle de la raisonnabilité en droit administratif, qu'est</w:t>
            </w:r>
            <w:r w:rsidRPr="009F4C66">
              <w:rPr>
                <w:rFonts w:eastAsia="Calibri"/>
                <w:sz w:val="20"/>
                <w:lang w:val="fr-CA"/>
              </w:rPr>
              <w:noBreakHyphen/>
              <w:t>ce qui est raisonnable et comment ce critères est</w:t>
            </w:r>
            <w:r w:rsidRPr="009F4C66">
              <w:rPr>
                <w:rFonts w:eastAsia="Calibri"/>
                <w:sz w:val="20"/>
                <w:lang w:val="fr-CA"/>
              </w:rPr>
              <w:noBreakHyphen/>
              <w:t>il appliqué? – La déférence est</w:t>
            </w:r>
            <w:r w:rsidRPr="009F4C66">
              <w:rPr>
                <w:rFonts w:eastAsia="Calibri"/>
                <w:sz w:val="20"/>
                <w:lang w:val="fr-CA"/>
              </w:rPr>
              <w:noBreakHyphen/>
              <w:t>elle appliquée de façon différente selon la nature de la question? – Les tribunaux peuvent</w:t>
            </w:r>
            <w:r w:rsidRPr="009F4C66">
              <w:rPr>
                <w:rFonts w:eastAsia="Calibri"/>
                <w:sz w:val="20"/>
                <w:lang w:val="fr-CA"/>
              </w:rPr>
              <w:noBreakHyphen/>
              <w:t>ils obliger un demandeur à se limiter à présenter les mêmes arguments que ceux qu'il a présentés en première instance? – La norme de la raisonnabilité a</w:t>
            </w:r>
            <w:r w:rsidRPr="009F4C66">
              <w:rPr>
                <w:rFonts w:eastAsia="Calibri"/>
                <w:sz w:val="20"/>
                <w:lang w:val="fr-CA"/>
              </w:rPr>
              <w:noBreakHyphen/>
              <w:t>t</w:t>
            </w:r>
            <w:r w:rsidRPr="009F4C66">
              <w:rPr>
                <w:rFonts w:eastAsia="Calibri"/>
                <w:sz w:val="20"/>
                <w:lang w:val="fr-CA"/>
              </w:rPr>
              <w:noBreakHyphen/>
              <w:t>elle été appliquée de façon uniforme? – La manière de comprendre et d’appliquer la norme de contrôle de la raisonnabilité soulève</w:t>
            </w:r>
            <w:r w:rsidRPr="009F4C66">
              <w:rPr>
                <w:rFonts w:eastAsia="Calibri"/>
                <w:sz w:val="20"/>
                <w:lang w:val="fr-CA"/>
              </w:rPr>
              <w:noBreakHyphen/>
              <w:t>t</w:t>
            </w:r>
            <w:r w:rsidRPr="009F4C66">
              <w:rPr>
                <w:rFonts w:eastAsia="Calibri"/>
                <w:sz w:val="20"/>
                <w:lang w:val="fr-CA"/>
              </w:rPr>
              <w:noBreakHyphen/>
              <w:t>elle une question d'importance pour le public?</w:t>
            </w:r>
          </w:p>
        </w:tc>
      </w:tr>
      <w:tr w:rsidR="00C8670C" w:rsidRPr="00832ABE" w:rsidTr="00364F37">
        <w:tc>
          <w:tcPr>
            <w:tcW w:w="5000" w:type="pct"/>
            <w:gridSpan w:val="3"/>
          </w:tcPr>
          <w:p w:rsidR="00C8670C" w:rsidRPr="009F4C66" w:rsidRDefault="00C8670C" w:rsidP="00364F37">
            <w:pPr>
              <w:jc w:val="both"/>
              <w:rPr>
                <w:rFonts w:eastAsia="Calibri"/>
                <w:sz w:val="20"/>
                <w:lang w:val="fr-CA"/>
              </w:rPr>
            </w:pPr>
          </w:p>
        </w:tc>
      </w:tr>
      <w:tr w:rsidR="00C8670C" w:rsidRPr="00832ABE" w:rsidTr="00364F37">
        <w:tc>
          <w:tcPr>
            <w:tcW w:w="5000" w:type="pct"/>
            <w:gridSpan w:val="3"/>
          </w:tcPr>
          <w:p w:rsidR="00C8670C" w:rsidRPr="009F4C66" w:rsidRDefault="00C8670C" w:rsidP="00364F37">
            <w:pPr>
              <w:jc w:val="both"/>
              <w:rPr>
                <w:rFonts w:eastAsia="Calibri"/>
                <w:sz w:val="20"/>
                <w:lang w:val="fr-CA"/>
              </w:rPr>
            </w:pPr>
            <w:r w:rsidRPr="009F4C66">
              <w:rPr>
                <w:rFonts w:eastAsia="Calibri"/>
                <w:sz w:val="20"/>
                <w:lang w:val="fr-CA"/>
              </w:rPr>
              <w:t>Selon l'exposé conjoint des faits, deux infirmières membres du syndicat demandeur étaient de garde de 23 h le jeudi soir jusqu'à 7 h 30 le vendredi matin. Leur quart de travail normal commençait à 7 h 30 le vendredi matin et prenait fin à 15 h 45 de l'après</w:t>
            </w:r>
            <w:r w:rsidRPr="009F4C66">
              <w:rPr>
                <w:rFonts w:eastAsia="Calibri"/>
                <w:sz w:val="20"/>
                <w:lang w:val="fr-CA"/>
              </w:rPr>
              <w:noBreakHyphen/>
              <w:t>midi du même jour. Les infirmières ont été appelées par le standard téléphonique de l'hôpital à environ 6 h 30 et on leur a demandé de se présenter pour une intervention chirurgicale qui devait commencer vers 7 h. Elles l'ont fait et elles ont aidé à l'intervention jusqu'à environ 8 h 30. Elles sont ensuite demeurées au travail jusqu'à 15 h 45. Les infirmières ont demandé l'indemnité de rappel minimal de trois heures pour le travail effectué pendant qu'elles étaient de garde et avant le début de leur quart de travail normal. L'employeur a estimé que les 30 minutes qu'elles avaient travaillées avant le début de leur quart de travail normal ne constituaient pas un rappel au travail. L'employeur s'est plutôt limité à rémunérer les infirmières pour 30 minutes de temps supplémentaire. L'employeur était d'avis que le travail effectué par les infirmières était contigu à leur quart de travail normal. </w:t>
            </w:r>
          </w:p>
          <w:p w:rsidR="00C8670C" w:rsidRPr="009F4C66" w:rsidRDefault="00C8670C" w:rsidP="00364F37">
            <w:pPr>
              <w:jc w:val="both"/>
              <w:rPr>
                <w:rFonts w:eastAsia="Calibri"/>
                <w:sz w:val="20"/>
                <w:lang w:val="fr-CA"/>
              </w:rPr>
            </w:pPr>
          </w:p>
          <w:p w:rsidR="00C8670C" w:rsidRPr="009F4C66" w:rsidRDefault="00C8670C" w:rsidP="00364F37">
            <w:pPr>
              <w:jc w:val="both"/>
              <w:rPr>
                <w:rFonts w:eastAsia="Calibri"/>
                <w:sz w:val="20"/>
                <w:lang w:val="fr-CA"/>
              </w:rPr>
            </w:pPr>
            <w:r w:rsidRPr="009F4C66">
              <w:rPr>
                <w:rFonts w:eastAsia="Calibri"/>
                <w:sz w:val="20"/>
                <w:lang w:val="fr-CA"/>
              </w:rPr>
              <w:t>En se fondant sur son interprétation de la convention collective, les membres majoritaires du conseil d'arbitrage ont rejeté les griefs du syndicat, statuant qu'aucune indemnité de rappel n'était payable lorsque les employés sont tenus de travailler des heures contiguës au commencement de leur quart de travail normal. La Cour du Banc de la Reine de l'Alberta a accueilli la demande de contrôle judiciaire du syndicat. La Cour d'appel a accueilli l'appel de l'employeur, le juge O’Ferrall étant dissident.</w:t>
            </w:r>
          </w:p>
          <w:p w:rsidR="00C8670C" w:rsidRPr="009F4C66" w:rsidRDefault="00C8670C" w:rsidP="00364F37">
            <w:pPr>
              <w:jc w:val="both"/>
              <w:rPr>
                <w:rFonts w:eastAsia="Calibri"/>
                <w:sz w:val="20"/>
                <w:lang w:val="fr-CA"/>
              </w:rPr>
            </w:pPr>
          </w:p>
        </w:tc>
      </w:tr>
      <w:tr w:rsidR="00C8670C" w:rsidRPr="00832ABE" w:rsidTr="00364F37">
        <w:tc>
          <w:tcPr>
            <w:tcW w:w="2427" w:type="pct"/>
          </w:tcPr>
          <w:p w:rsidR="00C8670C" w:rsidRPr="009F4C66" w:rsidRDefault="00C8670C" w:rsidP="00364F37">
            <w:pPr>
              <w:jc w:val="both"/>
              <w:rPr>
                <w:rFonts w:eastAsia="Calibri"/>
                <w:sz w:val="20"/>
                <w:lang w:val="fr-CA"/>
              </w:rPr>
            </w:pPr>
            <w:r w:rsidRPr="009F4C66">
              <w:rPr>
                <w:rFonts w:eastAsia="Calibri"/>
                <w:sz w:val="20"/>
                <w:lang w:val="fr-CA"/>
              </w:rPr>
              <w:t>25 février 2010</w:t>
            </w:r>
          </w:p>
          <w:p w:rsidR="00C8670C" w:rsidRPr="009F4C66" w:rsidRDefault="00C8670C" w:rsidP="00364F37">
            <w:pPr>
              <w:jc w:val="both"/>
              <w:rPr>
                <w:rFonts w:eastAsia="Calibri"/>
                <w:sz w:val="20"/>
                <w:lang w:val="fr-CA"/>
              </w:rPr>
            </w:pPr>
            <w:r w:rsidRPr="009F4C66">
              <w:rPr>
                <w:rFonts w:eastAsia="Calibri"/>
                <w:sz w:val="20"/>
                <w:lang w:val="fr-CA"/>
              </w:rPr>
              <w:t xml:space="preserve">Cour du Banc de la Reine de l'Alberta </w:t>
            </w:r>
          </w:p>
          <w:p w:rsidR="00C8670C" w:rsidRPr="009F4C66" w:rsidRDefault="00C8670C" w:rsidP="00364F37">
            <w:pPr>
              <w:jc w:val="both"/>
              <w:rPr>
                <w:rFonts w:eastAsia="Calibri"/>
                <w:sz w:val="20"/>
                <w:lang w:val="fr-CA"/>
              </w:rPr>
            </w:pPr>
            <w:r w:rsidRPr="009F4C66">
              <w:rPr>
                <w:rFonts w:eastAsia="Calibri"/>
                <w:sz w:val="20"/>
                <w:lang w:val="fr-CA"/>
              </w:rPr>
              <w:t>(Juge Acton)</w:t>
            </w:r>
          </w:p>
          <w:p w:rsidR="00C8670C" w:rsidRPr="009F4C66" w:rsidRDefault="00C8670C" w:rsidP="00364F37">
            <w:pPr>
              <w:jc w:val="both"/>
              <w:rPr>
                <w:rFonts w:eastAsia="Calibri"/>
                <w:sz w:val="20"/>
                <w:lang w:val="fr-CA"/>
              </w:rPr>
            </w:pPr>
          </w:p>
        </w:tc>
        <w:tc>
          <w:tcPr>
            <w:tcW w:w="243" w:type="pct"/>
          </w:tcPr>
          <w:p w:rsidR="00C8670C" w:rsidRPr="009F4C66" w:rsidRDefault="00C8670C" w:rsidP="00364F37">
            <w:pPr>
              <w:jc w:val="both"/>
              <w:rPr>
                <w:rFonts w:eastAsia="Calibri"/>
                <w:sz w:val="20"/>
                <w:lang w:val="fr-CA"/>
              </w:rPr>
            </w:pPr>
          </w:p>
        </w:tc>
        <w:tc>
          <w:tcPr>
            <w:tcW w:w="2330" w:type="pct"/>
          </w:tcPr>
          <w:p w:rsidR="00C8670C" w:rsidRPr="009F4C66" w:rsidRDefault="00C8670C" w:rsidP="00364F37">
            <w:pPr>
              <w:jc w:val="both"/>
              <w:rPr>
                <w:rFonts w:eastAsia="Calibri"/>
                <w:sz w:val="20"/>
                <w:lang w:val="fr-CA"/>
              </w:rPr>
            </w:pPr>
            <w:r w:rsidRPr="009F4C66">
              <w:rPr>
                <w:rFonts w:eastAsia="Calibri"/>
                <w:sz w:val="20"/>
                <w:lang w:val="fr-CA"/>
              </w:rPr>
              <w:t>Demande de contrôle judiciaire présentée par le demandeur, accueillie; décision du conseil d'arbitrage, annulée.</w:t>
            </w:r>
          </w:p>
          <w:p w:rsidR="00C8670C" w:rsidRPr="009F4C66" w:rsidRDefault="00C8670C" w:rsidP="00364F37">
            <w:pPr>
              <w:jc w:val="both"/>
              <w:rPr>
                <w:rFonts w:eastAsia="Calibri"/>
                <w:sz w:val="20"/>
                <w:lang w:val="fr-CA"/>
              </w:rPr>
            </w:pPr>
          </w:p>
        </w:tc>
      </w:tr>
      <w:tr w:rsidR="00C8670C" w:rsidRPr="009F4C66" w:rsidTr="00364F37">
        <w:tc>
          <w:tcPr>
            <w:tcW w:w="2427" w:type="pct"/>
          </w:tcPr>
          <w:p w:rsidR="00C8670C" w:rsidRPr="009F4C66" w:rsidRDefault="00C8670C" w:rsidP="00364F37">
            <w:pPr>
              <w:jc w:val="both"/>
              <w:rPr>
                <w:rFonts w:eastAsia="Calibri"/>
                <w:sz w:val="20"/>
                <w:lang w:val="fr-CA"/>
              </w:rPr>
            </w:pPr>
            <w:r w:rsidRPr="009F4C66">
              <w:rPr>
                <w:rFonts w:eastAsia="Calibri"/>
                <w:sz w:val="20"/>
                <w:lang w:val="fr-CA"/>
              </w:rPr>
              <w:t>16 août 2011</w:t>
            </w:r>
          </w:p>
          <w:p w:rsidR="00C8670C" w:rsidRPr="009F4C66" w:rsidRDefault="00C8670C" w:rsidP="00364F37">
            <w:pPr>
              <w:jc w:val="both"/>
              <w:rPr>
                <w:rFonts w:eastAsia="Calibri"/>
                <w:sz w:val="20"/>
                <w:lang w:val="fr-CA"/>
              </w:rPr>
            </w:pPr>
            <w:r w:rsidRPr="009F4C66">
              <w:rPr>
                <w:rFonts w:eastAsia="Calibri"/>
                <w:sz w:val="20"/>
                <w:lang w:val="fr-CA"/>
              </w:rPr>
              <w:t>Cour d'appel de l'Alberta (Edmonton)</w:t>
            </w:r>
          </w:p>
          <w:p w:rsidR="00C8670C" w:rsidRPr="009F4C66" w:rsidRDefault="00C8670C" w:rsidP="00364F37">
            <w:pPr>
              <w:jc w:val="both"/>
              <w:rPr>
                <w:rFonts w:eastAsia="Calibri"/>
                <w:sz w:val="20"/>
                <w:lang w:val="fr-CA"/>
              </w:rPr>
            </w:pPr>
            <w:r w:rsidRPr="009F4C66">
              <w:rPr>
                <w:rFonts w:eastAsia="Calibri"/>
                <w:sz w:val="20"/>
                <w:lang w:val="fr-CA"/>
              </w:rPr>
              <w:t>(Juges O'Brien, Bielby et O'Ferrall (dissident))</w:t>
            </w:r>
          </w:p>
          <w:p w:rsidR="00C8670C" w:rsidRPr="009F4C66" w:rsidRDefault="00C8670C" w:rsidP="00364F37">
            <w:pPr>
              <w:jc w:val="both"/>
              <w:rPr>
                <w:rFonts w:eastAsia="Calibri"/>
                <w:sz w:val="20"/>
                <w:lang w:val="fr-CA"/>
              </w:rPr>
            </w:pPr>
          </w:p>
        </w:tc>
        <w:tc>
          <w:tcPr>
            <w:tcW w:w="243" w:type="pct"/>
          </w:tcPr>
          <w:p w:rsidR="00C8670C" w:rsidRPr="009F4C66" w:rsidRDefault="00C8670C" w:rsidP="00364F37">
            <w:pPr>
              <w:jc w:val="both"/>
              <w:rPr>
                <w:rFonts w:eastAsia="Calibri"/>
                <w:sz w:val="20"/>
                <w:lang w:val="fr-CA"/>
              </w:rPr>
            </w:pPr>
          </w:p>
        </w:tc>
        <w:tc>
          <w:tcPr>
            <w:tcW w:w="2330" w:type="pct"/>
          </w:tcPr>
          <w:p w:rsidR="00C8670C" w:rsidRPr="009F4C66" w:rsidRDefault="00C8670C" w:rsidP="00364F37">
            <w:pPr>
              <w:jc w:val="both"/>
              <w:rPr>
                <w:rFonts w:eastAsia="Calibri"/>
                <w:sz w:val="20"/>
                <w:lang w:val="fr-CA"/>
              </w:rPr>
            </w:pPr>
            <w:r w:rsidRPr="009F4C66">
              <w:rPr>
                <w:rFonts w:eastAsia="Calibri"/>
                <w:sz w:val="20"/>
                <w:lang w:val="fr-CA"/>
              </w:rPr>
              <w:t>Appel de l'intimée, accueilli.</w:t>
            </w:r>
          </w:p>
          <w:p w:rsidR="00C8670C" w:rsidRPr="009F4C66" w:rsidRDefault="00C8670C" w:rsidP="00364F37">
            <w:pPr>
              <w:jc w:val="both"/>
              <w:rPr>
                <w:rFonts w:eastAsia="Calibri"/>
                <w:sz w:val="20"/>
                <w:lang w:val="fr-CA"/>
              </w:rPr>
            </w:pPr>
          </w:p>
          <w:p w:rsidR="00C8670C" w:rsidRPr="009F4C66" w:rsidRDefault="00C8670C" w:rsidP="00364F37">
            <w:pPr>
              <w:jc w:val="both"/>
              <w:rPr>
                <w:rFonts w:eastAsia="Calibri"/>
                <w:sz w:val="20"/>
                <w:lang w:val="fr-CA"/>
              </w:rPr>
            </w:pPr>
          </w:p>
        </w:tc>
      </w:tr>
      <w:tr w:rsidR="00C8670C" w:rsidRPr="009F4C66" w:rsidTr="00364F37">
        <w:tc>
          <w:tcPr>
            <w:tcW w:w="2427" w:type="pct"/>
          </w:tcPr>
          <w:p w:rsidR="00C8670C" w:rsidRPr="009F4C66" w:rsidRDefault="00C8670C" w:rsidP="00364F37">
            <w:pPr>
              <w:jc w:val="both"/>
              <w:rPr>
                <w:rFonts w:eastAsia="Calibri"/>
                <w:sz w:val="20"/>
                <w:lang w:val="fr-CA"/>
              </w:rPr>
            </w:pPr>
            <w:r w:rsidRPr="009F4C66">
              <w:rPr>
                <w:rFonts w:eastAsia="Calibri"/>
                <w:sz w:val="20"/>
                <w:lang w:val="fr-CA"/>
              </w:rPr>
              <w:t>14 octobre 2011</w:t>
            </w:r>
          </w:p>
          <w:p w:rsidR="00C8670C" w:rsidRPr="009F4C66" w:rsidRDefault="00C8670C" w:rsidP="00364F37">
            <w:pPr>
              <w:jc w:val="both"/>
              <w:rPr>
                <w:rFonts w:eastAsia="Calibri"/>
                <w:sz w:val="20"/>
                <w:lang w:val="fr-CA"/>
              </w:rPr>
            </w:pPr>
            <w:r w:rsidRPr="009F4C66">
              <w:rPr>
                <w:rFonts w:eastAsia="Calibri"/>
                <w:sz w:val="20"/>
                <w:lang w:val="fr-CA"/>
              </w:rPr>
              <w:t>Cour suprême du Canada</w:t>
            </w:r>
          </w:p>
        </w:tc>
        <w:tc>
          <w:tcPr>
            <w:tcW w:w="243" w:type="pct"/>
          </w:tcPr>
          <w:p w:rsidR="00C8670C" w:rsidRPr="009F4C66" w:rsidRDefault="00C8670C" w:rsidP="00364F37">
            <w:pPr>
              <w:jc w:val="both"/>
              <w:rPr>
                <w:rFonts w:eastAsia="Calibri"/>
                <w:sz w:val="20"/>
                <w:lang w:val="fr-CA"/>
              </w:rPr>
            </w:pPr>
          </w:p>
        </w:tc>
        <w:tc>
          <w:tcPr>
            <w:tcW w:w="2330" w:type="pct"/>
          </w:tcPr>
          <w:p w:rsidR="00C8670C" w:rsidRPr="009F4C66" w:rsidRDefault="00C8670C" w:rsidP="00364F37">
            <w:pPr>
              <w:jc w:val="both"/>
              <w:rPr>
                <w:rFonts w:eastAsia="Calibri"/>
                <w:sz w:val="20"/>
                <w:lang w:val="fr-CA"/>
              </w:rPr>
            </w:pPr>
            <w:r w:rsidRPr="009F4C66">
              <w:rPr>
                <w:rFonts w:eastAsia="Calibri"/>
                <w:sz w:val="20"/>
                <w:lang w:val="fr-CA"/>
              </w:rPr>
              <w:t>Demande d'autorisation d'appel, déposée.</w:t>
            </w:r>
          </w:p>
          <w:p w:rsidR="00C8670C" w:rsidRPr="009F4C66" w:rsidRDefault="00C8670C" w:rsidP="00364F37">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69" style="width:2in;height:1pt" o:hrpct="0" o:hralign="center" o:hrstd="t" o:hrnoshade="t" o:hr="t" fillcolor="black [3213]" stroked="f"/>
        </w:pict>
      </w:r>
    </w:p>
    <w:p w:rsidR="00140B84" w:rsidRDefault="00140B84" w:rsidP="00140B84">
      <w:pPr>
        <w:rPr>
          <w:sz w:val="20"/>
          <w:szCs w:val="20"/>
        </w:rPr>
      </w:pPr>
    </w:p>
    <w:p w:rsidR="00615936" w:rsidRDefault="00615936">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15936" w:rsidRPr="003A3F02" w:rsidTr="00615936">
        <w:trPr>
          <w:cantSplit/>
        </w:trPr>
        <w:tc>
          <w:tcPr>
            <w:tcW w:w="1458" w:type="dxa"/>
          </w:tcPr>
          <w:p w:rsidR="00615936" w:rsidRPr="003A3F02" w:rsidRDefault="00615936" w:rsidP="00615936">
            <w:pPr>
              <w:rPr>
                <w:sz w:val="20"/>
                <w:szCs w:val="20"/>
              </w:rPr>
            </w:pPr>
            <w:r w:rsidRPr="003A3F02">
              <w:rPr>
                <w:rStyle w:val="SCCFileNumberChar"/>
                <w:sz w:val="20"/>
                <w:szCs w:val="20"/>
              </w:rPr>
              <w:t>34511</w:t>
            </w:r>
          </w:p>
          <w:p w:rsidR="00615936" w:rsidRPr="003A3F02" w:rsidRDefault="00615936" w:rsidP="00615936">
            <w:pPr>
              <w:rPr>
                <w:b/>
                <w:sz w:val="20"/>
                <w:szCs w:val="20"/>
                <w:lang w:val="fr-CA"/>
              </w:rPr>
            </w:pPr>
          </w:p>
        </w:tc>
        <w:tc>
          <w:tcPr>
            <w:tcW w:w="8118" w:type="dxa"/>
          </w:tcPr>
          <w:p w:rsidR="00615936" w:rsidRPr="003A3F02" w:rsidRDefault="00615936" w:rsidP="00615936">
            <w:pPr>
              <w:rPr>
                <w:sz w:val="20"/>
                <w:szCs w:val="20"/>
              </w:rPr>
            </w:pPr>
            <w:r w:rsidRPr="00615936">
              <w:rPr>
                <w:rStyle w:val="SCCLsocChar"/>
                <w:sz w:val="20"/>
                <w:szCs w:val="20"/>
                <w:lang w:val="en-CA"/>
              </w:rPr>
              <w:t>Ian James Bell v. Her Majesty the Queen</w:t>
            </w:r>
            <w:r w:rsidRPr="003A3F02">
              <w:rPr>
                <w:sz w:val="20"/>
                <w:szCs w:val="20"/>
              </w:rPr>
              <w:t xml:space="preserve"> (Ont.) (Criminal) (By Leave)</w:t>
            </w:r>
          </w:p>
          <w:p w:rsidR="00615936" w:rsidRPr="003A3F02" w:rsidRDefault="00615936" w:rsidP="00615936">
            <w:pPr>
              <w:rPr>
                <w:sz w:val="20"/>
                <w:szCs w:val="20"/>
              </w:rPr>
            </w:pPr>
          </w:p>
        </w:tc>
      </w:tr>
      <w:tr w:rsidR="00615936" w:rsidRPr="003A3F02" w:rsidTr="00615936">
        <w:trPr>
          <w:cantSplit/>
        </w:trPr>
        <w:tc>
          <w:tcPr>
            <w:tcW w:w="1458" w:type="dxa"/>
          </w:tcPr>
          <w:p w:rsidR="00615936" w:rsidRPr="003A3F02" w:rsidRDefault="00615936" w:rsidP="00615936">
            <w:pPr>
              <w:rPr>
                <w:sz w:val="20"/>
                <w:szCs w:val="20"/>
              </w:rPr>
            </w:pPr>
            <w:r w:rsidRPr="003A3F02">
              <w:rPr>
                <w:sz w:val="20"/>
                <w:szCs w:val="20"/>
              </w:rPr>
              <w:t>Coram :</w:t>
            </w:r>
          </w:p>
        </w:tc>
        <w:tc>
          <w:tcPr>
            <w:tcW w:w="8118" w:type="dxa"/>
          </w:tcPr>
          <w:p w:rsidR="00615936" w:rsidRPr="003A3F02" w:rsidRDefault="00615936" w:rsidP="00615936">
            <w:pPr>
              <w:rPr>
                <w:sz w:val="20"/>
                <w:szCs w:val="20"/>
              </w:rPr>
            </w:pPr>
            <w:r w:rsidRPr="00615936">
              <w:rPr>
                <w:rStyle w:val="SCCCoramChar"/>
                <w:sz w:val="20"/>
                <w:szCs w:val="20"/>
                <w:lang w:val="en-CA"/>
              </w:rPr>
              <w:t>LeBel, Abella and Cromwell JJ.</w:t>
            </w:r>
          </w:p>
          <w:p w:rsidR="00615936" w:rsidRPr="003A3F02" w:rsidRDefault="00615936" w:rsidP="00615936">
            <w:pPr>
              <w:rPr>
                <w:sz w:val="20"/>
                <w:szCs w:val="20"/>
                <w:u w:val="single"/>
              </w:rPr>
            </w:pPr>
          </w:p>
        </w:tc>
      </w:tr>
      <w:tr w:rsidR="00615936" w:rsidRPr="00832ABE" w:rsidTr="00615936">
        <w:trPr>
          <w:cantSplit/>
        </w:trPr>
        <w:tc>
          <w:tcPr>
            <w:tcW w:w="9576" w:type="dxa"/>
            <w:gridSpan w:val="2"/>
          </w:tcPr>
          <w:p w:rsidR="00615936" w:rsidRPr="003A3F02" w:rsidRDefault="00615936" w:rsidP="00615936">
            <w:pPr>
              <w:pStyle w:val="SCCShortJudgment"/>
              <w:rPr>
                <w:szCs w:val="20"/>
              </w:rPr>
            </w:pPr>
            <w:r w:rsidRPr="003A3F02">
              <w:rPr>
                <w:szCs w:val="20"/>
              </w:rPr>
              <w:t>The motion for an extension of time to serve and file the application for leave to appeal from the judgment of the Court of Appeal for Ontario, Number C48392, 2010 ONCA 387, dated May 17, 2010, is dismissed. In any event, had such motion been granted, the application for leave to appeal would have been dismissed without costs.</w:t>
            </w:r>
          </w:p>
          <w:p w:rsidR="00615936" w:rsidRPr="003A3F02" w:rsidRDefault="00615936" w:rsidP="00615936">
            <w:pPr>
              <w:pStyle w:val="SCCShortJudgment"/>
              <w:ind w:firstLine="0"/>
              <w:rPr>
                <w:szCs w:val="20"/>
              </w:rPr>
            </w:pPr>
          </w:p>
          <w:p w:rsidR="00615936" w:rsidRPr="003A3F02" w:rsidRDefault="00615936" w:rsidP="00615936">
            <w:pPr>
              <w:pStyle w:val="SCCShortJudgment"/>
              <w:rPr>
                <w:szCs w:val="20"/>
                <w:lang w:val="fr-CA"/>
              </w:rPr>
            </w:pPr>
            <w:r w:rsidRPr="003A3F02">
              <w:rPr>
                <w:szCs w:val="20"/>
                <w:lang w:val="fr-CA"/>
              </w:rPr>
              <w:t>La requête en prorogation du délai de signification et de dépôt de la demande d’autorisation d’appel de l’arrêt de la Cour d’appel de l’Ontario, numéro C48392, 2010 ONCA 387, daté du 17 mai 2010, est rejetée. Quoi qu’il en soit, même si la requête avait été accueillie, la demande d’autorisation d’appel aurait été rejetée sans dépens.</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8670C" w:rsidRPr="009F4C66" w:rsidTr="00364F37">
        <w:tc>
          <w:tcPr>
            <w:tcW w:w="5000" w:type="pct"/>
            <w:gridSpan w:val="3"/>
          </w:tcPr>
          <w:p w:rsidR="00C8670C" w:rsidRPr="009F4C66" w:rsidRDefault="00C8670C" w:rsidP="00364F37">
            <w:pPr>
              <w:jc w:val="both"/>
              <w:rPr>
                <w:sz w:val="20"/>
              </w:rPr>
            </w:pPr>
            <w:r w:rsidRPr="009F4C66">
              <w:rPr>
                <w:sz w:val="20"/>
              </w:rPr>
              <w:t>(</w:t>
            </w:r>
            <w:r w:rsidRPr="009F4C66">
              <w:rPr>
                <w:rFonts w:eastAsia="Calibri"/>
                <w:smallCaps/>
                <w:sz w:val="20"/>
              </w:rPr>
              <w:t>Publication Ban in Case</w:t>
            </w:r>
            <w:r w:rsidRPr="009F4C66">
              <w:rPr>
                <w:sz w:val="20"/>
              </w:rPr>
              <w:t xml:space="preserve">) </w:t>
            </w:r>
          </w:p>
          <w:p w:rsidR="00C8670C" w:rsidRPr="009F4C66" w:rsidRDefault="00C8670C" w:rsidP="00364F37">
            <w:pPr>
              <w:jc w:val="both"/>
              <w:rPr>
                <w:sz w:val="20"/>
              </w:rPr>
            </w:pPr>
          </w:p>
          <w:p w:rsidR="00C8670C" w:rsidRPr="009F4C66" w:rsidRDefault="00C8670C" w:rsidP="00364F37">
            <w:pPr>
              <w:jc w:val="both"/>
              <w:rPr>
                <w:sz w:val="20"/>
              </w:rPr>
            </w:pPr>
            <w:r w:rsidRPr="009F4C66">
              <w:rPr>
                <w:sz w:val="20"/>
              </w:rPr>
              <w:t>Criminal Law – Unreasonable Verdict – Evidence – Assessment – Dangerous offender application – Whether conviction on count of assault causing bodily harm was unreasonable and  inconsistent with acquittals on counts of assault and forcible confinement – Whether Court of Appeal erred in not re-weighing evidence where much of accused’s evidence was accepted by the jury – Whether facts were serious enough to warrant a dangerous offender designation – Whether dangerous offender designation was inconsistent with acquittals by jury on 15 counts – Effect and weight given to complainant’s evidence regarding her injuries and their effect in dangerous offender hearing.</w:t>
            </w:r>
          </w:p>
        </w:tc>
      </w:tr>
      <w:tr w:rsidR="00C8670C" w:rsidRPr="009F4C66" w:rsidTr="00364F37">
        <w:tc>
          <w:tcPr>
            <w:tcW w:w="5000" w:type="pct"/>
            <w:gridSpan w:val="3"/>
          </w:tcPr>
          <w:p w:rsidR="00C8670C" w:rsidRPr="009F4C66" w:rsidRDefault="00C8670C" w:rsidP="00364F37">
            <w:pPr>
              <w:jc w:val="both"/>
              <w:rPr>
                <w:sz w:val="20"/>
              </w:rPr>
            </w:pPr>
          </w:p>
        </w:tc>
      </w:tr>
      <w:tr w:rsidR="00C8670C" w:rsidRPr="009F4C66" w:rsidTr="00364F37">
        <w:tc>
          <w:tcPr>
            <w:tcW w:w="5000" w:type="pct"/>
            <w:gridSpan w:val="3"/>
          </w:tcPr>
          <w:p w:rsidR="00C8670C" w:rsidRPr="009F4C66" w:rsidRDefault="00C8670C" w:rsidP="00364F37">
            <w:pPr>
              <w:jc w:val="both"/>
              <w:rPr>
                <w:sz w:val="20"/>
              </w:rPr>
            </w:pPr>
            <w:r w:rsidRPr="009F4C66">
              <w:rPr>
                <w:sz w:val="20"/>
              </w:rPr>
              <w:t>The complainant alleged to police that, over a period of nine hours, the applicant confined and threatened her.  She testified that he committed acts of violence against her, including punching her, grabbing her by the hair, and pulling her by the hair.  She testified that she suffered a black and swollen eye, a bruised harm, scratches on her arms, and severe psychological damage.   The applicant was convicted by a jury of assault causing bodily harm and disobeying a court order.  He was acquitted of 15 other counts. On sentencing, the applicant was designated a dangerous offender and an indeterminate sentence was ordered.</w:t>
            </w:r>
          </w:p>
          <w:p w:rsidR="00C8670C" w:rsidRPr="009F4C66" w:rsidRDefault="00C8670C" w:rsidP="00364F37">
            <w:pPr>
              <w:jc w:val="both"/>
              <w:rPr>
                <w:sz w:val="20"/>
              </w:rPr>
            </w:pPr>
          </w:p>
        </w:tc>
      </w:tr>
      <w:tr w:rsidR="00C8670C" w:rsidRPr="009F4C66" w:rsidTr="00364F37">
        <w:tc>
          <w:tcPr>
            <w:tcW w:w="2427" w:type="pct"/>
          </w:tcPr>
          <w:p w:rsidR="00C8670C" w:rsidRPr="009F4C66" w:rsidRDefault="00C8670C" w:rsidP="00364F37">
            <w:pPr>
              <w:jc w:val="both"/>
              <w:rPr>
                <w:sz w:val="20"/>
              </w:rPr>
            </w:pPr>
            <w:r w:rsidRPr="009F4C66">
              <w:rPr>
                <w:sz w:val="20"/>
              </w:rPr>
              <w:t>April 20, 2004</w:t>
            </w:r>
          </w:p>
          <w:p w:rsidR="00C8670C" w:rsidRPr="009F4C66" w:rsidRDefault="00C8670C" w:rsidP="00364F37">
            <w:pPr>
              <w:jc w:val="both"/>
              <w:rPr>
                <w:sz w:val="20"/>
              </w:rPr>
            </w:pPr>
            <w:r w:rsidRPr="009F4C66">
              <w:rPr>
                <w:sz w:val="20"/>
              </w:rPr>
              <w:t>Ontario Superior Court of Justice</w:t>
            </w:r>
          </w:p>
          <w:p w:rsidR="00C8670C" w:rsidRPr="009F4C66" w:rsidRDefault="00C8670C" w:rsidP="00364F37">
            <w:pPr>
              <w:jc w:val="both"/>
              <w:rPr>
                <w:sz w:val="20"/>
              </w:rPr>
            </w:pPr>
            <w:r w:rsidRPr="009F4C66">
              <w:rPr>
                <w:sz w:val="20"/>
              </w:rPr>
              <w:t>(Jarvis J.)</w:t>
            </w:r>
          </w:p>
          <w:p w:rsidR="00C8670C" w:rsidRPr="009F4C66" w:rsidRDefault="00C8670C" w:rsidP="00364F37">
            <w:pPr>
              <w:jc w:val="both"/>
              <w:rPr>
                <w:sz w:val="20"/>
              </w:rPr>
            </w:pPr>
          </w:p>
        </w:tc>
        <w:tc>
          <w:tcPr>
            <w:tcW w:w="243" w:type="pct"/>
          </w:tcPr>
          <w:p w:rsidR="00C8670C" w:rsidRPr="009F4C66" w:rsidRDefault="00C8670C" w:rsidP="00364F37">
            <w:pPr>
              <w:jc w:val="both"/>
              <w:rPr>
                <w:sz w:val="20"/>
              </w:rPr>
            </w:pPr>
          </w:p>
        </w:tc>
        <w:tc>
          <w:tcPr>
            <w:tcW w:w="2330" w:type="pct"/>
          </w:tcPr>
          <w:p w:rsidR="00C8670C" w:rsidRPr="009F4C66" w:rsidRDefault="00C8670C" w:rsidP="00364F37">
            <w:pPr>
              <w:jc w:val="both"/>
              <w:rPr>
                <w:sz w:val="20"/>
              </w:rPr>
            </w:pPr>
            <w:r w:rsidRPr="009F4C66">
              <w:rPr>
                <w:sz w:val="20"/>
              </w:rPr>
              <w:t>Conviction by jury for assault causing bodily harm; Conviction for disobeying a court order; Acquittals on 15 charges</w:t>
            </w:r>
          </w:p>
        </w:tc>
      </w:tr>
      <w:tr w:rsidR="00C8670C" w:rsidRPr="009F4C66" w:rsidTr="00364F37">
        <w:tc>
          <w:tcPr>
            <w:tcW w:w="2427" w:type="pct"/>
          </w:tcPr>
          <w:p w:rsidR="00C8670C" w:rsidRPr="009F4C66" w:rsidRDefault="00C8670C" w:rsidP="00364F37">
            <w:pPr>
              <w:jc w:val="both"/>
              <w:rPr>
                <w:sz w:val="20"/>
              </w:rPr>
            </w:pPr>
            <w:r w:rsidRPr="009F4C66">
              <w:rPr>
                <w:sz w:val="20"/>
              </w:rPr>
              <w:t>July 12, 2007</w:t>
            </w:r>
          </w:p>
          <w:p w:rsidR="00C8670C" w:rsidRPr="009F4C66" w:rsidRDefault="00C8670C" w:rsidP="00364F37">
            <w:pPr>
              <w:jc w:val="both"/>
              <w:rPr>
                <w:sz w:val="20"/>
              </w:rPr>
            </w:pPr>
            <w:r w:rsidRPr="009F4C66">
              <w:rPr>
                <w:sz w:val="20"/>
              </w:rPr>
              <w:t>Ontario Superior Court of Justice</w:t>
            </w:r>
          </w:p>
          <w:p w:rsidR="00C8670C" w:rsidRPr="009F4C66" w:rsidRDefault="00C8670C" w:rsidP="00364F37">
            <w:pPr>
              <w:jc w:val="both"/>
              <w:rPr>
                <w:sz w:val="20"/>
              </w:rPr>
            </w:pPr>
            <w:r w:rsidRPr="009F4C66">
              <w:rPr>
                <w:sz w:val="20"/>
              </w:rPr>
              <w:t>(Jarvis J.)</w:t>
            </w:r>
          </w:p>
          <w:p w:rsidR="00C8670C" w:rsidRPr="009F4C66" w:rsidRDefault="00C8670C" w:rsidP="00364F37">
            <w:pPr>
              <w:jc w:val="both"/>
              <w:rPr>
                <w:sz w:val="20"/>
              </w:rPr>
            </w:pPr>
            <w:r w:rsidRPr="009F4C66">
              <w:rPr>
                <w:sz w:val="20"/>
              </w:rPr>
              <w:t>2010 CarswellOnt 10081</w:t>
            </w:r>
          </w:p>
          <w:p w:rsidR="00C8670C" w:rsidRPr="009F4C66" w:rsidRDefault="00C8670C" w:rsidP="00364F37">
            <w:pPr>
              <w:jc w:val="both"/>
              <w:rPr>
                <w:sz w:val="20"/>
              </w:rPr>
            </w:pPr>
          </w:p>
        </w:tc>
        <w:tc>
          <w:tcPr>
            <w:tcW w:w="243" w:type="pct"/>
          </w:tcPr>
          <w:p w:rsidR="00C8670C" w:rsidRPr="009F4C66" w:rsidRDefault="00C8670C" w:rsidP="00364F37">
            <w:pPr>
              <w:jc w:val="both"/>
              <w:rPr>
                <w:sz w:val="20"/>
              </w:rPr>
            </w:pPr>
          </w:p>
        </w:tc>
        <w:tc>
          <w:tcPr>
            <w:tcW w:w="2330" w:type="pct"/>
          </w:tcPr>
          <w:p w:rsidR="00C8670C" w:rsidRPr="009F4C66" w:rsidRDefault="00C8670C" w:rsidP="00364F37">
            <w:pPr>
              <w:jc w:val="both"/>
              <w:rPr>
                <w:sz w:val="20"/>
              </w:rPr>
            </w:pPr>
            <w:r w:rsidRPr="009F4C66">
              <w:rPr>
                <w:sz w:val="20"/>
              </w:rPr>
              <w:t>Dangerous offender designation granted; indeterminate sentence ordered</w:t>
            </w:r>
          </w:p>
          <w:p w:rsidR="00C8670C" w:rsidRPr="009F4C66" w:rsidRDefault="00C8670C" w:rsidP="00364F37">
            <w:pPr>
              <w:jc w:val="both"/>
              <w:rPr>
                <w:sz w:val="20"/>
              </w:rPr>
            </w:pPr>
          </w:p>
        </w:tc>
      </w:tr>
      <w:tr w:rsidR="00C8670C" w:rsidRPr="009F4C66" w:rsidTr="00364F37">
        <w:tc>
          <w:tcPr>
            <w:tcW w:w="2427" w:type="pct"/>
          </w:tcPr>
          <w:p w:rsidR="00C8670C" w:rsidRPr="009F4C66" w:rsidRDefault="00C8670C" w:rsidP="00364F37">
            <w:pPr>
              <w:jc w:val="both"/>
              <w:rPr>
                <w:sz w:val="20"/>
              </w:rPr>
            </w:pPr>
            <w:r w:rsidRPr="009F4C66">
              <w:rPr>
                <w:sz w:val="20"/>
              </w:rPr>
              <w:t>May 17, 2010</w:t>
            </w:r>
          </w:p>
          <w:p w:rsidR="00C8670C" w:rsidRPr="009F4C66" w:rsidRDefault="00C8670C" w:rsidP="00364F37">
            <w:pPr>
              <w:jc w:val="both"/>
              <w:rPr>
                <w:sz w:val="20"/>
              </w:rPr>
            </w:pPr>
            <w:r w:rsidRPr="009F4C66">
              <w:rPr>
                <w:sz w:val="20"/>
              </w:rPr>
              <w:t>Court of Appeal for Ontario</w:t>
            </w:r>
          </w:p>
          <w:p w:rsidR="00C8670C" w:rsidRPr="009F4C66" w:rsidRDefault="00C8670C" w:rsidP="00364F37">
            <w:pPr>
              <w:jc w:val="both"/>
              <w:rPr>
                <w:sz w:val="20"/>
              </w:rPr>
            </w:pPr>
            <w:r w:rsidRPr="009F4C66">
              <w:rPr>
                <w:sz w:val="20"/>
              </w:rPr>
              <w:t>(Cronk, Epstein, Moldaver JJ.A.)</w:t>
            </w:r>
          </w:p>
          <w:p w:rsidR="00C8670C" w:rsidRPr="009F4C66" w:rsidRDefault="00C8670C" w:rsidP="00364F37">
            <w:pPr>
              <w:jc w:val="both"/>
              <w:rPr>
                <w:sz w:val="20"/>
              </w:rPr>
            </w:pPr>
            <w:r w:rsidRPr="009F4C66">
              <w:rPr>
                <w:sz w:val="20"/>
              </w:rPr>
              <w:t>2010 ONCA 387; C48382</w:t>
            </w:r>
          </w:p>
          <w:p w:rsidR="00C8670C" w:rsidRPr="009F4C66" w:rsidRDefault="00C8670C" w:rsidP="00364F37">
            <w:pPr>
              <w:jc w:val="both"/>
              <w:rPr>
                <w:sz w:val="20"/>
              </w:rPr>
            </w:pPr>
          </w:p>
        </w:tc>
        <w:tc>
          <w:tcPr>
            <w:tcW w:w="243" w:type="pct"/>
          </w:tcPr>
          <w:p w:rsidR="00C8670C" w:rsidRPr="009F4C66" w:rsidRDefault="00C8670C" w:rsidP="00364F37">
            <w:pPr>
              <w:jc w:val="both"/>
              <w:rPr>
                <w:sz w:val="20"/>
              </w:rPr>
            </w:pPr>
          </w:p>
        </w:tc>
        <w:tc>
          <w:tcPr>
            <w:tcW w:w="2330" w:type="pct"/>
          </w:tcPr>
          <w:p w:rsidR="00C8670C" w:rsidRPr="009F4C66" w:rsidRDefault="00C8670C" w:rsidP="00364F37">
            <w:pPr>
              <w:jc w:val="both"/>
              <w:rPr>
                <w:sz w:val="20"/>
              </w:rPr>
            </w:pPr>
            <w:r w:rsidRPr="009F4C66">
              <w:rPr>
                <w:sz w:val="20"/>
              </w:rPr>
              <w:t>Appeals from convictions and sentence dismissed</w:t>
            </w:r>
          </w:p>
          <w:p w:rsidR="00C8670C" w:rsidRPr="009F4C66" w:rsidRDefault="00C8670C" w:rsidP="00364F37">
            <w:pPr>
              <w:jc w:val="both"/>
              <w:rPr>
                <w:sz w:val="20"/>
              </w:rPr>
            </w:pPr>
          </w:p>
        </w:tc>
      </w:tr>
      <w:tr w:rsidR="00C8670C" w:rsidRPr="009F4C66" w:rsidTr="00364F37">
        <w:tc>
          <w:tcPr>
            <w:tcW w:w="2427" w:type="pct"/>
          </w:tcPr>
          <w:p w:rsidR="00C8670C" w:rsidRPr="009F4C66" w:rsidRDefault="00C8670C" w:rsidP="00364F37">
            <w:pPr>
              <w:jc w:val="both"/>
              <w:rPr>
                <w:sz w:val="20"/>
              </w:rPr>
            </w:pPr>
            <w:r w:rsidRPr="009F4C66">
              <w:rPr>
                <w:sz w:val="20"/>
              </w:rPr>
              <w:t>November 4, 2011</w:t>
            </w:r>
          </w:p>
          <w:p w:rsidR="00C8670C" w:rsidRPr="009F4C66" w:rsidRDefault="00C8670C" w:rsidP="00364F37">
            <w:pPr>
              <w:jc w:val="both"/>
              <w:rPr>
                <w:sz w:val="20"/>
              </w:rPr>
            </w:pPr>
            <w:r w:rsidRPr="009F4C66">
              <w:rPr>
                <w:sz w:val="20"/>
              </w:rPr>
              <w:t>Supreme Court of Canada</w:t>
            </w:r>
          </w:p>
          <w:p w:rsidR="00C8670C" w:rsidRPr="009F4C66" w:rsidRDefault="00C8670C" w:rsidP="00364F37">
            <w:pPr>
              <w:jc w:val="both"/>
              <w:rPr>
                <w:sz w:val="20"/>
              </w:rPr>
            </w:pPr>
          </w:p>
        </w:tc>
        <w:tc>
          <w:tcPr>
            <w:tcW w:w="243" w:type="pct"/>
          </w:tcPr>
          <w:p w:rsidR="00C8670C" w:rsidRPr="009F4C66" w:rsidRDefault="00C8670C" w:rsidP="00364F37">
            <w:pPr>
              <w:jc w:val="both"/>
              <w:rPr>
                <w:sz w:val="20"/>
              </w:rPr>
            </w:pPr>
          </w:p>
        </w:tc>
        <w:tc>
          <w:tcPr>
            <w:tcW w:w="2330" w:type="pct"/>
          </w:tcPr>
          <w:p w:rsidR="00C8670C" w:rsidRPr="009F4C66" w:rsidRDefault="00C8670C" w:rsidP="00364F37">
            <w:pPr>
              <w:jc w:val="both"/>
              <w:rPr>
                <w:sz w:val="20"/>
              </w:rPr>
            </w:pPr>
            <w:r w:rsidRPr="009F4C66">
              <w:rPr>
                <w:sz w:val="20"/>
              </w:rPr>
              <w:t>Application for extension of time to file and serve application for leave to appeal filed; Application for leave to appeal filed</w:t>
            </w: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70"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372"/>
        <w:gridCol w:w="4531"/>
      </w:tblGrid>
      <w:tr w:rsidR="00C8670C" w:rsidRPr="00832ABE" w:rsidTr="00364F37">
        <w:tc>
          <w:tcPr>
            <w:tcW w:w="5000" w:type="pct"/>
            <w:gridSpan w:val="3"/>
          </w:tcPr>
          <w:p w:rsidR="00C8670C" w:rsidRPr="009F4C66" w:rsidRDefault="00C8670C" w:rsidP="00364F37">
            <w:pPr>
              <w:jc w:val="both"/>
              <w:rPr>
                <w:sz w:val="20"/>
                <w:lang w:val="fr-CA"/>
              </w:rPr>
            </w:pPr>
            <w:r w:rsidRPr="009F4C66">
              <w:rPr>
                <w:sz w:val="20"/>
                <w:lang w:val="fr-CA"/>
              </w:rPr>
              <w:t>(</w:t>
            </w:r>
            <w:r w:rsidRPr="009F4C66">
              <w:rPr>
                <w:rFonts w:eastAsia="Calibri"/>
                <w:smallCaps/>
                <w:sz w:val="20"/>
                <w:lang w:val="fr-CA"/>
              </w:rPr>
              <w:t>Ordonnance de non-publication dans le dossier</w:t>
            </w:r>
            <w:r w:rsidRPr="009F4C66">
              <w:rPr>
                <w:sz w:val="20"/>
                <w:lang w:val="fr-CA"/>
              </w:rPr>
              <w:t xml:space="preserve">) </w:t>
            </w:r>
          </w:p>
          <w:p w:rsidR="00C8670C" w:rsidRPr="009F4C66" w:rsidRDefault="00C8670C" w:rsidP="00364F37">
            <w:pPr>
              <w:jc w:val="both"/>
              <w:rPr>
                <w:sz w:val="20"/>
                <w:lang w:val="fr-CA"/>
              </w:rPr>
            </w:pPr>
          </w:p>
          <w:p w:rsidR="00C8670C" w:rsidRPr="009F4C66" w:rsidRDefault="00C8670C" w:rsidP="00364F37">
            <w:pPr>
              <w:jc w:val="both"/>
              <w:rPr>
                <w:sz w:val="20"/>
                <w:lang w:val="fr-CA"/>
              </w:rPr>
            </w:pPr>
            <w:r w:rsidRPr="009F4C66">
              <w:rPr>
                <w:sz w:val="20"/>
                <w:lang w:val="fr-CA"/>
              </w:rPr>
              <w:t>Droit criminel – Verdict déraisonnable – Preuve – Appréciation – Demande de déclaration portant que le demandeur est un délinquant dangereux – La déclaration de culpabilité du demandeur pour voies de fait causant des lésions corporelles était-elle déraisonnable et incompatible avec les acquittements de ce dernier relativement aux chefs de voies de fait et de séquestration? – La Cour d’appel a-t-elle commis une erreur en omettant d’apprécier la preuve à son tour, une grande partie du témoignage de l’accusé ayant été acceptée par le jury? – Les faits étaient-ils assez graves pour justifier une déclaration portant que le demandeur est un délinquant dangereux? – La déclaration portant que le demandeur est un délinquant dangereux était-elle incompatible avec les acquittements prononcés par le jury relativement à 15 chefs d’accusation? – Incidence du témoignage de la plaignante au sujet de ses blessures et poids accordé à celui-ci, et incidence de ces dernières à l’audition sur la question de savoir si le demandeur est un délinquant dangereux.</w:t>
            </w:r>
          </w:p>
        </w:tc>
      </w:tr>
      <w:tr w:rsidR="00C8670C" w:rsidRPr="00832ABE" w:rsidTr="00364F37">
        <w:tc>
          <w:tcPr>
            <w:tcW w:w="5000" w:type="pct"/>
            <w:gridSpan w:val="3"/>
          </w:tcPr>
          <w:p w:rsidR="00C8670C" w:rsidRPr="009F4C66" w:rsidRDefault="00C8670C" w:rsidP="00364F37">
            <w:pPr>
              <w:jc w:val="both"/>
              <w:rPr>
                <w:sz w:val="20"/>
                <w:lang w:val="fr-CA"/>
              </w:rPr>
            </w:pPr>
          </w:p>
        </w:tc>
      </w:tr>
      <w:tr w:rsidR="00C8670C" w:rsidRPr="00832ABE" w:rsidTr="00364F37">
        <w:tc>
          <w:tcPr>
            <w:tcW w:w="5000" w:type="pct"/>
            <w:gridSpan w:val="3"/>
          </w:tcPr>
          <w:p w:rsidR="00C8670C" w:rsidRPr="009F4C66" w:rsidRDefault="00C8670C" w:rsidP="00364F37">
            <w:pPr>
              <w:jc w:val="both"/>
              <w:rPr>
                <w:sz w:val="20"/>
                <w:lang w:val="fr-CA"/>
              </w:rPr>
            </w:pPr>
            <w:r w:rsidRPr="009F4C66">
              <w:rPr>
                <w:sz w:val="20"/>
                <w:lang w:val="fr-CA"/>
              </w:rPr>
              <w:t>La plaignante a déclaré à la police avoir été séquestrée et menacée par le demandeur durant une période de neuf heures.  Elle a témoigné qu’il avait commis des actes de violence contre elle, l’ayant notamment frappée et tirée par les cheveux.  Elle a témoigné avoir subi un œil poché, une ecchymose à un bras, des griffures à ses deux bras, et des dommages psychologiques graves.  Un jury a déclaré le demandeur coupable de voies de fait causant des lésions corporelles et de désobéissance à une ordonnance judiciaire.  Le demandeur a été acquitté relativement à 15 autres chefs d’accusation.  Au stade de la détermination de la peine, le demandeur a été déclaré délinquant dangereux et il s’est vu imposer une peine d’emprisonnement à durée indéterminée.</w:t>
            </w:r>
          </w:p>
          <w:p w:rsidR="00C8670C" w:rsidRPr="009F4C66" w:rsidRDefault="00C8670C" w:rsidP="00364F37">
            <w:pPr>
              <w:jc w:val="both"/>
              <w:rPr>
                <w:sz w:val="20"/>
                <w:lang w:val="fr-CA"/>
              </w:rPr>
            </w:pPr>
          </w:p>
        </w:tc>
      </w:tr>
      <w:tr w:rsidR="00C8670C" w:rsidRPr="00832ABE" w:rsidTr="00364F37">
        <w:tc>
          <w:tcPr>
            <w:tcW w:w="2427" w:type="pct"/>
          </w:tcPr>
          <w:p w:rsidR="00C8670C" w:rsidRPr="009F4C66" w:rsidRDefault="00C8670C" w:rsidP="00364F37">
            <w:pPr>
              <w:jc w:val="both"/>
              <w:rPr>
                <w:sz w:val="20"/>
                <w:lang w:val="fr-CA"/>
              </w:rPr>
            </w:pPr>
            <w:r w:rsidRPr="009F4C66">
              <w:rPr>
                <w:sz w:val="20"/>
                <w:lang w:val="fr-CA"/>
              </w:rPr>
              <w:t>20 avril 2004</w:t>
            </w:r>
          </w:p>
          <w:p w:rsidR="00C8670C" w:rsidRPr="009F4C66" w:rsidRDefault="00C8670C" w:rsidP="00364F37">
            <w:pPr>
              <w:jc w:val="both"/>
              <w:rPr>
                <w:sz w:val="20"/>
                <w:lang w:val="fr-CA"/>
              </w:rPr>
            </w:pPr>
            <w:r w:rsidRPr="009F4C66">
              <w:rPr>
                <w:sz w:val="20"/>
                <w:lang w:val="fr-CA"/>
              </w:rPr>
              <w:t>Cour supérieure de justice de l’Ontario</w:t>
            </w:r>
          </w:p>
          <w:p w:rsidR="00C8670C" w:rsidRPr="009F4C66" w:rsidRDefault="00C8670C" w:rsidP="00364F37">
            <w:pPr>
              <w:jc w:val="both"/>
              <w:rPr>
                <w:sz w:val="20"/>
              </w:rPr>
            </w:pPr>
            <w:r w:rsidRPr="009F4C66">
              <w:rPr>
                <w:sz w:val="20"/>
              </w:rPr>
              <w:t>(Juge Jarvis)</w:t>
            </w:r>
          </w:p>
          <w:p w:rsidR="00C8670C" w:rsidRPr="009F4C66" w:rsidRDefault="00C8670C" w:rsidP="00364F37">
            <w:pPr>
              <w:jc w:val="both"/>
              <w:rPr>
                <w:sz w:val="20"/>
              </w:rPr>
            </w:pPr>
          </w:p>
        </w:tc>
        <w:tc>
          <w:tcPr>
            <w:tcW w:w="195" w:type="pct"/>
          </w:tcPr>
          <w:p w:rsidR="00C8670C" w:rsidRPr="009F4C66" w:rsidRDefault="00C8670C" w:rsidP="00364F37">
            <w:pPr>
              <w:jc w:val="both"/>
              <w:rPr>
                <w:sz w:val="20"/>
              </w:rPr>
            </w:pPr>
          </w:p>
        </w:tc>
        <w:tc>
          <w:tcPr>
            <w:tcW w:w="2378" w:type="pct"/>
          </w:tcPr>
          <w:p w:rsidR="00C8670C" w:rsidRPr="009F4C66" w:rsidRDefault="00C8670C" w:rsidP="00364F37">
            <w:pPr>
              <w:jc w:val="both"/>
              <w:rPr>
                <w:sz w:val="20"/>
                <w:lang w:val="fr-CA"/>
              </w:rPr>
            </w:pPr>
            <w:r w:rsidRPr="009F4C66">
              <w:rPr>
                <w:sz w:val="20"/>
                <w:lang w:val="fr-CA"/>
              </w:rPr>
              <w:t>Déclaration de culpabilité par un jury pour voies de fait causant des lésions corporelles; déclaration de culpabilité pour désobéissance à une ordonnance judiciaire; acquittement relativement à 15 chefs d’accusation</w:t>
            </w:r>
          </w:p>
          <w:p w:rsidR="00C8670C" w:rsidRPr="009F4C66" w:rsidRDefault="00C8670C" w:rsidP="00364F37">
            <w:pPr>
              <w:jc w:val="both"/>
              <w:rPr>
                <w:sz w:val="20"/>
                <w:lang w:val="fr-CA"/>
              </w:rPr>
            </w:pPr>
          </w:p>
        </w:tc>
      </w:tr>
      <w:tr w:rsidR="00C8670C" w:rsidRPr="00832ABE" w:rsidTr="00364F37">
        <w:tc>
          <w:tcPr>
            <w:tcW w:w="2427" w:type="pct"/>
          </w:tcPr>
          <w:p w:rsidR="00C8670C" w:rsidRPr="009F4C66" w:rsidRDefault="00C8670C" w:rsidP="00364F37">
            <w:pPr>
              <w:jc w:val="both"/>
              <w:rPr>
                <w:sz w:val="20"/>
                <w:lang w:val="fr-CA"/>
              </w:rPr>
            </w:pPr>
            <w:r w:rsidRPr="009F4C66">
              <w:rPr>
                <w:sz w:val="20"/>
                <w:lang w:val="fr-CA"/>
              </w:rPr>
              <w:t>12 juillet 2007</w:t>
            </w:r>
          </w:p>
          <w:p w:rsidR="00C8670C" w:rsidRPr="009F4C66" w:rsidRDefault="00C8670C" w:rsidP="00364F37">
            <w:pPr>
              <w:jc w:val="both"/>
              <w:rPr>
                <w:sz w:val="20"/>
                <w:lang w:val="fr-CA"/>
              </w:rPr>
            </w:pPr>
            <w:r w:rsidRPr="009F4C66">
              <w:rPr>
                <w:sz w:val="20"/>
                <w:lang w:val="fr-CA"/>
              </w:rPr>
              <w:t>Cour supérieure de justice de l’Ontario</w:t>
            </w:r>
          </w:p>
          <w:p w:rsidR="00C8670C" w:rsidRPr="009F4C66" w:rsidRDefault="00C8670C" w:rsidP="00364F37">
            <w:pPr>
              <w:jc w:val="both"/>
              <w:rPr>
                <w:sz w:val="20"/>
              </w:rPr>
            </w:pPr>
            <w:r w:rsidRPr="009F4C66">
              <w:rPr>
                <w:sz w:val="20"/>
              </w:rPr>
              <w:t>(Juge Jarvis)</w:t>
            </w:r>
          </w:p>
          <w:p w:rsidR="00C8670C" w:rsidRPr="009F4C66" w:rsidRDefault="00C8670C" w:rsidP="00364F37">
            <w:pPr>
              <w:jc w:val="both"/>
              <w:rPr>
                <w:sz w:val="20"/>
              </w:rPr>
            </w:pPr>
            <w:r w:rsidRPr="009F4C66">
              <w:rPr>
                <w:sz w:val="20"/>
              </w:rPr>
              <w:t>2010 CarswellOnt 10081</w:t>
            </w:r>
          </w:p>
          <w:p w:rsidR="00C8670C" w:rsidRPr="009F4C66" w:rsidRDefault="00C8670C" w:rsidP="00364F37">
            <w:pPr>
              <w:jc w:val="both"/>
              <w:rPr>
                <w:sz w:val="20"/>
              </w:rPr>
            </w:pPr>
          </w:p>
        </w:tc>
        <w:tc>
          <w:tcPr>
            <w:tcW w:w="195" w:type="pct"/>
          </w:tcPr>
          <w:p w:rsidR="00C8670C" w:rsidRPr="009F4C66" w:rsidRDefault="00C8670C" w:rsidP="00364F37">
            <w:pPr>
              <w:jc w:val="both"/>
              <w:rPr>
                <w:sz w:val="20"/>
              </w:rPr>
            </w:pPr>
          </w:p>
        </w:tc>
        <w:tc>
          <w:tcPr>
            <w:tcW w:w="2378" w:type="pct"/>
          </w:tcPr>
          <w:p w:rsidR="00C8670C" w:rsidRPr="009F4C66" w:rsidRDefault="00C8670C" w:rsidP="00364F37">
            <w:pPr>
              <w:jc w:val="both"/>
              <w:rPr>
                <w:sz w:val="20"/>
                <w:lang w:val="fr-CA"/>
              </w:rPr>
            </w:pPr>
            <w:r w:rsidRPr="009F4C66">
              <w:rPr>
                <w:sz w:val="20"/>
                <w:lang w:val="fr-CA"/>
              </w:rPr>
              <w:t>Déclaration portant que le demandeur est un délinquant dangereux; ordonnance d’une peine d’emprisonnement à durée indéterminée</w:t>
            </w:r>
          </w:p>
          <w:p w:rsidR="00C8670C" w:rsidRPr="009F4C66" w:rsidRDefault="00C8670C" w:rsidP="00364F37">
            <w:pPr>
              <w:jc w:val="both"/>
              <w:rPr>
                <w:sz w:val="20"/>
                <w:lang w:val="fr-CA"/>
              </w:rPr>
            </w:pPr>
          </w:p>
        </w:tc>
      </w:tr>
      <w:tr w:rsidR="00C8670C" w:rsidRPr="00832ABE" w:rsidTr="00364F37">
        <w:tc>
          <w:tcPr>
            <w:tcW w:w="2427" w:type="pct"/>
          </w:tcPr>
          <w:p w:rsidR="00C8670C" w:rsidRPr="009F4C66" w:rsidRDefault="00C8670C" w:rsidP="00364F37">
            <w:pPr>
              <w:jc w:val="both"/>
              <w:rPr>
                <w:sz w:val="20"/>
                <w:lang w:val="fr-CA"/>
              </w:rPr>
            </w:pPr>
            <w:r w:rsidRPr="009F4C66">
              <w:rPr>
                <w:sz w:val="20"/>
                <w:lang w:val="fr-CA"/>
              </w:rPr>
              <w:t>17 mai 2010</w:t>
            </w:r>
          </w:p>
          <w:p w:rsidR="00C8670C" w:rsidRPr="009F4C66" w:rsidRDefault="00C8670C" w:rsidP="00364F37">
            <w:pPr>
              <w:jc w:val="both"/>
              <w:rPr>
                <w:sz w:val="20"/>
                <w:lang w:val="fr-CA"/>
              </w:rPr>
            </w:pPr>
            <w:r w:rsidRPr="009F4C66">
              <w:rPr>
                <w:sz w:val="20"/>
                <w:lang w:val="fr-CA"/>
              </w:rPr>
              <w:t>Cour d’appel de l’Ontario</w:t>
            </w:r>
          </w:p>
          <w:p w:rsidR="00C8670C" w:rsidRPr="009F4C66" w:rsidRDefault="00C8670C" w:rsidP="00364F37">
            <w:pPr>
              <w:jc w:val="both"/>
              <w:rPr>
                <w:sz w:val="20"/>
                <w:lang w:val="fr-CA"/>
              </w:rPr>
            </w:pPr>
            <w:r w:rsidRPr="009F4C66">
              <w:rPr>
                <w:sz w:val="20"/>
                <w:lang w:val="fr-CA"/>
              </w:rPr>
              <w:t>(Juges Cronk, Epstein et Moldaver)</w:t>
            </w:r>
          </w:p>
          <w:p w:rsidR="00C8670C" w:rsidRPr="009F4C66" w:rsidRDefault="00C8670C" w:rsidP="00364F37">
            <w:pPr>
              <w:jc w:val="both"/>
              <w:rPr>
                <w:sz w:val="20"/>
              </w:rPr>
            </w:pPr>
            <w:r w:rsidRPr="009F4C66">
              <w:rPr>
                <w:sz w:val="20"/>
              </w:rPr>
              <w:t>2010 ONCA 387; C48382</w:t>
            </w:r>
          </w:p>
          <w:p w:rsidR="00C8670C" w:rsidRPr="009F4C66" w:rsidRDefault="00C8670C" w:rsidP="00364F37">
            <w:pPr>
              <w:jc w:val="both"/>
              <w:rPr>
                <w:sz w:val="20"/>
              </w:rPr>
            </w:pPr>
          </w:p>
        </w:tc>
        <w:tc>
          <w:tcPr>
            <w:tcW w:w="195" w:type="pct"/>
          </w:tcPr>
          <w:p w:rsidR="00C8670C" w:rsidRPr="009F4C66" w:rsidRDefault="00C8670C" w:rsidP="00364F37">
            <w:pPr>
              <w:jc w:val="both"/>
              <w:rPr>
                <w:sz w:val="20"/>
              </w:rPr>
            </w:pPr>
          </w:p>
        </w:tc>
        <w:tc>
          <w:tcPr>
            <w:tcW w:w="2378" w:type="pct"/>
          </w:tcPr>
          <w:p w:rsidR="00C8670C" w:rsidRPr="009F4C66" w:rsidRDefault="00C8670C" w:rsidP="00364F37">
            <w:pPr>
              <w:jc w:val="both"/>
              <w:rPr>
                <w:sz w:val="20"/>
                <w:lang w:val="fr-CA"/>
              </w:rPr>
            </w:pPr>
            <w:r w:rsidRPr="009F4C66">
              <w:rPr>
                <w:sz w:val="20"/>
                <w:lang w:val="fr-CA"/>
              </w:rPr>
              <w:t>Appels contre les déclarations de culpabilité et la peine d’emprisonnement, rejetés</w:t>
            </w:r>
          </w:p>
          <w:p w:rsidR="00C8670C" w:rsidRPr="009F4C66" w:rsidRDefault="00C8670C" w:rsidP="00364F37">
            <w:pPr>
              <w:jc w:val="both"/>
              <w:rPr>
                <w:sz w:val="20"/>
                <w:lang w:val="fr-CA"/>
              </w:rPr>
            </w:pPr>
          </w:p>
        </w:tc>
      </w:tr>
      <w:tr w:rsidR="00C8670C" w:rsidRPr="00832ABE" w:rsidTr="00364F37">
        <w:tc>
          <w:tcPr>
            <w:tcW w:w="2427" w:type="pct"/>
          </w:tcPr>
          <w:p w:rsidR="00C8670C" w:rsidRPr="009F4C66" w:rsidRDefault="00C8670C" w:rsidP="00364F37">
            <w:pPr>
              <w:jc w:val="both"/>
              <w:rPr>
                <w:sz w:val="20"/>
              </w:rPr>
            </w:pPr>
            <w:r w:rsidRPr="009F4C66">
              <w:rPr>
                <w:sz w:val="20"/>
              </w:rPr>
              <w:t>4 novembre 2011</w:t>
            </w:r>
          </w:p>
          <w:p w:rsidR="00C8670C" w:rsidRPr="009F4C66" w:rsidRDefault="00C8670C" w:rsidP="00364F37">
            <w:pPr>
              <w:jc w:val="both"/>
              <w:rPr>
                <w:sz w:val="20"/>
              </w:rPr>
            </w:pPr>
            <w:r w:rsidRPr="009F4C66">
              <w:rPr>
                <w:sz w:val="20"/>
              </w:rPr>
              <w:t>Cour suprême du Canada</w:t>
            </w:r>
          </w:p>
          <w:p w:rsidR="00C8670C" w:rsidRPr="009F4C66" w:rsidRDefault="00C8670C" w:rsidP="00364F37">
            <w:pPr>
              <w:jc w:val="both"/>
              <w:rPr>
                <w:sz w:val="20"/>
              </w:rPr>
            </w:pPr>
          </w:p>
        </w:tc>
        <w:tc>
          <w:tcPr>
            <w:tcW w:w="195" w:type="pct"/>
          </w:tcPr>
          <w:p w:rsidR="00C8670C" w:rsidRPr="009F4C66" w:rsidRDefault="00C8670C" w:rsidP="00364F37">
            <w:pPr>
              <w:jc w:val="both"/>
              <w:rPr>
                <w:sz w:val="20"/>
              </w:rPr>
            </w:pPr>
          </w:p>
        </w:tc>
        <w:tc>
          <w:tcPr>
            <w:tcW w:w="2378" w:type="pct"/>
          </w:tcPr>
          <w:p w:rsidR="00C8670C" w:rsidRPr="009F4C66" w:rsidRDefault="00C8670C" w:rsidP="00364F37">
            <w:pPr>
              <w:jc w:val="both"/>
              <w:rPr>
                <w:sz w:val="20"/>
                <w:lang w:val="fr-CA"/>
              </w:rPr>
            </w:pPr>
            <w:r w:rsidRPr="009F4C66">
              <w:rPr>
                <w:sz w:val="20"/>
                <w:lang w:val="fr-CA"/>
              </w:rPr>
              <w:t>Demande de prorogation du délai pour dépôt et signification d’une demande d’autorisation de pourvoi, déposée; demande d’autorisation de pourvoi déposée</w:t>
            </w:r>
          </w:p>
        </w:tc>
      </w:tr>
    </w:tbl>
    <w:p w:rsidR="00140B84" w:rsidRPr="00C8670C" w:rsidRDefault="00140B84" w:rsidP="00140B84">
      <w:pPr>
        <w:rPr>
          <w:sz w:val="20"/>
          <w:szCs w:val="20"/>
          <w:lang w:val="fr-CA"/>
        </w:rPr>
      </w:pPr>
    </w:p>
    <w:p w:rsidR="00140B84" w:rsidRDefault="00E5065D" w:rsidP="00140B84">
      <w:pPr>
        <w:rPr>
          <w:sz w:val="20"/>
          <w:szCs w:val="20"/>
          <w:lang w:val="fr-CA"/>
        </w:rPr>
      </w:pPr>
      <w:r w:rsidRPr="00E5065D">
        <w:rPr>
          <w:sz w:val="20"/>
          <w:szCs w:val="20"/>
          <w:lang w:val="fr-CA"/>
        </w:rPr>
        <w:pict>
          <v:rect id="_x0000_i1071"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832ABE"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34518</w:t>
            </w:r>
          </w:p>
          <w:p w:rsidR="00425DAC" w:rsidRPr="000F2BC0" w:rsidRDefault="00425DAC" w:rsidP="001600B8">
            <w:pPr>
              <w:rPr>
                <w:b/>
                <w:sz w:val="20"/>
                <w:szCs w:val="20"/>
                <w:lang w:val="fr-CA"/>
              </w:rPr>
            </w:pPr>
          </w:p>
        </w:tc>
        <w:tc>
          <w:tcPr>
            <w:tcW w:w="8118" w:type="dxa"/>
          </w:tcPr>
          <w:p w:rsidR="00425DAC" w:rsidRPr="000F2BC0" w:rsidRDefault="00425DAC" w:rsidP="00425DAC">
            <w:pPr>
              <w:jc w:val="both"/>
              <w:rPr>
                <w:sz w:val="20"/>
                <w:szCs w:val="20"/>
                <w:lang w:val="fr-CA"/>
              </w:rPr>
            </w:pPr>
            <w:r w:rsidRPr="000F2BC0">
              <w:rPr>
                <w:rStyle w:val="SCCLsocChar"/>
                <w:sz w:val="20"/>
                <w:szCs w:val="20"/>
              </w:rPr>
              <w:t>Syndicat canadien de la fonction publique, section locale 1450, Syndicat canadien de la fonction publique, section locale 2808 c. Journal de Québec, Dominique Salgado, Bernard Plante, Geneviève Riel-Roberge, Hubert Lapointe, Marc-André Boivin, Reine-May Crescence, Mélanie Tremblay, Antoine Leclair, Geneviève Larivière, Yan Perron, Pierre Gauthier</w:t>
            </w:r>
            <w:r w:rsidR="004F57BF">
              <w:rPr>
                <w:rStyle w:val="SCCLsocChar"/>
                <w:sz w:val="20"/>
                <w:szCs w:val="20"/>
              </w:rPr>
              <w:t xml:space="preserve"> et</w:t>
            </w:r>
            <w:r w:rsidRPr="000F2BC0">
              <w:rPr>
                <w:rStyle w:val="SCCLsocChar"/>
                <w:sz w:val="20"/>
                <w:szCs w:val="20"/>
              </w:rPr>
              <w:t xml:space="preserve"> Nathalie Bissonnette</w:t>
            </w:r>
            <w:r w:rsidRPr="000F2BC0">
              <w:rPr>
                <w:sz w:val="20"/>
                <w:szCs w:val="20"/>
                <w:lang w:val="fr-CA"/>
              </w:rPr>
              <w:t xml:space="preserve"> (Qc) (Civile) (Autorisation)</w:t>
            </w:r>
          </w:p>
          <w:p w:rsidR="00425DAC" w:rsidRPr="000F2BC0" w:rsidRDefault="00425DAC" w:rsidP="001600B8">
            <w:pPr>
              <w:rPr>
                <w:sz w:val="20"/>
                <w:szCs w:val="20"/>
                <w:lang w:val="fr-CA"/>
              </w:rPr>
            </w:pPr>
          </w:p>
        </w:tc>
      </w:tr>
      <w:tr w:rsidR="00425DAC" w:rsidRPr="00832ABE"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lang w:val="fr-CA"/>
              </w:rPr>
            </w:pPr>
            <w:r w:rsidRPr="000F2BC0">
              <w:rPr>
                <w:rStyle w:val="SCCCoramChar"/>
                <w:sz w:val="20"/>
                <w:szCs w:val="20"/>
              </w:rPr>
              <w:t>Les juges LeBel, Abella et Cromwell</w:t>
            </w:r>
          </w:p>
          <w:p w:rsidR="00425DAC" w:rsidRPr="000F2BC0" w:rsidRDefault="00425DAC" w:rsidP="001600B8">
            <w:pPr>
              <w:rPr>
                <w:sz w:val="20"/>
                <w:szCs w:val="20"/>
                <w:u w:val="single"/>
                <w:lang w:val="fr-CA"/>
              </w:rPr>
            </w:pPr>
          </w:p>
        </w:tc>
      </w:tr>
      <w:tr w:rsidR="00425DAC" w:rsidRPr="000F2BC0" w:rsidTr="001600B8">
        <w:trPr>
          <w:cantSplit/>
        </w:trPr>
        <w:tc>
          <w:tcPr>
            <w:tcW w:w="9576" w:type="dxa"/>
            <w:gridSpan w:val="2"/>
          </w:tcPr>
          <w:p w:rsidR="00425DAC" w:rsidRPr="000F2BC0" w:rsidRDefault="00425DAC" w:rsidP="001600B8">
            <w:pPr>
              <w:pStyle w:val="SCCShortJudgment"/>
              <w:rPr>
                <w:szCs w:val="20"/>
                <w:lang w:val="fr-CA"/>
              </w:rPr>
            </w:pPr>
            <w:r w:rsidRPr="000F2BC0">
              <w:rPr>
                <w:szCs w:val="20"/>
                <w:lang w:val="fr-CA"/>
              </w:rPr>
              <w:t>La demande d’autorisation d’appel de l’arrêt de la Cour d’appel du Québec (Québec), numéro 200-09-006836-099, 2011 QCCA 1638, daté du 14 septembre 2011, est rejetée avec dépens en faveur des intimés Journal de Québec, Dominique Salgado, Bernard Plante, Geneviève Riel-Roberge, Hubert Lapointe, Marc-André Boivin, Reine-May Crescence, Mélanie Tremblay, Antoine Leclair, Geneviève Larivière, Yan Perron et Pierre Gauthier.</w:t>
            </w:r>
          </w:p>
          <w:p w:rsidR="00425DAC" w:rsidRPr="000F2BC0" w:rsidRDefault="00425DAC" w:rsidP="001600B8">
            <w:pPr>
              <w:pStyle w:val="SCCShortJudgment"/>
              <w:ind w:firstLine="0"/>
              <w:rPr>
                <w:szCs w:val="20"/>
                <w:lang w:val="fr-CA"/>
              </w:rPr>
            </w:pPr>
          </w:p>
          <w:p w:rsidR="00425DAC" w:rsidRPr="000F2BC0" w:rsidRDefault="00425DAC" w:rsidP="001600B8">
            <w:pPr>
              <w:pStyle w:val="SCCShortJudgment"/>
              <w:rPr>
                <w:szCs w:val="20"/>
              </w:rPr>
            </w:pPr>
            <w:r w:rsidRPr="000F2BC0">
              <w:rPr>
                <w:szCs w:val="20"/>
              </w:rPr>
              <w:t>The application for leave to appeal from the judgment of the Court of Appeal of Quebec (Québec), Number 200-09-006836-099, 2011 QCCA 1638, dated September 14, 2011, is dismissed with costs to the respondents Journal de Québec, Dominique Salgado, Bernard Plante, Geneviève Riel-Roberge, Hubert Lapointe, Marc-André Boivin, Reine-May Crescence, Mélanie Tremblay, Antoine Leclair, Geneviève Larivière, Yan Perron and Pierre Gauthier.</w:t>
            </w:r>
          </w:p>
        </w:tc>
      </w:tr>
    </w:tbl>
    <w:p w:rsidR="00140B84" w:rsidRPr="00425DAC" w:rsidRDefault="00140B84" w:rsidP="00140B84">
      <w:pPr>
        <w:rPr>
          <w:sz w:val="20"/>
          <w:szCs w:val="20"/>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9F4C66" w:rsidTr="00364F37">
        <w:tc>
          <w:tcPr>
            <w:tcW w:w="5000" w:type="pct"/>
            <w:gridSpan w:val="3"/>
          </w:tcPr>
          <w:p w:rsidR="00782711" w:rsidRPr="009F4C66" w:rsidRDefault="00782711" w:rsidP="00364F37">
            <w:pPr>
              <w:jc w:val="both"/>
              <w:rPr>
                <w:sz w:val="20"/>
              </w:rPr>
            </w:pPr>
            <w:r w:rsidRPr="009F4C66">
              <w:rPr>
                <w:sz w:val="20"/>
              </w:rPr>
              <w:t>Labour relations – Anti</w:t>
            </w:r>
            <w:r w:rsidRPr="009F4C66">
              <w:rPr>
                <w:sz w:val="20"/>
              </w:rPr>
              <w:noBreakHyphen/>
              <w:t xml:space="preserve">strikebreaking provisions – Newspaper published despite lockout thanks to services provided by usual electronic means by persons and companies related to employer – Whether services performed in replacement of locked out or striking employees are unlawful only if performed in company’s building – Whether Court of Appeal called into question exclusive jurisdiction of Commission des relations du travail to interpret provision of its enabling statute whose application was central to its mission – Whether Court of Appeal limited fulfilment of purposes of legislation in light of modern realities relating to work organization – </w:t>
            </w:r>
            <w:r w:rsidRPr="009F4C66">
              <w:rPr>
                <w:i/>
                <w:sz w:val="20"/>
              </w:rPr>
              <w:t>Labour Code</w:t>
            </w:r>
            <w:r w:rsidRPr="009F4C66">
              <w:rPr>
                <w:sz w:val="20"/>
              </w:rPr>
              <w:t>, R.S.Q. c. C</w:t>
            </w:r>
            <w:r w:rsidRPr="009F4C66">
              <w:rPr>
                <w:sz w:val="20"/>
              </w:rPr>
              <w:noBreakHyphen/>
              <w:t>27, s. 109.1.</w:t>
            </w:r>
          </w:p>
        </w:tc>
      </w:tr>
      <w:tr w:rsidR="00782711" w:rsidRPr="009F4C66" w:rsidTr="00364F37">
        <w:tc>
          <w:tcPr>
            <w:tcW w:w="5000" w:type="pct"/>
            <w:gridSpan w:val="3"/>
          </w:tcPr>
          <w:p w:rsidR="00782711" w:rsidRPr="009F4C66" w:rsidRDefault="00782711" w:rsidP="00364F37">
            <w:pPr>
              <w:jc w:val="both"/>
              <w:rPr>
                <w:sz w:val="20"/>
              </w:rPr>
            </w:pPr>
          </w:p>
        </w:tc>
      </w:tr>
      <w:tr w:rsidR="00782711" w:rsidRPr="009F4C66" w:rsidTr="00364F37">
        <w:tc>
          <w:tcPr>
            <w:tcW w:w="5000" w:type="pct"/>
            <w:gridSpan w:val="3"/>
          </w:tcPr>
          <w:p w:rsidR="00782711" w:rsidRPr="009F4C66" w:rsidRDefault="00782711" w:rsidP="00364F37">
            <w:pPr>
              <w:jc w:val="both"/>
              <w:rPr>
                <w:sz w:val="20"/>
              </w:rPr>
            </w:pPr>
            <w:r w:rsidRPr="009F4C66">
              <w:rPr>
                <w:sz w:val="20"/>
              </w:rPr>
              <w:t xml:space="preserve">On April 22, 2007, the Journal de Québec locked out employees in two bargaining units that included reporters, photographers and messengers.  The newspaper continued to be published for the entire duration of the dispute, until August 7, 2008.  For that purpose, the employer did </w:t>
            </w:r>
            <w:proofErr w:type="gramStart"/>
            <w:r w:rsidRPr="009F4C66">
              <w:rPr>
                <w:sz w:val="20"/>
              </w:rPr>
              <w:t>business,</w:t>
            </w:r>
            <w:proofErr w:type="gramEnd"/>
            <w:r w:rsidRPr="009F4C66">
              <w:rPr>
                <w:sz w:val="20"/>
              </w:rPr>
              <w:t xml:space="preserve"> </w:t>
            </w:r>
            <w:r w:rsidRPr="009F4C66">
              <w:rPr>
                <w:i/>
                <w:sz w:val="20"/>
              </w:rPr>
              <w:t>inter alia</w:t>
            </w:r>
            <w:r w:rsidRPr="009F4C66">
              <w:rPr>
                <w:sz w:val="20"/>
              </w:rPr>
              <w:t>, with Canoe, an electronic media company, and Nomade, a news agency, which were two other Quebecor properties.  In the fall of 2007, the unions involved applied to the Commission des relations du travail for an order to prevent the Journal de Québec from using the services of replacements.  Since the dispute ended before the Commission made its decision, the proceeding continued for declaratory purposes.</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lang w:val="fr-CA"/>
              </w:rPr>
            </w:pPr>
            <w:r w:rsidRPr="009F4C66">
              <w:rPr>
                <w:sz w:val="20"/>
                <w:lang w:val="fr-CA"/>
              </w:rPr>
              <w:t>December 12, 2008</w:t>
            </w:r>
          </w:p>
          <w:p w:rsidR="00782711" w:rsidRPr="009F4C66" w:rsidRDefault="00782711" w:rsidP="00364F37">
            <w:pPr>
              <w:jc w:val="both"/>
              <w:rPr>
                <w:sz w:val="20"/>
                <w:lang w:val="fr-CA"/>
              </w:rPr>
            </w:pPr>
            <w:r w:rsidRPr="009F4C66">
              <w:rPr>
                <w:sz w:val="20"/>
                <w:lang w:val="fr-CA"/>
              </w:rPr>
              <w:t>Commission des relations du travail</w:t>
            </w:r>
          </w:p>
          <w:p w:rsidR="00782711" w:rsidRPr="009F4C66" w:rsidRDefault="00782711" w:rsidP="00364F37">
            <w:pPr>
              <w:jc w:val="both"/>
              <w:rPr>
                <w:sz w:val="20"/>
              </w:rPr>
            </w:pPr>
            <w:r w:rsidRPr="009F4C66">
              <w:rPr>
                <w:sz w:val="20"/>
              </w:rPr>
              <w:t>(Commissioner Bédard)</w:t>
            </w:r>
          </w:p>
          <w:p w:rsidR="00782711" w:rsidRPr="009F4C66" w:rsidRDefault="00782711" w:rsidP="00364F37">
            <w:pPr>
              <w:jc w:val="both"/>
              <w:rPr>
                <w:sz w:val="20"/>
              </w:rPr>
            </w:pPr>
            <w:r w:rsidRPr="009F4C66">
              <w:rPr>
                <w:sz w:val="20"/>
              </w:rPr>
              <w:t>Neutral citation: 2008 QCCRT 0534</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Use of replacement services by employer, Journal de Québec, declared unlawful</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September 11, 2009</w:t>
            </w:r>
          </w:p>
          <w:p w:rsidR="00782711" w:rsidRPr="009F4C66" w:rsidRDefault="00782711" w:rsidP="00364F37">
            <w:pPr>
              <w:jc w:val="both"/>
              <w:rPr>
                <w:sz w:val="20"/>
              </w:rPr>
            </w:pPr>
            <w:r w:rsidRPr="009F4C66">
              <w:rPr>
                <w:sz w:val="20"/>
              </w:rPr>
              <w:t>Quebec Superior Court</w:t>
            </w:r>
          </w:p>
          <w:p w:rsidR="00782711" w:rsidRPr="009F4C66" w:rsidRDefault="00782711" w:rsidP="00364F37">
            <w:pPr>
              <w:jc w:val="both"/>
              <w:rPr>
                <w:sz w:val="20"/>
              </w:rPr>
            </w:pPr>
            <w:r w:rsidRPr="009F4C66">
              <w:rPr>
                <w:sz w:val="20"/>
              </w:rPr>
              <w:t>(St-Pierre J.)</w:t>
            </w:r>
          </w:p>
          <w:p w:rsidR="00782711" w:rsidRPr="009F4C66" w:rsidRDefault="00782711" w:rsidP="00364F37">
            <w:pPr>
              <w:jc w:val="both"/>
              <w:rPr>
                <w:sz w:val="20"/>
              </w:rPr>
            </w:pPr>
            <w:r w:rsidRPr="009F4C66">
              <w:rPr>
                <w:sz w:val="20"/>
              </w:rPr>
              <w:t>Neutral citation: 2009 QCCS 4168</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Commission’s decision set aside except in respect of one employee, messenger</w:t>
            </w:r>
          </w:p>
        </w:tc>
      </w:tr>
      <w:tr w:rsidR="00782711" w:rsidRPr="009F4C66" w:rsidTr="00364F37">
        <w:tc>
          <w:tcPr>
            <w:tcW w:w="2427" w:type="pct"/>
          </w:tcPr>
          <w:p w:rsidR="00782711" w:rsidRPr="009F4C66" w:rsidRDefault="00782711" w:rsidP="00364F37">
            <w:pPr>
              <w:jc w:val="both"/>
              <w:rPr>
                <w:sz w:val="20"/>
              </w:rPr>
            </w:pPr>
            <w:r w:rsidRPr="009F4C66">
              <w:rPr>
                <w:sz w:val="20"/>
              </w:rPr>
              <w:t>September 14, 2011</w:t>
            </w:r>
          </w:p>
          <w:p w:rsidR="00782711" w:rsidRPr="009F4C66" w:rsidRDefault="00782711" w:rsidP="00364F37">
            <w:pPr>
              <w:jc w:val="both"/>
              <w:rPr>
                <w:sz w:val="20"/>
              </w:rPr>
            </w:pPr>
            <w:r w:rsidRPr="009F4C66">
              <w:rPr>
                <w:sz w:val="20"/>
              </w:rPr>
              <w:t>Quebec Court of Appeal (Québec)</w:t>
            </w:r>
          </w:p>
          <w:p w:rsidR="00782711" w:rsidRPr="009F4C66" w:rsidRDefault="00782711" w:rsidP="00364F37">
            <w:pPr>
              <w:jc w:val="both"/>
              <w:rPr>
                <w:sz w:val="20"/>
              </w:rPr>
            </w:pPr>
            <w:r w:rsidRPr="009F4C66">
              <w:rPr>
                <w:sz w:val="20"/>
              </w:rPr>
              <w:t>(Beauregard, Forget and Gagnon JJ.A.)</w:t>
            </w:r>
          </w:p>
          <w:p w:rsidR="00782711" w:rsidRPr="009F4C66" w:rsidRDefault="00782711" w:rsidP="00364F37">
            <w:pPr>
              <w:jc w:val="both"/>
              <w:rPr>
                <w:sz w:val="20"/>
              </w:rPr>
            </w:pPr>
            <w:r w:rsidRPr="009F4C66">
              <w:rPr>
                <w:sz w:val="20"/>
              </w:rPr>
              <w:t>Neutral citation: 2011 QCCA 1638</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Appeal dismissed</w:t>
            </w:r>
          </w:p>
        </w:tc>
      </w:tr>
      <w:tr w:rsidR="00782711" w:rsidRPr="009F4C66" w:rsidTr="00364F37">
        <w:tc>
          <w:tcPr>
            <w:tcW w:w="2427" w:type="pct"/>
          </w:tcPr>
          <w:p w:rsidR="00782711" w:rsidRPr="009F4C66" w:rsidRDefault="00782711" w:rsidP="00364F37">
            <w:pPr>
              <w:jc w:val="both"/>
              <w:rPr>
                <w:sz w:val="20"/>
              </w:rPr>
            </w:pPr>
            <w:r w:rsidRPr="009F4C66">
              <w:rPr>
                <w:sz w:val="20"/>
              </w:rPr>
              <w:t>November 8, 2011</w:t>
            </w:r>
          </w:p>
          <w:p w:rsidR="00782711" w:rsidRPr="009F4C66" w:rsidRDefault="00782711" w:rsidP="00364F37">
            <w:pPr>
              <w:jc w:val="both"/>
              <w:rPr>
                <w:sz w:val="20"/>
              </w:rPr>
            </w:pPr>
            <w:r w:rsidRPr="009F4C66">
              <w:rPr>
                <w:sz w:val="20"/>
              </w:rPr>
              <w:t>Supreme Court of Canada</w:t>
            </w: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Application for leave to appeal filed</w:t>
            </w: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72"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57001E" w:rsidTr="00364F37">
        <w:tc>
          <w:tcPr>
            <w:tcW w:w="5000" w:type="pct"/>
            <w:gridSpan w:val="3"/>
          </w:tcPr>
          <w:p w:rsidR="00782711" w:rsidRPr="009F4C66" w:rsidRDefault="00782711" w:rsidP="00364F37">
            <w:pPr>
              <w:jc w:val="both"/>
              <w:rPr>
                <w:sz w:val="20"/>
                <w:lang w:val="fr-CA"/>
              </w:rPr>
            </w:pPr>
            <w:r w:rsidRPr="009F4C66">
              <w:rPr>
                <w:sz w:val="20"/>
                <w:lang w:val="fr-CA"/>
              </w:rPr>
              <w:t>Relations de travail – Dispositions anti briseurs de grève – Parution d’un journal malgré un lock</w:t>
            </w:r>
            <w:r w:rsidRPr="009F4C66">
              <w:rPr>
                <w:sz w:val="20"/>
                <w:lang w:val="fr-CA"/>
              </w:rPr>
              <w:noBreakHyphen/>
              <w:t>out grâce aux services de personnes et compagnies liées à l’employeur fournis par les moyens électroniques habituels – Les services de remplacement de lock</w:t>
            </w:r>
            <w:r w:rsidRPr="009F4C66">
              <w:rPr>
                <w:sz w:val="20"/>
                <w:lang w:val="fr-CA"/>
              </w:rPr>
              <w:noBreakHyphen/>
              <w:t>outés ou grévistes doivent</w:t>
            </w:r>
            <w:r w:rsidRPr="009F4C66">
              <w:rPr>
                <w:sz w:val="20"/>
                <w:lang w:val="fr-CA"/>
              </w:rPr>
              <w:noBreakHyphen/>
              <w:t>ils être rendus dans l’immeuble de l’entreprise pour être illégaux? – La Cour d’appel  remet</w:t>
            </w:r>
            <w:r w:rsidRPr="009F4C66">
              <w:rPr>
                <w:sz w:val="20"/>
                <w:lang w:val="fr-CA"/>
              </w:rPr>
              <w:noBreakHyphen/>
              <w:t>elle en cause la compétence exclusive de la Commission des relations du travail pour interpréter une disposition de sa loi constitutive dont l’application se situe au cœur même de sa mission? – La Cour d’appel restreint</w:t>
            </w:r>
            <w:r w:rsidRPr="009F4C66">
              <w:rPr>
                <w:sz w:val="20"/>
                <w:lang w:val="fr-CA"/>
              </w:rPr>
              <w:noBreakHyphen/>
              <w:t xml:space="preserve">elle l’accomplissement des objets de la loi eu égard aux réalités actuelles de l’organisation du travail? – </w:t>
            </w:r>
            <w:r w:rsidRPr="009F4C66">
              <w:rPr>
                <w:i/>
                <w:sz w:val="20"/>
                <w:lang w:val="fr-CA"/>
              </w:rPr>
              <w:t>Code du travail</w:t>
            </w:r>
            <w:r w:rsidRPr="009F4C66">
              <w:rPr>
                <w:sz w:val="20"/>
                <w:lang w:val="fr-CA"/>
              </w:rPr>
              <w:t>, L.R.Q. ch. C</w:t>
            </w:r>
            <w:r w:rsidRPr="009F4C66">
              <w:rPr>
                <w:sz w:val="20"/>
                <w:lang w:val="fr-CA"/>
              </w:rPr>
              <w:noBreakHyphen/>
              <w:t>27, art. 109.1.</w:t>
            </w:r>
          </w:p>
        </w:tc>
      </w:tr>
      <w:tr w:rsidR="00782711" w:rsidRPr="0057001E" w:rsidTr="00364F37">
        <w:tc>
          <w:tcPr>
            <w:tcW w:w="5000" w:type="pct"/>
            <w:gridSpan w:val="3"/>
          </w:tcPr>
          <w:p w:rsidR="00782711" w:rsidRPr="009F4C66" w:rsidRDefault="00782711" w:rsidP="00364F37">
            <w:pPr>
              <w:jc w:val="both"/>
              <w:rPr>
                <w:sz w:val="20"/>
                <w:lang w:val="fr-CA"/>
              </w:rPr>
            </w:pPr>
          </w:p>
        </w:tc>
      </w:tr>
      <w:tr w:rsidR="00782711" w:rsidRPr="00832ABE" w:rsidTr="00364F37">
        <w:tc>
          <w:tcPr>
            <w:tcW w:w="5000" w:type="pct"/>
            <w:gridSpan w:val="3"/>
          </w:tcPr>
          <w:p w:rsidR="00782711" w:rsidRPr="009F4C66" w:rsidRDefault="00782711" w:rsidP="00364F37">
            <w:pPr>
              <w:jc w:val="both"/>
              <w:rPr>
                <w:sz w:val="20"/>
                <w:lang w:val="fr-CA"/>
              </w:rPr>
            </w:pPr>
            <w:r w:rsidRPr="009F4C66">
              <w:rPr>
                <w:sz w:val="20"/>
                <w:lang w:val="fr-CA"/>
              </w:rPr>
              <w:t>Le Journal de Québec décrète, le 22 avril 2007, le lock</w:t>
            </w:r>
            <w:r w:rsidRPr="009F4C66">
              <w:rPr>
                <w:sz w:val="20"/>
                <w:lang w:val="fr-CA"/>
              </w:rPr>
              <w:noBreakHyphen/>
              <w:t>out de ses salariés de deux unités de négociation comprenant les journalistes, les photographes et les messagers. Le journal continue d’être publié pendant toute la durée du conflit, jusqu’au 7 août 2008. À cette fin, l’employeur fait notamment affaire avec Canoë, un média électronique et Nomade, une agence de presse, deux autres propriétés de Québecor. À l’automne 2007, les syndicats impliqués s’adressent à la Commission des relations du travail pour obtenir une ordonnance empêchant le Journal de Québec d’utiliser les services de remplaçants. La fin du conflit étant survenue avant la décision, la procédure se poursuit dans un but déclaratoire.</w:t>
            </w:r>
          </w:p>
          <w:p w:rsidR="00782711" w:rsidRPr="009F4C66" w:rsidRDefault="00782711" w:rsidP="00364F37">
            <w:pPr>
              <w:jc w:val="both"/>
              <w:rPr>
                <w:sz w:val="20"/>
                <w:lang w:val="fr-CA"/>
              </w:rPr>
            </w:pPr>
          </w:p>
        </w:tc>
      </w:tr>
      <w:tr w:rsidR="00782711" w:rsidRPr="00832ABE" w:rsidTr="00364F37">
        <w:tc>
          <w:tcPr>
            <w:tcW w:w="2427" w:type="pct"/>
          </w:tcPr>
          <w:p w:rsidR="00782711" w:rsidRPr="009F4C66" w:rsidRDefault="00782711" w:rsidP="00364F37">
            <w:pPr>
              <w:jc w:val="both"/>
              <w:rPr>
                <w:sz w:val="20"/>
                <w:lang w:val="fr-CA"/>
              </w:rPr>
            </w:pPr>
            <w:r w:rsidRPr="009F4C66">
              <w:rPr>
                <w:sz w:val="20"/>
                <w:lang w:val="fr-CA"/>
              </w:rPr>
              <w:t>Le 12 décembre 2008</w:t>
            </w:r>
          </w:p>
          <w:p w:rsidR="00782711" w:rsidRPr="009F4C66" w:rsidRDefault="00782711" w:rsidP="00364F37">
            <w:pPr>
              <w:jc w:val="both"/>
              <w:rPr>
                <w:sz w:val="20"/>
                <w:lang w:val="fr-CA"/>
              </w:rPr>
            </w:pPr>
            <w:r w:rsidRPr="009F4C66">
              <w:rPr>
                <w:sz w:val="20"/>
                <w:lang w:val="fr-CA"/>
              </w:rPr>
              <w:t>Commission des relations du travail</w:t>
            </w:r>
          </w:p>
          <w:p w:rsidR="00782711" w:rsidRPr="009F4C66" w:rsidRDefault="00782711" w:rsidP="00364F37">
            <w:pPr>
              <w:jc w:val="both"/>
              <w:rPr>
                <w:sz w:val="20"/>
                <w:lang w:val="fr-CA"/>
              </w:rPr>
            </w:pPr>
            <w:r w:rsidRPr="009F4C66">
              <w:rPr>
                <w:sz w:val="20"/>
                <w:lang w:val="fr-CA"/>
              </w:rPr>
              <w:t>(La commissaire Bédard)</w:t>
            </w:r>
          </w:p>
          <w:p w:rsidR="00782711" w:rsidRPr="009F4C66" w:rsidRDefault="00782711" w:rsidP="00364F37">
            <w:pPr>
              <w:jc w:val="both"/>
              <w:rPr>
                <w:sz w:val="20"/>
                <w:lang w:val="fr-CA"/>
              </w:rPr>
            </w:pPr>
            <w:r w:rsidRPr="009F4C66">
              <w:rPr>
                <w:sz w:val="20"/>
                <w:lang w:val="fr-CA"/>
              </w:rPr>
              <w:t>Référence neutre : 2008 QCCRT 0534</w:t>
            </w:r>
          </w:p>
          <w:p w:rsidR="00782711" w:rsidRPr="009F4C66" w:rsidRDefault="00782711" w:rsidP="00364F37">
            <w:pPr>
              <w:jc w:val="both"/>
              <w:rPr>
                <w:sz w:val="20"/>
                <w:lang w:val="fr-CA"/>
              </w:rPr>
            </w:pPr>
          </w:p>
        </w:tc>
        <w:tc>
          <w:tcPr>
            <w:tcW w:w="243" w:type="pct"/>
          </w:tcPr>
          <w:p w:rsidR="00782711" w:rsidRPr="009F4C66" w:rsidRDefault="00782711" w:rsidP="00364F37">
            <w:pPr>
              <w:jc w:val="both"/>
              <w:rPr>
                <w:sz w:val="20"/>
                <w:lang w:val="fr-FR"/>
              </w:rPr>
            </w:pPr>
          </w:p>
        </w:tc>
        <w:tc>
          <w:tcPr>
            <w:tcW w:w="2330" w:type="pct"/>
          </w:tcPr>
          <w:p w:rsidR="00782711" w:rsidRPr="009F4C66" w:rsidRDefault="00782711" w:rsidP="00364F37">
            <w:pPr>
              <w:jc w:val="both"/>
              <w:rPr>
                <w:sz w:val="20"/>
                <w:lang w:val="fr-CA"/>
              </w:rPr>
            </w:pPr>
            <w:r w:rsidRPr="009F4C66">
              <w:rPr>
                <w:sz w:val="20"/>
                <w:lang w:val="fr-CA"/>
              </w:rPr>
              <w:t>Déclaration d’utilisation illégale de services de remplacement par l’employeur Journal de Québec.</w:t>
            </w:r>
          </w:p>
          <w:p w:rsidR="00782711" w:rsidRPr="009F4C66" w:rsidRDefault="00782711" w:rsidP="00364F37">
            <w:pPr>
              <w:jc w:val="both"/>
              <w:rPr>
                <w:sz w:val="20"/>
                <w:lang w:val="fr-CA"/>
              </w:rPr>
            </w:pPr>
          </w:p>
        </w:tc>
      </w:tr>
      <w:tr w:rsidR="00782711" w:rsidRPr="00832ABE" w:rsidTr="00364F37">
        <w:tc>
          <w:tcPr>
            <w:tcW w:w="2427" w:type="pct"/>
          </w:tcPr>
          <w:p w:rsidR="00782711" w:rsidRPr="009F4C66" w:rsidRDefault="00782711" w:rsidP="00364F37">
            <w:pPr>
              <w:jc w:val="both"/>
              <w:rPr>
                <w:sz w:val="20"/>
                <w:lang w:val="fr-CA"/>
              </w:rPr>
            </w:pPr>
            <w:r w:rsidRPr="009F4C66">
              <w:rPr>
                <w:sz w:val="20"/>
                <w:lang w:val="fr-CA"/>
              </w:rPr>
              <w:t>Le 11 septembre 2009</w:t>
            </w:r>
          </w:p>
          <w:p w:rsidR="00782711" w:rsidRPr="009F4C66" w:rsidRDefault="00782711" w:rsidP="00364F37">
            <w:pPr>
              <w:jc w:val="both"/>
              <w:rPr>
                <w:sz w:val="20"/>
                <w:lang w:val="fr-CA"/>
              </w:rPr>
            </w:pPr>
            <w:r w:rsidRPr="009F4C66">
              <w:rPr>
                <w:sz w:val="20"/>
                <w:lang w:val="fr-CA"/>
              </w:rPr>
              <w:t>Cour supérieure du Québec</w:t>
            </w:r>
          </w:p>
          <w:p w:rsidR="00782711" w:rsidRPr="009F4C66" w:rsidRDefault="00782711" w:rsidP="00364F37">
            <w:pPr>
              <w:jc w:val="both"/>
              <w:rPr>
                <w:sz w:val="20"/>
                <w:lang w:val="fr-CA"/>
              </w:rPr>
            </w:pPr>
            <w:r w:rsidRPr="009F4C66">
              <w:rPr>
                <w:sz w:val="20"/>
                <w:lang w:val="fr-CA"/>
              </w:rPr>
              <w:t>(Le juge St</w:t>
            </w:r>
            <w:r w:rsidRPr="009F4C66">
              <w:rPr>
                <w:sz w:val="20"/>
                <w:lang w:val="fr-CA"/>
              </w:rPr>
              <w:noBreakHyphen/>
              <w:t>Pierre)</w:t>
            </w:r>
          </w:p>
          <w:p w:rsidR="00782711" w:rsidRPr="009F4C66" w:rsidRDefault="00782711" w:rsidP="00364F37">
            <w:pPr>
              <w:jc w:val="both"/>
              <w:rPr>
                <w:sz w:val="20"/>
                <w:lang w:val="fr-CA"/>
              </w:rPr>
            </w:pPr>
            <w:r w:rsidRPr="009F4C66">
              <w:rPr>
                <w:sz w:val="20"/>
                <w:lang w:val="fr-CA"/>
              </w:rPr>
              <w:t>Référence neutre : 2009 QCCS 4168</w:t>
            </w:r>
          </w:p>
          <w:p w:rsidR="00782711" w:rsidRPr="009F4C66" w:rsidRDefault="00782711" w:rsidP="00364F37">
            <w:pPr>
              <w:jc w:val="both"/>
              <w:rPr>
                <w:sz w:val="20"/>
                <w:lang w:val="fr-CA"/>
              </w:rPr>
            </w:pPr>
          </w:p>
        </w:tc>
        <w:tc>
          <w:tcPr>
            <w:tcW w:w="243" w:type="pct"/>
          </w:tcPr>
          <w:p w:rsidR="00782711" w:rsidRPr="009F4C66" w:rsidRDefault="00782711" w:rsidP="00364F37">
            <w:pPr>
              <w:jc w:val="both"/>
              <w:rPr>
                <w:sz w:val="20"/>
                <w:lang w:val="fr-FR"/>
              </w:rPr>
            </w:pPr>
          </w:p>
        </w:tc>
        <w:tc>
          <w:tcPr>
            <w:tcW w:w="2330" w:type="pct"/>
          </w:tcPr>
          <w:p w:rsidR="00782711" w:rsidRPr="009F4C66" w:rsidRDefault="00782711" w:rsidP="00364F37">
            <w:pPr>
              <w:jc w:val="both"/>
              <w:rPr>
                <w:sz w:val="20"/>
                <w:lang w:val="fr-CA"/>
              </w:rPr>
            </w:pPr>
            <w:r w:rsidRPr="009F4C66">
              <w:rPr>
                <w:sz w:val="20"/>
                <w:lang w:val="fr-CA"/>
              </w:rPr>
              <w:t>Annulation de la décision de la commission, sauf à l’égard d’un employé, messager.</w:t>
            </w:r>
          </w:p>
        </w:tc>
      </w:tr>
      <w:tr w:rsidR="00782711" w:rsidRPr="009F4C66" w:rsidTr="00364F37">
        <w:tc>
          <w:tcPr>
            <w:tcW w:w="2427" w:type="pct"/>
          </w:tcPr>
          <w:p w:rsidR="00782711" w:rsidRPr="009F4C66" w:rsidRDefault="00782711" w:rsidP="00364F37">
            <w:pPr>
              <w:jc w:val="both"/>
              <w:rPr>
                <w:sz w:val="20"/>
                <w:lang w:val="fr-CA"/>
              </w:rPr>
            </w:pPr>
            <w:r w:rsidRPr="009F4C66">
              <w:rPr>
                <w:sz w:val="20"/>
                <w:lang w:val="fr-CA"/>
              </w:rPr>
              <w:t>Le 14 septembre 2011</w:t>
            </w:r>
          </w:p>
          <w:p w:rsidR="00782711" w:rsidRPr="009F4C66" w:rsidRDefault="00782711" w:rsidP="00364F37">
            <w:pPr>
              <w:jc w:val="both"/>
              <w:rPr>
                <w:sz w:val="20"/>
                <w:lang w:val="fr-CA"/>
              </w:rPr>
            </w:pPr>
            <w:r w:rsidRPr="009F4C66">
              <w:rPr>
                <w:sz w:val="20"/>
                <w:lang w:val="fr-CA"/>
              </w:rPr>
              <w:t>Cour d’appel du Québec (Québec)</w:t>
            </w:r>
          </w:p>
          <w:p w:rsidR="00782711" w:rsidRPr="009F4C66" w:rsidRDefault="00782711" w:rsidP="00364F37">
            <w:pPr>
              <w:jc w:val="both"/>
              <w:rPr>
                <w:sz w:val="20"/>
                <w:lang w:val="fr-CA"/>
              </w:rPr>
            </w:pPr>
            <w:r w:rsidRPr="009F4C66">
              <w:rPr>
                <w:sz w:val="20"/>
                <w:lang w:val="fr-CA"/>
              </w:rPr>
              <w:t>(Les juges Beauregard, Forget et Gagnon)</w:t>
            </w:r>
          </w:p>
          <w:p w:rsidR="00782711" w:rsidRPr="009F4C66" w:rsidRDefault="00782711" w:rsidP="00364F37">
            <w:pPr>
              <w:jc w:val="both"/>
              <w:rPr>
                <w:sz w:val="20"/>
                <w:lang w:val="fr-CA"/>
              </w:rPr>
            </w:pPr>
            <w:r w:rsidRPr="009F4C66">
              <w:rPr>
                <w:sz w:val="20"/>
                <w:lang w:val="fr-CA"/>
              </w:rPr>
              <w:t>Référence neutre : 2011 QCCA 1638</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lang w:val="fr-CA"/>
              </w:rPr>
            </w:pPr>
            <w:r w:rsidRPr="009F4C66">
              <w:rPr>
                <w:sz w:val="20"/>
                <w:lang w:val="fr-CA"/>
              </w:rPr>
              <w:t>Rejet de l’appel.</w:t>
            </w:r>
          </w:p>
        </w:tc>
      </w:tr>
      <w:tr w:rsidR="00782711" w:rsidRPr="00832ABE" w:rsidTr="00364F37">
        <w:tc>
          <w:tcPr>
            <w:tcW w:w="2427" w:type="pct"/>
          </w:tcPr>
          <w:p w:rsidR="00782711" w:rsidRPr="009F4C66" w:rsidRDefault="00782711" w:rsidP="00364F37">
            <w:pPr>
              <w:jc w:val="both"/>
              <w:rPr>
                <w:sz w:val="20"/>
                <w:lang w:val="fr-CA"/>
              </w:rPr>
            </w:pPr>
            <w:r w:rsidRPr="009F4C66">
              <w:rPr>
                <w:sz w:val="20"/>
                <w:lang w:val="fr-CA"/>
              </w:rPr>
              <w:t>Le 8 novembre 2011</w:t>
            </w:r>
          </w:p>
          <w:p w:rsidR="00782711" w:rsidRPr="009F4C66" w:rsidRDefault="00782711" w:rsidP="00364F37">
            <w:pPr>
              <w:jc w:val="both"/>
              <w:rPr>
                <w:sz w:val="20"/>
                <w:lang w:val="fr-FR"/>
              </w:rPr>
            </w:pPr>
            <w:r w:rsidRPr="009F4C66">
              <w:rPr>
                <w:sz w:val="20"/>
                <w:lang w:val="fr-CA"/>
              </w:rPr>
              <w:t>Cour suprême du Canada</w:t>
            </w:r>
          </w:p>
        </w:tc>
        <w:tc>
          <w:tcPr>
            <w:tcW w:w="243" w:type="pct"/>
          </w:tcPr>
          <w:p w:rsidR="00782711" w:rsidRPr="009F4C66" w:rsidRDefault="00782711" w:rsidP="00364F37">
            <w:pPr>
              <w:jc w:val="both"/>
              <w:rPr>
                <w:sz w:val="20"/>
                <w:lang w:val="fr-FR"/>
              </w:rPr>
            </w:pPr>
          </w:p>
        </w:tc>
        <w:tc>
          <w:tcPr>
            <w:tcW w:w="2330" w:type="pct"/>
          </w:tcPr>
          <w:p w:rsidR="00782711" w:rsidRPr="009F4C66" w:rsidRDefault="00782711" w:rsidP="00364F37">
            <w:pPr>
              <w:jc w:val="both"/>
              <w:rPr>
                <w:sz w:val="20"/>
                <w:lang w:val="fr-CA"/>
              </w:rPr>
            </w:pPr>
            <w:r w:rsidRPr="009F4C66">
              <w:rPr>
                <w:sz w:val="20"/>
                <w:lang w:val="fr-CA"/>
              </w:rPr>
              <w:t>Dépôt de la demande d’autorisation d’appel.</w:t>
            </w:r>
          </w:p>
        </w:tc>
      </w:tr>
    </w:tbl>
    <w:p w:rsidR="00140B84" w:rsidRPr="00782711" w:rsidRDefault="00140B84" w:rsidP="00140B84">
      <w:pPr>
        <w:rPr>
          <w:sz w:val="20"/>
          <w:szCs w:val="20"/>
          <w:lang w:val="fr-CA"/>
        </w:rPr>
      </w:pPr>
    </w:p>
    <w:p w:rsidR="00140B84" w:rsidRDefault="00E5065D" w:rsidP="00140B84">
      <w:pPr>
        <w:rPr>
          <w:sz w:val="20"/>
          <w:szCs w:val="20"/>
          <w:lang w:val="fr-CA"/>
        </w:rPr>
      </w:pPr>
      <w:r w:rsidRPr="00E5065D">
        <w:rPr>
          <w:sz w:val="20"/>
          <w:szCs w:val="20"/>
          <w:lang w:val="fr-CA"/>
        </w:rPr>
        <w:pict>
          <v:rect id="_x0000_i1073"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0F2BC0"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34531</w:t>
            </w:r>
          </w:p>
          <w:p w:rsidR="00425DAC" w:rsidRPr="000F2BC0" w:rsidRDefault="00425DAC" w:rsidP="001600B8">
            <w:pPr>
              <w:rPr>
                <w:b/>
                <w:sz w:val="20"/>
                <w:szCs w:val="20"/>
                <w:lang w:val="fr-CA"/>
              </w:rPr>
            </w:pPr>
          </w:p>
        </w:tc>
        <w:tc>
          <w:tcPr>
            <w:tcW w:w="8118" w:type="dxa"/>
          </w:tcPr>
          <w:p w:rsidR="00425DAC" w:rsidRPr="000F2BC0" w:rsidRDefault="00425DAC" w:rsidP="00425DAC">
            <w:pPr>
              <w:jc w:val="both"/>
              <w:rPr>
                <w:sz w:val="20"/>
                <w:szCs w:val="20"/>
              </w:rPr>
            </w:pPr>
            <w:r w:rsidRPr="000F2BC0">
              <w:rPr>
                <w:rStyle w:val="SCCLsocChar"/>
                <w:sz w:val="20"/>
                <w:szCs w:val="20"/>
                <w:lang w:val="en-CA"/>
              </w:rPr>
              <w:t>Vytautas ("Chuck") Baltrusaitis v. Her Majesty the Queen in Right of Ontario</w:t>
            </w:r>
            <w:r w:rsidR="00EE7445">
              <w:rPr>
                <w:rStyle w:val="SCCLsocChar"/>
                <w:sz w:val="20"/>
                <w:szCs w:val="20"/>
                <w:lang w:val="en-CA"/>
              </w:rPr>
              <w:t xml:space="preserve"> and</w:t>
            </w:r>
            <w:r w:rsidRPr="000F2BC0">
              <w:rPr>
                <w:rStyle w:val="SCCLsocChar"/>
                <w:sz w:val="20"/>
                <w:szCs w:val="20"/>
                <w:lang w:val="en-CA"/>
              </w:rPr>
              <w:t xml:space="preserve"> Attorney General of Ontario</w:t>
            </w:r>
            <w:r w:rsidRPr="000F2BC0">
              <w:rPr>
                <w:sz w:val="20"/>
                <w:szCs w:val="20"/>
              </w:rPr>
              <w:t xml:space="preserve"> (Ont.) (Civil) (By Leave)</w:t>
            </w:r>
          </w:p>
          <w:p w:rsidR="00425DAC" w:rsidRPr="000F2BC0" w:rsidRDefault="00425DAC" w:rsidP="001600B8">
            <w:pPr>
              <w:rPr>
                <w:sz w:val="20"/>
                <w:szCs w:val="20"/>
              </w:rPr>
            </w:pPr>
          </w:p>
        </w:tc>
      </w:tr>
      <w:tr w:rsidR="00425DAC" w:rsidRPr="000F2BC0"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rPr>
            </w:pPr>
            <w:r w:rsidRPr="000F2BC0">
              <w:rPr>
                <w:rStyle w:val="SCCCoramChar"/>
                <w:sz w:val="20"/>
                <w:szCs w:val="20"/>
                <w:lang w:val="en-CA"/>
              </w:rPr>
              <w:t>LeBel, Abella and Cromwell JJ.</w:t>
            </w:r>
          </w:p>
          <w:p w:rsidR="00425DAC" w:rsidRPr="000F2BC0" w:rsidRDefault="00425DAC" w:rsidP="001600B8">
            <w:pPr>
              <w:rPr>
                <w:sz w:val="20"/>
                <w:szCs w:val="20"/>
                <w:u w:val="single"/>
              </w:rPr>
            </w:pPr>
          </w:p>
        </w:tc>
      </w:tr>
      <w:tr w:rsidR="00425DAC" w:rsidRPr="00832ABE" w:rsidTr="001600B8">
        <w:trPr>
          <w:cantSplit/>
        </w:trPr>
        <w:tc>
          <w:tcPr>
            <w:tcW w:w="9576" w:type="dxa"/>
            <w:gridSpan w:val="2"/>
          </w:tcPr>
          <w:p w:rsidR="00425DAC" w:rsidRPr="000F2BC0" w:rsidRDefault="00425DAC" w:rsidP="001600B8">
            <w:pPr>
              <w:pStyle w:val="SCCShortJudgment"/>
              <w:rPr>
                <w:szCs w:val="20"/>
              </w:rPr>
            </w:pPr>
            <w:r w:rsidRPr="000F2BC0">
              <w:rPr>
                <w:szCs w:val="20"/>
              </w:rPr>
              <w:t>The application for leave to appeal from the judgment of the Court of Appeal for Ontario, Number C53322, 2011 ONCA 608, dated September 21, 2011, is dismissed with costs.</w:t>
            </w:r>
          </w:p>
          <w:p w:rsidR="00425DAC" w:rsidRPr="000F2BC0" w:rsidRDefault="00425DAC" w:rsidP="001600B8">
            <w:pPr>
              <w:pStyle w:val="SCCShortJudgment"/>
              <w:ind w:firstLine="0"/>
              <w:rPr>
                <w:szCs w:val="20"/>
              </w:rPr>
            </w:pPr>
          </w:p>
          <w:p w:rsidR="00425DAC" w:rsidRPr="000F2BC0" w:rsidRDefault="00425DAC" w:rsidP="001600B8">
            <w:pPr>
              <w:pStyle w:val="SCCShortJudgment"/>
              <w:rPr>
                <w:szCs w:val="20"/>
                <w:lang w:val="fr-CA"/>
              </w:rPr>
            </w:pPr>
            <w:r w:rsidRPr="000F2BC0">
              <w:rPr>
                <w:szCs w:val="20"/>
                <w:lang w:val="fr-CA"/>
              </w:rPr>
              <w:t>La demande d’autorisation d’appel de l’arrêt de la Cour d’appel de l’Ontario, numéro C53322, 2011 ONCA 608, daté du 21 septembre 2011, est rejetée avec dépens.</w:t>
            </w:r>
          </w:p>
        </w:tc>
      </w:tr>
    </w:tbl>
    <w:p w:rsidR="00140B84" w:rsidRPr="00214CB8" w:rsidRDefault="00140B84" w:rsidP="00140B84">
      <w:pPr>
        <w:rPr>
          <w:sz w:val="20"/>
          <w:szCs w:val="20"/>
          <w:lang w:val="fr-CA"/>
        </w:rPr>
      </w:pPr>
    </w:p>
    <w:p w:rsidR="00615936" w:rsidRPr="00377F92" w:rsidRDefault="00615936">
      <w:pPr>
        <w:rPr>
          <w:sz w:val="20"/>
          <w:szCs w:val="20"/>
          <w:u w:val="single"/>
          <w:lang w:val="fr-CA"/>
        </w:rPr>
      </w:pPr>
      <w:r w:rsidRPr="00377F92">
        <w:rPr>
          <w:sz w:val="20"/>
          <w:szCs w:val="20"/>
          <w:u w:val="single"/>
          <w:lang w:val="fr-CA"/>
        </w:rPr>
        <w:br w:type="page"/>
      </w: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9F4C66" w:rsidTr="00364F37">
        <w:tc>
          <w:tcPr>
            <w:tcW w:w="5000" w:type="pct"/>
            <w:gridSpan w:val="3"/>
          </w:tcPr>
          <w:p w:rsidR="00782711" w:rsidRPr="009F4C66" w:rsidRDefault="00782711" w:rsidP="00364F37">
            <w:pPr>
              <w:jc w:val="both"/>
              <w:rPr>
                <w:i/>
                <w:sz w:val="20"/>
              </w:rPr>
            </w:pPr>
            <w:r w:rsidRPr="009F4C66">
              <w:rPr>
                <w:sz w:val="20"/>
              </w:rPr>
              <w:t xml:space="preserve">Charter of Rights – Constitutional law – Right to liberty – Right to equality – Damages – Limitation of actions – Jailhouse informant evidence – Whether the Court of Appeal erred in law in finding no merit to the </w:t>
            </w:r>
            <w:r w:rsidRPr="009F4C66">
              <w:rPr>
                <w:i/>
                <w:sz w:val="20"/>
              </w:rPr>
              <w:t>Charter</w:t>
            </w:r>
            <w:r w:rsidRPr="009F4C66">
              <w:rPr>
                <w:sz w:val="20"/>
              </w:rPr>
              <w:t xml:space="preserve"> claims – Whether errors of the Court of Appeal constitute issues of national and public importance – </w:t>
            </w:r>
            <w:r w:rsidRPr="009F4C66">
              <w:rPr>
                <w:i/>
                <w:sz w:val="20"/>
              </w:rPr>
              <w:t>Canadian Charter of Rights and Freedoms ss. 7,15, 24.</w:t>
            </w:r>
          </w:p>
          <w:p w:rsidR="00782711" w:rsidRPr="009F4C66" w:rsidRDefault="00782711" w:rsidP="00364F37">
            <w:pPr>
              <w:jc w:val="both"/>
              <w:rPr>
                <w:i/>
                <w:sz w:val="20"/>
              </w:rPr>
            </w:pPr>
          </w:p>
          <w:p w:rsidR="00782711" w:rsidRPr="009F4C66" w:rsidRDefault="00782711" w:rsidP="00364F37">
            <w:pPr>
              <w:jc w:val="both"/>
              <w:rPr>
                <w:sz w:val="20"/>
              </w:rPr>
            </w:pPr>
            <w:r w:rsidRPr="009F4C66">
              <w:rPr>
                <w:sz w:val="20"/>
              </w:rPr>
              <w:t xml:space="preserve">In September 1994, the applicant, “Chuck” Baltrusaitis, was arrested and charged with the murder of his brother.  He was convicted in 1996.  He successfully appealed his conviction and was acquitted after a second trial, however by that time he had spent nine and a half years in jail despite remaining innocent of any crime.  There is no indication that Mr. Baltrusaitis ever applied for bail.  He claimed that his incarceration without criminal responsibility was a breach of ss. 7 and 15 of the </w:t>
            </w:r>
            <w:r w:rsidRPr="009F4C66">
              <w:rPr>
                <w:i/>
                <w:sz w:val="20"/>
              </w:rPr>
              <w:t>Charter</w:t>
            </w:r>
            <w:r w:rsidRPr="009F4C66">
              <w:rPr>
                <w:sz w:val="20"/>
              </w:rPr>
              <w:t xml:space="preserve">, for which he sought damages under s. 24.  He also sought a declaration that the admissibility of jailhouse informant evidence is contrary to the </w:t>
            </w:r>
            <w:r w:rsidRPr="009F4C66">
              <w:rPr>
                <w:i/>
                <w:sz w:val="20"/>
              </w:rPr>
              <w:t>Charter</w:t>
            </w:r>
            <w:r w:rsidRPr="009F4C66">
              <w:rPr>
                <w:sz w:val="20"/>
              </w:rPr>
              <w:t xml:space="preserve">; the evidence of a jailhouse informant was admitted and relied upon by the Crown in the first trial but not in the second trial.  The Crown took the position that the action was statute barred. </w:t>
            </w:r>
          </w:p>
          <w:p w:rsidR="00782711" w:rsidRPr="009F4C66" w:rsidRDefault="00782711" w:rsidP="00364F37">
            <w:pPr>
              <w:jc w:val="both"/>
              <w:rPr>
                <w:sz w:val="20"/>
              </w:rPr>
            </w:pPr>
          </w:p>
          <w:p w:rsidR="00782711" w:rsidRPr="009F4C66" w:rsidRDefault="00782711" w:rsidP="00364F37">
            <w:pPr>
              <w:jc w:val="both"/>
              <w:rPr>
                <w:sz w:val="20"/>
              </w:rPr>
            </w:pPr>
            <w:r w:rsidRPr="009F4C66">
              <w:rPr>
                <w:sz w:val="20"/>
              </w:rPr>
              <w:t xml:space="preserve">The Ontario Superior Court of Justice dismissed the action and declined to make a declaration with respect to jailhouse informant evidence, finding the action was statute barred and, in any event, there was no merit to the </w:t>
            </w:r>
            <w:r w:rsidRPr="009F4C66">
              <w:rPr>
                <w:i/>
                <w:sz w:val="20"/>
              </w:rPr>
              <w:t>Charter</w:t>
            </w:r>
            <w:r w:rsidRPr="009F4C66">
              <w:rPr>
                <w:sz w:val="20"/>
              </w:rPr>
              <w:t xml:space="preserve"> claims.  The Ontario Court of Appeal dismissed the applicant’s appeal.</w:t>
            </w:r>
          </w:p>
        </w:tc>
      </w:tr>
      <w:tr w:rsidR="00782711" w:rsidRPr="009F4C66" w:rsidTr="00364F37">
        <w:tc>
          <w:tcPr>
            <w:tcW w:w="5000" w:type="pct"/>
            <w:gridSpan w:val="3"/>
          </w:tcPr>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January 28, 2011</w:t>
            </w:r>
          </w:p>
          <w:p w:rsidR="00782711" w:rsidRPr="009F4C66" w:rsidRDefault="00782711" w:rsidP="00364F37">
            <w:pPr>
              <w:jc w:val="both"/>
              <w:rPr>
                <w:sz w:val="20"/>
              </w:rPr>
            </w:pPr>
            <w:r w:rsidRPr="009F4C66">
              <w:rPr>
                <w:sz w:val="20"/>
              </w:rPr>
              <w:t>Ontario Superior Court of Justice</w:t>
            </w:r>
          </w:p>
          <w:p w:rsidR="00782711" w:rsidRPr="009F4C66" w:rsidRDefault="00782711" w:rsidP="00364F37">
            <w:pPr>
              <w:jc w:val="both"/>
              <w:rPr>
                <w:sz w:val="20"/>
              </w:rPr>
            </w:pPr>
            <w:r w:rsidRPr="009F4C66">
              <w:rPr>
                <w:sz w:val="20"/>
              </w:rPr>
              <w:t>(Whitaker J.)</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 xml:space="preserve">Applicant’s action for breach of ss. 7 and 15 of the </w:t>
            </w:r>
            <w:r w:rsidRPr="009F4C66">
              <w:rPr>
                <w:i/>
                <w:sz w:val="20"/>
              </w:rPr>
              <w:t>Charter</w:t>
            </w:r>
            <w:r w:rsidRPr="009F4C66">
              <w:rPr>
                <w:sz w:val="20"/>
              </w:rPr>
              <w:t>, dismissed.</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February 8, 2011</w:t>
            </w:r>
          </w:p>
          <w:p w:rsidR="00782711" w:rsidRPr="009F4C66" w:rsidRDefault="00782711" w:rsidP="00364F37">
            <w:pPr>
              <w:jc w:val="both"/>
              <w:rPr>
                <w:sz w:val="20"/>
              </w:rPr>
            </w:pPr>
            <w:r w:rsidRPr="009F4C66">
              <w:rPr>
                <w:sz w:val="20"/>
              </w:rPr>
              <w:t>Ontario Superior Court of Justice</w:t>
            </w:r>
          </w:p>
          <w:p w:rsidR="00782711" w:rsidRPr="009F4C66" w:rsidRDefault="00782711" w:rsidP="00364F37">
            <w:pPr>
              <w:jc w:val="both"/>
              <w:rPr>
                <w:sz w:val="20"/>
              </w:rPr>
            </w:pPr>
            <w:r w:rsidRPr="009F4C66">
              <w:rPr>
                <w:sz w:val="20"/>
              </w:rPr>
              <w:t>(Whitaker J.)</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 xml:space="preserve">Costs granted to the respondent, fixed at $25,000. </w:t>
            </w:r>
          </w:p>
          <w:p w:rsidR="00782711" w:rsidRPr="009F4C66" w:rsidRDefault="00782711" w:rsidP="00364F37">
            <w:pPr>
              <w:jc w:val="both"/>
              <w:rPr>
                <w:sz w:val="20"/>
              </w:rPr>
            </w:pP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September 21, 2011</w:t>
            </w:r>
          </w:p>
          <w:p w:rsidR="00782711" w:rsidRPr="009F4C66" w:rsidRDefault="00782711" w:rsidP="00364F37">
            <w:pPr>
              <w:jc w:val="both"/>
              <w:rPr>
                <w:sz w:val="20"/>
              </w:rPr>
            </w:pPr>
            <w:r w:rsidRPr="009F4C66">
              <w:rPr>
                <w:sz w:val="20"/>
              </w:rPr>
              <w:t>Court of Appeal for Ontario</w:t>
            </w:r>
          </w:p>
          <w:p w:rsidR="00782711" w:rsidRPr="009F4C66" w:rsidRDefault="00782711" w:rsidP="00364F37">
            <w:pPr>
              <w:jc w:val="both"/>
              <w:rPr>
                <w:sz w:val="20"/>
              </w:rPr>
            </w:pPr>
            <w:r w:rsidRPr="009F4C66">
              <w:rPr>
                <w:sz w:val="20"/>
              </w:rPr>
              <w:t>(Doherty, Weiler and Laskin JJ.A.)</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Applicant’s appeal, dismissed.</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November 18, 2011</w:t>
            </w:r>
          </w:p>
          <w:p w:rsidR="00782711" w:rsidRPr="009F4C66" w:rsidRDefault="00782711" w:rsidP="00364F37">
            <w:pPr>
              <w:jc w:val="both"/>
              <w:rPr>
                <w:sz w:val="20"/>
              </w:rPr>
            </w:pPr>
            <w:r w:rsidRPr="009F4C66">
              <w:rPr>
                <w:sz w:val="20"/>
              </w:rPr>
              <w:t>Supreme Court of Canada</w:t>
            </w: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Application for leave to appeal, filed.</w:t>
            </w:r>
          </w:p>
          <w:p w:rsidR="00782711" w:rsidRPr="009F4C66" w:rsidRDefault="00782711" w:rsidP="00364F37">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74"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832ABE" w:rsidTr="00364F37">
        <w:tc>
          <w:tcPr>
            <w:tcW w:w="5000" w:type="pct"/>
            <w:gridSpan w:val="3"/>
          </w:tcPr>
          <w:p w:rsidR="00782711" w:rsidRPr="009F4C66" w:rsidRDefault="00782711" w:rsidP="00364F37">
            <w:pPr>
              <w:jc w:val="both"/>
              <w:rPr>
                <w:i/>
                <w:sz w:val="20"/>
                <w:lang w:val="fr-FR"/>
              </w:rPr>
            </w:pPr>
            <w:r w:rsidRPr="009F4C66">
              <w:rPr>
                <w:sz w:val="20"/>
                <w:lang w:val="fr-FR"/>
              </w:rPr>
              <w:t xml:space="preserve">Charte des droits – Droit constitutionnel – Droit à la liberté – Droit à l’égalité – Dommages-intérêts – Prescription des actions – Preuve d’un indicateur incarcéré – La Cour d’appel a-t-elle commis une erreur de droit en n’attribuant aucun fondement aux demandes reposant sur la </w:t>
            </w:r>
            <w:r w:rsidRPr="009F4C66">
              <w:rPr>
                <w:i/>
                <w:sz w:val="20"/>
                <w:lang w:val="fr-FR"/>
              </w:rPr>
              <w:t>Charte</w:t>
            </w:r>
            <w:r w:rsidRPr="009F4C66">
              <w:rPr>
                <w:sz w:val="20"/>
                <w:lang w:val="fr-FR"/>
              </w:rPr>
              <w:t xml:space="preserve">? – Les erreurs reprochées à la Cour d’appel constituent-elles des questions d’importance nationale et publique? – </w:t>
            </w:r>
            <w:r w:rsidRPr="009F4C66">
              <w:rPr>
                <w:i/>
                <w:sz w:val="20"/>
                <w:lang w:val="fr-FR"/>
              </w:rPr>
              <w:t>Charte canadienne des droits et libertés</w:t>
            </w:r>
            <w:r w:rsidRPr="009F4C66">
              <w:rPr>
                <w:sz w:val="20"/>
                <w:lang w:val="fr-FR"/>
              </w:rPr>
              <w:t>, art. 7, 15 et 24.</w:t>
            </w:r>
          </w:p>
          <w:p w:rsidR="00782711" w:rsidRPr="009F4C66" w:rsidRDefault="00782711" w:rsidP="00364F37">
            <w:pPr>
              <w:jc w:val="both"/>
              <w:rPr>
                <w:i/>
                <w:sz w:val="20"/>
                <w:lang w:val="fr-FR"/>
              </w:rPr>
            </w:pPr>
          </w:p>
          <w:p w:rsidR="00782711" w:rsidRPr="009F4C66" w:rsidRDefault="00782711" w:rsidP="00364F37">
            <w:pPr>
              <w:jc w:val="both"/>
              <w:rPr>
                <w:sz w:val="20"/>
                <w:lang w:val="fr-FR"/>
              </w:rPr>
            </w:pPr>
            <w:r w:rsidRPr="009F4C66">
              <w:rPr>
                <w:sz w:val="20"/>
                <w:lang w:val="fr-FR"/>
              </w:rPr>
              <w:t xml:space="preserve">En septembre 1994, le demandeur, « Chuck » Baltrusaitis, a été arrêté et accusé du meurtre de son frère.  Il a été reconnu coupable en 1996.  Il a fait appel avec succès de sa déclaration de culpabilité et a été acquitté à la suite d’un deuxième procès.  Il avait toutefois passé entre-temps neuf ans et demi en prison même s’il avait toujours été innocent de quelque crime que ce soit.  Rien n’indique que M. Baltrusaitis a demandé à un moment ou l’autre sa mise en liberté sous caution.  Il a prétendu que le fait de l’avoir incarcéré malgré sa non-responsabilité criminelle contrevenait </w:t>
            </w:r>
            <w:proofErr w:type="gramStart"/>
            <w:r w:rsidRPr="009F4C66">
              <w:rPr>
                <w:sz w:val="20"/>
                <w:lang w:val="fr-FR"/>
              </w:rPr>
              <w:t>aux art</w:t>
            </w:r>
            <w:proofErr w:type="gramEnd"/>
            <w:r w:rsidRPr="009F4C66">
              <w:rPr>
                <w:sz w:val="20"/>
                <w:lang w:val="fr-FR"/>
              </w:rPr>
              <w:t xml:space="preserve">. 7 et 15 de la </w:t>
            </w:r>
            <w:r w:rsidRPr="009F4C66">
              <w:rPr>
                <w:i/>
                <w:sz w:val="20"/>
                <w:lang w:val="fr-FR"/>
              </w:rPr>
              <w:t>Charte</w:t>
            </w:r>
            <w:r w:rsidRPr="009F4C66">
              <w:rPr>
                <w:sz w:val="20"/>
                <w:lang w:val="fr-FR"/>
              </w:rPr>
              <w:t xml:space="preserve">, une contravention pour laquelle il a réclamé des dommages-intérêts en vertu de l’art. 24.  Il a aussi demandé un jugement déclarant que l’admissibilité de la preuve d’un indicateur incarcéré est contraire à la </w:t>
            </w:r>
            <w:r w:rsidRPr="009F4C66">
              <w:rPr>
                <w:i/>
                <w:sz w:val="20"/>
                <w:lang w:val="fr-FR"/>
              </w:rPr>
              <w:t>Charte</w:t>
            </w:r>
            <w:r w:rsidRPr="009F4C66">
              <w:rPr>
                <w:sz w:val="20"/>
                <w:lang w:val="fr-FR"/>
              </w:rPr>
              <w:t xml:space="preserve">; la preuve de l’indicateur incarcéré en cause a été admise, et le ministère public l’a invoquée au premier procès, mais non lors du second.  Le ministère public s’est dit d’avis que l’action était prescrite. </w:t>
            </w:r>
          </w:p>
          <w:p w:rsidR="00782711" w:rsidRPr="009F4C66" w:rsidRDefault="00782711" w:rsidP="00364F37">
            <w:pPr>
              <w:jc w:val="both"/>
              <w:rPr>
                <w:sz w:val="20"/>
                <w:lang w:val="fr-FR"/>
              </w:rPr>
            </w:pPr>
          </w:p>
          <w:p w:rsidR="00782711" w:rsidRPr="009F4C66" w:rsidRDefault="00782711" w:rsidP="00364F37">
            <w:pPr>
              <w:jc w:val="both"/>
              <w:rPr>
                <w:sz w:val="20"/>
                <w:lang w:val="fr-FR"/>
              </w:rPr>
            </w:pPr>
            <w:r w:rsidRPr="009F4C66">
              <w:rPr>
                <w:sz w:val="20"/>
                <w:lang w:val="fr-FR"/>
              </w:rPr>
              <w:t xml:space="preserve">La Cour supérieure de justice de l’Ontario a rejeté l’action et refusé de rendre un jugement déclaratoire quant à la preuve d’un indicateur incarcéré, concluant que l’action était prescrite et qu’en tout état de cause, les demandes reposant sur la </w:t>
            </w:r>
            <w:r w:rsidRPr="009F4C66">
              <w:rPr>
                <w:i/>
                <w:sz w:val="20"/>
                <w:lang w:val="fr-FR"/>
              </w:rPr>
              <w:t>Charte</w:t>
            </w:r>
            <w:r w:rsidRPr="009F4C66">
              <w:rPr>
                <w:sz w:val="20"/>
                <w:lang w:val="fr-FR"/>
              </w:rPr>
              <w:t xml:space="preserve"> étaient dépourvues de fondement.  La Cour d’appel de l’Ontario a rejeté l’appel du demandeur.</w:t>
            </w:r>
          </w:p>
        </w:tc>
      </w:tr>
      <w:tr w:rsidR="00782711" w:rsidRPr="00832ABE" w:rsidTr="00364F37">
        <w:tc>
          <w:tcPr>
            <w:tcW w:w="5000" w:type="pct"/>
            <w:gridSpan w:val="3"/>
          </w:tcPr>
          <w:p w:rsidR="00782711" w:rsidRPr="009F4C66" w:rsidRDefault="00782711" w:rsidP="00364F37">
            <w:pPr>
              <w:jc w:val="both"/>
              <w:rPr>
                <w:sz w:val="20"/>
                <w:lang w:val="fr-FR"/>
              </w:rPr>
            </w:pPr>
          </w:p>
        </w:tc>
      </w:tr>
      <w:tr w:rsidR="00782711" w:rsidRPr="007A7033" w:rsidTr="00364F37">
        <w:tc>
          <w:tcPr>
            <w:tcW w:w="2427" w:type="pct"/>
          </w:tcPr>
          <w:p w:rsidR="00782711" w:rsidRPr="009F4C66" w:rsidRDefault="00782711" w:rsidP="00364F37">
            <w:pPr>
              <w:jc w:val="both"/>
              <w:rPr>
                <w:sz w:val="20"/>
                <w:lang w:val="fr-FR"/>
              </w:rPr>
            </w:pPr>
            <w:r w:rsidRPr="009F4C66">
              <w:rPr>
                <w:sz w:val="20"/>
                <w:lang w:val="fr-FR"/>
              </w:rPr>
              <w:t>28 janvier 2011</w:t>
            </w:r>
          </w:p>
          <w:p w:rsidR="00782711" w:rsidRPr="009F4C66" w:rsidRDefault="00782711" w:rsidP="00364F37">
            <w:pPr>
              <w:jc w:val="both"/>
              <w:rPr>
                <w:sz w:val="20"/>
                <w:lang w:val="fr-FR"/>
              </w:rPr>
            </w:pPr>
            <w:r w:rsidRPr="009F4C66">
              <w:rPr>
                <w:sz w:val="20"/>
                <w:lang w:val="fr-FR"/>
              </w:rPr>
              <w:t xml:space="preserve">Cour supérieure de justice de l’Ontario </w:t>
            </w:r>
          </w:p>
          <w:p w:rsidR="00782711" w:rsidRPr="009F4C66" w:rsidRDefault="00782711" w:rsidP="00364F37">
            <w:pPr>
              <w:jc w:val="both"/>
              <w:rPr>
                <w:sz w:val="20"/>
              </w:rPr>
            </w:pPr>
            <w:r w:rsidRPr="009F4C66">
              <w:rPr>
                <w:sz w:val="20"/>
              </w:rPr>
              <w:t>(Juge Whitaker)</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lang w:val="fr-FR"/>
              </w:rPr>
            </w:pPr>
            <w:r w:rsidRPr="009F4C66">
              <w:rPr>
                <w:sz w:val="20"/>
                <w:lang w:val="fr-FR"/>
              </w:rPr>
              <w:t xml:space="preserve">Action intentée par le demandeur pour violation </w:t>
            </w:r>
            <w:proofErr w:type="gramStart"/>
            <w:r w:rsidRPr="009F4C66">
              <w:rPr>
                <w:sz w:val="20"/>
                <w:lang w:val="fr-FR"/>
              </w:rPr>
              <w:t>des art</w:t>
            </w:r>
            <w:proofErr w:type="gramEnd"/>
            <w:r w:rsidRPr="009F4C66">
              <w:rPr>
                <w:sz w:val="20"/>
                <w:lang w:val="fr-FR"/>
              </w:rPr>
              <w:t xml:space="preserve">. 7 et 15 de la </w:t>
            </w:r>
            <w:r w:rsidRPr="009F4C66">
              <w:rPr>
                <w:i/>
                <w:sz w:val="20"/>
                <w:lang w:val="fr-FR"/>
              </w:rPr>
              <w:t>Charte</w:t>
            </w:r>
            <w:r w:rsidRPr="009F4C66">
              <w:rPr>
                <w:sz w:val="20"/>
                <w:lang w:val="fr-FR"/>
              </w:rPr>
              <w:t>, rejetée.</w:t>
            </w:r>
          </w:p>
          <w:p w:rsidR="00782711" w:rsidRPr="009F4C66" w:rsidRDefault="00782711" w:rsidP="00364F37">
            <w:pPr>
              <w:jc w:val="both"/>
              <w:rPr>
                <w:sz w:val="20"/>
                <w:lang w:val="fr-FR"/>
              </w:rPr>
            </w:pPr>
          </w:p>
        </w:tc>
      </w:tr>
      <w:tr w:rsidR="00782711" w:rsidRPr="00832ABE" w:rsidTr="00364F37">
        <w:tc>
          <w:tcPr>
            <w:tcW w:w="2427" w:type="pct"/>
          </w:tcPr>
          <w:p w:rsidR="00782711" w:rsidRPr="009F4C66" w:rsidRDefault="00782711" w:rsidP="00364F37">
            <w:pPr>
              <w:jc w:val="both"/>
              <w:rPr>
                <w:sz w:val="20"/>
                <w:lang w:val="fr-FR"/>
              </w:rPr>
            </w:pPr>
            <w:r w:rsidRPr="009F4C66">
              <w:rPr>
                <w:sz w:val="20"/>
                <w:lang w:val="fr-FR"/>
              </w:rPr>
              <w:t>8 février 2011</w:t>
            </w:r>
          </w:p>
          <w:p w:rsidR="00782711" w:rsidRPr="009F4C66" w:rsidRDefault="00782711" w:rsidP="00364F37">
            <w:pPr>
              <w:jc w:val="both"/>
              <w:rPr>
                <w:sz w:val="20"/>
                <w:lang w:val="fr-FR"/>
              </w:rPr>
            </w:pPr>
            <w:r w:rsidRPr="009F4C66">
              <w:rPr>
                <w:sz w:val="20"/>
                <w:lang w:val="fr-FR"/>
              </w:rPr>
              <w:t xml:space="preserve">Cour supérieure de justice de l’Ontario </w:t>
            </w:r>
          </w:p>
          <w:p w:rsidR="00782711" w:rsidRPr="009F4C66" w:rsidRDefault="00782711" w:rsidP="00364F37">
            <w:pPr>
              <w:jc w:val="both"/>
              <w:rPr>
                <w:sz w:val="20"/>
              </w:rPr>
            </w:pPr>
            <w:r w:rsidRPr="009F4C66">
              <w:rPr>
                <w:sz w:val="20"/>
              </w:rPr>
              <w:t>(Juge Whitaker)</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lang w:val="fr-FR"/>
              </w:rPr>
            </w:pPr>
            <w:r w:rsidRPr="009F4C66">
              <w:rPr>
                <w:sz w:val="20"/>
                <w:lang w:val="fr-FR"/>
              </w:rPr>
              <w:t xml:space="preserve">Dépens de 25 000 $ accordés à la partie intimée. </w:t>
            </w:r>
          </w:p>
          <w:p w:rsidR="00782711" w:rsidRPr="009F4C66" w:rsidRDefault="00782711" w:rsidP="00364F37">
            <w:pPr>
              <w:jc w:val="both"/>
              <w:rPr>
                <w:sz w:val="20"/>
                <w:lang w:val="fr-FR"/>
              </w:rPr>
            </w:pPr>
          </w:p>
        </w:tc>
      </w:tr>
      <w:tr w:rsidR="00782711" w:rsidRPr="009F4C66" w:rsidTr="00364F37">
        <w:tc>
          <w:tcPr>
            <w:tcW w:w="2427" w:type="pct"/>
          </w:tcPr>
          <w:p w:rsidR="00782711" w:rsidRPr="009F4C66" w:rsidRDefault="00782711" w:rsidP="00364F37">
            <w:pPr>
              <w:jc w:val="both"/>
              <w:rPr>
                <w:sz w:val="20"/>
                <w:lang w:val="fr-FR"/>
              </w:rPr>
            </w:pPr>
            <w:r w:rsidRPr="009F4C66">
              <w:rPr>
                <w:sz w:val="20"/>
                <w:lang w:val="fr-FR"/>
              </w:rPr>
              <w:t>21 septembre 2011</w:t>
            </w:r>
          </w:p>
          <w:p w:rsidR="00782711" w:rsidRPr="009F4C66" w:rsidRDefault="00782711" w:rsidP="00364F37">
            <w:pPr>
              <w:jc w:val="both"/>
              <w:rPr>
                <w:sz w:val="20"/>
                <w:lang w:val="fr-FR"/>
              </w:rPr>
            </w:pPr>
            <w:r w:rsidRPr="009F4C66">
              <w:rPr>
                <w:sz w:val="20"/>
                <w:lang w:val="fr-FR"/>
              </w:rPr>
              <w:t>Cour d’appel de l’Ontario</w:t>
            </w:r>
          </w:p>
          <w:p w:rsidR="00782711" w:rsidRPr="009F4C66" w:rsidRDefault="00782711" w:rsidP="00364F37">
            <w:pPr>
              <w:jc w:val="both"/>
              <w:rPr>
                <w:sz w:val="20"/>
                <w:lang w:val="fr-FR"/>
              </w:rPr>
            </w:pPr>
            <w:r w:rsidRPr="009F4C66">
              <w:rPr>
                <w:sz w:val="20"/>
                <w:lang w:val="fr-FR"/>
              </w:rPr>
              <w:t>(Juges Doherty, Weiler et Laskin)</w:t>
            </w:r>
          </w:p>
          <w:p w:rsidR="00782711" w:rsidRPr="009F4C66" w:rsidRDefault="00782711" w:rsidP="00364F37">
            <w:pPr>
              <w:jc w:val="both"/>
              <w:rPr>
                <w:sz w:val="20"/>
                <w:lang w:val="fr-FR"/>
              </w:rPr>
            </w:pPr>
          </w:p>
        </w:tc>
        <w:tc>
          <w:tcPr>
            <w:tcW w:w="243" w:type="pct"/>
          </w:tcPr>
          <w:p w:rsidR="00782711" w:rsidRPr="009F4C66" w:rsidRDefault="00782711" w:rsidP="00364F37">
            <w:pPr>
              <w:jc w:val="both"/>
              <w:rPr>
                <w:sz w:val="20"/>
                <w:lang w:val="fr-FR"/>
              </w:rPr>
            </w:pPr>
          </w:p>
        </w:tc>
        <w:tc>
          <w:tcPr>
            <w:tcW w:w="2330" w:type="pct"/>
          </w:tcPr>
          <w:p w:rsidR="00782711" w:rsidRPr="009F4C66" w:rsidRDefault="00782711" w:rsidP="00364F37">
            <w:pPr>
              <w:jc w:val="both"/>
              <w:rPr>
                <w:sz w:val="20"/>
              </w:rPr>
            </w:pPr>
            <w:r w:rsidRPr="009F4C66">
              <w:rPr>
                <w:sz w:val="20"/>
              </w:rPr>
              <w:t>Appel du demandeur rejeté.</w:t>
            </w:r>
          </w:p>
          <w:p w:rsidR="00782711" w:rsidRPr="009F4C66" w:rsidRDefault="00782711" w:rsidP="00364F37">
            <w:pPr>
              <w:jc w:val="both"/>
              <w:rPr>
                <w:sz w:val="20"/>
              </w:rPr>
            </w:pPr>
          </w:p>
        </w:tc>
      </w:tr>
      <w:tr w:rsidR="00782711" w:rsidRPr="009F4C66" w:rsidTr="00364F37">
        <w:tc>
          <w:tcPr>
            <w:tcW w:w="2427" w:type="pct"/>
          </w:tcPr>
          <w:p w:rsidR="00782711" w:rsidRPr="00880709" w:rsidRDefault="00782711" w:rsidP="00364F37">
            <w:pPr>
              <w:jc w:val="both"/>
              <w:rPr>
                <w:sz w:val="20"/>
                <w:lang w:val="fr-CA"/>
              </w:rPr>
            </w:pPr>
            <w:r w:rsidRPr="00880709">
              <w:rPr>
                <w:sz w:val="20"/>
                <w:lang w:val="fr-CA"/>
              </w:rPr>
              <w:t>18 novembre 2011</w:t>
            </w:r>
          </w:p>
          <w:p w:rsidR="00782711" w:rsidRPr="00880709" w:rsidRDefault="00782711" w:rsidP="00364F37">
            <w:pPr>
              <w:jc w:val="both"/>
              <w:rPr>
                <w:sz w:val="20"/>
                <w:lang w:val="fr-CA"/>
              </w:rPr>
            </w:pPr>
            <w:r w:rsidRPr="00880709">
              <w:rPr>
                <w:sz w:val="20"/>
                <w:lang w:val="fr-CA"/>
              </w:rPr>
              <w:t>Cour suprême du Canada</w:t>
            </w:r>
          </w:p>
        </w:tc>
        <w:tc>
          <w:tcPr>
            <w:tcW w:w="243" w:type="pct"/>
          </w:tcPr>
          <w:p w:rsidR="00782711" w:rsidRPr="00880709" w:rsidRDefault="00782711" w:rsidP="00364F37">
            <w:pPr>
              <w:jc w:val="both"/>
              <w:rPr>
                <w:sz w:val="20"/>
                <w:lang w:val="fr-CA"/>
              </w:rPr>
            </w:pPr>
          </w:p>
        </w:tc>
        <w:tc>
          <w:tcPr>
            <w:tcW w:w="2330" w:type="pct"/>
          </w:tcPr>
          <w:p w:rsidR="00782711" w:rsidRPr="009F4C66" w:rsidRDefault="00782711" w:rsidP="00364F37">
            <w:pPr>
              <w:jc w:val="both"/>
              <w:rPr>
                <w:sz w:val="20"/>
              </w:rPr>
            </w:pPr>
            <w:r w:rsidRPr="009F4C66">
              <w:rPr>
                <w:sz w:val="20"/>
              </w:rPr>
              <w:t>Demande d’autorisation d’appel déposée.</w:t>
            </w:r>
          </w:p>
          <w:p w:rsidR="00782711" w:rsidRPr="009F4C66" w:rsidRDefault="00782711" w:rsidP="00364F37">
            <w:pPr>
              <w:jc w:val="both"/>
              <w:rPr>
                <w:sz w:val="20"/>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75"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15936" w:rsidRPr="00832ABE" w:rsidTr="00615936">
        <w:trPr>
          <w:cantSplit/>
        </w:trPr>
        <w:tc>
          <w:tcPr>
            <w:tcW w:w="1458" w:type="dxa"/>
          </w:tcPr>
          <w:p w:rsidR="00615936" w:rsidRPr="003A3F02" w:rsidRDefault="00615936" w:rsidP="00615936">
            <w:pPr>
              <w:rPr>
                <w:sz w:val="20"/>
                <w:szCs w:val="20"/>
              </w:rPr>
            </w:pPr>
            <w:r w:rsidRPr="003A3F02">
              <w:rPr>
                <w:rStyle w:val="SCCFileNumberChar"/>
                <w:sz w:val="20"/>
                <w:szCs w:val="20"/>
              </w:rPr>
              <w:t>34540</w:t>
            </w:r>
          </w:p>
          <w:p w:rsidR="00615936" w:rsidRPr="003A3F02" w:rsidRDefault="00615936" w:rsidP="00615936">
            <w:pPr>
              <w:rPr>
                <w:b/>
                <w:sz w:val="20"/>
                <w:szCs w:val="20"/>
                <w:lang w:val="fr-CA"/>
              </w:rPr>
            </w:pPr>
          </w:p>
        </w:tc>
        <w:tc>
          <w:tcPr>
            <w:tcW w:w="8118" w:type="dxa"/>
          </w:tcPr>
          <w:p w:rsidR="00615936" w:rsidRPr="003A3F02" w:rsidRDefault="00615936" w:rsidP="00615936">
            <w:pPr>
              <w:rPr>
                <w:sz w:val="20"/>
                <w:szCs w:val="20"/>
                <w:lang w:val="fr-CA"/>
              </w:rPr>
            </w:pPr>
            <w:r w:rsidRPr="003A3F02">
              <w:rPr>
                <w:rStyle w:val="SCCLsocChar"/>
                <w:sz w:val="20"/>
                <w:szCs w:val="20"/>
              </w:rPr>
              <w:t>Simon Cadorette c. Sa Majesté la Reine</w:t>
            </w:r>
            <w:r w:rsidRPr="003A3F02">
              <w:rPr>
                <w:sz w:val="20"/>
                <w:szCs w:val="20"/>
                <w:lang w:val="fr-CA"/>
              </w:rPr>
              <w:t xml:space="preserve"> (Qc) (Criminelle) (Autorisation)</w:t>
            </w:r>
          </w:p>
          <w:p w:rsidR="00615936" w:rsidRPr="003A3F02" w:rsidRDefault="00615936" w:rsidP="00615936">
            <w:pPr>
              <w:rPr>
                <w:sz w:val="20"/>
                <w:szCs w:val="20"/>
                <w:lang w:val="fr-CA"/>
              </w:rPr>
            </w:pPr>
          </w:p>
        </w:tc>
      </w:tr>
      <w:tr w:rsidR="00615936" w:rsidRPr="00832ABE" w:rsidTr="00615936">
        <w:trPr>
          <w:cantSplit/>
        </w:trPr>
        <w:tc>
          <w:tcPr>
            <w:tcW w:w="1458" w:type="dxa"/>
          </w:tcPr>
          <w:p w:rsidR="00615936" w:rsidRPr="003A3F02" w:rsidRDefault="00615936" w:rsidP="00615936">
            <w:pPr>
              <w:rPr>
                <w:sz w:val="20"/>
                <w:szCs w:val="20"/>
              </w:rPr>
            </w:pPr>
            <w:r w:rsidRPr="003A3F02">
              <w:rPr>
                <w:sz w:val="20"/>
                <w:szCs w:val="20"/>
              </w:rPr>
              <w:t>Coram :</w:t>
            </w:r>
          </w:p>
        </w:tc>
        <w:tc>
          <w:tcPr>
            <w:tcW w:w="8118" w:type="dxa"/>
          </w:tcPr>
          <w:p w:rsidR="00615936" w:rsidRPr="003A3F02" w:rsidRDefault="00615936" w:rsidP="00615936">
            <w:pPr>
              <w:rPr>
                <w:sz w:val="20"/>
                <w:szCs w:val="20"/>
                <w:lang w:val="fr-CA"/>
              </w:rPr>
            </w:pPr>
            <w:r w:rsidRPr="003A3F02">
              <w:rPr>
                <w:rStyle w:val="SCCCoramChar"/>
                <w:sz w:val="20"/>
                <w:szCs w:val="20"/>
              </w:rPr>
              <w:t>Les juges LeBel, Abella et Cromwell</w:t>
            </w:r>
          </w:p>
          <w:p w:rsidR="00615936" w:rsidRPr="003A3F02" w:rsidRDefault="00615936" w:rsidP="00615936">
            <w:pPr>
              <w:rPr>
                <w:sz w:val="20"/>
                <w:szCs w:val="20"/>
                <w:u w:val="single"/>
                <w:lang w:val="fr-CA"/>
              </w:rPr>
            </w:pPr>
          </w:p>
        </w:tc>
      </w:tr>
      <w:tr w:rsidR="00615936" w:rsidRPr="003A3F02" w:rsidTr="00615936">
        <w:trPr>
          <w:cantSplit/>
        </w:trPr>
        <w:tc>
          <w:tcPr>
            <w:tcW w:w="9576" w:type="dxa"/>
            <w:gridSpan w:val="2"/>
          </w:tcPr>
          <w:p w:rsidR="00615936" w:rsidRPr="003A3F02" w:rsidRDefault="00615936" w:rsidP="00615936">
            <w:pPr>
              <w:pStyle w:val="SCCShortJudgment"/>
              <w:rPr>
                <w:szCs w:val="20"/>
                <w:lang w:val="fr-CA"/>
              </w:rPr>
            </w:pPr>
            <w:r w:rsidRPr="003A3F02">
              <w:rPr>
                <w:szCs w:val="20"/>
                <w:lang w:val="fr-CA"/>
              </w:rPr>
              <w:t>La demande d’autorisation d’appel de l’arrêt de la Cour d’appel du Québec (Montréal), numéro 500-10-004236-087, 2011 QCCA 1792, daté du 27 septembre 2011, est rejetée sans dépens.</w:t>
            </w:r>
          </w:p>
          <w:p w:rsidR="00615936" w:rsidRPr="003A3F02" w:rsidRDefault="00615936" w:rsidP="00615936">
            <w:pPr>
              <w:pStyle w:val="SCCShortJudgment"/>
              <w:ind w:firstLine="0"/>
              <w:rPr>
                <w:szCs w:val="20"/>
                <w:lang w:val="fr-CA"/>
              </w:rPr>
            </w:pPr>
          </w:p>
          <w:p w:rsidR="00615936" w:rsidRPr="003A3F02" w:rsidRDefault="00615936" w:rsidP="00615936">
            <w:pPr>
              <w:pStyle w:val="SCCShortJudgment"/>
              <w:rPr>
                <w:szCs w:val="20"/>
              </w:rPr>
            </w:pPr>
            <w:r w:rsidRPr="003A3F02">
              <w:rPr>
                <w:szCs w:val="20"/>
              </w:rPr>
              <w:t>The application for leave to appeal from the judgment of the Court of Appeal of Quebec (Montréal), Number 500-10-004236-087, 2011 QCCA 1792, dated September 27, 2011, is dismissed without costs.</w:t>
            </w:r>
          </w:p>
        </w:tc>
      </w:tr>
    </w:tbl>
    <w:p w:rsidR="00140B84" w:rsidRPr="00615936" w:rsidRDefault="00140B84" w:rsidP="00140B84">
      <w:pPr>
        <w:rPr>
          <w:sz w:val="20"/>
          <w:szCs w:val="20"/>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9F4C66" w:rsidTr="00364F37">
        <w:tc>
          <w:tcPr>
            <w:tcW w:w="5000" w:type="pct"/>
            <w:gridSpan w:val="3"/>
          </w:tcPr>
          <w:p w:rsidR="00782711" w:rsidRPr="009F4C66" w:rsidRDefault="00782711" w:rsidP="00364F37">
            <w:pPr>
              <w:jc w:val="both"/>
              <w:rPr>
                <w:sz w:val="20"/>
              </w:rPr>
            </w:pPr>
            <w:r w:rsidRPr="009F4C66">
              <w:rPr>
                <w:sz w:val="20"/>
              </w:rPr>
              <w:t xml:space="preserve">Criminal law – Evidence – Offences – Sexual assault – Assault – Absent evidence concerning </w:t>
            </w:r>
            <w:r w:rsidRPr="009F4C66">
              <w:rPr>
                <w:i/>
                <w:sz w:val="20"/>
              </w:rPr>
              <w:t>actus reus</w:t>
            </w:r>
            <w:r w:rsidRPr="009F4C66">
              <w:rPr>
                <w:sz w:val="20"/>
              </w:rPr>
              <w:t xml:space="preserve"> of offence, whether Quebec Court of Appeal erred in upholding trial judge’s guilty verdict even though verdict not supported by evidence.</w:t>
            </w:r>
          </w:p>
        </w:tc>
      </w:tr>
      <w:tr w:rsidR="00782711" w:rsidRPr="009F4C66" w:rsidTr="00364F37">
        <w:tc>
          <w:tcPr>
            <w:tcW w:w="5000" w:type="pct"/>
            <w:gridSpan w:val="3"/>
          </w:tcPr>
          <w:p w:rsidR="00782711" w:rsidRPr="009F4C66" w:rsidRDefault="00782711" w:rsidP="00364F37">
            <w:pPr>
              <w:jc w:val="both"/>
              <w:rPr>
                <w:sz w:val="20"/>
              </w:rPr>
            </w:pPr>
          </w:p>
        </w:tc>
      </w:tr>
      <w:tr w:rsidR="00782711" w:rsidRPr="009F4C66" w:rsidTr="00364F37">
        <w:tc>
          <w:tcPr>
            <w:tcW w:w="5000" w:type="pct"/>
            <w:gridSpan w:val="3"/>
          </w:tcPr>
          <w:p w:rsidR="00782711" w:rsidRPr="009F4C66" w:rsidRDefault="00782711" w:rsidP="00364F37">
            <w:pPr>
              <w:jc w:val="both"/>
              <w:rPr>
                <w:sz w:val="20"/>
              </w:rPr>
            </w:pPr>
            <w:r w:rsidRPr="009F4C66">
              <w:rPr>
                <w:sz w:val="20"/>
              </w:rPr>
              <w:t xml:space="preserve">On August 25, 2005, the victim and two friends, the applicant Mr. Cadorette and Mr. Larocque, celebrated the victim’s departure for Alberta.  Following a family party and a late night at a bar, where they all had a lot to drink, they went to a hotel to sleep.  A video recording from the hotel’s security cameras showed Mr. Cadorette holding the victim by the waist with his right arm and carrying her purse in his left hand.  When they arrived at the suite, the complainant began vomiting and had to go to the washroom.  The three individuals slept in the same bed.  The complainant had no recollection of the events that followed until early the next morning, when she woke up not wearing her pants or underwear but still wearing her sweater and bra.  Her </w:t>
            </w:r>
            <w:r w:rsidRPr="009F4C66">
              <w:rPr>
                <w:i/>
                <w:sz w:val="20"/>
              </w:rPr>
              <w:t>labia minora</w:t>
            </w:r>
            <w:r w:rsidRPr="009F4C66">
              <w:rPr>
                <w:sz w:val="20"/>
              </w:rPr>
              <w:t xml:space="preserve"> hurt.  Mr. Cadorette suggested to her that Mr. Larocque might be responsible.  When the complainant returned home, she told her parents that she had been sexually assaulted.  She noticed bruises on her thigh and knee.  An analysis of the DNA samples collected the same day showed that the sperm found in the vaginal and anal</w:t>
            </w:r>
            <w:r w:rsidRPr="009F4C66">
              <w:rPr>
                <w:sz w:val="20"/>
              </w:rPr>
              <w:noBreakHyphen/>
              <w:t>rectal samples and on the crotch of the complainant’s pants belonged to Mr. Cadorette and not Mr. Larocque.  Mr. Cadorette denied committing sexual acts against the complainant. He was charged with sexual assault causing bodily harm.</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October 6, 2008</w:t>
            </w:r>
          </w:p>
          <w:p w:rsidR="00782711" w:rsidRPr="009F4C66" w:rsidRDefault="00782711" w:rsidP="00364F37">
            <w:pPr>
              <w:jc w:val="both"/>
              <w:rPr>
                <w:sz w:val="20"/>
              </w:rPr>
            </w:pPr>
            <w:r w:rsidRPr="009F4C66">
              <w:rPr>
                <w:sz w:val="20"/>
              </w:rPr>
              <w:t>Court of Québec</w:t>
            </w:r>
          </w:p>
          <w:p w:rsidR="00782711" w:rsidRPr="009F4C66" w:rsidRDefault="00782711" w:rsidP="00364F37">
            <w:pPr>
              <w:jc w:val="both"/>
              <w:rPr>
                <w:sz w:val="20"/>
              </w:rPr>
            </w:pPr>
            <w:r w:rsidRPr="009F4C66">
              <w:rPr>
                <w:sz w:val="20"/>
              </w:rPr>
              <w:t>(Judge Bélisle)</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Applicant convicted of sexual assault causing bodily harm</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September 27, 2011</w:t>
            </w:r>
          </w:p>
          <w:p w:rsidR="00782711" w:rsidRPr="009F4C66" w:rsidRDefault="00782711" w:rsidP="00364F37">
            <w:pPr>
              <w:jc w:val="both"/>
              <w:rPr>
                <w:sz w:val="20"/>
              </w:rPr>
            </w:pPr>
            <w:r w:rsidRPr="009F4C66">
              <w:rPr>
                <w:sz w:val="20"/>
              </w:rPr>
              <w:t>Quebec Court of Appeal (Montréal)</w:t>
            </w:r>
          </w:p>
          <w:p w:rsidR="00782711" w:rsidRPr="009F4C66" w:rsidRDefault="00782711" w:rsidP="00364F37">
            <w:pPr>
              <w:jc w:val="both"/>
              <w:rPr>
                <w:sz w:val="20"/>
              </w:rPr>
            </w:pPr>
            <w:r w:rsidRPr="009F4C66">
              <w:rPr>
                <w:sz w:val="20"/>
              </w:rPr>
              <w:t>(Dufresne, Duval Hesler and Bouchard JJ.A.)</w:t>
            </w:r>
          </w:p>
          <w:p w:rsidR="00782711" w:rsidRPr="009F4C66" w:rsidRDefault="00782711" w:rsidP="00364F37">
            <w:pPr>
              <w:jc w:val="both"/>
              <w:rPr>
                <w:sz w:val="20"/>
              </w:rPr>
            </w:pPr>
            <w:r w:rsidRPr="009F4C66">
              <w:rPr>
                <w:sz w:val="20"/>
              </w:rPr>
              <w:t>2011 QCCA 1792</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Appeal from verdict dismissed</w:t>
            </w:r>
          </w:p>
          <w:p w:rsidR="00782711" w:rsidRPr="009F4C66" w:rsidRDefault="00782711" w:rsidP="00364F37">
            <w:pPr>
              <w:jc w:val="both"/>
              <w:rPr>
                <w:sz w:val="20"/>
              </w:rPr>
            </w:pP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November 25, 2011</w:t>
            </w:r>
          </w:p>
          <w:p w:rsidR="00782711" w:rsidRPr="009F4C66" w:rsidRDefault="00782711" w:rsidP="00364F37">
            <w:pPr>
              <w:jc w:val="both"/>
              <w:rPr>
                <w:sz w:val="20"/>
              </w:rPr>
            </w:pPr>
            <w:r w:rsidRPr="009F4C66">
              <w:rPr>
                <w:sz w:val="20"/>
              </w:rPr>
              <w:t>Supreme Court of Canada</w:t>
            </w: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Application for leave to appeal filed</w:t>
            </w:r>
          </w:p>
          <w:p w:rsidR="00782711" w:rsidRPr="009F4C66" w:rsidRDefault="00782711" w:rsidP="00364F37">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76"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7A7033" w:rsidTr="00364F37">
        <w:tc>
          <w:tcPr>
            <w:tcW w:w="5000" w:type="pct"/>
            <w:gridSpan w:val="3"/>
          </w:tcPr>
          <w:p w:rsidR="00782711" w:rsidRPr="009F4C66" w:rsidRDefault="00782711" w:rsidP="00364F37">
            <w:pPr>
              <w:jc w:val="both"/>
              <w:rPr>
                <w:sz w:val="20"/>
                <w:lang w:val="fr-CA"/>
              </w:rPr>
            </w:pPr>
            <w:r w:rsidRPr="009F4C66">
              <w:rPr>
                <w:sz w:val="20"/>
                <w:lang w:val="fr-CA"/>
              </w:rPr>
              <w:t xml:space="preserve">Droit criminel – Preuve – Infractions - Agression sexuelle – Voies de fait - En l’absence d’un élément de preuve relatif à </w:t>
            </w:r>
            <w:proofErr w:type="gramStart"/>
            <w:r w:rsidRPr="009F4C66">
              <w:rPr>
                <w:sz w:val="20"/>
                <w:lang w:val="fr-CA"/>
              </w:rPr>
              <w:t>l’</w:t>
            </w:r>
            <w:r w:rsidRPr="009F4C66">
              <w:rPr>
                <w:i/>
                <w:sz w:val="20"/>
                <w:lang w:val="fr-CA"/>
              </w:rPr>
              <w:t>actus</w:t>
            </w:r>
            <w:proofErr w:type="gramEnd"/>
            <w:r w:rsidRPr="009F4C66">
              <w:rPr>
                <w:i/>
                <w:sz w:val="20"/>
                <w:lang w:val="fr-CA"/>
              </w:rPr>
              <w:t xml:space="preserve"> reus</w:t>
            </w:r>
            <w:r w:rsidRPr="009F4C66">
              <w:rPr>
                <w:sz w:val="20"/>
                <w:lang w:val="fr-CA"/>
              </w:rPr>
              <w:t xml:space="preserve"> de l’infraction, la Cour d’appel du Québec a-t-elle erré en confirmant le verdict de culpabilité rendu par le juge de première instance alors que ce verdict ne trouvait pas appui dans la preuve.</w:t>
            </w:r>
          </w:p>
        </w:tc>
      </w:tr>
      <w:tr w:rsidR="00782711" w:rsidRPr="007A7033" w:rsidTr="00364F37">
        <w:tc>
          <w:tcPr>
            <w:tcW w:w="5000" w:type="pct"/>
            <w:gridSpan w:val="3"/>
          </w:tcPr>
          <w:p w:rsidR="00782711" w:rsidRPr="009F4C66" w:rsidRDefault="00782711" w:rsidP="00364F37">
            <w:pPr>
              <w:jc w:val="both"/>
              <w:rPr>
                <w:sz w:val="20"/>
                <w:lang w:val="fr-CA"/>
              </w:rPr>
            </w:pPr>
          </w:p>
        </w:tc>
      </w:tr>
      <w:tr w:rsidR="00782711" w:rsidRPr="00832ABE" w:rsidTr="00364F37">
        <w:tc>
          <w:tcPr>
            <w:tcW w:w="5000" w:type="pct"/>
            <w:gridSpan w:val="3"/>
          </w:tcPr>
          <w:p w:rsidR="00782711" w:rsidRPr="009F4C66" w:rsidRDefault="00782711" w:rsidP="00364F37">
            <w:pPr>
              <w:jc w:val="both"/>
              <w:rPr>
                <w:sz w:val="20"/>
                <w:lang w:val="fr-CA"/>
              </w:rPr>
            </w:pPr>
            <w:r w:rsidRPr="009F4C66">
              <w:rPr>
                <w:sz w:val="20"/>
                <w:lang w:val="fr-CA"/>
              </w:rPr>
              <w:t>Le 25 août 2005, la victime et deux amis, soit le demandeur M. Cadorette (« Cadorette ») et M. Larocque (« Larocque »), ont fêté le départ de cette dernière pour l’Alberta. Après une fête de famille et une fin de soirée à un bar ou les trois ont beaucoup bu, ils se sont rendus à un hôtel pour dormir. Une vidéo enregistrée par les caméras de sécurité de l’hôtel démontre que Cadorette tenait la victime par la taille avec son bras droit et qu’il transportait son sac à main avec sa main gauche. À son arrivée dans la suite, la plaignante, prise de vomissements, doit se rendre à la toilette. Les trois se couchent dans le même lit. La plaignante perd souvenance de la suite des évènements jusqu’au petit matin ou elle se réveille sans pantalon, ni sous-vêtements à l’exception de son chandail et soutien-gorge. Elle a mal aux lèvres inférieures du vagin. Cadorette lui laisse entendre que Larocque pourrait être responsable. Lorsqu’elle rentre chez elle, elle divulgue à ses parents avoir été victime d’une agression sexuelle. Elle remarque des ecchymoses sur sa cuisse et son genou. Une analyse des substances génétiques prélevées le même jour démontre que le sperme de Cadorette et non de Larocque se trouvait dans les prélèvements vaginaux, anaux-rectaux ainsi qu’à l’entrejambe du pantalon de la plaignante. Cadorette nie avoir commis des gestes de nature sexuelle envers elle.  Il est accusé d’agression sexuelle avec infliction de lésions corporelles.</w:t>
            </w:r>
          </w:p>
          <w:p w:rsidR="00782711" w:rsidRPr="009F4C66" w:rsidRDefault="00782711" w:rsidP="00364F37">
            <w:pPr>
              <w:jc w:val="both"/>
              <w:rPr>
                <w:sz w:val="20"/>
                <w:lang w:val="fr-CA"/>
              </w:rPr>
            </w:pPr>
          </w:p>
        </w:tc>
      </w:tr>
      <w:tr w:rsidR="00782711" w:rsidRPr="00832ABE" w:rsidTr="00364F37">
        <w:tc>
          <w:tcPr>
            <w:tcW w:w="2427" w:type="pct"/>
          </w:tcPr>
          <w:p w:rsidR="00782711" w:rsidRPr="009F4C66" w:rsidRDefault="00782711" w:rsidP="00364F37">
            <w:pPr>
              <w:jc w:val="both"/>
              <w:rPr>
                <w:sz w:val="20"/>
                <w:lang w:val="fr-CA"/>
              </w:rPr>
            </w:pPr>
            <w:r w:rsidRPr="009F4C66">
              <w:rPr>
                <w:sz w:val="20"/>
                <w:lang w:val="fr-CA"/>
              </w:rPr>
              <w:t>Le 6 octobre 2008</w:t>
            </w:r>
          </w:p>
          <w:p w:rsidR="00782711" w:rsidRPr="009F4C66" w:rsidRDefault="00782711" w:rsidP="00364F37">
            <w:pPr>
              <w:jc w:val="both"/>
              <w:rPr>
                <w:sz w:val="20"/>
                <w:lang w:val="fr-CA"/>
              </w:rPr>
            </w:pPr>
            <w:r w:rsidRPr="009F4C66">
              <w:rPr>
                <w:sz w:val="20"/>
                <w:lang w:val="fr-CA"/>
              </w:rPr>
              <w:t>Cour du Québec</w:t>
            </w:r>
          </w:p>
          <w:p w:rsidR="00782711" w:rsidRPr="009F4C66" w:rsidRDefault="00782711" w:rsidP="00364F37">
            <w:pPr>
              <w:jc w:val="both"/>
              <w:rPr>
                <w:sz w:val="20"/>
                <w:lang w:val="fr-CA"/>
              </w:rPr>
            </w:pPr>
            <w:r w:rsidRPr="009F4C66">
              <w:rPr>
                <w:sz w:val="20"/>
                <w:lang w:val="fr-CA"/>
              </w:rPr>
              <w:t>(Le juge Bélisle)</w:t>
            </w:r>
          </w:p>
          <w:p w:rsidR="00782711" w:rsidRPr="009F4C66" w:rsidRDefault="00782711" w:rsidP="00364F37">
            <w:pPr>
              <w:jc w:val="both"/>
              <w:rPr>
                <w:sz w:val="20"/>
                <w:lang w:val="fr-FR"/>
              </w:rPr>
            </w:pPr>
          </w:p>
        </w:tc>
        <w:tc>
          <w:tcPr>
            <w:tcW w:w="243" w:type="pct"/>
          </w:tcPr>
          <w:p w:rsidR="00782711" w:rsidRPr="009F4C66" w:rsidRDefault="00782711" w:rsidP="00364F37">
            <w:pPr>
              <w:jc w:val="both"/>
              <w:rPr>
                <w:sz w:val="20"/>
                <w:lang w:val="fr-FR"/>
              </w:rPr>
            </w:pPr>
          </w:p>
        </w:tc>
        <w:tc>
          <w:tcPr>
            <w:tcW w:w="2330" w:type="pct"/>
          </w:tcPr>
          <w:p w:rsidR="00782711" w:rsidRPr="009F4C66" w:rsidRDefault="00782711" w:rsidP="00364F37">
            <w:pPr>
              <w:jc w:val="both"/>
              <w:rPr>
                <w:sz w:val="20"/>
                <w:lang w:val="fr-CA"/>
              </w:rPr>
            </w:pPr>
            <w:r w:rsidRPr="009F4C66">
              <w:rPr>
                <w:sz w:val="20"/>
                <w:lang w:val="fr-CA"/>
              </w:rPr>
              <w:t>Déclaration de culpabilité : Agression sexuelle avec infliction de lésions corporelles</w:t>
            </w:r>
          </w:p>
          <w:p w:rsidR="00782711" w:rsidRPr="009F4C66" w:rsidRDefault="00782711" w:rsidP="00364F37">
            <w:pPr>
              <w:jc w:val="both"/>
              <w:rPr>
                <w:sz w:val="20"/>
                <w:lang w:val="fr-CA"/>
              </w:rPr>
            </w:pPr>
          </w:p>
        </w:tc>
      </w:tr>
      <w:tr w:rsidR="00782711" w:rsidRPr="009F4C66" w:rsidTr="00364F37">
        <w:tc>
          <w:tcPr>
            <w:tcW w:w="2427" w:type="pct"/>
          </w:tcPr>
          <w:p w:rsidR="00782711" w:rsidRPr="009F4C66" w:rsidRDefault="00782711" w:rsidP="00364F37">
            <w:pPr>
              <w:jc w:val="both"/>
              <w:rPr>
                <w:sz w:val="20"/>
                <w:lang w:val="fr-CA"/>
              </w:rPr>
            </w:pPr>
            <w:r w:rsidRPr="009F4C66">
              <w:rPr>
                <w:sz w:val="20"/>
                <w:lang w:val="fr-CA"/>
              </w:rPr>
              <w:t>Le 27 septembre 2011</w:t>
            </w:r>
          </w:p>
          <w:p w:rsidR="00782711" w:rsidRPr="009F4C66" w:rsidRDefault="00782711" w:rsidP="00364F37">
            <w:pPr>
              <w:jc w:val="both"/>
              <w:rPr>
                <w:sz w:val="20"/>
                <w:lang w:val="fr-CA"/>
              </w:rPr>
            </w:pPr>
            <w:r w:rsidRPr="009F4C66">
              <w:rPr>
                <w:sz w:val="20"/>
                <w:lang w:val="fr-CA"/>
              </w:rPr>
              <w:t>Cour d’appel du Québec (Montréal)</w:t>
            </w:r>
          </w:p>
          <w:p w:rsidR="00782711" w:rsidRPr="009F4C66" w:rsidRDefault="00782711" w:rsidP="00364F37">
            <w:pPr>
              <w:jc w:val="both"/>
              <w:rPr>
                <w:sz w:val="20"/>
                <w:lang w:val="fr-CA"/>
              </w:rPr>
            </w:pPr>
            <w:r w:rsidRPr="009F4C66">
              <w:rPr>
                <w:sz w:val="20"/>
                <w:lang w:val="fr-CA"/>
              </w:rPr>
              <w:t>(Les juges Dufresne, Duval Hesler et, Bouchard)</w:t>
            </w:r>
          </w:p>
          <w:p w:rsidR="00782711" w:rsidRPr="009F4C66" w:rsidRDefault="00782711" w:rsidP="00615936">
            <w:pPr>
              <w:jc w:val="both"/>
              <w:rPr>
                <w:sz w:val="20"/>
                <w:lang w:val="fr-FR"/>
              </w:rPr>
            </w:pPr>
            <w:r w:rsidRPr="009F4C66">
              <w:rPr>
                <w:sz w:val="20"/>
                <w:lang w:val="fr-CA"/>
              </w:rPr>
              <w:t>2011 QCCA 1792</w:t>
            </w:r>
          </w:p>
        </w:tc>
        <w:tc>
          <w:tcPr>
            <w:tcW w:w="243" w:type="pct"/>
          </w:tcPr>
          <w:p w:rsidR="00782711" w:rsidRPr="009F4C66" w:rsidRDefault="00782711" w:rsidP="00364F37">
            <w:pPr>
              <w:jc w:val="both"/>
              <w:rPr>
                <w:sz w:val="20"/>
                <w:lang w:val="fr-FR"/>
              </w:rPr>
            </w:pPr>
          </w:p>
        </w:tc>
        <w:tc>
          <w:tcPr>
            <w:tcW w:w="2330" w:type="pct"/>
          </w:tcPr>
          <w:p w:rsidR="00782711" w:rsidRPr="009F4C66" w:rsidRDefault="00782711" w:rsidP="00364F37">
            <w:pPr>
              <w:jc w:val="both"/>
              <w:rPr>
                <w:sz w:val="20"/>
                <w:lang w:val="fr-CA"/>
              </w:rPr>
            </w:pPr>
            <w:r w:rsidRPr="009F4C66">
              <w:rPr>
                <w:sz w:val="20"/>
                <w:lang w:val="fr-CA"/>
              </w:rPr>
              <w:t>Appel du verdict rejeté</w:t>
            </w:r>
          </w:p>
          <w:p w:rsidR="00782711" w:rsidRPr="009F4C66" w:rsidRDefault="00782711" w:rsidP="00364F37">
            <w:pPr>
              <w:jc w:val="both"/>
              <w:rPr>
                <w:sz w:val="20"/>
                <w:lang w:val="fr-CA"/>
              </w:rPr>
            </w:pPr>
          </w:p>
          <w:p w:rsidR="00782711" w:rsidRPr="009F4C66" w:rsidRDefault="00782711" w:rsidP="00364F37">
            <w:pPr>
              <w:jc w:val="both"/>
              <w:rPr>
                <w:sz w:val="20"/>
                <w:lang w:val="fr-CA"/>
              </w:rPr>
            </w:pPr>
          </w:p>
        </w:tc>
      </w:tr>
    </w:tbl>
    <w:p w:rsidR="00615936" w:rsidRDefault="00615936"/>
    <w:p w:rsidR="00615936" w:rsidRDefault="00615936">
      <w:r>
        <w:br w:type="page"/>
      </w:r>
    </w:p>
    <w:tbl>
      <w:tblPr>
        <w:tblW w:w="4952" w:type="pct"/>
        <w:tblLayout w:type="fixed"/>
        <w:tblCellMar>
          <w:left w:w="0" w:type="dxa"/>
          <w:bottom w:w="99" w:type="dxa"/>
          <w:right w:w="0" w:type="dxa"/>
        </w:tblCellMar>
        <w:tblLook w:val="04A0"/>
      </w:tblPr>
      <w:tblGrid>
        <w:gridCol w:w="4624"/>
        <w:gridCol w:w="463"/>
        <w:gridCol w:w="4440"/>
      </w:tblGrid>
      <w:tr w:rsidR="00782711" w:rsidRPr="009F4C66" w:rsidTr="00364F37">
        <w:tc>
          <w:tcPr>
            <w:tcW w:w="2427" w:type="pct"/>
          </w:tcPr>
          <w:p w:rsidR="00782711" w:rsidRPr="009F4C66" w:rsidRDefault="00782711" w:rsidP="00364F37">
            <w:pPr>
              <w:jc w:val="both"/>
              <w:rPr>
                <w:sz w:val="20"/>
                <w:lang w:val="fr-CA"/>
              </w:rPr>
            </w:pPr>
            <w:r w:rsidRPr="009F4C66">
              <w:rPr>
                <w:sz w:val="20"/>
                <w:lang w:val="fr-CA"/>
              </w:rPr>
              <w:t>Le 25 novembre 2011</w:t>
            </w:r>
          </w:p>
          <w:p w:rsidR="00782711" w:rsidRPr="009F4C66" w:rsidRDefault="00782711" w:rsidP="00364F37">
            <w:pPr>
              <w:jc w:val="both"/>
              <w:rPr>
                <w:sz w:val="20"/>
                <w:lang w:val="fr-FR"/>
              </w:rPr>
            </w:pPr>
            <w:r w:rsidRPr="009F4C66">
              <w:rPr>
                <w:sz w:val="20"/>
                <w:lang w:val="fr-CA"/>
              </w:rPr>
              <w:t>Cour suprême du Canada</w:t>
            </w:r>
          </w:p>
        </w:tc>
        <w:tc>
          <w:tcPr>
            <w:tcW w:w="243" w:type="pct"/>
          </w:tcPr>
          <w:p w:rsidR="00782711" w:rsidRPr="009F4C66" w:rsidRDefault="00782711" w:rsidP="00364F37">
            <w:pPr>
              <w:jc w:val="both"/>
              <w:rPr>
                <w:sz w:val="20"/>
                <w:lang w:val="fr-FR"/>
              </w:rPr>
            </w:pPr>
          </w:p>
        </w:tc>
        <w:tc>
          <w:tcPr>
            <w:tcW w:w="2330" w:type="pct"/>
          </w:tcPr>
          <w:p w:rsidR="00782711" w:rsidRPr="009F4C66" w:rsidRDefault="00782711" w:rsidP="00364F37">
            <w:pPr>
              <w:jc w:val="both"/>
              <w:rPr>
                <w:sz w:val="20"/>
                <w:lang w:val="fr-CA"/>
              </w:rPr>
            </w:pPr>
            <w:r w:rsidRPr="009F4C66">
              <w:rPr>
                <w:sz w:val="20"/>
                <w:lang w:val="fr-CA"/>
              </w:rPr>
              <w:t>Demande d'autorisation d'appel déposée</w:t>
            </w:r>
          </w:p>
          <w:p w:rsidR="00782711" w:rsidRPr="009F4C66" w:rsidRDefault="00782711" w:rsidP="00364F37">
            <w:pPr>
              <w:jc w:val="both"/>
              <w:rPr>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77"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15936" w:rsidRPr="003A3F02" w:rsidTr="00615936">
        <w:trPr>
          <w:cantSplit/>
        </w:trPr>
        <w:tc>
          <w:tcPr>
            <w:tcW w:w="1458" w:type="dxa"/>
          </w:tcPr>
          <w:p w:rsidR="00615936" w:rsidRPr="003A3F02" w:rsidRDefault="00615936" w:rsidP="00615936">
            <w:pPr>
              <w:rPr>
                <w:sz w:val="20"/>
                <w:szCs w:val="20"/>
              </w:rPr>
            </w:pPr>
            <w:r w:rsidRPr="003A3F02">
              <w:rPr>
                <w:rStyle w:val="SCCFileNumberChar"/>
                <w:sz w:val="20"/>
                <w:szCs w:val="20"/>
              </w:rPr>
              <w:t>34546</w:t>
            </w:r>
          </w:p>
          <w:p w:rsidR="00615936" w:rsidRPr="003A3F02" w:rsidRDefault="00615936" w:rsidP="00615936">
            <w:pPr>
              <w:rPr>
                <w:b/>
                <w:sz w:val="20"/>
                <w:szCs w:val="20"/>
                <w:lang w:val="fr-CA"/>
              </w:rPr>
            </w:pPr>
          </w:p>
        </w:tc>
        <w:tc>
          <w:tcPr>
            <w:tcW w:w="8118" w:type="dxa"/>
          </w:tcPr>
          <w:p w:rsidR="00615936" w:rsidRPr="003A3F02" w:rsidRDefault="00615936" w:rsidP="00615936">
            <w:pPr>
              <w:jc w:val="both"/>
              <w:rPr>
                <w:sz w:val="20"/>
                <w:szCs w:val="20"/>
              </w:rPr>
            </w:pPr>
            <w:r w:rsidRPr="00615936">
              <w:rPr>
                <w:rStyle w:val="SCCLsocChar"/>
                <w:sz w:val="20"/>
                <w:szCs w:val="20"/>
                <w:lang w:val="en-CA"/>
              </w:rPr>
              <w:t>Ian Verner Macdonald v. Canadian Broadcasting Corporation</w:t>
            </w:r>
            <w:r>
              <w:rPr>
                <w:rStyle w:val="SCCLsocChar"/>
                <w:sz w:val="20"/>
                <w:szCs w:val="20"/>
                <w:lang w:val="en-CA"/>
              </w:rPr>
              <w:t xml:space="preserve"> and</w:t>
            </w:r>
            <w:r w:rsidRPr="00615936">
              <w:rPr>
                <w:rStyle w:val="SCCLsocChar"/>
                <w:sz w:val="20"/>
                <w:szCs w:val="20"/>
                <w:lang w:val="en-CA"/>
              </w:rPr>
              <w:t xml:space="preserve"> Warren Kinsella</w:t>
            </w:r>
            <w:r w:rsidRPr="003A3F02">
              <w:rPr>
                <w:sz w:val="20"/>
                <w:szCs w:val="20"/>
              </w:rPr>
              <w:t xml:space="preserve"> (Ont.) (Civil) (By Leave)</w:t>
            </w:r>
          </w:p>
          <w:p w:rsidR="00615936" w:rsidRPr="003A3F02" w:rsidRDefault="00615936" w:rsidP="00615936">
            <w:pPr>
              <w:rPr>
                <w:sz w:val="20"/>
                <w:szCs w:val="20"/>
              </w:rPr>
            </w:pPr>
          </w:p>
        </w:tc>
      </w:tr>
      <w:tr w:rsidR="00615936" w:rsidRPr="003A3F02" w:rsidTr="00615936">
        <w:trPr>
          <w:cantSplit/>
        </w:trPr>
        <w:tc>
          <w:tcPr>
            <w:tcW w:w="1458" w:type="dxa"/>
          </w:tcPr>
          <w:p w:rsidR="00615936" w:rsidRPr="003A3F02" w:rsidRDefault="00615936" w:rsidP="00615936">
            <w:pPr>
              <w:rPr>
                <w:sz w:val="20"/>
                <w:szCs w:val="20"/>
              </w:rPr>
            </w:pPr>
            <w:r w:rsidRPr="003A3F02">
              <w:rPr>
                <w:sz w:val="20"/>
                <w:szCs w:val="20"/>
              </w:rPr>
              <w:t>Coram :</w:t>
            </w:r>
          </w:p>
        </w:tc>
        <w:tc>
          <w:tcPr>
            <w:tcW w:w="8118" w:type="dxa"/>
          </w:tcPr>
          <w:p w:rsidR="00615936" w:rsidRPr="003A3F02" w:rsidRDefault="00615936" w:rsidP="00615936">
            <w:pPr>
              <w:rPr>
                <w:sz w:val="20"/>
                <w:szCs w:val="20"/>
              </w:rPr>
            </w:pPr>
            <w:r w:rsidRPr="00615936">
              <w:rPr>
                <w:rStyle w:val="SCCCoramChar"/>
                <w:sz w:val="20"/>
                <w:szCs w:val="20"/>
                <w:lang w:val="en-CA"/>
              </w:rPr>
              <w:t>Deschamps, Fish and Karakatsanis JJ.</w:t>
            </w:r>
          </w:p>
          <w:p w:rsidR="00615936" w:rsidRPr="003A3F02" w:rsidRDefault="00615936" w:rsidP="00615936">
            <w:pPr>
              <w:rPr>
                <w:sz w:val="20"/>
                <w:szCs w:val="20"/>
                <w:u w:val="single"/>
              </w:rPr>
            </w:pPr>
          </w:p>
        </w:tc>
      </w:tr>
      <w:tr w:rsidR="00615936" w:rsidRPr="00832ABE" w:rsidTr="00615936">
        <w:trPr>
          <w:cantSplit/>
        </w:trPr>
        <w:tc>
          <w:tcPr>
            <w:tcW w:w="9576" w:type="dxa"/>
            <w:gridSpan w:val="2"/>
          </w:tcPr>
          <w:p w:rsidR="00615936" w:rsidRPr="003A3F02" w:rsidRDefault="00615936" w:rsidP="00615936">
            <w:pPr>
              <w:pStyle w:val="SCCShortJudgment"/>
              <w:rPr>
                <w:szCs w:val="20"/>
              </w:rPr>
            </w:pPr>
            <w:r w:rsidRPr="003A3F02">
              <w:rPr>
                <w:szCs w:val="20"/>
              </w:rPr>
              <w:t>The application for leave to appeal from the judgment of the Court of Appeal for Ontario, Number C50795, 2011 ONCA 652, dated October 19, 2011, is dismissed with costs.</w:t>
            </w:r>
          </w:p>
          <w:p w:rsidR="00615936" w:rsidRPr="003A3F02" w:rsidRDefault="00615936" w:rsidP="00615936">
            <w:pPr>
              <w:pStyle w:val="SCCShortJudgment"/>
              <w:ind w:firstLine="0"/>
              <w:rPr>
                <w:szCs w:val="20"/>
              </w:rPr>
            </w:pPr>
          </w:p>
          <w:p w:rsidR="00615936" w:rsidRPr="003A3F02" w:rsidRDefault="00615936" w:rsidP="00615936">
            <w:pPr>
              <w:pStyle w:val="SCCShortJudgment"/>
              <w:rPr>
                <w:szCs w:val="20"/>
                <w:lang w:val="fr-CA"/>
              </w:rPr>
            </w:pPr>
            <w:r w:rsidRPr="003A3F02">
              <w:rPr>
                <w:szCs w:val="20"/>
                <w:lang w:val="fr-CA"/>
              </w:rPr>
              <w:t>La demande d’autorisation d’appel de l’arrêt de la Cour d’appel de l’Ontario, numéro C50795, 2011 ONCA 652, daté du 19 octobre 2011, est rejetée avec dépens.</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9F4C66" w:rsidTr="00364F37">
        <w:tc>
          <w:tcPr>
            <w:tcW w:w="5000" w:type="pct"/>
            <w:gridSpan w:val="3"/>
          </w:tcPr>
          <w:p w:rsidR="00782711" w:rsidRPr="009F4C66" w:rsidRDefault="00782711" w:rsidP="00364F37">
            <w:pPr>
              <w:jc w:val="both"/>
              <w:rPr>
                <w:sz w:val="20"/>
              </w:rPr>
            </w:pPr>
            <w:r w:rsidRPr="009F4C66">
              <w:rPr>
                <w:sz w:val="20"/>
              </w:rPr>
              <w:t xml:space="preserve">Torts – Libel and slander – Notice period – Respondent, Mr. Kinsella, making comment regarding Applicant on a television broadcast – Applicant allegedly serving Respondents with notice required under the </w:t>
            </w:r>
            <w:r w:rsidRPr="009F4C66">
              <w:rPr>
                <w:i/>
                <w:sz w:val="20"/>
              </w:rPr>
              <w:t>Libel and Slander Act</w:t>
            </w:r>
            <w:r w:rsidRPr="009F4C66">
              <w:rPr>
                <w:sz w:val="20"/>
              </w:rPr>
              <w:t>, R.S.O. 1990, c. L-12 outside of the notice period – Whether Court of Appeal erred in dismissing the claim on the basis of notice failure.</w:t>
            </w:r>
          </w:p>
          <w:p w:rsidR="00782711" w:rsidRPr="009F4C66" w:rsidRDefault="00782711" w:rsidP="00364F37">
            <w:pPr>
              <w:jc w:val="both"/>
              <w:rPr>
                <w:sz w:val="20"/>
              </w:rPr>
            </w:pPr>
          </w:p>
        </w:tc>
      </w:tr>
      <w:tr w:rsidR="00782711" w:rsidRPr="009F4C66" w:rsidTr="00364F37">
        <w:tc>
          <w:tcPr>
            <w:tcW w:w="5000" w:type="pct"/>
            <w:gridSpan w:val="3"/>
          </w:tcPr>
          <w:p w:rsidR="00782711" w:rsidRPr="009F4C66" w:rsidRDefault="00782711" w:rsidP="00364F37">
            <w:pPr>
              <w:jc w:val="both"/>
              <w:rPr>
                <w:sz w:val="20"/>
              </w:rPr>
            </w:pPr>
            <w:r w:rsidRPr="009F4C66">
              <w:rPr>
                <w:sz w:val="20"/>
              </w:rPr>
              <w:t xml:space="preserve">The Canadian Broadcasting Corporation (“CBC”) aired a television program on April 19, 1996, on the one year anniversary of the Oklahoma bombing.  Mr. Kinsella was a guest on the program and took questions from callers on the general topic of what the public needed to know about right wing militia groups.  The program started with two introductory segments, depicting disturbing scenes from the Oklahoma bombing site, totalling 27 seconds in length.  Mr. Kinsella was asked the question of whether elements in the “moderate right” could be providing funds to the extreme right.  In answering this question, Mr. Kinsella referred to his book, </w:t>
            </w:r>
            <w:r w:rsidRPr="009F4C66">
              <w:rPr>
                <w:i/>
                <w:sz w:val="20"/>
              </w:rPr>
              <w:t>Web of Hate</w:t>
            </w:r>
            <w:r w:rsidRPr="009F4C66">
              <w:rPr>
                <w:sz w:val="20"/>
              </w:rPr>
              <w:t xml:space="preserve"> and mentioned Mr. Macdonald as a “very wealthy landowner in Ottawa, a former high-ranking diplomat...who for many years provided rhetorical and material support to the Canadian Knights of the Ku Klux Klan” (“KKK”).  He also mentioned that Mr. Macdonald had provided connections between KKK leaders and the government of Libya.  Further, he stated that it was well-documented that Libya had provided funding to far-right groups in Canada to carry out illegal acts.  Mr. Macdonald learned about this broadcast from a friend in mid-May 1996 and was advised that Mr. Kinsella may have said that Mr. Macdonald was a financial backer of the KKK.  On July 17, 1996, Mr. Macdonald attempted to order a copy of the show from the CBC but was advised that his order could not be filled.  He also attempted to get a copy from the CRTC but was advised on August 14, 1996 that the CRTC could not provide one.  In the end, he obtained a copy of the program from the same friend who had advised him about the show.  He served the CBC with a libel and slander notice on September 16, 1996 and Mr. Kinsella on October 2, 1996.  </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June 25, 2009</w:t>
            </w:r>
          </w:p>
          <w:p w:rsidR="00782711" w:rsidRPr="009F4C66" w:rsidRDefault="00782711" w:rsidP="00364F37">
            <w:pPr>
              <w:jc w:val="both"/>
              <w:rPr>
                <w:sz w:val="20"/>
              </w:rPr>
            </w:pPr>
            <w:r w:rsidRPr="009F4C66">
              <w:rPr>
                <w:sz w:val="20"/>
              </w:rPr>
              <w:t>Ontario Superior Court of Justice</w:t>
            </w:r>
          </w:p>
          <w:p w:rsidR="00782711" w:rsidRPr="009F4C66" w:rsidRDefault="00782711" w:rsidP="00364F37">
            <w:pPr>
              <w:jc w:val="both"/>
              <w:rPr>
                <w:sz w:val="20"/>
              </w:rPr>
            </w:pPr>
            <w:r w:rsidRPr="009F4C66">
              <w:rPr>
                <w:sz w:val="20"/>
              </w:rPr>
              <w:t>(Métivier J.)</w:t>
            </w:r>
          </w:p>
          <w:p w:rsidR="00782711" w:rsidRPr="009F4C66" w:rsidRDefault="00782711" w:rsidP="00364F37">
            <w:pPr>
              <w:jc w:val="both"/>
              <w:rPr>
                <w:sz w:val="20"/>
              </w:rPr>
            </w:pPr>
            <w:r w:rsidRPr="009F4C66">
              <w:rPr>
                <w:sz w:val="20"/>
              </w:rPr>
              <w:t>Unreported</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Applicant’s libel action dismissed</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October 19, 2011</w:t>
            </w:r>
          </w:p>
          <w:p w:rsidR="00782711" w:rsidRPr="009F4C66" w:rsidRDefault="00782711" w:rsidP="00364F37">
            <w:pPr>
              <w:jc w:val="both"/>
              <w:rPr>
                <w:sz w:val="20"/>
              </w:rPr>
            </w:pPr>
            <w:r w:rsidRPr="009F4C66">
              <w:rPr>
                <w:sz w:val="20"/>
              </w:rPr>
              <w:t>Court of Appeal for Ontario</w:t>
            </w:r>
          </w:p>
          <w:p w:rsidR="00782711" w:rsidRPr="009F4C66" w:rsidRDefault="00782711" w:rsidP="00364F37">
            <w:pPr>
              <w:jc w:val="both"/>
              <w:rPr>
                <w:sz w:val="20"/>
              </w:rPr>
            </w:pPr>
            <w:r w:rsidRPr="009F4C66">
              <w:rPr>
                <w:sz w:val="20"/>
              </w:rPr>
              <w:t>(Winkler, Sharpe and Cunningham JJ.A.)</w:t>
            </w:r>
          </w:p>
          <w:p w:rsidR="00782711" w:rsidRPr="009F4C66" w:rsidRDefault="00782711" w:rsidP="00364F37">
            <w:pPr>
              <w:jc w:val="both"/>
              <w:rPr>
                <w:sz w:val="20"/>
              </w:rPr>
            </w:pPr>
            <w:r w:rsidRPr="009F4C66">
              <w:rPr>
                <w:sz w:val="20"/>
              </w:rPr>
              <w:t xml:space="preserve">2011 ONCA 652 </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Appeal dismissed</w:t>
            </w:r>
          </w:p>
          <w:p w:rsidR="00782711" w:rsidRPr="009F4C66" w:rsidRDefault="00782711" w:rsidP="00364F37">
            <w:pPr>
              <w:jc w:val="both"/>
              <w:rPr>
                <w:sz w:val="20"/>
              </w:rPr>
            </w:pPr>
          </w:p>
        </w:tc>
      </w:tr>
      <w:tr w:rsidR="00782711" w:rsidRPr="009F4C66" w:rsidTr="00615936">
        <w:trPr>
          <w:cantSplit/>
        </w:trPr>
        <w:tc>
          <w:tcPr>
            <w:tcW w:w="2427" w:type="pct"/>
          </w:tcPr>
          <w:p w:rsidR="00782711" w:rsidRPr="009F4C66" w:rsidRDefault="00782711" w:rsidP="00364F37">
            <w:pPr>
              <w:jc w:val="both"/>
              <w:rPr>
                <w:sz w:val="20"/>
              </w:rPr>
            </w:pPr>
            <w:r w:rsidRPr="009F4C66">
              <w:rPr>
                <w:sz w:val="20"/>
              </w:rPr>
              <w:t>November 29, 2011</w:t>
            </w:r>
          </w:p>
          <w:p w:rsidR="00782711" w:rsidRPr="009F4C66" w:rsidRDefault="00782711" w:rsidP="00364F37">
            <w:pPr>
              <w:jc w:val="both"/>
              <w:rPr>
                <w:sz w:val="20"/>
              </w:rPr>
            </w:pPr>
            <w:r w:rsidRPr="009F4C66">
              <w:rPr>
                <w:sz w:val="20"/>
              </w:rPr>
              <w:t>Supreme Court of Canada</w:t>
            </w: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Application for leave to appeal filed</w:t>
            </w:r>
          </w:p>
          <w:p w:rsidR="00782711" w:rsidRPr="009F4C66" w:rsidRDefault="00782711" w:rsidP="00364F37">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78"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82711" w:rsidRPr="00832ABE" w:rsidTr="00364F37">
        <w:tc>
          <w:tcPr>
            <w:tcW w:w="5000" w:type="pct"/>
            <w:gridSpan w:val="3"/>
          </w:tcPr>
          <w:p w:rsidR="00782711" w:rsidRPr="009F4C66" w:rsidRDefault="00782711" w:rsidP="00364F37">
            <w:pPr>
              <w:jc w:val="both"/>
              <w:rPr>
                <w:rFonts w:eastAsia="Calibri"/>
                <w:sz w:val="20"/>
                <w:lang w:val="fr-CA"/>
              </w:rPr>
            </w:pPr>
            <w:r w:rsidRPr="009F4C66">
              <w:rPr>
                <w:rFonts w:eastAsia="Calibri"/>
                <w:sz w:val="20"/>
                <w:lang w:val="fr-CA"/>
              </w:rPr>
              <w:t>Responsabilité délictuelle – Diffamation – Délai d’avis – L'intimé, M. Kinsella, a fait un commentaire sur le demandeur à une émission de télévision – Le demandeur aurait censément signifié aux intimés l’avis prescrit par la</w:t>
            </w:r>
            <w:r w:rsidRPr="009F4C66">
              <w:rPr>
                <w:rFonts w:eastAsia="Calibri"/>
                <w:i/>
                <w:sz w:val="20"/>
                <w:lang w:val="fr-CA"/>
              </w:rPr>
              <w:t xml:space="preserve"> Loi sur la diffamation</w:t>
            </w:r>
            <w:r w:rsidRPr="009F4C66">
              <w:rPr>
                <w:rFonts w:eastAsia="Calibri"/>
                <w:sz w:val="20"/>
                <w:lang w:val="fr-CA"/>
              </w:rPr>
              <w:t>, L.R.O. 1990, ch. L</w:t>
            </w:r>
            <w:r w:rsidRPr="009F4C66">
              <w:rPr>
                <w:rFonts w:eastAsia="Calibri"/>
                <w:sz w:val="20"/>
                <w:lang w:val="fr-CA"/>
              </w:rPr>
              <w:noBreakHyphen/>
              <w:t>12 en dehors du délai prescrit – La Cour d'appel a</w:t>
            </w:r>
            <w:r w:rsidRPr="009F4C66">
              <w:rPr>
                <w:rFonts w:eastAsia="Calibri"/>
                <w:sz w:val="20"/>
                <w:lang w:val="fr-CA"/>
              </w:rPr>
              <w:noBreakHyphen/>
              <w:t>t</w:t>
            </w:r>
            <w:r w:rsidRPr="009F4C66">
              <w:rPr>
                <w:rFonts w:eastAsia="Calibri"/>
                <w:sz w:val="20"/>
                <w:lang w:val="fr-CA"/>
              </w:rPr>
              <w:noBreakHyphen/>
              <w:t>elle eu tort de rejeter la demande pour absence d’avis?</w:t>
            </w:r>
          </w:p>
          <w:p w:rsidR="00782711" w:rsidRPr="009F4C66" w:rsidRDefault="00782711" w:rsidP="00364F37">
            <w:pPr>
              <w:jc w:val="both"/>
              <w:rPr>
                <w:rFonts w:eastAsia="Calibri"/>
                <w:sz w:val="20"/>
                <w:lang w:val="fr-CA"/>
              </w:rPr>
            </w:pPr>
          </w:p>
        </w:tc>
      </w:tr>
      <w:tr w:rsidR="00782711" w:rsidRPr="00832ABE" w:rsidTr="00364F37">
        <w:tc>
          <w:tcPr>
            <w:tcW w:w="5000" w:type="pct"/>
            <w:gridSpan w:val="3"/>
          </w:tcPr>
          <w:p w:rsidR="00782711" w:rsidRPr="009F4C66" w:rsidRDefault="00782711" w:rsidP="00364F37">
            <w:pPr>
              <w:jc w:val="both"/>
              <w:rPr>
                <w:rFonts w:eastAsia="Calibri"/>
                <w:sz w:val="20"/>
                <w:lang w:val="fr-CA"/>
              </w:rPr>
            </w:pPr>
            <w:r w:rsidRPr="009F4C66">
              <w:rPr>
                <w:rFonts w:eastAsia="Calibri"/>
                <w:sz w:val="20"/>
                <w:lang w:val="fr-CA"/>
              </w:rPr>
              <w:t>La Société Radio</w:t>
            </w:r>
            <w:r w:rsidRPr="009F4C66">
              <w:rPr>
                <w:rFonts w:eastAsia="Calibri"/>
                <w:sz w:val="20"/>
                <w:lang w:val="fr-CA"/>
              </w:rPr>
              <w:noBreakHyphen/>
              <w:t xml:space="preserve">Canada (« SRC ») a diffusé une émission de télévision le 19 avril 1996, le premier anniversaire de l'attentat à la bombe d’Oklahoma.  Monsieur Kinsella était invité à l'émission et il répondait à des questions posées dans le cadre d’une tribune téléphonique sur le sujet général de ce que le public devait savoir sur les groupes de milices de droite. L'émission a commencé avec deux segments introductifs, montrant des scènes troublantes prises à l'emplacement de l'attentat à la bombe d’Oklahoma, d'une durée totale de 27 secondes.  On a demandé à Monsieur Kinsella s'il était possible que des éléments de la « droite modérée » procurent de l'argent à l'extrême </w:t>
            </w:r>
            <w:proofErr w:type="gramStart"/>
            <w:r w:rsidRPr="009F4C66">
              <w:rPr>
                <w:rFonts w:eastAsia="Calibri"/>
                <w:sz w:val="20"/>
                <w:lang w:val="fr-CA"/>
              </w:rPr>
              <w:t>droite</w:t>
            </w:r>
            <w:proofErr w:type="gramEnd"/>
            <w:r w:rsidRPr="009F4C66">
              <w:rPr>
                <w:rFonts w:eastAsia="Calibri"/>
                <w:sz w:val="20"/>
                <w:lang w:val="fr-CA"/>
              </w:rPr>
              <w:t xml:space="preserve">. En répondant à cette question, M. Kinsella a fait référence à son livre, </w:t>
            </w:r>
            <w:r w:rsidRPr="009F4C66">
              <w:rPr>
                <w:rFonts w:eastAsia="Calibri"/>
                <w:i/>
                <w:sz w:val="20"/>
                <w:lang w:val="fr-CA"/>
              </w:rPr>
              <w:t>Web of Hate</w:t>
            </w:r>
            <w:r w:rsidRPr="009F4C66">
              <w:rPr>
                <w:rFonts w:eastAsia="Calibri"/>
                <w:sz w:val="20"/>
                <w:lang w:val="fr-CA"/>
              </w:rPr>
              <w:t xml:space="preserve"> et a mentionné que M. Macdonald était [</w:t>
            </w:r>
            <w:r w:rsidRPr="009F4C66">
              <w:rPr>
                <w:rFonts w:eastAsia="Calibri"/>
                <w:smallCaps/>
                <w:sz w:val="20"/>
                <w:lang w:val="fr-CA"/>
              </w:rPr>
              <w:t>traduction</w:t>
            </w:r>
            <w:r w:rsidRPr="009F4C66">
              <w:rPr>
                <w:rFonts w:eastAsia="Calibri"/>
                <w:sz w:val="20"/>
                <w:lang w:val="fr-CA"/>
              </w:rPr>
              <w:t>] « un richissime propriétaire foncier d'Ottawa, un ancien diplomate de haut niveau [. . .] qui, pendant plusieurs années, a appuyé  par ses propos et son soutien matériel les Chevaliers canadiens du Ku Klux Klan » (« KKK »). Il a également mentionné que M. Macdonald avait fourni des liens entre les chefs du KKK et le gouvernement de la Libye. En outre, il a affirmé qu'il était bien documenté que la Libye fournissait du financement à des groupes d'extrême</w:t>
            </w:r>
            <w:r w:rsidRPr="009F4C66">
              <w:rPr>
                <w:rFonts w:eastAsia="Calibri"/>
                <w:sz w:val="20"/>
                <w:lang w:val="fr-CA"/>
              </w:rPr>
              <w:noBreakHyphen/>
              <w:t xml:space="preserve">droite au Canada pour commettre des actes illégaux. Monsieur Macdonald a eu vent de cette émission par un ami au milieu du mois de mai 1996 et on l'a informé que M. Kinsella a pu dire que M. Macdonald était un bailleur de fonds du KKK. Le 17 juillet 1996, M. Macdonald a tenté de commander une copie de l'émission de la SRC, mais il a été informé que sa commande ne pouvait être exécutée. Il a également tenté d'obtenir une copie du CRTC mais il a été informé, le 14 août 1996, que le CRTC ne pouvait pas lui en fournir une. Il a finalement obtenu une copie de l'émission du même ami qui lui en avait parlé. Il a signifié un avis de diffamation à la SRC le 16 septembre 1996 et à M. Kinsella le 2 octobre 1996.  </w:t>
            </w:r>
          </w:p>
          <w:p w:rsidR="00782711" w:rsidRPr="009F4C66" w:rsidRDefault="00782711" w:rsidP="00364F37">
            <w:pPr>
              <w:jc w:val="both"/>
              <w:rPr>
                <w:rFonts w:eastAsia="Calibri"/>
                <w:sz w:val="20"/>
                <w:lang w:val="fr-CA"/>
              </w:rPr>
            </w:pPr>
          </w:p>
        </w:tc>
      </w:tr>
      <w:tr w:rsidR="00782711" w:rsidRPr="00832ABE" w:rsidTr="00364F37">
        <w:tc>
          <w:tcPr>
            <w:tcW w:w="2427" w:type="pct"/>
          </w:tcPr>
          <w:p w:rsidR="00782711" w:rsidRPr="009F4C66" w:rsidRDefault="00782711" w:rsidP="00364F37">
            <w:pPr>
              <w:jc w:val="both"/>
              <w:rPr>
                <w:rFonts w:eastAsia="Calibri"/>
                <w:sz w:val="20"/>
                <w:lang w:val="fr-CA"/>
              </w:rPr>
            </w:pPr>
            <w:r w:rsidRPr="009F4C66">
              <w:rPr>
                <w:rFonts w:eastAsia="Calibri"/>
                <w:sz w:val="20"/>
                <w:lang w:val="fr-CA"/>
              </w:rPr>
              <w:t>25 juin 2009</w:t>
            </w:r>
          </w:p>
          <w:p w:rsidR="00782711" w:rsidRPr="009F4C66" w:rsidRDefault="00782711" w:rsidP="00364F37">
            <w:pPr>
              <w:jc w:val="both"/>
              <w:rPr>
                <w:rFonts w:eastAsia="Calibri"/>
                <w:sz w:val="20"/>
                <w:lang w:val="fr-CA"/>
              </w:rPr>
            </w:pPr>
            <w:r w:rsidRPr="009F4C66">
              <w:rPr>
                <w:rFonts w:eastAsia="Calibri"/>
                <w:sz w:val="20"/>
                <w:lang w:val="fr-CA"/>
              </w:rPr>
              <w:t xml:space="preserve">Cour supérieure de justice de l'Ontario </w:t>
            </w:r>
          </w:p>
          <w:p w:rsidR="00782711" w:rsidRPr="009F4C66" w:rsidRDefault="00782711" w:rsidP="00364F37">
            <w:pPr>
              <w:jc w:val="both"/>
              <w:rPr>
                <w:rFonts w:eastAsia="Calibri"/>
                <w:sz w:val="20"/>
                <w:lang w:val="fr-CA"/>
              </w:rPr>
            </w:pPr>
            <w:r w:rsidRPr="009F4C66">
              <w:rPr>
                <w:rFonts w:eastAsia="Calibri"/>
                <w:sz w:val="20"/>
                <w:lang w:val="fr-CA"/>
              </w:rPr>
              <w:t>(Juge Métivier)</w:t>
            </w:r>
          </w:p>
          <w:p w:rsidR="00782711" w:rsidRPr="009F4C66" w:rsidRDefault="00782711" w:rsidP="00364F37">
            <w:pPr>
              <w:jc w:val="both"/>
              <w:rPr>
                <w:rFonts w:eastAsia="Calibri"/>
                <w:sz w:val="20"/>
                <w:lang w:val="fr-CA"/>
              </w:rPr>
            </w:pPr>
            <w:r w:rsidRPr="009F4C66">
              <w:rPr>
                <w:rFonts w:eastAsia="Calibri"/>
                <w:sz w:val="20"/>
                <w:lang w:val="fr-CA"/>
              </w:rPr>
              <w:t>Non publié</w:t>
            </w:r>
          </w:p>
          <w:p w:rsidR="00782711" w:rsidRPr="009F4C66" w:rsidRDefault="00782711" w:rsidP="00364F37">
            <w:pPr>
              <w:jc w:val="both"/>
              <w:rPr>
                <w:rFonts w:eastAsia="Calibri"/>
                <w:sz w:val="20"/>
                <w:lang w:val="fr-CA"/>
              </w:rPr>
            </w:pPr>
          </w:p>
        </w:tc>
        <w:tc>
          <w:tcPr>
            <w:tcW w:w="243" w:type="pct"/>
          </w:tcPr>
          <w:p w:rsidR="00782711" w:rsidRPr="009F4C66" w:rsidRDefault="00782711" w:rsidP="00364F37">
            <w:pPr>
              <w:jc w:val="both"/>
              <w:rPr>
                <w:rFonts w:eastAsia="Calibri"/>
                <w:sz w:val="20"/>
                <w:lang w:val="fr-CA"/>
              </w:rPr>
            </w:pPr>
          </w:p>
        </w:tc>
        <w:tc>
          <w:tcPr>
            <w:tcW w:w="2330" w:type="pct"/>
          </w:tcPr>
          <w:p w:rsidR="00782711" w:rsidRPr="009F4C66" w:rsidRDefault="00782711" w:rsidP="00364F37">
            <w:pPr>
              <w:jc w:val="both"/>
              <w:rPr>
                <w:rFonts w:eastAsia="Calibri"/>
                <w:sz w:val="20"/>
                <w:lang w:val="fr-CA"/>
              </w:rPr>
            </w:pPr>
            <w:r w:rsidRPr="009F4C66">
              <w:rPr>
                <w:rFonts w:eastAsia="Calibri"/>
                <w:sz w:val="20"/>
                <w:lang w:val="fr-CA"/>
              </w:rPr>
              <w:t>Action du demandeur en diffamation, rejetée</w:t>
            </w:r>
          </w:p>
          <w:p w:rsidR="00782711" w:rsidRPr="009F4C66" w:rsidRDefault="00782711" w:rsidP="00364F37">
            <w:pPr>
              <w:jc w:val="both"/>
              <w:rPr>
                <w:rFonts w:eastAsia="Calibri"/>
                <w:sz w:val="20"/>
                <w:lang w:val="fr-CA"/>
              </w:rPr>
            </w:pPr>
          </w:p>
        </w:tc>
      </w:tr>
      <w:tr w:rsidR="00782711" w:rsidRPr="009F4C66" w:rsidTr="00364F37">
        <w:tc>
          <w:tcPr>
            <w:tcW w:w="2427" w:type="pct"/>
          </w:tcPr>
          <w:p w:rsidR="00782711" w:rsidRPr="009F4C66" w:rsidRDefault="00782711" w:rsidP="00364F37">
            <w:pPr>
              <w:jc w:val="both"/>
              <w:rPr>
                <w:rFonts w:eastAsia="Calibri"/>
                <w:sz w:val="20"/>
                <w:lang w:val="fr-CA"/>
              </w:rPr>
            </w:pPr>
            <w:r w:rsidRPr="009F4C66">
              <w:rPr>
                <w:rFonts w:eastAsia="Calibri"/>
                <w:sz w:val="20"/>
                <w:lang w:val="fr-CA"/>
              </w:rPr>
              <w:t>19 octobre 2011</w:t>
            </w:r>
          </w:p>
          <w:p w:rsidR="00782711" w:rsidRPr="009F4C66" w:rsidRDefault="00782711" w:rsidP="00364F37">
            <w:pPr>
              <w:jc w:val="both"/>
              <w:rPr>
                <w:rFonts w:eastAsia="Calibri"/>
                <w:sz w:val="20"/>
                <w:lang w:val="fr-CA"/>
              </w:rPr>
            </w:pPr>
            <w:r w:rsidRPr="009F4C66">
              <w:rPr>
                <w:rFonts w:eastAsia="Calibri"/>
                <w:sz w:val="20"/>
                <w:lang w:val="fr-CA"/>
              </w:rPr>
              <w:t xml:space="preserve">Cour d'appel de l'Ontario </w:t>
            </w:r>
          </w:p>
          <w:p w:rsidR="00782711" w:rsidRPr="009F4C66" w:rsidRDefault="00782711" w:rsidP="00364F37">
            <w:pPr>
              <w:jc w:val="both"/>
              <w:rPr>
                <w:rFonts w:eastAsia="Calibri"/>
                <w:sz w:val="20"/>
                <w:lang w:val="fr-CA"/>
              </w:rPr>
            </w:pPr>
            <w:r w:rsidRPr="009F4C66">
              <w:rPr>
                <w:rFonts w:eastAsia="Calibri"/>
                <w:sz w:val="20"/>
                <w:lang w:val="fr-CA"/>
              </w:rPr>
              <w:t>(Juges Winkler, Sharpe et Cunningham)</w:t>
            </w:r>
          </w:p>
          <w:p w:rsidR="00782711" w:rsidRPr="009F4C66" w:rsidRDefault="00782711" w:rsidP="00364F37">
            <w:pPr>
              <w:jc w:val="both"/>
              <w:rPr>
                <w:rFonts w:eastAsia="Calibri"/>
                <w:sz w:val="20"/>
                <w:lang w:val="fr-CA"/>
              </w:rPr>
            </w:pPr>
            <w:r w:rsidRPr="009F4C66">
              <w:rPr>
                <w:rFonts w:eastAsia="Calibri"/>
                <w:sz w:val="20"/>
                <w:lang w:val="fr-CA"/>
              </w:rPr>
              <w:t xml:space="preserve">2011 ONCA 652 </w:t>
            </w:r>
          </w:p>
          <w:p w:rsidR="00782711" w:rsidRPr="009F4C66" w:rsidRDefault="00782711" w:rsidP="00364F37">
            <w:pPr>
              <w:jc w:val="both"/>
              <w:rPr>
                <w:rFonts w:eastAsia="Calibri"/>
                <w:sz w:val="20"/>
                <w:lang w:val="fr-CA"/>
              </w:rPr>
            </w:pPr>
          </w:p>
        </w:tc>
        <w:tc>
          <w:tcPr>
            <w:tcW w:w="243" w:type="pct"/>
          </w:tcPr>
          <w:p w:rsidR="00782711" w:rsidRPr="009F4C66" w:rsidRDefault="00782711" w:rsidP="00364F37">
            <w:pPr>
              <w:jc w:val="both"/>
              <w:rPr>
                <w:rFonts w:eastAsia="Calibri"/>
                <w:sz w:val="20"/>
                <w:lang w:val="fr-CA"/>
              </w:rPr>
            </w:pPr>
          </w:p>
        </w:tc>
        <w:tc>
          <w:tcPr>
            <w:tcW w:w="2330" w:type="pct"/>
          </w:tcPr>
          <w:p w:rsidR="00782711" w:rsidRPr="009F4C66" w:rsidRDefault="00782711" w:rsidP="00364F37">
            <w:pPr>
              <w:jc w:val="both"/>
              <w:rPr>
                <w:rFonts w:eastAsia="Calibri"/>
                <w:sz w:val="20"/>
                <w:lang w:val="fr-CA"/>
              </w:rPr>
            </w:pPr>
            <w:r w:rsidRPr="009F4C66">
              <w:rPr>
                <w:rFonts w:eastAsia="Calibri"/>
                <w:sz w:val="20"/>
                <w:lang w:val="fr-CA"/>
              </w:rPr>
              <w:t>Appel rejeté</w:t>
            </w:r>
          </w:p>
          <w:p w:rsidR="00782711" w:rsidRPr="009F4C66" w:rsidRDefault="00782711" w:rsidP="00364F37">
            <w:pPr>
              <w:jc w:val="both"/>
              <w:rPr>
                <w:rFonts w:eastAsia="Calibri"/>
                <w:sz w:val="20"/>
                <w:lang w:val="fr-CA"/>
              </w:rPr>
            </w:pPr>
          </w:p>
        </w:tc>
      </w:tr>
      <w:tr w:rsidR="00782711" w:rsidRPr="009F4C66" w:rsidTr="00364F37">
        <w:tc>
          <w:tcPr>
            <w:tcW w:w="2427" w:type="pct"/>
          </w:tcPr>
          <w:p w:rsidR="00782711" w:rsidRPr="009F4C66" w:rsidRDefault="00782711" w:rsidP="00364F37">
            <w:pPr>
              <w:jc w:val="both"/>
              <w:rPr>
                <w:rFonts w:eastAsia="Calibri"/>
                <w:sz w:val="20"/>
                <w:lang w:val="fr-CA"/>
              </w:rPr>
            </w:pPr>
            <w:r w:rsidRPr="009F4C66">
              <w:rPr>
                <w:rFonts w:eastAsia="Calibri"/>
                <w:sz w:val="20"/>
                <w:lang w:val="fr-CA"/>
              </w:rPr>
              <w:t>Le 29 novembre 2011</w:t>
            </w:r>
          </w:p>
          <w:p w:rsidR="00782711" w:rsidRPr="009F4C66" w:rsidRDefault="00782711" w:rsidP="00364F37">
            <w:pPr>
              <w:jc w:val="both"/>
              <w:rPr>
                <w:rFonts w:eastAsia="Calibri"/>
                <w:sz w:val="20"/>
                <w:lang w:val="fr-CA"/>
              </w:rPr>
            </w:pPr>
            <w:r w:rsidRPr="009F4C66">
              <w:rPr>
                <w:rFonts w:eastAsia="Calibri"/>
                <w:sz w:val="20"/>
                <w:lang w:val="fr-CA"/>
              </w:rPr>
              <w:t>Cour suprême du Canada</w:t>
            </w:r>
          </w:p>
        </w:tc>
        <w:tc>
          <w:tcPr>
            <w:tcW w:w="243" w:type="pct"/>
          </w:tcPr>
          <w:p w:rsidR="00782711" w:rsidRPr="009F4C66" w:rsidRDefault="00782711" w:rsidP="00364F37">
            <w:pPr>
              <w:jc w:val="both"/>
              <w:rPr>
                <w:rFonts w:eastAsia="Calibri"/>
                <w:sz w:val="20"/>
                <w:lang w:val="fr-CA"/>
              </w:rPr>
            </w:pPr>
          </w:p>
        </w:tc>
        <w:tc>
          <w:tcPr>
            <w:tcW w:w="2330" w:type="pct"/>
          </w:tcPr>
          <w:p w:rsidR="00782711" w:rsidRPr="009F4C66" w:rsidRDefault="00782711" w:rsidP="00364F37">
            <w:pPr>
              <w:jc w:val="both"/>
              <w:rPr>
                <w:rFonts w:eastAsia="Calibri"/>
                <w:sz w:val="20"/>
                <w:lang w:val="fr-CA"/>
              </w:rPr>
            </w:pPr>
            <w:r w:rsidRPr="009F4C66">
              <w:rPr>
                <w:rFonts w:eastAsia="Calibri"/>
                <w:sz w:val="20"/>
                <w:lang w:val="fr-CA"/>
              </w:rPr>
              <w:t>Demande d'autorisation d'appel, déposée</w:t>
            </w:r>
          </w:p>
          <w:p w:rsidR="00782711" w:rsidRPr="009F4C66" w:rsidRDefault="00782711" w:rsidP="00364F37">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79"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3A0E" w:rsidRPr="004A3A0E" w:rsidTr="00024A17">
        <w:trPr>
          <w:cantSplit/>
        </w:trPr>
        <w:tc>
          <w:tcPr>
            <w:tcW w:w="1458" w:type="dxa"/>
          </w:tcPr>
          <w:p w:rsidR="004A3A0E" w:rsidRPr="004A3A0E" w:rsidRDefault="004A3A0E" w:rsidP="00024A17">
            <w:pPr>
              <w:rPr>
                <w:sz w:val="20"/>
                <w:szCs w:val="20"/>
              </w:rPr>
            </w:pPr>
            <w:r w:rsidRPr="004A3A0E">
              <w:rPr>
                <w:rStyle w:val="SCCFileNumberChar"/>
                <w:sz w:val="20"/>
                <w:szCs w:val="20"/>
              </w:rPr>
              <w:t>34558</w:t>
            </w:r>
          </w:p>
          <w:p w:rsidR="004A3A0E" w:rsidRPr="004A3A0E" w:rsidRDefault="004A3A0E" w:rsidP="00024A17">
            <w:pPr>
              <w:rPr>
                <w:b/>
                <w:sz w:val="20"/>
                <w:szCs w:val="20"/>
                <w:lang w:val="fr-CA"/>
              </w:rPr>
            </w:pPr>
          </w:p>
        </w:tc>
        <w:tc>
          <w:tcPr>
            <w:tcW w:w="8118" w:type="dxa"/>
          </w:tcPr>
          <w:p w:rsidR="004A3A0E" w:rsidRPr="004A3A0E" w:rsidRDefault="004A3A0E" w:rsidP="00024A17">
            <w:pPr>
              <w:rPr>
                <w:sz w:val="20"/>
                <w:szCs w:val="20"/>
              </w:rPr>
            </w:pPr>
            <w:r w:rsidRPr="004A3A0E">
              <w:rPr>
                <w:rStyle w:val="SCCLsocChar"/>
                <w:sz w:val="20"/>
                <w:szCs w:val="20"/>
                <w:lang w:val="en-CA"/>
              </w:rPr>
              <w:t>Jack Klundert v. Her Majesty the Queen</w:t>
            </w:r>
            <w:r w:rsidRPr="004A3A0E">
              <w:rPr>
                <w:sz w:val="20"/>
                <w:szCs w:val="20"/>
              </w:rPr>
              <w:t xml:space="preserve"> (Ont.) (Criminal) (By Leave)</w:t>
            </w:r>
          </w:p>
          <w:p w:rsidR="004A3A0E" w:rsidRPr="004A3A0E" w:rsidRDefault="004A3A0E" w:rsidP="00024A17">
            <w:pPr>
              <w:rPr>
                <w:sz w:val="20"/>
                <w:szCs w:val="20"/>
              </w:rPr>
            </w:pPr>
          </w:p>
        </w:tc>
      </w:tr>
      <w:tr w:rsidR="004A3A0E" w:rsidRPr="004A3A0E" w:rsidTr="00024A17">
        <w:trPr>
          <w:cantSplit/>
        </w:trPr>
        <w:tc>
          <w:tcPr>
            <w:tcW w:w="1458" w:type="dxa"/>
          </w:tcPr>
          <w:p w:rsidR="004A3A0E" w:rsidRPr="004A3A0E" w:rsidRDefault="004A3A0E" w:rsidP="00024A17">
            <w:pPr>
              <w:rPr>
                <w:sz w:val="20"/>
                <w:szCs w:val="20"/>
              </w:rPr>
            </w:pPr>
            <w:r w:rsidRPr="004A3A0E">
              <w:rPr>
                <w:sz w:val="20"/>
                <w:szCs w:val="20"/>
              </w:rPr>
              <w:t>Coram :</w:t>
            </w:r>
          </w:p>
        </w:tc>
        <w:tc>
          <w:tcPr>
            <w:tcW w:w="8118" w:type="dxa"/>
          </w:tcPr>
          <w:p w:rsidR="004A3A0E" w:rsidRPr="004A3A0E" w:rsidRDefault="004A3A0E" w:rsidP="00024A17">
            <w:pPr>
              <w:rPr>
                <w:sz w:val="20"/>
                <w:szCs w:val="20"/>
              </w:rPr>
            </w:pPr>
            <w:r w:rsidRPr="004A3A0E">
              <w:rPr>
                <w:rStyle w:val="SCCCoramChar"/>
                <w:sz w:val="20"/>
                <w:szCs w:val="20"/>
                <w:lang w:val="en-CA"/>
              </w:rPr>
              <w:t>LeBel, Abella and Cromwell JJ.</w:t>
            </w:r>
          </w:p>
          <w:p w:rsidR="004A3A0E" w:rsidRPr="004A3A0E" w:rsidRDefault="004A3A0E" w:rsidP="00024A17">
            <w:pPr>
              <w:rPr>
                <w:sz w:val="20"/>
                <w:szCs w:val="20"/>
                <w:u w:val="single"/>
              </w:rPr>
            </w:pPr>
          </w:p>
        </w:tc>
      </w:tr>
      <w:tr w:rsidR="004A3A0E" w:rsidRPr="00832ABE" w:rsidTr="00024A17">
        <w:trPr>
          <w:cantSplit/>
        </w:trPr>
        <w:tc>
          <w:tcPr>
            <w:tcW w:w="9576" w:type="dxa"/>
            <w:gridSpan w:val="2"/>
          </w:tcPr>
          <w:p w:rsidR="004A3A0E" w:rsidRPr="004A3A0E" w:rsidRDefault="004A3A0E" w:rsidP="00024A17">
            <w:pPr>
              <w:pStyle w:val="SCCShortJudgment"/>
              <w:rPr>
                <w:szCs w:val="20"/>
              </w:rPr>
            </w:pPr>
            <w:r w:rsidRPr="004A3A0E">
              <w:rPr>
                <w:szCs w:val="20"/>
              </w:rPr>
              <w:t>The application for leave to appeal from the judgment of the Court of Appeal for Ontario, Number C52300, 2011 ONCA 646, dated October 17, 2011, is dismissed without costs.</w:t>
            </w:r>
          </w:p>
          <w:p w:rsidR="004A3A0E" w:rsidRPr="004A3A0E" w:rsidRDefault="004A3A0E" w:rsidP="00024A17">
            <w:pPr>
              <w:pStyle w:val="SCCShortJudgment"/>
              <w:ind w:firstLine="0"/>
              <w:rPr>
                <w:szCs w:val="20"/>
              </w:rPr>
            </w:pPr>
          </w:p>
          <w:p w:rsidR="004A3A0E" w:rsidRPr="004A3A0E" w:rsidRDefault="004A3A0E" w:rsidP="004A3A0E">
            <w:pPr>
              <w:pStyle w:val="SCCShortJudgment"/>
              <w:rPr>
                <w:szCs w:val="20"/>
                <w:lang w:val="fr-CA"/>
              </w:rPr>
            </w:pPr>
            <w:r w:rsidRPr="004A3A0E">
              <w:rPr>
                <w:szCs w:val="20"/>
                <w:lang w:val="fr-CA"/>
              </w:rPr>
              <w:t>La demande d’autorisation d’appel de l’arrêt de la Cour d’appel de l’Ontario, numéro C52300, 2011 ONCA 646, daté du 17 octobre 2011, est rejetée sans dépens.</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2711" w:rsidRPr="009F4C66" w:rsidTr="00364F37">
        <w:tc>
          <w:tcPr>
            <w:tcW w:w="5000" w:type="pct"/>
            <w:gridSpan w:val="3"/>
          </w:tcPr>
          <w:p w:rsidR="00782711" w:rsidRPr="009F4C66" w:rsidRDefault="00782711" w:rsidP="00364F37">
            <w:pPr>
              <w:jc w:val="both"/>
              <w:rPr>
                <w:bCs/>
                <w:kern w:val="36"/>
                <w:sz w:val="20"/>
              </w:rPr>
            </w:pPr>
            <w:r w:rsidRPr="009F4C66">
              <w:rPr>
                <w:sz w:val="20"/>
              </w:rPr>
              <w:t>Taxation – Income tax – Evasion – Whether the Court of Appeal erred in its interpretation of the necessary intent for evasion under s. 239(1</w:t>
            </w:r>
            <w:proofErr w:type="gramStart"/>
            <w:r w:rsidRPr="009F4C66">
              <w:rPr>
                <w:sz w:val="20"/>
              </w:rPr>
              <w:t>)(</w:t>
            </w:r>
            <w:proofErr w:type="gramEnd"/>
            <w:r w:rsidRPr="009F4C66">
              <w:rPr>
                <w:sz w:val="20"/>
              </w:rPr>
              <w:t xml:space="preserve">d) of the </w:t>
            </w:r>
            <w:r w:rsidRPr="009F4C66">
              <w:rPr>
                <w:i/>
                <w:sz w:val="20"/>
              </w:rPr>
              <w:t>Income Tax Act</w:t>
            </w:r>
            <w:r w:rsidRPr="009F4C66">
              <w:rPr>
                <w:sz w:val="20"/>
              </w:rPr>
              <w:t xml:space="preserve"> – Whether the Court of Appeal erred in upholding the trial judge’s decision not to disqualify juror 12 on the information of  juror 10 – </w:t>
            </w:r>
            <w:r w:rsidRPr="009F4C66">
              <w:rPr>
                <w:i/>
                <w:sz w:val="20"/>
              </w:rPr>
              <w:t>I</w:t>
            </w:r>
            <w:r w:rsidRPr="009F4C66">
              <w:rPr>
                <w:bCs/>
                <w:i/>
                <w:kern w:val="36"/>
                <w:sz w:val="20"/>
              </w:rPr>
              <w:t>ncome Tax Act</w:t>
            </w:r>
            <w:r w:rsidRPr="009F4C66">
              <w:rPr>
                <w:bCs/>
                <w:kern w:val="36"/>
                <w:sz w:val="20"/>
              </w:rPr>
              <w:t>, R.S.C., 1985, c. 1 (5th Supp.), s. 239(1)(d).</w:t>
            </w:r>
          </w:p>
        </w:tc>
      </w:tr>
      <w:tr w:rsidR="00782711" w:rsidRPr="009F4C66" w:rsidTr="00364F37">
        <w:tc>
          <w:tcPr>
            <w:tcW w:w="5000" w:type="pct"/>
            <w:gridSpan w:val="3"/>
          </w:tcPr>
          <w:p w:rsidR="00782711" w:rsidRPr="009F4C66" w:rsidRDefault="00782711" w:rsidP="00364F37">
            <w:pPr>
              <w:jc w:val="both"/>
              <w:rPr>
                <w:sz w:val="20"/>
              </w:rPr>
            </w:pPr>
          </w:p>
        </w:tc>
      </w:tr>
      <w:tr w:rsidR="00782711" w:rsidRPr="009F4C66" w:rsidTr="00364F37">
        <w:tc>
          <w:tcPr>
            <w:tcW w:w="5000" w:type="pct"/>
            <w:gridSpan w:val="3"/>
          </w:tcPr>
          <w:p w:rsidR="00782711" w:rsidRPr="009F4C66" w:rsidRDefault="00782711" w:rsidP="00364F37">
            <w:pPr>
              <w:jc w:val="both"/>
              <w:rPr>
                <w:sz w:val="20"/>
              </w:rPr>
            </w:pPr>
            <w:r w:rsidRPr="009F4C66">
              <w:rPr>
                <w:sz w:val="20"/>
              </w:rPr>
              <w:t>Prior to 1993, Klundert, an optometrist, always properly filed and paid his income taxes.  In 1993, Klundert received a publication in the mail that discussed Canadian income tax and questioned its constitutional validity.  After receiving the publication, and after further contemplation, Klundert formed the opinion that it was unconstitutional for the federal government to impose and collect income tax.  Thus, in his tax returns for the years 1993 to 1997, Klundert did not disclose his income or pay any of the taxes owing on approximately $1.4 million he earned in those years.</w:t>
            </w:r>
          </w:p>
          <w:p w:rsidR="00782711" w:rsidRPr="009F4C66" w:rsidRDefault="00782711" w:rsidP="00364F37">
            <w:pPr>
              <w:jc w:val="both"/>
              <w:rPr>
                <w:sz w:val="20"/>
              </w:rPr>
            </w:pPr>
          </w:p>
          <w:p w:rsidR="00782711" w:rsidRPr="009F4C66" w:rsidRDefault="00782711" w:rsidP="00364F37">
            <w:pPr>
              <w:jc w:val="both"/>
              <w:rPr>
                <w:sz w:val="20"/>
              </w:rPr>
            </w:pPr>
            <w:r w:rsidRPr="009F4C66">
              <w:rPr>
                <w:sz w:val="20"/>
              </w:rPr>
              <w:t xml:space="preserve">In 2002, a jury acquitted Klundert, but the Crown successfully appealed and a new trial was ordered. In 2006, Klundert was again acquitted at the second trial, but again the Crown successfully appealed.  At the conclusion of the third trial in 2010, a jury found Klundert guilty of income tax evasion under s. 239 of the </w:t>
            </w:r>
            <w:r w:rsidRPr="009F4C66">
              <w:rPr>
                <w:i/>
                <w:sz w:val="20"/>
              </w:rPr>
              <w:t>Income Tax Act</w:t>
            </w:r>
            <w:r w:rsidRPr="009F4C66">
              <w:rPr>
                <w:sz w:val="20"/>
              </w:rPr>
              <w:t xml:space="preserve">.  Klundert’s defence at trial was to negate </w:t>
            </w:r>
            <w:r w:rsidRPr="009F4C66">
              <w:rPr>
                <w:i/>
                <w:sz w:val="20"/>
              </w:rPr>
              <w:t>mens rea</w:t>
            </w:r>
            <w:r w:rsidRPr="009F4C66">
              <w:rPr>
                <w:sz w:val="20"/>
              </w:rPr>
              <w:t xml:space="preserve">.  He claims that he did not intend to commit tax </w:t>
            </w:r>
            <w:proofErr w:type="gramStart"/>
            <w:r w:rsidRPr="009F4C66">
              <w:rPr>
                <w:sz w:val="20"/>
              </w:rPr>
              <w:t>evasion,</w:t>
            </w:r>
            <w:proofErr w:type="gramEnd"/>
            <w:r w:rsidRPr="009F4C66">
              <w:rPr>
                <w:sz w:val="20"/>
              </w:rPr>
              <w:t xml:space="preserve"> rather, his actions were intended to protest what he perceived to be unlawful government action.  Klundert appealed both his conviction and also sought leave to appeal the 12 month custodial portion of his sentence.  The Court of Appeal dismissed the appeal against conviction, but granted leave to appeal sentence and allowed the sentence appeal. The sentence imposed by the trial judge was a fine in the amount of 150% of the taxes evaded and a prison sentence of one year.  Klundert only took issue with the one year imprisonment. Klundert had served a portion of his prison sentence. The Court of Appeal set aside the remainder of his prison sentence and substituted it with a conditional sentence for the conclusion of the 12 month sentence.</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May 20, 2010</w:t>
            </w:r>
          </w:p>
          <w:p w:rsidR="00782711" w:rsidRPr="009F4C66" w:rsidRDefault="00782711" w:rsidP="00364F37">
            <w:pPr>
              <w:jc w:val="both"/>
              <w:rPr>
                <w:sz w:val="20"/>
              </w:rPr>
            </w:pPr>
            <w:r w:rsidRPr="009F4C66">
              <w:rPr>
                <w:sz w:val="20"/>
              </w:rPr>
              <w:t>Ontario Superior Court of Justice</w:t>
            </w:r>
          </w:p>
          <w:p w:rsidR="00782711" w:rsidRPr="009F4C66" w:rsidRDefault="00782711" w:rsidP="00364F37">
            <w:pPr>
              <w:jc w:val="both"/>
              <w:rPr>
                <w:sz w:val="20"/>
              </w:rPr>
            </w:pPr>
            <w:r w:rsidRPr="009F4C66">
              <w:rPr>
                <w:sz w:val="20"/>
              </w:rPr>
              <w:t>(Patterson J.)</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 xml:space="preserve">Applicant convicted of tax evasion pursuant to the </w:t>
            </w:r>
            <w:r w:rsidRPr="009F4C66">
              <w:rPr>
                <w:i/>
                <w:sz w:val="20"/>
              </w:rPr>
              <w:t>Income Tax Act</w:t>
            </w:r>
            <w:r w:rsidRPr="009F4C66">
              <w:rPr>
                <w:sz w:val="20"/>
              </w:rPr>
              <w:t>; Applicant sentenced to a fine equivalent to 150% of the tax evaded and a period of incarceration for one year</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October 17, 2011</w:t>
            </w:r>
          </w:p>
          <w:p w:rsidR="00782711" w:rsidRPr="009F4C66" w:rsidRDefault="00782711" w:rsidP="00364F37">
            <w:pPr>
              <w:jc w:val="both"/>
              <w:rPr>
                <w:sz w:val="20"/>
              </w:rPr>
            </w:pPr>
            <w:r w:rsidRPr="009F4C66">
              <w:rPr>
                <w:sz w:val="20"/>
              </w:rPr>
              <w:t>Court of Appeal for Ontario</w:t>
            </w:r>
          </w:p>
          <w:p w:rsidR="00782711" w:rsidRPr="009F4C66" w:rsidRDefault="00782711" w:rsidP="00364F37">
            <w:pPr>
              <w:jc w:val="both"/>
              <w:rPr>
                <w:sz w:val="20"/>
              </w:rPr>
            </w:pPr>
            <w:r w:rsidRPr="009F4C66">
              <w:rPr>
                <w:sz w:val="20"/>
              </w:rPr>
              <w:t>(Laskin, Goudge and LaForme JJ.A.)</w:t>
            </w:r>
          </w:p>
          <w:p w:rsidR="00782711" w:rsidRPr="009F4C66" w:rsidRDefault="00782711" w:rsidP="00364F37">
            <w:pPr>
              <w:jc w:val="both"/>
              <w:rPr>
                <w:sz w:val="20"/>
              </w:rPr>
            </w:pPr>
            <w:r w:rsidRPr="009F4C66">
              <w:rPr>
                <w:sz w:val="20"/>
              </w:rPr>
              <w:t>2011 ONCA 646; C52300</w:t>
            </w:r>
          </w:p>
          <w:p w:rsidR="00782711" w:rsidRPr="009F4C66" w:rsidRDefault="00782711" w:rsidP="00364F37">
            <w:pPr>
              <w:jc w:val="both"/>
              <w:rPr>
                <w:sz w:val="20"/>
              </w:rPr>
            </w:pP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Appeal against conviction dismissed; Leave to appeal sentence granted and the appeal is allowed</w:t>
            </w:r>
          </w:p>
          <w:p w:rsidR="00782711" w:rsidRPr="009F4C66" w:rsidRDefault="00782711" w:rsidP="00364F37">
            <w:pPr>
              <w:jc w:val="both"/>
              <w:rPr>
                <w:sz w:val="20"/>
              </w:rPr>
            </w:pPr>
          </w:p>
        </w:tc>
      </w:tr>
      <w:tr w:rsidR="00782711" w:rsidRPr="009F4C66" w:rsidTr="00364F37">
        <w:tc>
          <w:tcPr>
            <w:tcW w:w="2427" w:type="pct"/>
          </w:tcPr>
          <w:p w:rsidR="00782711" w:rsidRPr="009F4C66" w:rsidRDefault="00782711" w:rsidP="00364F37">
            <w:pPr>
              <w:jc w:val="both"/>
              <w:rPr>
                <w:sz w:val="20"/>
              </w:rPr>
            </w:pPr>
            <w:r w:rsidRPr="009F4C66">
              <w:rPr>
                <w:sz w:val="20"/>
              </w:rPr>
              <w:t>December 2, 2011</w:t>
            </w:r>
          </w:p>
          <w:p w:rsidR="00782711" w:rsidRPr="009F4C66" w:rsidRDefault="00782711" w:rsidP="00364F37">
            <w:pPr>
              <w:jc w:val="both"/>
              <w:rPr>
                <w:sz w:val="20"/>
              </w:rPr>
            </w:pPr>
            <w:r w:rsidRPr="009F4C66">
              <w:rPr>
                <w:sz w:val="20"/>
              </w:rPr>
              <w:t>Supreme Court of Canada</w:t>
            </w:r>
          </w:p>
        </w:tc>
        <w:tc>
          <w:tcPr>
            <w:tcW w:w="243" w:type="pct"/>
          </w:tcPr>
          <w:p w:rsidR="00782711" w:rsidRPr="009F4C66" w:rsidRDefault="00782711" w:rsidP="00364F37">
            <w:pPr>
              <w:jc w:val="both"/>
              <w:rPr>
                <w:sz w:val="20"/>
              </w:rPr>
            </w:pPr>
          </w:p>
        </w:tc>
        <w:tc>
          <w:tcPr>
            <w:tcW w:w="2330" w:type="pct"/>
          </w:tcPr>
          <w:p w:rsidR="00782711" w:rsidRPr="009F4C66" w:rsidRDefault="00782711" w:rsidP="00364F37">
            <w:pPr>
              <w:jc w:val="both"/>
              <w:rPr>
                <w:sz w:val="20"/>
              </w:rPr>
            </w:pPr>
            <w:r w:rsidRPr="009F4C66">
              <w:rPr>
                <w:sz w:val="20"/>
              </w:rPr>
              <w:t>Application for leave to appeal filed</w:t>
            </w:r>
          </w:p>
          <w:p w:rsidR="00782711" w:rsidRPr="009F4C66" w:rsidRDefault="00782711" w:rsidP="00364F37">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80"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82711" w:rsidRPr="00832ABE" w:rsidTr="00364F37">
        <w:tc>
          <w:tcPr>
            <w:tcW w:w="5000" w:type="pct"/>
            <w:gridSpan w:val="3"/>
          </w:tcPr>
          <w:p w:rsidR="00782711" w:rsidRPr="009F4C66" w:rsidRDefault="00782711" w:rsidP="00364F37">
            <w:pPr>
              <w:jc w:val="both"/>
              <w:rPr>
                <w:rFonts w:eastAsia="Calibri"/>
                <w:bCs/>
                <w:kern w:val="36"/>
                <w:sz w:val="20"/>
                <w:lang w:val="fr-CA"/>
              </w:rPr>
            </w:pPr>
            <w:r w:rsidRPr="009F4C66">
              <w:rPr>
                <w:rFonts w:eastAsia="Calibri"/>
                <w:sz w:val="20"/>
                <w:lang w:val="fr-CA"/>
              </w:rPr>
              <w:t>Droit fiscal – Impôt sur le revenu – Évasion fiscale – La Cour d'appel s'est-elle trompée dans son interprétation de l'intention nécessaire pour qu'il y ait évasion aux termes de l'alinéa s. 239(1)</w:t>
            </w:r>
            <w:r w:rsidRPr="009F4C66">
              <w:rPr>
                <w:rFonts w:eastAsia="Calibri"/>
                <w:i/>
                <w:sz w:val="20"/>
                <w:lang w:val="fr-CA"/>
              </w:rPr>
              <w:t>d</w:t>
            </w:r>
            <w:r w:rsidRPr="009F4C66">
              <w:rPr>
                <w:rFonts w:eastAsia="Calibri"/>
                <w:sz w:val="20"/>
                <w:lang w:val="fr-CA"/>
              </w:rPr>
              <w:t>) de la</w:t>
            </w:r>
            <w:r w:rsidRPr="009F4C66">
              <w:rPr>
                <w:rFonts w:eastAsia="Calibri"/>
                <w:i/>
                <w:sz w:val="20"/>
                <w:lang w:val="fr-CA"/>
              </w:rPr>
              <w:t xml:space="preserve"> Loi de l'impôt sur le revenu</w:t>
            </w:r>
            <w:r w:rsidRPr="009F4C66">
              <w:rPr>
                <w:rFonts w:eastAsia="Calibri"/>
                <w:sz w:val="20"/>
                <w:lang w:val="fr-CA"/>
              </w:rPr>
              <w:t>?</w:t>
            </w:r>
            <w:r w:rsidRPr="009F4C66">
              <w:rPr>
                <w:rFonts w:eastAsia="Calibri"/>
                <w:i/>
                <w:sz w:val="20"/>
                <w:lang w:val="fr-CA"/>
              </w:rPr>
              <w:t xml:space="preserve"> </w:t>
            </w:r>
            <w:r w:rsidRPr="009F4C66">
              <w:rPr>
                <w:rFonts w:eastAsia="Calibri"/>
                <w:sz w:val="20"/>
                <w:lang w:val="fr-CA"/>
              </w:rPr>
              <w:t>– La Cour d'appel a-t-elle eu tort de confirmer la décision du juge de première instance de ne pas exclure le juré numéro 12 sur la dénonciation du juré numéro 10? –</w:t>
            </w:r>
            <w:r w:rsidRPr="009F4C66">
              <w:rPr>
                <w:rFonts w:eastAsia="Calibri"/>
                <w:i/>
                <w:sz w:val="20"/>
                <w:lang w:val="fr-CA"/>
              </w:rPr>
              <w:t xml:space="preserve"> Loi de l'impôt sur le revenu</w:t>
            </w:r>
            <w:r w:rsidRPr="009F4C66">
              <w:rPr>
                <w:rFonts w:eastAsia="Calibri"/>
                <w:bCs/>
                <w:kern w:val="36"/>
                <w:sz w:val="20"/>
                <w:lang w:val="fr-CA"/>
              </w:rPr>
              <w:t>, L.R.C., 1985, ch. 1 (5</w:t>
            </w:r>
            <w:r w:rsidRPr="009F4C66">
              <w:rPr>
                <w:rFonts w:eastAsia="Calibri"/>
                <w:bCs/>
                <w:kern w:val="36"/>
                <w:sz w:val="20"/>
                <w:vertAlign w:val="superscript"/>
                <w:lang w:val="fr-CA"/>
              </w:rPr>
              <w:t>e</w:t>
            </w:r>
            <w:r w:rsidRPr="009F4C66">
              <w:rPr>
                <w:rFonts w:eastAsia="Calibri"/>
                <w:bCs/>
                <w:kern w:val="36"/>
                <w:sz w:val="20"/>
                <w:lang w:val="fr-CA"/>
              </w:rPr>
              <w:t xml:space="preserve"> suppl.), al. 239(1)</w:t>
            </w:r>
            <w:r w:rsidRPr="009F4C66">
              <w:rPr>
                <w:rFonts w:eastAsia="Calibri"/>
                <w:bCs/>
                <w:i/>
                <w:kern w:val="36"/>
                <w:sz w:val="20"/>
                <w:lang w:val="fr-CA"/>
              </w:rPr>
              <w:t>d</w:t>
            </w:r>
            <w:r w:rsidRPr="009F4C66">
              <w:rPr>
                <w:rFonts w:eastAsia="Calibri"/>
                <w:bCs/>
                <w:kern w:val="36"/>
                <w:sz w:val="20"/>
                <w:lang w:val="fr-CA"/>
              </w:rPr>
              <w:t>).</w:t>
            </w:r>
          </w:p>
        </w:tc>
      </w:tr>
      <w:tr w:rsidR="00782711" w:rsidRPr="00832ABE" w:rsidTr="00364F37">
        <w:tc>
          <w:tcPr>
            <w:tcW w:w="5000" w:type="pct"/>
            <w:gridSpan w:val="3"/>
          </w:tcPr>
          <w:p w:rsidR="00782711" w:rsidRPr="009F4C66" w:rsidRDefault="00782711" w:rsidP="00364F37">
            <w:pPr>
              <w:jc w:val="both"/>
              <w:rPr>
                <w:rFonts w:eastAsia="Calibri"/>
                <w:sz w:val="20"/>
                <w:lang w:val="fr-CA"/>
              </w:rPr>
            </w:pPr>
          </w:p>
        </w:tc>
      </w:tr>
      <w:tr w:rsidR="00782711" w:rsidRPr="00832ABE" w:rsidTr="00364F37">
        <w:tc>
          <w:tcPr>
            <w:tcW w:w="5000" w:type="pct"/>
            <w:gridSpan w:val="3"/>
          </w:tcPr>
          <w:p w:rsidR="00782711" w:rsidRPr="009F4C66" w:rsidRDefault="00782711" w:rsidP="00364F37">
            <w:pPr>
              <w:jc w:val="both"/>
              <w:rPr>
                <w:rFonts w:eastAsia="Calibri"/>
                <w:sz w:val="20"/>
                <w:lang w:val="fr-CA"/>
              </w:rPr>
            </w:pPr>
            <w:r w:rsidRPr="009F4C66">
              <w:rPr>
                <w:rFonts w:eastAsia="Calibri"/>
                <w:sz w:val="20"/>
                <w:lang w:val="fr-CA"/>
              </w:rPr>
              <w:t>Avant 1993, M. Klundert, un optométriste, avait toujours dûment produit ses déclarations fiscales et payé ses impôts sur le revenu. En 1993, M. Klundert a reçu par la poste une publication qui traitait de l'impôt sur le revenu canadien et qui mettait en question sa validité constitutionnelle. Après avoir reçu la publication et y avoir réfléchi, M. Klundert en est venu à la conclusion qu'il était inconstitutionnel pour le gouvernement fédéral d'imposer et de percevoir l'impôt sur le revenu. Par conséquent, dans ses déclarations fiscales pour les années 1993 à 1997, M. Klundert n'a pas déclaré son revenu ou payé les impôts qu'il devait sur environ 1,4 million de dollars qu'il avait gagnés au cours de ces années.</w:t>
            </w:r>
          </w:p>
          <w:p w:rsidR="00782711" w:rsidRPr="009F4C66" w:rsidRDefault="00782711" w:rsidP="00364F37">
            <w:pPr>
              <w:jc w:val="both"/>
              <w:rPr>
                <w:rFonts w:eastAsia="Calibri"/>
                <w:sz w:val="20"/>
                <w:lang w:val="fr-CA"/>
              </w:rPr>
            </w:pPr>
          </w:p>
          <w:p w:rsidR="00782711" w:rsidRPr="009F4C66" w:rsidRDefault="00782711" w:rsidP="00364F37">
            <w:pPr>
              <w:jc w:val="both"/>
              <w:rPr>
                <w:rFonts w:eastAsia="Calibri"/>
                <w:sz w:val="20"/>
                <w:lang w:val="fr-CA"/>
              </w:rPr>
            </w:pPr>
            <w:r w:rsidRPr="009F4C66">
              <w:rPr>
                <w:rFonts w:eastAsia="Calibri"/>
                <w:sz w:val="20"/>
                <w:lang w:val="fr-CA"/>
              </w:rPr>
              <w:t>En 2002, le jury a acquitté M. Klundert, mais le ministère public a interjeté appel avec succès et un nouveau procès a été ordonné. En 2006, M. Klundert a été acquitté de nouveau à son deuxième procès, mais encore une fois le ministère public a eu gain de cause en appel. Au terme du troisième procès tenu en 2010, un jury a déclaré M. Klundert coupable d’évasion fiscale en vertu de l'art. 239 de la</w:t>
            </w:r>
            <w:r w:rsidRPr="009F4C66">
              <w:rPr>
                <w:rFonts w:eastAsia="Calibri"/>
                <w:i/>
                <w:sz w:val="20"/>
                <w:lang w:val="fr-CA"/>
              </w:rPr>
              <w:t xml:space="preserve"> Loi de l'impôt sur le revenu</w:t>
            </w:r>
            <w:r w:rsidRPr="009F4C66">
              <w:rPr>
                <w:rFonts w:eastAsia="Calibri"/>
                <w:sz w:val="20"/>
                <w:lang w:val="fr-CA"/>
              </w:rPr>
              <w:t xml:space="preserve">.  À son procès, la défense de M. Klundert a consisté à nier l'existence de la </w:t>
            </w:r>
            <w:r w:rsidRPr="009F4C66">
              <w:rPr>
                <w:rFonts w:eastAsia="Calibri"/>
                <w:i/>
                <w:sz w:val="20"/>
                <w:lang w:val="fr-CA"/>
              </w:rPr>
              <w:t>mens rea</w:t>
            </w:r>
            <w:r w:rsidRPr="009F4C66">
              <w:rPr>
                <w:rFonts w:eastAsia="Calibri"/>
                <w:sz w:val="20"/>
                <w:lang w:val="fr-CA"/>
              </w:rPr>
              <w:t>. Il allègue ne pas avoir eu l'intention de commettre une évasion fiscale, et que ces actes avaient plutôt pour but de contester ce qu'il percevait être un acte illégal du gouvernement.  Monsieur Klundert a interjeté appel de sa déclaration de culpabilité et il a également demandé l'autorisation d'appel de la peine de détention de douze mois qui faisait partie de sa peine. La Cour d'appel a rejeté l'appel de la déclaration de culpabilité, mais a accordé l'autorisation d'appel de la peine et a accueilli cet appel. La peine imposée par le juge de première instance était une amende équivalente à 150 % des impôts que M. Klundert avait tenté d’éluder et une peine d'emprisonnement d'un an. Monsieur Klundert s'est contenté de contester la peine d'emprisonnement d'un an. Monsieur Klundert avait purgé une partie de sa peine d’emprisonnement. La Cour d'appel a annulé le reste de sa peine d'emprisonnement et y a substitué une peine avec sursis pour ce qui restait de la peine de 12 mois.</w:t>
            </w:r>
          </w:p>
          <w:p w:rsidR="00782711" w:rsidRPr="009F4C66" w:rsidRDefault="00782711" w:rsidP="00364F37">
            <w:pPr>
              <w:jc w:val="both"/>
              <w:rPr>
                <w:rFonts w:eastAsia="Calibri"/>
                <w:sz w:val="20"/>
                <w:lang w:val="fr-CA"/>
              </w:rPr>
            </w:pPr>
          </w:p>
        </w:tc>
      </w:tr>
      <w:tr w:rsidR="00782711" w:rsidRPr="00832ABE" w:rsidTr="00364F37">
        <w:tc>
          <w:tcPr>
            <w:tcW w:w="2427" w:type="pct"/>
          </w:tcPr>
          <w:p w:rsidR="00782711" w:rsidRPr="009F4C66" w:rsidRDefault="00782711" w:rsidP="00364F37">
            <w:pPr>
              <w:jc w:val="both"/>
              <w:rPr>
                <w:rFonts w:eastAsia="Calibri"/>
                <w:sz w:val="20"/>
                <w:lang w:val="fr-CA"/>
              </w:rPr>
            </w:pPr>
            <w:r w:rsidRPr="009F4C66">
              <w:rPr>
                <w:rFonts w:eastAsia="Calibri"/>
                <w:sz w:val="20"/>
                <w:lang w:val="fr-CA"/>
              </w:rPr>
              <w:t>20 mai 2010</w:t>
            </w:r>
          </w:p>
          <w:p w:rsidR="00782711" w:rsidRPr="009F4C66" w:rsidRDefault="00782711" w:rsidP="00364F37">
            <w:pPr>
              <w:jc w:val="both"/>
              <w:rPr>
                <w:rFonts w:eastAsia="Calibri"/>
                <w:sz w:val="20"/>
                <w:lang w:val="fr-CA"/>
              </w:rPr>
            </w:pPr>
            <w:r w:rsidRPr="009F4C66">
              <w:rPr>
                <w:rFonts w:eastAsia="Calibri"/>
                <w:sz w:val="20"/>
                <w:lang w:val="fr-CA"/>
              </w:rPr>
              <w:t xml:space="preserve">Cour supérieure de justice de l'Ontario </w:t>
            </w:r>
          </w:p>
          <w:p w:rsidR="00782711" w:rsidRPr="009F4C66" w:rsidRDefault="00782711" w:rsidP="00364F37">
            <w:pPr>
              <w:jc w:val="both"/>
              <w:rPr>
                <w:rFonts w:eastAsia="Calibri"/>
                <w:sz w:val="20"/>
                <w:lang w:val="fr-CA"/>
              </w:rPr>
            </w:pPr>
            <w:r w:rsidRPr="009F4C66">
              <w:rPr>
                <w:rFonts w:eastAsia="Calibri"/>
                <w:sz w:val="20"/>
                <w:lang w:val="fr-CA"/>
              </w:rPr>
              <w:t>(Juge Patterson)</w:t>
            </w:r>
          </w:p>
          <w:p w:rsidR="00782711" w:rsidRPr="009F4C66" w:rsidRDefault="00782711" w:rsidP="00364F37">
            <w:pPr>
              <w:jc w:val="both"/>
              <w:rPr>
                <w:rFonts w:eastAsia="Calibri"/>
                <w:sz w:val="20"/>
                <w:lang w:val="fr-CA"/>
              </w:rPr>
            </w:pPr>
          </w:p>
        </w:tc>
        <w:tc>
          <w:tcPr>
            <w:tcW w:w="243" w:type="pct"/>
          </w:tcPr>
          <w:p w:rsidR="00782711" w:rsidRPr="009F4C66" w:rsidRDefault="00782711" w:rsidP="00364F37">
            <w:pPr>
              <w:jc w:val="both"/>
              <w:rPr>
                <w:rFonts w:eastAsia="Calibri"/>
                <w:sz w:val="20"/>
                <w:lang w:val="fr-CA"/>
              </w:rPr>
            </w:pPr>
          </w:p>
        </w:tc>
        <w:tc>
          <w:tcPr>
            <w:tcW w:w="2330" w:type="pct"/>
          </w:tcPr>
          <w:p w:rsidR="00782711" w:rsidRPr="009F4C66" w:rsidRDefault="00782711" w:rsidP="00364F37">
            <w:pPr>
              <w:jc w:val="both"/>
              <w:rPr>
                <w:rFonts w:eastAsia="Calibri"/>
                <w:sz w:val="20"/>
                <w:lang w:val="fr-CA"/>
              </w:rPr>
            </w:pPr>
            <w:r w:rsidRPr="009F4C66">
              <w:rPr>
                <w:rFonts w:eastAsia="Calibri"/>
                <w:sz w:val="20"/>
                <w:lang w:val="fr-CA"/>
              </w:rPr>
              <w:t>Demandeur déclaré coupable d’évasion fiscale en vertu de la</w:t>
            </w:r>
            <w:r w:rsidRPr="009F4C66">
              <w:rPr>
                <w:rFonts w:eastAsia="Calibri"/>
                <w:i/>
                <w:sz w:val="20"/>
                <w:lang w:val="fr-CA"/>
              </w:rPr>
              <w:t xml:space="preserve"> Loi de l'impôt sur le revenu</w:t>
            </w:r>
            <w:r w:rsidRPr="009F4C66">
              <w:rPr>
                <w:rFonts w:eastAsia="Calibri"/>
                <w:sz w:val="20"/>
                <w:lang w:val="fr-CA"/>
              </w:rPr>
              <w:t>; le demandeur est condamné à une amende équivalente à 150 % de l'impôt que le demandeur avait tenté d’éluder et à une période de détention d'un an</w:t>
            </w:r>
          </w:p>
          <w:p w:rsidR="00782711" w:rsidRPr="009F4C66" w:rsidRDefault="00782711" w:rsidP="00364F37">
            <w:pPr>
              <w:jc w:val="both"/>
              <w:rPr>
                <w:rFonts w:eastAsia="Calibri"/>
                <w:sz w:val="20"/>
                <w:lang w:val="fr-CA"/>
              </w:rPr>
            </w:pPr>
          </w:p>
        </w:tc>
      </w:tr>
      <w:tr w:rsidR="00782711" w:rsidRPr="00832ABE" w:rsidTr="00364F37">
        <w:tc>
          <w:tcPr>
            <w:tcW w:w="2427" w:type="pct"/>
          </w:tcPr>
          <w:p w:rsidR="00782711" w:rsidRPr="009F4C66" w:rsidRDefault="00782711" w:rsidP="00364F37">
            <w:pPr>
              <w:jc w:val="both"/>
              <w:rPr>
                <w:rFonts w:eastAsia="Calibri"/>
                <w:sz w:val="20"/>
                <w:lang w:val="fr-CA"/>
              </w:rPr>
            </w:pPr>
            <w:r w:rsidRPr="009F4C66">
              <w:rPr>
                <w:rFonts w:eastAsia="Calibri"/>
                <w:sz w:val="20"/>
                <w:lang w:val="fr-CA"/>
              </w:rPr>
              <w:t>17 octobre 2011</w:t>
            </w:r>
          </w:p>
          <w:p w:rsidR="00782711" w:rsidRPr="009F4C66" w:rsidRDefault="00782711" w:rsidP="00364F37">
            <w:pPr>
              <w:jc w:val="both"/>
              <w:rPr>
                <w:rFonts w:eastAsia="Calibri"/>
                <w:sz w:val="20"/>
                <w:lang w:val="fr-CA"/>
              </w:rPr>
            </w:pPr>
            <w:r w:rsidRPr="009F4C66">
              <w:rPr>
                <w:rFonts w:eastAsia="Calibri"/>
                <w:sz w:val="20"/>
                <w:lang w:val="fr-CA"/>
              </w:rPr>
              <w:t xml:space="preserve">Cour d'appel de l'Ontario </w:t>
            </w:r>
          </w:p>
          <w:p w:rsidR="00782711" w:rsidRPr="009F4C66" w:rsidRDefault="00782711" w:rsidP="00364F37">
            <w:pPr>
              <w:jc w:val="both"/>
              <w:rPr>
                <w:rFonts w:eastAsia="Calibri"/>
                <w:sz w:val="20"/>
                <w:lang w:val="fr-CA"/>
              </w:rPr>
            </w:pPr>
            <w:r w:rsidRPr="009F4C66">
              <w:rPr>
                <w:rFonts w:eastAsia="Calibri"/>
                <w:sz w:val="20"/>
                <w:lang w:val="fr-CA"/>
              </w:rPr>
              <w:t>(Juges Laskin, Goudge et LaForme)</w:t>
            </w:r>
          </w:p>
          <w:p w:rsidR="00782711" w:rsidRPr="009F4C66" w:rsidRDefault="00782711" w:rsidP="00364F37">
            <w:pPr>
              <w:jc w:val="both"/>
              <w:rPr>
                <w:rFonts w:eastAsia="Calibri"/>
                <w:sz w:val="20"/>
                <w:lang w:val="fr-CA"/>
              </w:rPr>
            </w:pPr>
            <w:r w:rsidRPr="009F4C66">
              <w:rPr>
                <w:rFonts w:eastAsia="Calibri"/>
                <w:sz w:val="20"/>
                <w:lang w:val="fr-CA"/>
              </w:rPr>
              <w:t>2011 ONCA 646; C52300</w:t>
            </w:r>
          </w:p>
          <w:p w:rsidR="00782711" w:rsidRPr="009F4C66" w:rsidRDefault="00782711" w:rsidP="00364F37">
            <w:pPr>
              <w:jc w:val="both"/>
              <w:rPr>
                <w:rFonts w:eastAsia="Calibri"/>
                <w:sz w:val="20"/>
                <w:lang w:val="fr-CA"/>
              </w:rPr>
            </w:pPr>
          </w:p>
        </w:tc>
        <w:tc>
          <w:tcPr>
            <w:tcW w:w="243" w:type="pct"/>
          </w:tcPr>
          <w:p w:rsidR="00782711" w:rsidRPr="009F4C66" w:rsidRDefault="00782711" w:rsidP="00364F37">
            <w:pPr>
              <w:jc w:val="both"/>
              <w:rPr>
                <w:rFonts w:eastAsia="Calibri"/>
                <w:sz w:val="20"/>
                <w:lang w:val="fr-CA"/>
              </w:rPr>
            </w:pPr>
          </w:p>
        </w:tc>
        <w:tc>
          <w:tcPr>
            <w:tcW w:w="2330" w:type="pct"/>
          </w:tcPr>
          <w:p w:rsidR="00782711" w:rsidRPr="009F4C66" w:rsidRDefault="00782711" w:rsidP="00364F37">
            <w:pPr>
              <w:jc w:val="both"/>
              <w:rPr>
                <w:rFonts w:eastAsia="Calibri"/>
                <w:sz w:val="20"/>
                <w:lang w:val="fr-CA"/>
              </w:rPr>
            </w:pPr>
            <w:r w:rsidRPr="009F4C66">
              <w:rPr>
                <w:rFonts w:eastAsia="Calibri"/>
                <w:sz w:val="20"/>
                <w:lang w:val="fr-CA"/>
              </w:rPr>
              <w:t>Appel de la déclaration de culpabilité, rejeté; autorisation d’appel de la peine accordée et appel accueilli</w:t>
            </w:r>
          </w:p>
          <w:p w:rsidR="00782711" w:rsidRPr="009F4C66" w:rsidRDefault="00782711" w:rsidP="00364F37">
            <w:pPr>
              <w:jc w:val="both"/>
              <w:rPr>
                <w:rFonts w:eastAsia="Calibri"/>
                <w:sz w:val="20"/>
                <w:lang w:val="fr-CA"/>
              </w:rPr>
            </w:pPr>
          </w:p>
        </w:tc>
      </w:tr>
      <w:tr w:rsidR="00782711" w:rsidRPr="009F4C66" w:rsidTr="00364F37">
        <w:tc>
          <w:tcPr>
            <w:tcW w:w="2427" w:type="pct"/>
          </w:tcPr>
          <w:p w:rsidR="00782711" w:rsidRPr="009F4C66" w:rsidRDefault="00782711" w:rsidP="00364F37">
            <w:pPr>
              <w:jc w:val="both"/>
              <w:rPr>
                <w:rFonts w:eastAsia="Calibri"/>
                <w:sz w:val="20"/>
                <w:lang w:val="fr-CA"/>
              </w:rPr>
            </w:pPr>
            <w:r w:rsidRPr="009F4C66">
              <w:rPr>
                <w:rFonts w:eastAsia="Calibri"/>
                <w:sz w:val="20"/>
                <w:lang w:val="fr-CA"/>
              </w:rPr>
              <w:t>2 décembre 2011</w:t>
            </w:r>
          </w:p>
          <w:p w:rsidR="00782711" w:rsidRPr="009F4C66" w:rsidRDefault="00782711" w:rsidP="00364F37">
            <w:pPr>
              <w:jc w:val="both"/>
              <w:rPr>
                <w:rFonts w:eastAsia="Calibri"/>
                <w:sz w:val="20"/>
                <w:lang w:val="fr-CA"/>
              </w:rPr>
            </w:pPr>
            <w:r w:rsidRPr="009F4C66">
              <w:rPr>
                <w:rFonts w:eastAsia="Calibri"/>
                <w:sz w:val="20"/>
                <w:lang w:val="fr-CA"/>
              </w:rPr>
              <w:t>Cour suprême du Canada</w:t>
            </w:r>
          </w:p>
        </w:tc>
        <w:tc>
          <w:tcPr>
            <w:tcW w:w="243" w:type="pct"/>
          </w:tcPr>
          <w:p w:rsidR="00782711" w:rsidRPr="009F4C66" w:rsidRDefault="00782711" w:rsidP="00364F37">
            <w:pPr>
              <w:jc w:val="both"/>
              <w:rPr>
                <w:rFonts w:eastAsia="Calibri"/>
                <w:sz w:val="20"/>
                <w:lang w:val="fr-CA"/>
              </w:rPr>
            </w:pPr>
          </w:p>
        </w:tc>
        <w:tc>
          <w:tcPr>
            <w:tcW w:w="2330" w:type="pct"/>
          </w:tcPr>
          <w:p w:rsidR="00782711" w:rsidRPr="009F4C66" w:rsidRDefault="00782711" w:rsidP="00364F37">
            <w:pPr>
              <w:jc w:val="both"/>
              <w:rPr>
                <w:rFonts w:eastAsia="Calibri"/>
                <w:sz w:val="20"/>
                <w:lang w:val="fr-CA"/>
              </w:rPr>
            </w:pPr>
            <w:r w:rsidRPr="009F4C66">
              <w:rPr>
                <w:rFonts w:eastAsia="Calibri"/>
                <w:sz w:val="20"/>
                <w:lang w:val="fr-CA"/>
              </w:rPr>
              <w:t>Demande d'autorisation d'appel, déposée</w:t>
            </w:r>
          </w:p>
          <w:p w:rsidR="00782711" w:rsidRPr="009F4C66" w:rsidRDefault="00782711" w:rsidP="00364F37">
            <w:pPr>
              <w:jc w:val="both"/>
              <w:rPr>
                <w:rFonts w:eastAsia="Calibri"/>
                <w:sz w:val="20"/>
                <w:lang w:val="fr-CA"/>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81"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0F2BC0" w:rsidTr="001600B8">
        <w:trPr>
          <w:cantSplit/>
        </w:trPr>
        <w:tc>
          <w:tcPr>
            <w:tcW w:w="1458" w:type="dxa"/>
          </w:tcPr>
          <w:p w:rsidR="00425DAC" w:rsidRPr="000F2BC0" w:rsidRDefault="00425DAC" w:rsidP="001600B8">
            <w:pPr>
              <w:rPr>
                <w:sz w:val="20"/>
                <w:szCs w:val="20"/>
              </w:rPr>
            </w:pPr>
            <w:r w:rsidRPr="000F2BC0">
              <w:rPr>
                <w:rStyle w:val="SCCFileNumberChar"/>
                <w:sz w:val="20"/>
                <w:szCs w:val="20"/>
              </w:rPr>
              <w:t>34568</w:t>
            </w:r>
          </w:p>
          <w:p w:rsidR="00425DAC" w:rsidRPr="000F2BC0" w:rsidRDefault="00425DAC" w:rsidP="001600B8">
            <w:pPr>
              <w:rPr>
                <w:b/>
                <w:sz w:val="20"/>
                <w:szCs w:val="20"/>
                <w:lang w:val="fr-CA"/>
              </w:rPr>
            </w:pPr>
          </w:p>
        </w:tc>
        <w:tc>
          <w:tcPr>
            <w:tcW w:w="8118" w:type="dxa"/>
          </w:tcPr>
          <w:p w:rsidR="00425DAC" w:rsidRPr="000F2BC0" w:rsidRDefault="00425DAC" w:rsidP="001600B8">
            <w:pPr>
              <w:rPr>
                <w:sz w:val="20"/>
                <w:szCs w:val="20"/>
              </w:rPr>
            </w:pPr>
            <w:r w:rsidRPr="000F2BC0">
              <w:rPr>
                <w:rStyle w:val="SCCLsocChar"/>
                <w:sz w:val="20"/>
                <w:szCs w:val="20"/>
                <w:lang w:val="en-CA"/>
              </w:rPr>
              <w:t>1494203 Ontario Inc. v. Nabil Ashkar</w:t>
            </w:r>
            <w:r w:rsidR="00C4156E">
              <w:rPr>
                <w:rStyle w:val="SCCLsocChar"/>
                <w:sz w:val="20"/>
                <w:szCs w:val="20"/>
                <w:lang w:val="en-CA"/>
              </w:rPr>
              <w:t xml:space="preserve"> and</w:t>
            </w:r>
            <w:r w:rsidRPr="000F2BC0">
              <w:rPr>
                <w:rStyle w:val="SCCLsocChar"/>
                <w:sz w:val="20"/>
                <w:szCs w:val="20"/>
                <w:lang w:val="en-CA"/>
              </w:rPr>
              <w:t xml:space="preserve"> Naifa Ashkar</w:t>
            </w:r>
            <w:r w:rsidRPr="000F2BC0">
              <w:rPr>
                <w:sz w:val="20"/>
                <w:szCs w:val="20"/>
              </w:rPr>
              <w:t xml:space="preserve"> (Ont.) (Civil) (By Leave)</w:t>
            </w:r>
          </w:p>
          <w:p w:rsidR="00425DAC" w:rsidRPr="000F2BC0" w:rsidRDefault="00425DAC" w:rsidP="001600B8">
            <w:pPr>
              <w:rPr>
                <w:sz w:val="20"/>
                <w:szCs w:val="20"/>
              </w:rPr>
            </w:pPr>
          </w:p>
        </w:tc>
      </w:tr>
      <w:tr w:rsidR="00425DAC" w:rsidRPr="000F2BC0" w:rsidTr="001600B8">
        <w:trPr>
          <w:cantSplit/>
        </w:trPr>
        <w:tc>
          <w:tcPr>
            <w:tcW w:w="1458" w:type="dxa"/>
          </w:tcPr>
          <w:p w:rsidR="00425DAC" w:rsidRPr="000F2BC0" w:rsidRDefault="00425DAC" w:rsidP="001600B8">
            <w:pPr>
              <w:rPr>
                <w:sz w:val="20"/>
                <w:szCs w:val="20"/>
              </w:rPr>
            </w:pPr>
            <w:r w:rsidRPr="000F2BC0">
              <w:rPr>
                <w:sz w:val="20"/>
                <w:szCs w:val="20"/>
              </w:rPr>
              <w:t>Coram :</w:t>
            </w:r>
          </w:p>
        </w:tc>
        <w:tc>
          <w:tcPr>
            <w:tcW w:w="8118" w:type="dxa"/>
          </w:tcPr>
          <w:p w:rsidR="00425DAC" w:rsidRPr="000F2BC0" w:rsidRDefault="00425DAC" w:rsidP="001600B8">
            <w:pPr>
              <w:rPr>
                <w:sz w:val="20"/>
                <w:szCs w:val="20"/>
              </w:rPr>
            </w:pPr>
            <w:r w:rsidRPr="000F2BC0">
              <w:rPr>
                <w:rStyle w:val="SCCCoramChar"/>
                <w:sz w:val="20"/>
                <w:szCs w:val="20"/>
                <w:lang w:val="en-CA"/>
              </w:rPr>
              <w:t>LeBel, Abella and Cromwell JJ.</w:t>
            </w:r>
          </w:p>
          <w:p w:rsidR="00425DAC" w:rsidRPr="000F2BC0" w:rsidRDefault="00425DAC" w:rsidP="001600B8">
            <w:pPr>
              <w:rPr>
                <w:sz w:val="20"/>
                <w:szCs w:val="20"/>
                <w:u w:val="single"/>
              </w:rPr>
            </w:pPr>
          </w:p>
        </w:tc>
      </w:tr>
      <w:tr w:rsidR="00425DAC" w:rsidRPr="00832ABE" w:rsidTr="001600B8">
        <w:trPr>
          <w:cantSplit/>
        </w:trPr>
        <w:tc>
          <w:tcPr>
            <w:tcW w:w="9576" w:type="dxa"/>
            <w:gridSpan w:val="2"/>
          </w:tcPr>
          <w:p w:rsidR="00425DAC" w:rsidRPr="000F2BC0" w:rsidRDefault="00425DAC" w:rsidP="001600B8">
            <w:pPr>
              <w:pStyle w:val="SCCShortJudgment"/>
              <w:rPr>
                <w:szCs w:val="20"/>
              </w:rPr>
            </w:pPr>
            <w:r w:rsidRPr="000F2BC0">
              <w:rPr>
                <w:szCs w:val="20"/>
              </w:rPr>
              <w:t>The application for leave to appeal from the judgment of the Court of Appeal for Ontario, Number C52911, 2011 ONCA 640, dated October 12, 2011, is dismissed with costs in accordance with the Tariff.</w:t>
            </w:r>
          </w:p>
          <w:p w:rsidR="00425DAC" w:rsidRPr="000F2BC0" w:rsidRDefault="00425DAC" w:rsidP="001600B8">
            <w:pPr>
              <w:pStyle w:val="SCCShortJudgment"/>
              <w:ind w:firstLine="0"/>
              <w:rPr>
                <w:szCs w:val="20"/>
              </w:rPr>
            </w:pPr>
          </w:p>
          <w:p w:rsidR="00425DAC" w:rsidRPr="000F2BC0" w:rsidRDefault="00425DAC" w:rsidP="001600B8">
            <w:pPr>
              <w:pStyle w:val="SCCShortJudgment"/>
              <w:rPr>
                <w:szCs w:val="20"/>
                <w:lang w:val="fr-CA"/>
              </w:rPr>
            </w:pPr>
            <w:r w:rsidRPr="000F2BC0">
              <w:rPr>
                <w:szCs w:val="20"/>
                <w:lang w:val="fr-CA"/>
              </w:rPr>
              <w:t>La demande d’autorisation d’appel de l’arrêt de la Cour d’appel de l’Ontario, numéro C52911, 2011 ONCA 640, daté du 12 octobre 2011, est rejetée avec dépens conformément au Tarif.</w:t>
            </w:r>
          </w:p>
        </w:tc>
      </w:tr>
    </w:tbl>
    <w:p w:rsidR="00140B84" w:rsidRPr="00425DAC" w:rsidRDefault="00140B84" w:rsidP="00140B84">
      <w:pPr>
        <w:rPr>
          <w:sz w:val="20"/>
          <w:szCs w:val="20"/>
          <w:lang w:val="fr-CA"/>
        </w:rPr>
      </w:pPr>
    </w:p>
    <w:p w:rsidR="004A3A0E" w:rsidRPr="00377F92" w:rsidRDefault="004A3A0E">
      <w:pPr>
        <w:rPr>
          <w:sz w:val="20"/>
          <w:szCs w:val="20"/>
          <w:u w:val="single"/>
          <w:lang w:val="fr-CA"/>
        </w:rPr>
      </w:pPr>
      <w:r w:rsidRPr="00377F92">
        <w:rPr>
          <w:sz w:val="20"/>
          <w:szCs w:val="20"/>
          <w:u w:val="single"/>
          <w:lang w:val="fr-CA"/>
        </w:rPr>
        <w:br w:type="page"/>
      </w: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F37" w:rsidRPr="009F4C66" w:rsidTr="00364F37">
        <w:tc>
          <w:tcPr>
            <w:tcW w:w="5000" w:type="pct"/>
            <w:gridSpan w:val="3"/>
          </w:tcPr>
          <w:p w:rsidR="00364F37" w:rsidRPr="009F4C66" w:rsidRDefault="00364F37" w:rsidP="00364F37">
            <w:pPr>
              <w:jc w:val="both"/>
              <w:rPr>
                <w:sz w:val="20"/>
              </w:rPr>
            </w:pPr>
            <w:r w:rsidRPr="009F4C66">
              <w:rPr>
                <w:sz w:val="20"/>
              </w:rPr>
              <w:t xml:space="preserve">Commercial law – Loans – Limitations – Whether the Court of Appeal erred in law in applying </w:t>
            </w:r>
            <w:r w:rsidRPr="009F4C66">
              <w:rPr>
                <w:i/>
                <w:sz w:val="20"/>
              </w:rPr>
              <w:t>Hare v. Hare</w:t>
            </w:r>
            <w:r w:rsidRPr="009F4C66">
              <w:rPr>
                <w:sz w:val="20"/>
              </w:rPr>
              <w:t xml:space="preserve"> 2006 CanLII 41650, which dealt with a demand note/loan, one so payable on its face (not this case) to a loan for an indefinite period of time and not so payable on its fact (this case)? Whether in doing so it confused a demand note/loan with a loan payable on demand?</w:t>
            </w:r>
          </w:p>
        </w:tc>
      </w:tr>
      <w:tr w:rsidR="00364F37" w:rsidRPr="009F4C66" w:rsidTr="00364F37">
        <w:tc>
          <w:tcPr>
            <w:tcW w:w="5000" w:type="pct"/>
            <w:gridSpan w:val="3"/>
          </w:tcPr>
          <w:p w:rsidR="00364F37" w:rsidRPr="009F4C66" w:rsidRDefault="00364F37" w:rsidP="00364F37">
            <w:pPr>
              <w:jc w:val="both"/>
              <w:rPr>
                <w:sz w:val="20"/>
              </w:rPr>
            </w:pPr>
          </w:p>
        </w:tc>
      </w:tr>
      <w:tr w:rsidR="00364F37" w:rsidRPr="009F4C66" w:rsidTr="00364F37">
        <w:tc>
          <w:tcPr>
            <w:tcW w:w="5000" w:type="pct"/>
            <w:gridSpan w:val="3"/>
          </w:tcPr>
          <w:p w:rsidR="00364F37" w:rsidRPr="009F4C66" w:rsidRDefault="00364F37" w:rsidP="00364F37">
            <w:pPr>
              <w:jc w:val="both"/>
              <w:rPr>
                <w:sz w:val="20"/>
              </w:rPr>
            </w:pPr>
            <w:r w:rsidRPr="009F4C66">
              <w:rPr>
                <w:sz w:val="20"/>
              </w:rPr>
              <w:t xml:space="preserve">Commercial law – Loans – Limitations – Whether the Court of Appeal erred in law in applying </w:t>
            </w:r>
            <w:r w:rsidRPr="009F4C66">
              <w:rPr>
                <w:i/>
                <w:sz w:val="20"/>
              </w:rPr>
              <w:t>Hare v. Hare</w:t>
            </w:r>
            <w:r w:rsidRPr="009F4C66">
              <w:rPr>
                <w:sz w:val="20"/>
              </w:rPr>
              <w:t xml:space="preserve"> 2006 CanLII 41650, which dealt with a demand note/loan, one so payable on its face (not this case) to a loan for an indefinite period of time and not so payable on its fact (this case)? Whether in doing so it confused a demand note/loan with a loan payable on demand?</w:t>
            </w:r>
          </w:p>
          <w:p w:rsidR="00364F37" w:rsidRPr="009F4C66" w:rsidRDefault="00364F37" w:rsidP="00364F37">
            <w:pPr>
              <w:jc w:val="both"/>
              <w:rPr>
                <w:sz w:val="20"/>
              </w:rPr>
            </w:pPr>
          </w:p>
        </w:tc>
      </w:tr>
      <w:tr w:rsidR="00364F37" w:rsidRPr="009F4C66" w:rsidTr="00364F37">
        <w:tc>
          <w:tcPr>
            <w:tcW w:w="2427" w:type="pct"/>
          </w:tcPr>
          <w:p w:rsidR="00364F37" w:rsidRPr="009F4C66" w:rsidRDefault="00364F37" w:rsidP="00364F37">
            <w:pPr>
              <w:jc w:val="both"/>
              <w:rPr>
                <w:sz w:val="20"/>
              </w:rPr>
            </w:pPr>
            <w:r w:rsidRPr="009F4C66">
              <w:rPr>
                <w:sz w:val="20"/>
              </w:rPr>
              <w:t>October 21, 2010</w:t>
            </w:r>
          </w:p>
          <w:p w:rsidR="00364F37" w:rsidRPr="009F4C66" w:rsidRDefault="00364F37" w:rsidP="00364F37">
            <w:pPr>
              <w:jc w:val="both"/>
              <w:rPr>
                <w:sz w:val="20"/>
              </w:rPr>
            </w:pPr>
            <w:r w:rsidRPr="009F4C66">
              <w:rPr>
                <w:sz w:val="20"/>
              </w:rPr>
              <w:t>Ontario Superior Court of Justice</w:t>
            </w:r>
          </w:p>
          <w:p w:rsidR="00364F37" w:rsidRPr="009F4C66" w:rsidRDefault="00364F37" w:rsidP="00364F37">
            <w:pPr>
              <w:jc w:val="both"/>
              <w:rPr>
                <w:sz w:val="20"/>
              </w:rPr>
            </w:pPr>
            <w:r w:rsidRPr="009F4C66">
              <w:rPr>
                <w:sz w:val="20"/>
              </w:rPr>
              <w:t>(Chapnik J.)</w:t>
            </w:r>
          </w:p>
          <w:p w:rsidR="00364F37" w:rsidRPr="009F4C66" w:rsidRDefault="00364F37" w:rsidP="00364F37">
            <w:pPr>
              <w:jc w:val="both"/>
              <w:rPr>
                <w:sz w:val="20"/>
              </w:rPr>
            </w:pP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rPr>
            </w:pPr>
            <w:r w:rsidRPr="009F4C66">
              <w:rPr>
                <w:sz w:val="20"/>
              </w:rPr>
              <w:t>Applicant’s motion for order striking statement of claim as statute-barred, allowed</w:t>
            </w:r>
          </w:p>
          <w:p w:rsidR="00364F37" w:rsidRPr="009F4C66" w:rsidRDefault="00364F37" w:rsidP="00364F37">
            <w:pPr>
              <w:jc w:val="both"/>
              <w:rPr>
                <w:sz w:val="20"/>
              </w:rPr>
            </w:pPr>
          </w:p>
        </w:tc>
      </w:tr>
      <w:tr w:rsidR="00364F37" w:rsidRPr="009F4C66" w:rsidTr="00364F37">
        <w:tc>
          <w:tcPr>
            <w:tcW w:w="2427" w:type="pct"/>
          </w:tcPr>
          <w:p w:rsidR="00364F37" w:rsidRPr="009F4C66" w:rsidRDefault="00364F37" w:rsidP="00364F37">
            <w:pPr>
              <w:jc w:val="both"/>
              <w:rPr>
                <w:sz w:val="20"/>
              </w:rPr>
            </w:pPr>
            <w:r w:rsidRPr="009F4C66">
              <w:rPr>
                <w:sz w:val="20"/>
              </w:rPr>
              <w:t>October 12, 2011</w:t>
            </w:r>
          </w:p>
          <w:p w:rsidR="00364F37" w:rsidRPr="009F4C66" w:rsidRDefault="00364F37" w:rsidP="00364F37">
            <w:pPr>
              <w:jc w:val="both"/>
              <w:rPr>
                <w:sz w:val="20"/>
              </w:rPr>
            </w:pPr>
            <w:r w:rsidRPr="009F4C66">
              <w:rPr>
                <w:sz w:val="20"/>
              </w:rPr>
              <w:t>Court of Appeal for Ontario</w:t>
            </w:r>
          </w:p>
          <w:p w:rsidR="00364F37" w:rsidRPr="009F4C66" w:rsidRDefault="00364F37" w:rsidP="00364F37">
            <w:pPr>
              <w:jc w:val="both"/>
              <w:rPr>
                <w:sz w:val="20"/>
              </w:rPr>
            </w:pPr>
            <w:r w:rsidRPr="009F4C66">
              <w:rPr>
                <w:sz w:val="20"/>
              </w:rPr>
              <w:t>(Blair, LaForme and Benotto JJ.A.)</w:t>
            </w:r>
          </w:p>
          <w:p w:rsidR="00364F37" w:rsidRPr="009F4C66" w:rsidRDefault="00364F37" w:rsidP="00364F37">
            <w:pPr>
              <w:jc w:val="both"/>
              <w:rPr>
                <w:sz w:val="20"/>
              </w:rPr>
            </w:pP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rPr>
            </w:pPr>
            <w:r w:rsidRPr="009F4C66">
              <w:rPr>
                <w:sz w:val="20"/>
              </w:rPr>
              <w:t>Appeal dismissed</w:t>
            </w:r>
          </w:p>
          <w:p w:rsidR="00364F37" w:rsidRPr="009F4C66" w:rsidRDefault="00364F37" w:rsidP="00364F37">
            <w:pPr>
              <w:jc w:val="both"/>
              <w:rPr>
                <w:sz w:val="20"/>
              </w:rPr>
            </w:pPr>
          </w:p>
        </w:tc>
      </w:tr>
      <w:tr w:rsidR="00364F37" w:rsidRPr="009F4C66" w:rsidTr="00364F37">
        <w:tc>
          <w:tcPr>
            <w:tcW w:w="2427" w:type="pct"/>
          </w:tcPr>
          <w:p w:rsidR="00364F37" w:rsidRPr="009F4C66" w:rsidRDefault="00364F37" w:rsidP="00364F37">
            <w:pPr>
              <w:jc w:val="both"/>
              <w:rPr>
                <w:sz w:val="20"/>
              </w:rPr>
            </w:pPr>
            <w:r w:rsidRPr="009F4C66">
              <w:rPr>
                <w:sz w:val="20"/>
              </w:rPr>
              <w:t>December 9, 2011</w:t>
            </w:r>
          </w:p>
          <w:p w:rsidR="00364F37" w:rsidRPr="009F4C66" w:rsidRDefault="00364F37" w:rsidP="00364F37">
            <w:pPr>
              <w:jc w:val="both"/>
              <w:rPr>
                <w:sz w:val="20"/>
              </w:rPr>
            </w:pPr>
            <w:r w:rsidRPr="009F4C66">
              <w:rPr>
                <w:sz w:val="20"/>
              </w:rPr>
              <w:t>Supreme Court of Canada</w:t>
            </w: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rPr>
            </w:pPr>
            <w:r w:rsidRPr="009F4C66">
              <w:rPr>
                <w:sz w:val="20"/>
              </w:rPr>
              <w:t>Application for leave to appeal filed</w:t>
            </w:r>
          </w:p>
          <w:p w:rsidR="00364F37" w:rsidRPr="009F4C66" w:rsidRDefault="00364F37" w:rsidP="00364F37">
            <w:pPr>
              <w:jc w:val="both"/>
              <w:rPr>
                <w:sz w:val="20"/>
              </w:rPr>
            </w:pP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82"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F37" w:rsidRPr="006403D0" w:rsidTr="00364F37">
        <w:tc>
          <w:tcPr>
            <w:tcW w:w="5000" w:type="pct"/>
            <w:gridSpan w:val="3"/>
          </w:tcPr>
          <w:p w:rsidR="00364F37" w:rsidRPr="009F4C66" w:rsidRDefault="00364F37" w:rsidP="00364F37">
            <w:pPr>
              <w:jc w:val="both"/>
              <w:rPr>
                <w:sz w:val="20"/>
                <w:lang w:val="fr-FR"/>
              </w:rPr>
            </w:pPr>
            <w:r w:rsidRPr="009F4C66">
              <w:rPr>
                <w:sz w:val="20"/>
                <w:lang w:val="fr-FR"/>
              </w:rPr>
              <w:t>Droit commercial – Prêts – Délais de prescription – La Cour d’appel a</w:t>
            </w:r>
            <w:r w:rsidRPr="009F4C66">
              <w:rPr>
                <w:sz w:val="20"/>
                <w:lang w:val="fr-FR"/>
              </w:rPr>
              <w:noBreakHyphen/>
              <w:t>t</w:t>
            </w:r>
            <w:r w:rsidRPr="009F4C66">
              <w:rPr>
                <w:sz w:val="20"/>
                <w:lang w:val="fr-FR"/>
              </w:rPr>
              <w:noBreakHyphen/>
              <w:t xml:space="preserve">elle commis une erreur de droit en appliquant la décision </w:t>
            </w:r>
            <w:r w:rsidRPr="009F4C66">
              <w:rPr>
                <w:i/>
                <w:sz w:val="20"/>
                <w:lang w:val="fr-FR"/>
              </w:rPr>
              <w:t>Hare c. Hare</w:t>
            </w:r>
            <w:r w:rsidRPr="009F4C66">
              <w:rPr>
                <w:sz w:val="20"/>
                <w:lang w:val="fr-FR"/>
              </w:rPr>
              <w:t>, 2006 CanLII 41650, qui portait sur un billet ou prêt à demande remboursable à vue (ce qui n’est pas le cas en l’espèce), à un prêt consenti pour un temps indéterminé et non remboursable à vue (en l’espèce)? A</w:t>
            </w:r>
            <w:r w:rsidRPr="009F4C66">
              <w:rPr>
                <w:sz w:val="20"/>
                <w:lang w:val="fr-FR"/>
              </w:rPr>
              <w:noBreakHyphen/>
              <w:t>t</w:t>
            </w:r>
            <w:r w:rsidRPr="009F4C66">
              <w:rPr>
                <w:sz w:val="20"/>
                <w:lang w:val="fr-FR"/>
              </w:rPr>
              <w:noBreakHyphen/>
              <w:t>elle confondu ainsi un billet ou prêt à demande et un prêt payable sur demande?</w:t>
            </w:r>
          </w:p>
        </w:tc>
      </w:tr>
      <w:tr w:rsidR="00364F37" w:rsidRPr="006403D0" w:rsidTr="00364F37">
        <w:tc>
          <w:tcPr>
            <w:tcW w:w="5000" w:type="pct"/>
            <w:gridSpan w:val="3"/>
          </w:tcPr>
          <w:p w:rsidR="00364F37" w:rsidRPr="009F4C66" w:rsidRDefault="00364F37" w:rsidP="00364F37">
            <w:pPr>
              <w:jc w:val="both"/>
              <w:rPr>
                <w:sz w:val="20"/>
                <w:lang w:val="fr-FR"/>
              </w:rPr>
            </w:pPr>
          </w:p>
        </w:tc>
      </w:tr>
      <w:tr w:rsidR="00364F37" w:rsidRPr="006403D0" w:rsidTr="00364F37">
        <w:tc>
          <w:tcPr>
            <w:tcW w:w="5000" w:type="pct"/>
            <w:gridSpan w:val="3"/>
          </w:tcPr>
          <w:p w:rsidR="00364F37" w:rsidRPr="009F4C66" w:rsidRDefault="00364F37" w:rsidP="00364F37">
            <w:pPr>
              <w:jc w:val="both"/>
              <w:rPr>
                <w:sz w:val="20"/>
                <w:lang w:val="fr-FR"/>
              </w:rPr>
            </w:pPr>
            <w:r w:rsidRPr="009F4C66">
              <w:rPr>
                <w:sz w:val="20"/>
                <w:lang w:val="fr-FR"/>
              </w:rPr>
              <w:t>Droit commercial – Prêts – Délais de prescription – La Cour d’appel a</w:t>
            </w:r>
            <w:r w:rsidRPr="009F4C66">
              <w:rPr>
                <w:sz w:val="20"/>
                <w:lang w:val="fr-FR"/>
              </w:rPr>
              <w:noBreakHyphen/>
              <w:t>t</w:t>
            </w:r>
            <w:r w:rsidRPr="009F4C66">
              <w:rPr>
                <w:sz w:val="20"/>
                <w:lang w:val="fr-FR"/>
              </w:rPr>
              <w:noBreakHyphen/>
              <w:t xml:space="preserve">elle commis une erreur de droit en appliquant la décision </w:t>
            </w:r>
            <w:r w:rsidRPr="009F4C66">
              <w:rPr>
                <w:i/>
                <w:sz w:val="20"/>
                <w:lang w:val="fr-FR"/>
              </w:rPr>
              <w:t>Hare c. Hare</w:t>
            </w:r>
            <w:r w:rsidRPr="009F4C66">
              <w:rPr>
                <w:sz w:val="20"/>
                <w:lang w:val="fr-FR"/>
              </w:rPr>
              <w:t>, 2006 CanLII 41650, qui portrait sur un billet ou prêt à demande remboursable à vue (ce qui n’est pas le cas en l’espèce), à un prêt consenti pour un temps indéterminé et non remboursable à vue (en l’espèce)? A</w:t>
            </w:r>
            <w:r w:rsidRPr="009F4C66">
              <w:rPr>
                <w:sz w:val="20"/>
                <w:lang w:val="fr-FR"/>
              </w:rPr>
              <w:noBreakHyphen/>
              <w:t>t</w:t>
            </w:r>
            <w:r w:rsidRPr="009F4C66">
              <w:rPr>
                <w:sz w:val="20"/>
                <w:lang w:val="fr-FR"/>
              </w:rPr>
              <w:noBreakHyphen/>
              <w:t xml:space="preserve">elle confondu ainsi un billet ou prêt à demande et un prêt payable sur demande? </w:t>
            </w:r>
          </w:p>
        </w:tc>
      </w:tr>
      <w:tr w:rsidR="00364F37" w:rsidRPr="006403D0" w:rsidTr="00364F37">
        <w:tc>
          <w:tcPr>
            <w:tcW w:w="5000" w:type="pct"/>
            <w:gridSpan w:val="3"/>
          </w:tcPr>
          <w:p w:rsidR="00364F37" w:rsidRPr="009F4C66" w:rsidRDefault="00364F37" w:rsidP="00364F37">
            <w:pPr>
              <w:jc w:val="both"/>
              <w:rPr>
                <w:sz w:val="20"/>
                <w:lang w:val="fr-FR"/>
              </w:rPr>
            </w:pPr>
          </w:p>
        </w:tc>
      </w:tr>
      <w:tr w:rsidR="00364F37" w:rsidRPr="006403D0" w:rsidTr="00364F37">
        <w:tc>
          <w:tcPr>
            <w:tcW w:w="2427" w:type="pct"/>
          </w:tcPr>
          <w:p w:rsidR="00364F37" w:rsidRPr="009F4C66" w:rsidRDefault="00364F37" w:rsidP="00364F37">
            <w:pPr>
              <w:jc w:val="both"/>
              <w:rPr>
                <w:sz w:val="20"/>
                <w:lang w:val="fr-FR"/>
              </w:rPr>
            </w:pPr>
            <w:r w:rsidRPr="009F4C66">
              <w:rPr>
                <w:sz w:val="20"/>
                <w:lang w:val="fr-FR"/>
              </w:rPr>
              <w:t>21 octobre 2010</w:t>
            </w:r>
          </w:p>
          <w:p w:rsidR="00364F37" w:rsidRPr="009F4C66" w:rsidRDefault="00364F37" w:rsidP="00364F37">
            <w:pPr>
              <w:jc w:val="both"/>
              <w:rPr>
                <w:sz w:val="20"/>
                <w:lang w:val="fr-FR"/>
              </w:rPr>
            </w:pPr>
            <w:r w:rsidRPr="009F4C66">
              <w:rPr>
                <w:sz w:val="20"/>
                <w:lang w:val="fr-FR"/>
              </w:rPr>
              <w:t xml:space="preserve">Cour supérieure de justice de l’Ontario </w:t>
            </w:r>
          </w:p>
          <w:p w:rsidR="00364F37" w:rsidRPr="009F4C66" w:rsidRDefault="00364F37" w:rsidP="00364F37">
            <w:pPr>
              <w:jc w:val="both"/>
              <w:rPr>
                <w:sz w:val="20"/>
              </w:rPr>
            </w:pPr>
            <w:r w:rsidRPr="009F4C66">
              <w:rPr>
                <w:sz w:val="20"/>
              </w:rPr>
              <w:t>(Juge Chapnik)</w:t>
            </w:r>
          </w:p>
          <w:p w:rsidR="00364F37" w:rsidRPr="009F4C66" w:rsidRDefault="00364F37" w:rsidP="00364F37">
            <w:pPr>
              <w:jc w:val="both"/>
              <w:rPr>
                <w:sz w:val="20"/>
              </w:rPr>
            </w:pP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lang w:val="fr-FR"/>
              </w:rPr>
            </w:pPr>
            <w:r w:rsidRPr="009F4C66">
              <w:rPr>
                <w:sz w:val="20"/>
                <w:lang w:val="fr-FR"/>
              </w:rPr>
              <w:t xml:space="preserve">Requête de la demanderesse en vue d’obtenir une ordonnance radiant la déclaration pour cause de prescription, accueillie </w:t>
            </w:r>
          </w:p>
          <w:p w:rsidR="00364F37" w:rsidRPr="009F4C66" w:rsidRDefault="00364F37" w:rsidP="00364F37">
            <w:pPr>
              <w:jc w:val="both"/>
              <w:rPr>
                <w:sz w:val="20"/>
                <w:lang w:val="fr-FR"/>
              </w:rPr>
            </w:pPr>
          </w:p>
        </w:tc>
      </w:tr>
      <w:tr w:rsidR="00364F37" w:rsidRPr="009F4C66" w:rsidTr="00364F37">
        <w:tc>
          <w:tcPr>
            <w:tcW w:w="2427" w:type="pct"/>
          </w:tcPr>
          <w:p w:rsidR="00364F37" w:rsidRPr="009F4C66" w:rsidRDefault="00364F37" w:rsidP="00364F37">
            <w:pPr>
              <w:jc w:val="both"/>
              <w:rPr>
                <w:sz w:val="20"/>
                <w:lang w:val="fr-FR"/>
              </w:rPr>
            </w:pPr>
            <w:r w:rsidRPr="009F4C66">
              <w:rPr>
                <w:sz w:val="20"/>
                <w:lang w:val="fr-FR"/>
              </w:rPr>
              <w:t>12 octobre 2011</w:t>
            </w:r>
          </w:p>
          <w:p w:rsidR="00364F37" w:rsidRPr="009F4C66" w:rsidRDefault="00364F37" w:rsidP="00364F37">
            <w:pPr>
              <w:jc w:val="both"/>
              <w:rPr>
                <w:sz w:val="20"/>
                <w:lang w:val="fr-FR"/>
              </w:rPr>
            </w:pPr>
            <w:r w:rsidRPr="009F4C66">
              <w:rPr>
                <w:sz w:val="20"/>
                <w:lang w:val="fr-FR"/>
              </w:rPr>
              <w:t>Cour d’appel de l’Ontario</w:t>
            </w:r>
          </w:p>
          <w:p w:rsidR="00364F37" w:rsidRPr="009F4C66" w:rsidRDefault="00364F37" w:rsidP="00364F37">
            <w:pPr>
              <w:jc w:val="both"/>
              <w:rPr>
                <w:sz w:val="20"/>
                <w:lang w:val="fr-FR"/>
              </w:rPr>
            </w:pPr>
            <w:r w:rsidRPr="009F4C66">
              <w:rPr>
                <w:sz w:val="20"/>
                <w:lang w:val="fr-FR"/>
              </w:rPr>
              <w:t>(Juges Blair, LaForme et Benotto)</w:t>
            </w:r>
          </w:p>
          <w:p w:rsidR="00364F37" w:rsidRPr="009F4C66" w:rsidRDefault="00364F37" w:rsidP="00364F37">
            <w:pPr>
              <w:jc w:val="both"/>
              <w:rPr>
                <w:sz w:val="20"/>
                <w:lang w:val="fr-FR"/>
              </w:rPr>
            </w:pPr>
          </w:p>
        </w:tc>
        <w:tc>
          <w:tcPr>
            <w:tcW w:w="243" w:type="pct"/>
          </w:tcPr>
          <w:p w:rsidR="00364F37" w:rsidRPr="009F4C66" w:rsidRDefault="00364F37" w:rsidP="00364F37">
            <w:pPr>
              <w:jc w:val="both"/>
              <w:rPr>
                <w:sz w:val="20"/>
                <w:lang w:val="fr-FR"/>
              </w:rPr>
            </w:pPr>
          </w:p>
        </w:tc>
        <w:tc>
          <w:tcPr>
            <w:tcW w:w="2330" w:type="pct"/>
          </w:tcPr>
          <w:p w:rsidR="00364F37" w:rsidRPr="009F4C66" w:rsidRDefault="00364F37" w:rsidP="00364F37">
            <w:pPr>
              <w:jc w:val="both"/>
              <w:rPr>
                <w:sz w:val="20"/>
              </w:rPr>
            </w:pPr>
            <w:r w:rsidRPr="009F4C66">
              <w:rPr>
                <w:sz w:val="20"/>
              </w:rPr>
              <w:t>Appel rejeté</w:t>
            </w:r>
          </w:p>
          <w:p w:rsidR="00364F37" w:rsidRPr="009F4C66" w:rsidRDefault="00364F37" w:rsidP="00364F37">
            <w:pPr>
              <w:jc w:val="both"/>
              <w:rPr>
                <w:sz w:val="20"/>
              </w:rPr>
            </w:pPr>
          </w:p>
        </w:tc>
      </w:tr>
      <w:tr w:rsidR="00364F37" w:rsidRPr="009F4C66" w:rsidTr="00364F37">
        <w:tc>
          <w:tcPr>
            <w:tcW w:w="2427" w:type="pct"/>
          </w:tcPr>
          <w:p w:rsidR="00364F37" w:rsidRPr="00880709" w:rsidRDefault="00364F37" w:rsidP="00364F37">
            <w:pPr>
              <w:jc w:val="both"/>
              <w:rPr>
                <w:sz w:val="20"/>
                <w:lang w:val="fr-CA"/>
              </w:rPr>
            </w:pPr>
            <w:r w:rsidRPr="00880709">
              <w:rPr>
                <w:sz w:val="20"/>
                <w:lang w:val="fr-CA"/>
              </w:rPr>
              <w:t>9 décembre 2011</w:t>
            </w:r>
          </w:p>
          <w:p w:rsidR="00364F37" w:rsidRPr="00880709" w:rsidRDefault="00364F37" w:rsidP="00364F37">
            <w:pPr>
              <w:jc w:val="both"/>
              <w:rPr>
                <w:sz w:val="20"/>
                <w:lang w:val="fr-CA"/>
              </w:rPr>
            </w:pPr>
            <w:r w:rsidRPr="00880709">
              <w:rPr>
                <w:sz w:val="20"/>
                <w:lang w:val="fr-CA"/>
              </w:rPr>
              <w:t>Cour suprême du Canada</w:t>
            </w:r>
          </w:p>
        </w:tc>
        <w:tc>
          <w:tcPr>
            <w:tcW w:w="243" w:type="pct"/>
          </w:tcPr>
          <w:p w:rsidR="00364F37" w:rsidRPr="00880709" w:rsidRDefault="00364F37" w:rsidP="00364F37">
            <w:pPr>
              <w:jc w:val="both"/>
              <w:rPr>
                <w:sz w:val="20"/>
                <w:lang w:val="fr-CA"/>
              </w:rPr>
            </w:pPr>
          </w:p>
        </w:tc>
        <w:tc>
          <w:tcPr>
            <w:tcW w:w="2330" w:type="pct"/>
          </w:tcPr>
          <w:p w:rsidR="00364F37" w:rsidRPr="009F4C66" w:rsidRDefault="00364F37" w:rsidP="00364F37">
            <w:pPr>
              <w:jc w:val="both"/>
              <w:rPr>
                <w:sz w:val="20"/>
              </w:rPr>
            </w:pPr>
            <w:r w:rsidRPr="009F4C66">
              <w:rPr>
                <w:sz w:val="20"/>
              </w:rPr>
              <w:t xml:space="preserve">Demande d’autorisation d’appel déposée </w:t>
            </w:r>
          </w:p>
          <w:p w:rsidR="00364F37" w:rsidRPr="009F4C66" w:rsidRDefault="00364F37" w:rsidP="00364F37">
            <w:pPr>
              <w:jc w:val="both"/>
              <w:rPr>
                <w:sz w:val="20"/>
              </w:rPr>
            </w:pPr>
          </w:p>
        </w:tc>
      </w:tr>
    </w:tbl>
    <w:p w:rsidR="00140B84" w:rsidRDefault="00140B84" w:rsidP="00140B84">
      <w:pPr>
        <w:rPr>
          <w:sz w:val="20"/>
          <w:szCs w:val="20"/>
        </w:rPr>
      </w:pPr>
    </w:p>
    <w:p w:rsidR="00140B84" w:rsidRDefault="00E5065D" w:rsidP="00140B84">
      <w:pPr>
        <w:rPr>
          <w:sz w:val="20"/>
          <w:szCs w:val="20"/>
          <w:lang w:val="fr-CA"/>
        </w:rPr>
      </w:pPr>
      <w:r w:rsidRPr="00E5065D">
        <w:rPr>
          <w:sz w:val="20"/>
          <w:szCs w:val="20"/>
          <w:lang w:val="fr-CA"/>
        </w:rPr>
        <w:pict>
          <v:rect id="_x0000_i1083"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425DAC" w:rsidTr="001600B8">
        <w:trPr>
          <w:cantSplit/>
        </w:trPr>
        <w:tc>
          <w:tcPr>
            <w:tcW w:w="1458" w:type="dxa"/>
          </w:tcPr>
          <w:p w:rsidR="00425DAC" w:rsidRPr="00425DAC" w:rsidRDefault="00425DAC" w:rsidP="001600B8">
            <w:pPr>
              <w:rPr>
                <w:sz w:val="20"/>
                <w:szCs w:val="20"/>
              </w:rPr>
            </w:pPr>
            <w:r w:rsidRPr="00425DAC">
              <w:rPr>
                <w:rStyle w:val="SCCFileNumberChar"/>
                <w:sz w:val="20"/>
                <w:szCs w:val="20"/>
              </w:rPr>
              <w:t>34589</w:t>
            </w:r>
          </w:p>
          <w:p w:rsidR="00425DAC" w:rsidRPr="00425DAC" w:rsidRDefault="00425DAC" w:rsidP="001600B8">
            <w:pPr>
              <w:rPr>
                <w:b/>
                <w:sz w:val="20"/>
                <w:szCs w:val="20"/>
                <w:lang w:val="fr-CA"/>
              </w:rPr>
            </w:pPr>
          </w:p>
        </w:tc>
        <w:tc>
          <w:tcPr>
            <w:tcW w:w="8118" w:type="dxa"/>
          </w:tcPr>
          <w:p w:rsidR="00425DAC" w:rsidRPr="00425DAC" w:rsidRDefault="00425DAC" w:rsidP="001600B8">
            <w:pPr>
              <w:rPr>
                <w:sz w:val="20"/>
                <w:szCs w:val="20"/>
              </w:rPr>
            </w:pPr>
            <w:r w:rsidRPr="00425DAC">
              <w:rPr>
                <w:rStyle w:val="SCCLsocChar"/>
                <w:sz w:val="20"/>
                <w:szCs w:val="20"/>
                <w:lang w:val="en-CA"/>
              </w:rPr>
              <w:t>Wayne Foster Yates v. Her Majesty the Queen</w:t>
            </w:r>
            <w:r w:rsidRPr="00425DAC">
              <w:rPr>
                <w:sz w:val="20"/>
                <w:szCs w:val="20"/>
              </w:rPr>
              <w:t xml:space="preserve"> (Alta.) (Criminal) (By Leave)</w:t>
            </w:r>
          </w:p>
          <w:p w:rsidR="00425DAC" w:rsidRPr="00425DAC" w:rsidRDefault="00425DAC" w:rsidP="001600B8">
            <w:pPr>
              <w:rPr>
                <w:sz w:val="20"/>
                <w:szCs w:val="20"/>
              </w:rPr>
            </w:pPr>
          </w:p>
        </w:tc>
      </w:tr>
      <w:tr w:rsidR="00425DAC" w:rsidRPr="00425DAC" w:rsidTr="001600B8">
        <w:trPr>
          <w:cantSplit/>
        </w:trPr>
        <w:tc>
          <w:tcPr>
            <w:tcW w:w="1458" w:type="dxa"/>
          </w:tcPr>
          <w:p w:rsidR="00425DAC" w:rsidRPr="00425DAC" w:rsidRDefault="00425DAC" w:rsidP="001600B8">
            <w:pPr>
              <w:rPr>
                <w:sz w:val="20"/>
                <w:szCs w:val="20"/>
              </w:rPr>
            </w:pPr>
            <w:r w:rsidRPr="00425DAC">
              <w:rPr>
                <w:sz w:val="20"/>
                <w:szCs w:val="20"/>
              </w:rPr>
              <w:t>Coram :</w:t>
            </w:r>
          </w:p>
        </w:tc>
        <w:tc>
          <w:tcPr>
            <w:tcW w:w="8118" w:type="dxa"/>
          </w:tcPr>
          <w:p w:rsidR="00425DAC" w:rsidRPr="00425DAC" w:rsidRDefault="00425DAC" w:rsidP="001600B8">
            <w:pPr>
              <w:rPr>
                <w:sz w:val="20"/>
                <w:szCs w:val="20"/>
              </w:rPr>
            </w:pPr>
            <w:r w:rsidRPr="00425DAC">
              <w:rPr>
                <w:rStyle w:val="SCCCoramChar"/>
                <w:sz w:val="20"/>
                <w:szCs w:val="20"/>
                <w:lang w:val="en-CA"/>
              </w:rPr>
              <w:t>LeBel, Abella and Cromwell JJ.</w:t>
            </w:r>
          </w:p>
          <w:p w:rsidR="00425DAC" w:rsidRPr="00425DAC" w:rsidRDefault="00425DAC" w:rsidP="001600B8">
            <w:pPr>
              <w:rPr>
                <w:sz w:val="20"/>
                <w:szCs w:val="20"/>
                <w:u w:val="single"/>
              </w:rPr>
            </w:pPr>
          </w:p>
        </w:tc>
      </w:tr>
      <w:tr w:rsidR="00425DAC" w:rsidRPr="006403D0" w:rsidTr="001600B8">
        <w:trPr>
          <w:cantSplit/>
        </w:trPr>
        <w:tc>
          <w:tcPr>
            <w:tcW w:w="9576" w:type="dxa"/>
            <w:gridSpan w:val="2"/>
          </w:tcPr>
          <w:p w:rsidR="00425DAC" w:rsidRPr="00425DAC" w:rsidRDefault="00425DAC" w:rsidP="001600B8">
            <w:pPr>
              <w:pStyle w:val="SCCShortJudgment"/>
              <w:rPr>
                <w:szCs w:val="20"/>
              </w:rPr>
            </w:pPr>
            <w:r w:rsidRPr="00425DAC">
              <w:rPr>
                <w:szCs w:val="20"/>
              </w:rPr>
              <w:t>The motion for an extension of time to serve and file the application for leave to appeal is granted. The application for leave to appeal from the judgment of the Court of Appeal of Alberta (Edmonton), Number 0903-0062-A, 2011 ABCA 43, dated February 7, 2011, is dismissed without costs.</w:t>
            </w:r>
          </w:p>
          <w:p w:rsidR="00425DAC" w:rsidRPr="00425DAC" w:rsidRDefault="00425DAC" w:rsidP="001600B8">
            <w:pPr>
              <w:pStyle w:val="SCCShortJudgment"/>
              <w:ind w:firstLine="0"/>
              <w:rPr>
                <w:szCs w:val="20"/>
              </w:rPr>
            </w:pPr>
          </w:p>
          <w:p w:rsidR="00425DAC" w:rsidRPr="00425DAC" w:rsidRDefault="00425DAC" w:rsidP="001600B8">
            <w:pPr>
              <w:pStyle w:val="SCCShortJudgment"/>
              <w:rPr>
                <w:szCs w:val="20"/>
                <w:lang w:val="fr-CA"/>
              </w:rPr>
            </w:pPr>
            <w:r w:rsidRPr="00425DAC">
              <w:rPr>
                <w:szCs w:val="20"/>
                <w:lang w:val="fr-CA"/>
              </w:rPr>
              <w:t>La requête en prorogation du délai de signification et de dépôt de la demande d’autorisation d’appel est accordée. La demande d’autorisation d’appel de l’arrêt de la Cour d'appel de l’Alberta (Edmonton), numéro 0903-0062-A, 2011 ABCA 43, daté du 7 février 2011, est rejetée sans dépens.</w:t>
            </w:r>
          </w:p>
        </w:tc>
      </w:tr>
    </w:tbl>
    <w:p w:rsidR="00140B84" w:rsidRPr="00214CB8" w:rsidRDefault="00140B84" w:rsidP="00140B84">
      <w:pPr>
        <w:rPr>
          <w:sz w:val="20"/>
          <w:szCs w:val="20"/>
          <w:lang w:val="fr-CA"/>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F37" w:rsidRPr="009F4C66" w:rsidTr="00364F37">
        <w:tc>
          <w:tcPr>
            <w:tcW w:w="5000" w:type="pct"/>
            <w:gridSpan w:val="3"/>
          </w:tcPr>
          <w:p w:rsidR="00364F37" w:rsidRPr="009F4C66" w:rsidRDefault="00364F37" w:rsidP="00364F37">
            <w:pPr>
              <w:jc w:val="both"/>
              <w:rPr>
                <w:sz w:val="20"/>
              </w:rPr>
            </w:pPr>
            <w:r w:rsidRPr="009F4C66">
              <w:rPr>
                <w:sz w:val="20"/>
              </w:rPr>
              <w:t xml:space="preserve">Criminal law – Jury charge – Intoxication – Provocation –  Whether trial judge erred in law by failing to provide proper instructions to the jury regarding intoxication and provocation and whether such instructions cannot be adequate for the purposes of applying the curative proviso in s. 686(1)(b)(iii) of the </w:t>
            </w:r>
            <w:r w:rsidRPr="009F4C66">
              <w:rPr>
                <w:i/>
                <w:sz w:val="20"/>
              </w:rPr>
              <w:t>Criminal Code</w:t>
            </w:r>
          </w:p>
        </w:tc>
      </w:tr>
      <w:tr w:rsidR="00364F37" w:rsidRPr="009F4C66" w:rsidTr="00364F37">
        <w:tc>
          <w:tcPr>
            <w:tcW w:w="5000" w:type="pct"/>
            <w:gridSpan w:val="3"/>
          </w:tcPr>
          <w:p w:rsidR="00364F37" w:rsidRPr="009F4C66" w:rsidRDefault="00364F37" w:rsidP="00364F37">
            <w:pPr>
              <w:jc w:val="both"/>
              <w:rPr>
                <w:sz w:val="20"/>
              </w:rPr>
            </w:pPr>
          </w:p>
        </w:tc>
      </w:tr>
      <w:tr w:rsidR="00364F37" w:rsidRPr="009F4C66" w:rsidTr="00364F37">
        <w:tc>
          <w:tcPr>
            <w:tcW w:w="5000" w:type="pct"/>
            <w:gridSpan w:val="3"/>
          </w:tcPr>
          <w:p w:rsidR="00364F37" w:rsidRPr="009F4C66" w:rsidRDefault="00364F37" w:rsidP="00364F37">
            <w:pPr>
              <w:jc w:val="both"/>
              <w:rPr>
                <w:sz w:val="20"/>
              </w:rPr>
            </w:pPr>
            <w:r w:rsidRPr="009F4C66">
              <w:rPr>
                <w:sz w:val="20"/>
              </w:rPr>
              <w:t>Yates was convicted by a jury of the first degree murder of his roommate, James Brideau, who was killed by a gunshot wound to the back of his head fired at close range. Brideau’s trailer was set on fire after the shooting. Yates' position at trial was that he was guilty of manslaughter, not murder, because he was intoxicated at the time of the shooting and Brideau had provoked him by making crude, sexual remarks about Yates’ sister. He claimed that he did not recall setting the trailer on fire.  On appeal, he argued in part that the jury charge failed to adequately explain the defences of intoxication and provocation.</w:t>
            </w:r>
          </w:p>
          <w:p w:rsidR="00364F37" w:rsidRPr="009F4C66" w:rsidRDefault="00364F37" w:rsidP="00364F37">
            <w:pPr>
              <w:jc w:val="both"/>
              <w:rPr>
                <w:sz w:val="20"/>
              </w:rPr>
            </w:pPr>
          </w:p>
        </w:tc>
      </w:tr>
      <w:tr w:rsidR="00364F37" w:rsidRPr="009F4C66" w:rsidTr="00364F37">
        <w:tc>
          <w:tcPr>
            <w:tcW w:w="2427" w:type="pct"/>
          </w:tcPr>
          <w:p w:rsidR="00364F37" w:rsidRPr="009F4C66" w:rsidRDefault="00364F37" w:rsidP="00364F37">
            <w:pPr>
              <w:jc w:val="both"/>
              <w:rPr>
                <w:sz w:val="20"/>
              </w:rPr>
            </w:pPr>
            <w:r w:rsidRPr="009F4C66">
              <w:rPr>
                <w:sz w:val="20"/>
              </w:rPr>
              <w:t>February 18, 2009</w:t>
            </w:r>
          </w:p>
          <w:p w:rsidR="00364F37" w:rsidRPr="009F4C66" w:rsidRDefault="00364F37" w:rsidP="00364F37">
            <w:pPr>
              <w:jc w:val="both"/>
              <w:rPr>
                <w:sz w:val="20"/>
              </w:rPr>
            </w:pPr>
            <w:r w:rsidRPr="009F4C66">
              <w:rPr>
                <w:sz w:val="20"/>
              </w:rPr>
              <w:t>Court of Queen’s Bench of Alberta</w:t>
            </w:r>
          </w:p>
          <w:p w:rsidR="00364F37" w:rsidRPr="009F4C66" w:rsidRDefault="00364F37" w:rsidP="00364F37">
            <w:pPr>
              <w:jc w:val="both"/>
              <w:rPr>
                <w:sz w:val="20"/>
              </w:rPr>
            </w:pPr>
            <w:r w:rsidRPr="009F4C66">
              <w:rPr>
                <w:sz w:val="20"/>
              </w:rPr>
              <w:t>(Burrows J.)</w:t>
            </w:r>
          </w:p>
          <w:p w:rsidR="00364F37" w:rsidRPr="009F4C66" w:rsidRDefault="00364F37" w:rsidP="00364F37">
            <w:pPr>
              <w:jc w:val="both"/>
              <w:rPr>
                <w:sz w:val="20"/>
              </w:rPr>
            </w:pPr>
            <w:r w:rsidRPr="009F4C66">
              <w:rPr>
                <w:sz w:val="20"/>
              </w:rPr>
              <w:t xml:space="preserve"> </w:t>
            </w: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rPr>
            </w:pPr>
            <w:r w:rsidRPr="009F4C66">
              <w:rPr>
                <w:sz w:val="20"/>
              </w:rPr>
              <w:t>Conviction by jury for first degree murder</w:t>
            </w:r>
          </w:p>
          <w:p w:rsidR="00364F37" w:rsidRPr="009F4C66" w:rsidRDefault="00364F37" w:rsidP="00364F37">
            <w:pPr>
              <w:jc w:val="both"/>
              <w:rPr>
                <w:sz w:val="20"/>
              </w:rPr>
            </w:pPr>
          </w:p>
        </w:tc>
      </w:tr>
      <w:tr w:rsidR="00364F37" w:rsidRPr="009F4C66" w:rsidTr="00364F37">
        <w:tc>
          <w:tcPr>
            <w:tcW w:w="2427" w:type="pct"/>
          </w:tcPr>
          <w:p w:rsidR="00364F37" w:rsidRPr="009F4C66" w:rsidRDefault="00364F37" w:rsidP="00364F37">
            <w:pPr>
              <w:jc w:val="both"/>
              <w:rPr>
                <w:sz w:val="20"/>
              </w:rPr>
            </w:pPr>
            <w:r w:rsidRPr="009F4C66">
              <w:rPr>
                <w:sz w:val="20"/>
              </w:rPr>
              <w:t>February 7, 2011</w:t>
            </w:r>
          </w:p>
          <w:p w:rsidR="00364F37" w:rsidRPr="009F4C66" w:rsidRDefault="00364F37" w:rsidP="00364F37">
            <w:pPr>
              <w:jc w:val="both"/>
              <w:rPr>
                <w:sz w:val="20"/>
              </w:rPr>
            </w:pPr>
            <w:r w:rsidRPr="009F4C66">
              <w:rPr>
                <w:sz w:val="20"/>
              </w:rPr>
              <w:t>Court of Appeal of Alberta (Edmonton)</w:t>
            </w:r>
          </w:p>
          <w:p w:rsidR="00364F37" w:rsidRPr="009F4C66" w:rsidRDefault="00364F37" w:rsidP="00364F37">
            <w:pPr>
              <w:jc w:val="both"/>
              <w:rPr>
                <w:sz w:val="20"/>
              </w:rPr>
            </w:pPr>
            <w:r w:rsidRPr="009F4C66">
              <w:rPr>
                <w:sz w:val="20"/>
              </w:rPr>
              <w:t>(Costigan, Slatter, Rowbotham JJ.A.)</w:t>
            </w:r>
          </w:p>
          <w:p w:rsidR="00364F37" w:rsidRPr="009F4C66" w:rsidRDefault="00364F37" w:rsidP="00364F37">
            <w:pPr>
              <w:jc w:val="both"/>
              <w:rPr>
                <w:sz w:val="20"/>
              </w:rPr>
            </w:pPr>
            <w:r w:rsidRPr="009F4C66">
              <w:rPr>
                <w:sz w:val="20"/>
              </w:rPr>
              <w:t>2011 ABCA 43; 0903-0062-A</w:t>
            </w:r>
          </w:p>
          <w:p w:rsidR="00364F37" w:rsidRPr="009F4C66" w:rsidRDefault="00364F37" w:rsidP="00364F37">
            <w:pPr>
              <w:jc w:val="both"/>
              <w:rPr>
                <w:sz w:val="20"/>
              </w:rPr>
            </w:pP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rPr>
            </w:pPr>
            <w:r w:rsidRPr="009F4C66">
              <w:rPr>
                <w:sz w:val="20"/>
              </w:rPr>
              <w:t>Appeal dismissed</w:t>
            </w:r>
          </w:p>
          <w:p w:rsidR="00364F37" w:rsidRPr="009F4C66" w:rsidRDefault="00364F37" w:rsidP="00364F37">
            <w:pPr>
              <w:jc w:val="both"/>
              <w:rPr>
                <w:sz w:val="20"/>
              </w:rPr>
            </w:pPr>
          </w:p>
        </w:tc>
      </w:tr>
      <w:tr w:rsidR="00364F37" w:rsidRPr="009F4C66" w:rsidTr="00364F37">
        <w:tc>
          <w:tcPr>
            <w:tcW w:w="2427" w:type="pct"/>
          </w:tcPr>
          <w:p w:rsidR="00364F37" w:rsidRPr="009F4C66" w:rsidRDefault="00364F37" w:rsidP="00364F37">
            <w:pPr>
              <w:jc w:val="both"/>
              <w:rPr>
                <w:sz w:val="20"/>
              </w:rPr>
            </w:pPr>
            <w:r w:rsidRPr="009F4C66">
              <w:rPr>
                <w:sz w:val="20"/>
              </w:rPr>
              <w:t>December 22, 2011</w:t>
            </w:r>
          </w:p>
          <w:p w:rsidR="00364F37" w:rsidRPr="009F4C66" w:rsidRDefault="00364F37" w:rsidP="00364F37">
            <w:pPr>
              <w:jc w:val="both"/>
              <w:rPr>
                <w:sz w:val="20"/>
              </w:rPr>
            </w:pPr>
            <w:r w:rsidRPr="009F4C66">
              <w:rPr>
                <w:sz w:val="20"/>
              </w:rPr>
              <w:t>Supreme Court of Canada</w:t>
            </w: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rPr>
            </w:pPr>
            <w:r w:rsidRPr="009F4C66">
              <w:rPr>
                <w:sz w:val="20"/>
              </w:rPr>
              <w:t>Application for extension of time to serve and file application for leave to appeal  and Application for leave to appeal filed</w:t>
            </w: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84"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F37" w:rsidRPr="007A7033" w:rsidTr="00364F37">
        <w:tc>
          <w:tcPr>
            <w:tcW w:w="5000" w:type="pct"/>
            <w:gridSpan w:val="3"/>
          </w:tcPr>
          <w:p w:rsidR="00364F37" w:rsidRPr="009F4C66" w:rsidRDefault="00364F37" w:rsidP="00364F37">
            <w:pPr>
              <w:jc w:val="both"/>
              <w:rPr>
                <w:sz w:val="20"/>
                <w:lang w:val="fr-FR"/>
              </w:rPr>
            </w:pPr>
            <w:r w:rsidRPr="009F4C66">
              <w:rPr>
                <w:sz w:val="20"/>
                <w:lang w:val="fr-FR"/>
              </w:rPr>
              <w:t>Droit criminel – Exposé au jury – Intoxication – Provocation – Le juge du procès a-t-il commis une erreur de droit en ne donnant pas au jury des directives appropriées concernant l’intoxication et la provocation, et ces directives ne peuvent-elles pas être adéquates pour l’application de la disposition réparatrice prévue au sous</w:t>
            </w:r>
            <w:r w:rsidRPr="009F4C66">
              <w:rPr>
                <w:sz w:val="20"/>
                <w:lang w:val="fr-FR"/>
              </w:rPr>
              <w:noBreakHyphen/>
              <w:t>al. 686(1)</w:t>
            </w:r>
            <w:r w:rsidRPr="009F4C66">
              <w:rPr>
                <w:i/>
                <w:sz w:val="20"/>
                <w:lang w:val="fr-FR"/>
              </w:rPr>
              <w:t>b</w:t>
            </w:r>
            <w:proofErr w:type="gramStart"/>
            <w:r w:rsidRPr="009F4C66">
              <w:rPr>
                <w:sz w:val="20"/>
                <w:lang w:val="fr-FR"/>
              </w:rPr>
              <w:t>)(</w:t>
            </w:r>
            <w:proofErr w:type="gramEnd"/>
            <w:r w:rsidRPr="009F4C66">
              <w:rPr>
                <w:sz w:val="20"/>
                <w:lang w:val="fr-FR"/>
              </w:rPr>
              <w:t xml:space="preserve">iii) du </w:t>
            </w:r>
            <w:r w:rsidRPr="009F4C66">
              <w:rPr>
                <w:i/>
                <w:sz w:val="20"/>
                <w:lang w:val="fr-FR"/>
              </w:rPr>
              <w:t>Code criminel</w:t>
            </w:r>
            <w:r w:rsidRPr="009F4C66">
              <w:rPr>
                <w:sz w:val="20"/>
                <w:lang w:val="fr-FR"/>
              </w:rPr>
              <w:t>?</w:t>
            </w:r>
          </w:p>
        </w:tc>
      </w:tr>
      <w:tr w:rsidR="00364F37" w:rsidRPr="007A7033" w:rsidTr="00364F37">
        <w:tc>
          <w:tcPr>
            <w:tcW w:w="5000" w:type="pct"/>
            <w:gridSpan w:val="3"/>
          </w:tcPr>
          <w:p w:rsidR="00364F37" w:rsidRPr="009F4C66" w:rsidRDefault="00364F37" w:rsidP="00364F37">
            <w:pPr>
              <w:jc w:val="both"/>
              <w:rPr>
                <w:sz w:val="20"/>
                <w:lang w:val="fr-FR"/>
              </w:rPr>
            </w:pPr>
          </w:p>
        </w:tc>
      </w:tr>
      <w:tr w:rsidR="00364F37" w:rsidRPr="006403D0" w:rsidTr="00364F37">
        <w:tc>
          <w:tcPr>
            <w:tcW w:w="5000" w:type="pct"/>
            <w:gridSpan w:val="3"/>
          </w:tcPr>
          <w:p w:rsidR="00364F37" w:rsidRPr="009F4C66" w:rsidRDefault="00364F37" w:rsidP="00364F37">
            <w:pPr>
              <w:jc w:val="both"/>
              <w:rPr>
                <w:sz w:val="20"/>
                <w:lang w:val="fr-FR"/>
              </w:rPr>
            </w:pPr>
            <w:r w:rsidRPr="009F4C66">
              <w:rPr>
                <w:sz w:val="20"/>
                <w:lang w:val="fr-FR"/>
              </w:rPr>
              <w:t xml:space="preserve">Un jury a reconnu M. Yates coupable du meurtre au premier degré de son colocataire, James Bribeau, qui a été tué d’une balle tirée à bout portant derrière la tête. </w:t>
            </w:r>
            <w:r w:rsidRPr="009F4C66">
              <w:rPr>
                <w:sz w:val="20"/>
                <w:lang w:val="fr-CA"/>
              </w:rPr>
              <w:t xml:space="preserve">La remorque de James Bribeau a été incendiée après le coup de feu. </w:t>
            </w:r>
            <w:r w:rsidRPr="009F4C66">
              <w:rPr>
                <w:sz w:val="20"/>
                <w:lang w:val="fr-FR"/>
              </w:rPr>
              <w:t>Au procès, M. Yates a dit être coupable d’homicide involontaire coupable, et non de meurtre, parce qu’il était ivre au moment du coup de feu et que M. Bribeau l’avait provoqué en faisant des commentaires grossiers de nature sexuelle à l’endroit de sa sœur. Il a prétendu ne pas se souvenir d’avoir mis le feu à la remorque. En appel, il a soutenu en partie que l’exposé au jury expliquait mal les moyens de défense d’intoxication et de provocation.</w:t>
            </w:r>
          </w:p>
          <w:p w:rsidR="00364F37" w:rsidRPr="009F4C66" w:rsidRDefault="00364F37" w:rsidP="00364F37">
            <w:pPr>
              <w:jc w:val="both"/>
              <w:rPr>
                <w:sz w:val="20"/>
                <w:lang w:val="fr-FR"/>
              </w:rPr>
            </w:pPr>
          </w:p>
        </w:tc>
      </w:tr>
      <w:tr w:rsidR="00364F37" w:rsidRPr="006403D0" w:rsidTr="00364F37">
        <w:tc>
          <w:tcPr>
            <w:tcW w:w="2427" w:type="pct"/>
          </w:tcPr>
          <w:p w:rsidR="00364F37" w:rsidRPr="009F4C66" w:rsidRDefault="00364F37" w:rsidP="00364F37">
            <w:pPr>
              <w:jc w:val="both"/>
              <w:rPr>
                <w:sz w:val="20"/>
                <w:lang w:val="fr-FR"/>
              </w:rPr>
            </w:pPr>
            <w:r w:rsidRPr="009F4C66">
              <w:rPr>
                <w:sz w:val="20"/>
                <w:lang w:val="fr-FR"/>
              </w:rPr>
              <w:t>18 février 2009</w:t>
            </w:r>
          </w:p>
          <w:p w:rsidR="00364F37" w:rsidRPr="009F4C66" w:rsidRDefault="00364F37" w:rsidP="00364F37">
            <w:pPr>
              <w:jc w:val="both"/>
              <w:rPr>
                <w:sz w:val="20"/>
                <w:lang w:val="fr-FR"/>
              </w:rPr>
            </w:pPr>
            <w:r w:rsidRPr="009F4C66">
              <w:rPr>
                <w:sz w:val="20"/>
                <w:lang w:val="fr-FR"/>
              </w:rPr>
              <w:t>Cour du Banc de la Reine de l’Alberta</w:t>
            </w:r>
          </w:p>
          <w:p w:rsidR="00364F37" w:rsidRPr="009F4C66" w:rsidRDefault="00364F37" w:rsidP="00364F37">
            <w:pPr>
              <w:jc w:val="both"/>
              <w:rPr>
                <w:sz w:val="20"/>
              </w:rPr>
            </w:pPr>
            <w:r w:rsidRPr="009F4C66">
              <w:rPr>
                <w:sz w:val="20"/>
              </w:rPr>
              <w:t>(Juge Burrows)</w:t>
            </w:r>
          </w:p>
          <w:p w:rsidR="00364F37" w:rsidRPr="009F4C66" w:rsidRDefault="00364F37" w:rsidP="00364F37">
            <w:pPr>
              <w:jc w:val="both"/>
              <w:rPr>
                <w:sz w:val="20"/>
              </w:rPr>
            </w:pPr>
            <w:r w:rsidRPr="009F4C66">
              <w:rPr>
                <w:sz w:val="20"/>
              </w:rPr>
              <w:t xml:space="preserve"> </w:t>
            </w: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lang w:val="fr-FR"/>
              </w:rPr>
            </w:pPr>
            <w:r w:rsidRPr="009F4C66">
              <w:rPr>
                <w:sz w:val="20"/>
                <w:lang w:val="fr-FR"/>
              </w:rPr>
              <w:t>Reconnu coupable par le jury de meurtre au premier degré</w:t>
            </w:r>
          </w:p>
          <w:p w:rsidR="00364F37" w:rsidRPr="009F4C66" w:rsidRDefault="00364F37" w:rsidP="00364F37">
            <w:pPr>
              <w:jc w:val="both"/>
              <w:rPr>
                <w:sz w:val="20"/>
                <w:lang w:val="fr-FR"/>
              </w:rPr>
            </w:pPr>
          </w:p>
        </w:tc>
      </w:tr>
      <w:tr w:rsidR="00364F37" w:rsidRPr="009F4C66" w:rsidTr="00364F37">
        <w:tc>
          <w:tcPr>
            <w:tcW w:w="2427" w:type="pct"/>
          </w:tcPr>
          <w:p w:rsidR="00364F37" w:rsidRPr="009F4C66" w:rsidRDefault="00364F37" w:rsidP="00364F37">
            <w:pPr>
              <w:jc w:val="both"/>
              <w:rPr>
                <w:sz w:val="20"/>
                <w:lang w:val="fr-FR"/>
              </w:rPr>
            </w:pPr>
            <w:r w:rsidRPr="009F4C66">
              <w:rPr>
                <w:sz w:val="20"/>
                <w:lang w:val="fr-FR"/>
              </w:rPr>
              <w:t>7 février 2011</w:t>
            </w:r>
          </w:p>
          <w:p w:rsidR="00364F37" w:rsidRPr="009F4C66" w:rsidRDefault="00364F37" w:rsidP="00364F37">
            <w:pPr>
              <w:jc w:val="both"/>
              <w:rPr>
                <w:sz w:val="20"/>
                <w:lang w:val="fr-FR"/>
              </w:rPr>
            </w:pPr>
            <w:r w:rsidRPr="009F4C66">
              <w:rPr>
                <w:sz w:val="20"/>
                <w:lang w:val="fr-FR"/>
              </w:rPr>
              <w:t>Cour d’appel de l’Alberta (Edmonton)</w:t>
            </w:r>
          </w:p>
          <w:p w:rsidR="00364F37" w:rsidRPr="009F4C66" w:rsidRDefault="00364F37" w:rsidP="00364F37">
            <w:pPr>
              <w:jc w:val="both"/>
              <w:rPr>
                <w:sz w:val="20"/>
              </w:rPr>
            </w:pPr>
            <w:r w:rsidRPr="009F4C66">
              <w:rPr>
                <w:sz w:val="20"/>
              </w:rPr>
              <w:t>(Juges Costigan, Slatter et Rowbotham)</w:t>
            </w:r>
          </w:p>
          <w:p w:rsidR="00364F37" w:rsidRPr="009F4C66" w:rsidRDefault="00364F37" w:rsidP="00364F37">
            <w:pPr>
              <w:jc w:val="both"/>
              <w:rPr>
                <w:sz w:val="20"/>
              </w:rPr>
            </w:pPr>
            <w:r w:rsidRPr="009F4C66">
              <w:rPr>
                <w:sz w:val="20"/>
              </w:rPr>
              <w:t>2011 ABCA 43; 0903-0062-A</w:t>
            </w:r>
          </w:p>
          <w:p w:rsidR="00364F37" w:rsidRPr="009F4C66" w:rsidRDefault="00364F37" w:rsidP="00364F37">
            <w:pPr>
              <w:jc w:val="both"/>
              <w:rPr>
                <w:sz w:val="20"/>
              </w:rPr>
            </w:pPr>
          </w:p>
        </w:tc>
        <w:tc>
          <w:tcPr>
            <w:tcW w:w="243" w:type="pct"/>
          </w:tcPr>
          <w:p w:rsidR="00364F37" w:rsidRPr="009F4C66" w:rsidRDefault="00364F37" w:rsidP="00364F37">
            <w:pPr>
              <w:jc w:val="both"/>
              <w:rPr>
                <w:sz w:val="20"/>
              </w:rPr>
            </w:pPr>
          </w:p>
        </w:tc>
        <w:tc>
          <w:tcPr>
            <w:tcW w:w="2330" w:type="pct"/>
          </w:tcPr>
          <w:p w:rsidR="00364F37" w:rsidRPr="009F4C66" w:rsidRDefault="00364F37" w:rsidP="00364F37">
            <w:pPr>
              <w:jc w:val="both"/>
              <w:rPr>
                <w:sz w:val="20"/>
              </w:rPr>
            </w:pPr>
            <w:r w:rsidRPr="009F4C66">
              <w:rPr>
                <w:sz w:val="20"/>
              </w:rPr>
              <w:t>Appel rejeté</w:t>
            </w:r>
          </w:p>
          <w:p w:rsidR="00364F37" w:rsidRPr="009F4C66" w:rsidRDefault="00364F37" w:rsidP="00364F37">
            <w:pPr>
              <w:jc w:val="both"/>
              <w:rPr>
                <w:sz w:val="20"/>
              </w:rPr>
            </w:pPr>
          </w:p>
        </w:tc>
      </w:tr>
      <w:tr w:rsidR="00364F37" w:rsidRPr="007A7033" w:rsidTr="00364F37">
        <w:tc>
          <w:tcPr>
            <w:tcW w:w="2427" w:type="pct"/>
          </w:tcPr>
          <w:p w:rsidR="00364F37" w:rsidRPr="009F4C66" w:rsidRDefault="00364F37" w:rsidP="00364F37">
            <w:pPr>
              <w:jc w:val="both"/>
              <w:rPr>
                <w:sz w:val="20"/>
                <w:lang w:val="fr-FR"/>
              </w:rPr>
            </w:pPr>
            <w:r w:rsidRPr="009F4C66">
              <w:rPr>
                <w:sz w:val="20"/>
                <w:lang w:val="fr-FR"/>
              </w:rPr>
              <w:t>22 décembre 2011</w:t>
            </w:r>
          </w:p>
          <w:p w:rsidR="00364F37" w:rsidRPr="009F4C66" w:rsidRDefault="00364F37" w:rsidP="00364F37">
            <w:pPr>
              <w:jc w:val="both"/>
              <w:rPr>
                <w:sz w:val="20"/>
                <w:lang w:val="fr-FR"/>
              </w:rPr>
            </w:pPr>
            <w:r w:rsidRPr="009F4C66">
              <w:rPr>
                <w:sz w:val="20"/>
                <w:lang w:val="fr-FR"/>
              </w:rPr>
              <w:t>Cour suprême du Canada</w:t>
            </w:r>
          </w:p>
        </w:tc>
        <w:tc>
          <w:tcPr>
            <w:tcW w:w="243" w:type="pct"/>
          </w:tcPr>
          <w:p w:rsidR="00364F37" w:rsidRPr="009F4C66" w:rsidRDefault="00364F37" w:rsidP="00364F37">
            <w:pPr>
              <w:jc w:val="both"/>
              <w:rPr>
                <w:sz w:val="20"/>
                <w:lang w:val="fr-FR"/>
              </w:rPr>
            </w:pPr>
          </w:p>
        </w:tc>
        <w:tc>
          <w:tcPr>
            <w:tcW w:w="2330" w:type="pct"/>
          </w:tcPr>
          <w:p w:rsidR="00364F37" w:rsidRPr="009F4C66" w:rsidRDefault="00364F37" w:rsidP="00364F37">
            <w:pPr>
              <w:jc w:val="both"/>
              <w:rPr>
                <w:sz w:val="20"/>
                <w:lang w:val="fr-FR"/>
              </w:rPr>
            </w:pPr>
            <w:r w:rsidRPr="009F4C66">
              <w:rPr>
                <w:sz w:val="20"/>
                <w:lang w:val="fr-FR"/>
              </w:rPr>
              <w:t xml:space="preserve">Demande de prorogation de délai pour signifier et déposer la demande d’autorisation d’appel et demande d’autorisation </w:t>
            </w:r>
            <w:proofErr w:type="gramStart"/>
            <w:r w:rsidRPr="009F4C66">
              <w:rPr>
                <w:sz w:val="20"/>
                <w:lang w:val="fr-FR"/>
              </w:rPr>
              <w:t>d’appel déposées</w:t>
            </w:r>
            <w:proofErr w:type="gramEnd"/>
          </w:p>
        </w:tc>
      </w:tr>
    </w:tbl>
    <w:p w:rsidR="00140B84" w:rsidRPr="00364F37" w:rsidRDefault="00140B84" w:rsidP="00140B84">
      <w:pPr>
        <w:rPr>
          <w:sz w:val="20"/>
          <w:szCs w:val="20"/>
          <w:lang w:val="fr-CA"/>
        </w:rPr>
      </w:pPr>
    </w:p>
    <w:p w:rsidR="00140B84" w:rsidRDefault="00E5065D" w:rsidP="00140B84">
      <w:pPr>
        <w:rPr>
          <w:sz w:val="20"/>
          <w:szCs w:val="20"/>
          <w:lang w:val="fr-CA"/>
        </w:rPr>
      </w:pPr>
      <w:r w:rsidRPr="00E5065D">
        <w:rPr>
          <w:sz w:val="20"/>
          <w:szCs w:val="20"/>
          <w:lang w:val="fr-CA"/>
        </w:rPr>
        <w:pict>
          <v:rect id="_x0000_i1085"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5DAC" w:rsidRPr="006403D0" w:rsidTr="001600B8">
        <w:trPr>
          <w:cantSplit/>
        </w:trPr>
        <w:tc>
          <w:tcPr>
            <w:tcW w:w="1458" w:type="dxa"/>
          </w:tcPr>
          <w:p w:rsidR="00425DAC" w:rsidRPr="00425DAC" w:rsidRDefault="00425DAC" w:rsidP="001600B8">
            <w:pPr>
              <w:rPr>
                <w:sz w:val="20"/>
                <w:szCs w:val="20"/>
              </w:rPr>
            </w:pPr>
            <w:r w:rsidRPr="00425DAC">
              <w:rPr>
                <w:rStyle w:val="SCCFileNumberChar"/>
                <w:sz w:val="20"/>
                <w:szCs w:val="20"/>
              </w:rPr>
              <w:t>34602</w:t>
            </w:r>
          </w:p>
          <w:p w:rsidR="00425DAC" w:rsidRPr="00425DAC" w:rsidRDefault="00425DAC" w:rsidP="001600B8">
            <w:pPr>
              <w:rPr>
                <w:b/>
                <w:sz w:val="20"/>
                <w:szCs w:val="20"/>
                <w:lang w:val="fr-CA"/>
              </w:rPr>
            </w:pPr>
          </w:p>
        </w:tc>
        <w:tc>
          <w:tcPr>
            <w:tcW w:w="8118" w:type="dxa"/>
          </w:tcPr>
          <w:p w:rsidR="00425DAC" w:rsidRPr="00425DAC" w:rsidRDefault="00425DAC" w:rsidP="001600B8">
            <w:pPr>
              <w:rPr>
                <w:sz w:val="20"/>
                <w:szCs w:val="20"/>
                <w:lang w:val="fr-CA"/>
              </w:rPr>
            </w:pPr>
            <w:r w:rsidRPr="00425DAC">
              <w:rPr>
                <w:rStyle w:val="SCCLsocChar"/>
                <w:sz w:val="20"/>
                <w:szCs w:val="20"/>
              </w:rPr>
              <w:t>Richard Raîche c. Sa Majesté la Reine</w:t>
            </w:r>
            <w:r w:rsidRPr="00425DAC">
              <w:rPr>
                <w:sz w:val="20"/>
                <w:szCs w:val="20"/>
                <w:lang w:val="fr-CA"/>
              </w:rPr>
              <w:t xml:space="preserve"> (Qc) (Criminelle) (Autorisation)</w:t>
            </w:r>
          </w:p>
          <w:p w:rsidR="00425DAC" w:rsidRPr="00425DAC" w:rsidRDefault="00425DAC" w:rsidP="001600B8">
            <w:pPr>
              <w:rPr>
                <w:sz w:val="20"/>
                <w:szCs w:val="20"/>
                <w:lang w:val="fr-CA"/>
              </w:rPr>
            </w:pPr>
          </w:p>
        </w:tc>
      </w:tr>
      <w:tr w:rsidR="00425DAC" w:rsidRPr="006403D0" w:rsidTr="001600B8">
        <w:trPr>
          <w:cantSplit/>
        </w:trPr>
        <w:tc>
          <w:tcPr>
            <w:tcW w:w="1458" w:type="dxa"/>
          </w:tcPr>
          <w:p w:rsidR="00425DAC" w:rsidRPr="00425DAC" w:rsidRDefault="00425DAC" w:rsidP="001600B8">
            <w:pPr>
              <w:rPr>
                <w:sz w:val="20"/>
                <w:szCs w:val="20"/>
              </w:rPr>
            </w:pPr>
            <w:r w:rsidRPr="00425DAC">
              <w:rPr>
                <w:sz w:val="20"/>
                <w:szCs w:val="20"/>
              </w:rPr>
              <w:t>Coram :</w:t>
            </w:r>
          </w:p>
        </w:tc>
        <w:tc>
          <w:tcPr>
            <w:tcW w:w="8118" w:type="dxa"/>
          </w:tcPr>
          <w:p w:rsidR="00425DAC" w:rsidRPr="00425DAC" w:rsidRDefault="00425DAC" w:rsidP="001600B8">
            <w:pPr>
              <w:rPr>
                <w:sz w:val="20"/>
                <w:szCs w:val="20"/>
                <w:lang w:val="fr-CA"/>
              </w:rPr>
            </w:pPr>
            <w:r w:rsidRPr="00425DAC">
              <w:rPr>
                <w:rStyle w:val="SCCCoramChar"/>
                <w:sz w:val="20"/>
                <w:szCs w:val="20"/>
              </w:rPr>
              <w:t>Les juges Deschamps, Fish et Karakatsanis</w:t>
            </w:r>
          </w:p>
          <w:p w:rsidR="00425DAC" w:rsidRPr="00425DAC" w:rsidRDefault="00425DAC" w:rsidP="001600B8">
            <w:pPr>
              <w:rPr>
                <w:sz w:val="20"/>
                <w:szCs w:val="20"/>
                <w:u w:val="single"/>
                <w:lang w:val="fr-CA"/>
              </w:rPr>
            </w:pPr>
          </w:p>
        </w:tc>
      </w:tr>
      <w:tr w:rsidR="00425DAC" w:rsidRPr="00425DAC" w:rsidTr="001600B8">
        <w:trPr>
          <w:cantSplit/>
        </w:trPr>
        <w:tc>
          <w:tcPr>
            <w:tcW w:w="9576" w:type="dxa"/>
            <w:gridSpan w:val="2"/>
          </w:tcPr>
          <w:p w:rsidR="00425DAC" w:rsidRPr="00425DAC" w:rsidRDefault="00425DAC" w:rsidP="001600B8">
            <w:pPr>
              <w:pStyle w:val="SCCShortJudgment"/>
              <w:rPr>
                <w:szCs w:val="20"/>
                <w:lang w:val="fr-CA"/>
              </w:rPr>
            </w:pPr>
            <w:r w:rsidRPr="00425DAC">
              <w:rPr>
                <w:szCs w:val="20"/>
                <w:lang w:val="fr-CA"/>
              </w:rPr>
              <w:t>La requête en prorogation du délai de signification et de dépôt de la demande d’autorisation d’appel de l’arrêt de la Cour d’appel du Québec (Montréal), numéro 500-10-004996-110, daté du 6 octobre 2011, est rejetée.  Quoi qu’il en soit, même si la requête avait été accueillie, la demande d’autorisation d’appel aurait été rejetée sans dépens.</w:t>
            </w:r>
          </w:p>
          <w:p w:rsidR="00425DAC" w:rsidRPr="00425DAC" w:rsidRDefault="00425DAC" w:rsidP="001600B8">
            <w:pPr>
              <w:pStyle w:val="SCCShortJudgment"/>
              <w:ind w:firstLine="0"/>
              <w:rPr>
                <w:szCs w:val="20"/>
                <w:lang w:val="fr-CA"/>
              </w:rPr>
            </w:pPr>
          </w:p>
          <w:p w:rsidR="00425DAC" w:rsidRPr="00425DAC" w:rsidRDefault="00425DAC" w:rsidP="001600B8">
            <w:pPr>
              <w:pStyle w:val="SCCShortJudgment"/>
              <w:rPr>
                <w:szCs w:val="20"/>
              </w:rPr>
            </w:pPr>
            <w:r w:rsidRPr="00425DAC">
              <w:rPr>
                <w:szCs w:val="20"/>
              </w:rPr>
              <w:t>The motion for an extension of time to serve and file an application for leave to appeal from the judgment of the Court of Appeal of Quebec (Montréal), Number 500-10-004996-110, dated October 6, 2011, is dismissed. In any event, had such motion been granted, the application for leave to appeal would have been dismissed without costs.</w:t>
            </w:r>
          </w:p>
        </w:tc>
      </w:tr>
    </w:tbl>
    <w:p w:rsidR="00140B84" w:rsidRPr="00425DAC" w:rsidRDefault="00140B84" w:rsidP="00140B84">
      <w:pPr>
        <w:rPr>
          <w:sz w:val="20"/>
          <w:szCs w:val="20"/>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32E2" w:rsidRPr="009F4C66" w:rsidTr="0095503C">
        <w:tc>
          <w:tcPr>
            <w:tcW w:w="5000" w:type="pct"/>
            <w:gridSpan w:val="3"/>
          </w:tcPr>
          <w:p w:rsidR="00BD32E2" w:rsidRPr="009F4C66" w:rsidRDefault="00BD32E2" w:rsidP="0095503C">
            <w:pPr>
              <w:jc w:val="both"/>
              <w:rPr>
                <w:smallCaps/>
                <w:sz w:val="20"/>
              </w:rPr>
            </w:pPr>
            <w:r w:rsidRPr="009F4C66">
              <w:rPr>
                <w:smallCaps/>
                <w:sz w:val="20"/>
              </w:rPr>
              <w:t>(Sealing Order)</w:t>
            </w:r>
          </w:p>
          <w:p w:rsidR="00BD32E2" w:rsidRPr="009F4C66" w:rsidRDefault="00BD32E2" w:rsidP="0095503C">
            <w:pPr>
              <w:jc w:val="both"/>
              <w:rPr>
                <w:sz w:val="20"/>
              </w:rPr>
            </w:pPr>
          </w:p>
          <w:p w:rsidR="00BD32E2" w:rsidRPr="009F4C66" w:rsidRDefault="00BD32E2" w:rsidP="0095503C">
            <w:pPr>
              <w:jc w:val="both"/>
              <w:rPr>
                <w:sz w:val="20"/>
              </w:rPr>
            </w:pPr>
            <w:r w:rsidRPr="009F4C66">
              <w:rPr>
                <w:sz w:val="20"/>
              </w:rPr>
              <w:t>Civil procedure – Appeal – Judge requiring applicant to apply for leave from Chief Justice of Superior Court to exercise all his rights of action in Superior Court – Whether motion filed in Superior Court required leave of Chief Justice of Superior Court.</w:t>
            </w:r>
          </w:p>
          <w:p w:rsidR="00BD32E2" w:rsidRPr="009F4C66" w:rsidRDefault="00BD32E2" w:rsidP="0095503C">
            <w:pPr>
              <w:jc w:val="both"/>
              <w:rPr>
                <w:sz w:val="20"/>
              </w:rPr>
            </w:pPr>
          </w:p>
        </w:tc>
      </w:tr>
      <w:tr w:rsidR="00BD32E2" w:rsidRPr="009F4C66" w:rsidTr="0095503C">
        <w:tc>
          <w:tcPr>
            <w:tcW w:w="5000" w:type="pct"/>
            <w:gridSpan w:val="3"/>
          </w:tcPr>
          <w:p w:rsidR="00BD32E2" w:rsidRPr="009F4C66" w:rsidRDefault="00BD32E2" w:rsidP="0095503C">
            <w:pPr>
              <w:jc w:val="both"/>
              <w:rPr>
                <w:sz w:val="20"/>
              </w:rPr>
            </w:pPr>
            <w:r w:rsidRPr="009F4C66">
              <w:rPr>
                <w:sz w:val="20"/>
              </w:rPr>
              <w:t>On January 15, 2004, Mr. Justice Israël Mass declared Mr. Raîche to be a vexatious litigant.  At the same time, he ordered Mr. Raîche not to file any proceeding to institute a suit without written leave from the Chief Justice of the Superior Court or a judge designated by him.  The order also required Mr. Raîche to apply for such leave in order to institute any incidental or interlocutory proceeding, whether directly or indirectly, and to exercise all his rights of action in the Superior Court.  The applicant subsequently tried to present several motions and to have the order for a final stay of proceedings set aside.</w:t>
            </w:r>
          </w:p>
          <w:p w:rsidR="00BD32E2" w:rsidRPr="009F4C66" w:rsidRDefault="00BD32E2" w:rsidP="0095503C">
            <w:pPr>
              <w:jc w:val="both"/>
              <w:rPr>
                <w:sz w:val="20"/>
              </w:rPr>
            </w:pPr>
          </w:p>
        </w:tc>
      </w:tr>
      <w:tr w:rsidR="00BD32E2" w:rsidRPr="009F4C66" w:rsidTr="004A3A0E">
        <w:trPr>
          <w:cantSplit/>
        </w:trPr>
        <w:tc>
          <w:tcPr>
            <w:tcW w:w="2427" w:type="pct"/>
          </w:tcPr>
          <w:p w:rsidR="00BD32E2" w:rsidRPr="009F4C66" w:rsidRDefault="00BD32E2" w:rsidP="0095503C">
            <w:pPr>
              <w:jc w:val="both"/>
              <w:rPr>
                <w:sz w:val="20"/>
              </w:rPr>
            </w:pPr>
            <w:r w:rsidRPr="009F4C66">
              <w:rPr>
                <w:sz w:val="20"/>
              </w:rPr>
              <w:t>September 23, 2010</w:t>
            </w:r>
          </w:p>
          <w:p w:rsidR="00BD32E2" w:rsidRPr="009F4C66" w:rsidRDefault="00BD32E2" w:rsidP="0095503C">
            <w:pPr>
              <w:jc w:val="both"/>
              <w:rPr>
                <w:sz w:val="20"/>
              </w:rPr>
            </w:pPr>
            <w:r w:rsidRPr="009F4C66">
              <w:rPr>
                <w:sz w:val="20"/>
              </w:rPr>
              <w:t>Quebec Superior Court (Criminal Division)</w:t>
            </w:r>
          </w:p>
          <w:p w:rsidR="00BD32E2" w:rsidRPr="009F4C66" w:rsidRDefault="00BD32E2" w:rsidP="0095503C">
            <w:pPr>
              <w:jc w:val="both"/>
              <w:rPr>
                <w:sz w:val="20"/>
              </w:rPr>
            </w:pPr>
            <w:r w:rsidRPr="009F4C66">
              <w:rPr>
                <w:sz w:val="20"/>
              </w:rPr>
              <w:t>Wilbrod Décarie J.</w:t>
            </w: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Applications for leave dated April 22, 2010 (to present motion of March 22, 2010) and May 13, 2010 (to set aside order for final stay of proceedings) dismissed</w:t>
            </w:r>
          </w:p>
          <w:p w:rsidR="00BD32E2" w:rsidRPr="009F4C66" w:rsidRDefault="00BD32E2" w:rsidP="0095503C">
            <w:pPr>
              <w:jc w:val="both"/>
              <w:rPr>
                <w:sz w:val="20"/>
              </w:rPr>
            </w:pPr>
          </w:p>
        </w:tc>
      </w:tr>
      <w:tr w:rsidR="00BD32E2" w:rsidRPr="009F4C66" w:rsidTr="004A3A0E">
        <w:trPr>
          <w:cantSplit/>
        </w:trPr>
        <w:tc>
          <w:tcPr>
            <w:tcW w:w="2427" w:type="pct"/>
          </w:tcPr>
          <w:p w:rsidR="00BD32E2" w:rsidRPr="009F4C66" w:rsidRDefault="00BD32E2" w:rsidP="0095503C">
            <w:pPr>
              <w:jc w:val="both"/>
              <w:rPr>
                <w:sz w:val="20"/>
              </w:rPr>
            </w:pPr>
            <w:r w:rsidRPr="009F4C66">
              <w:rPr>
                <w:sz w:val="20"/>
              </w:rPr>
              <w:t>August 19, 2011</w:t>
            </w:r>
          </w:p>
          <w:p w:rsidR="00BD32E2" w:rsidRPr="009F4C66" w:rsidRDefault="00BD32E2" w:rsidP="0095503C">
            <w:pPr>
              <w:jc w:val="both"/>
              <w:rPr>
                <w:sz w:val="20"/>
              </w:rPr>
            </w:pPr>
            <w:r w:rsidRPr="009F4C66">
              <w:rPr>
                <w:sz w:val="20"/>
              </w:rPr>
              <w:t>Quebec Superior Court</w:t>
            </w:r>
          </w:p>
          <w:p w:rsidR="00BD32E2" w:rsidRPr="009F4C66" w:rsidRDefault="00BD32E2" w:rsidP="0095503C">
            <w:pPr>
              <w:jc w:val="both"/>
              <w:rPr>
                <w:sz w:val="20"/>
              </w:rPr>
            </w:pPr>
            <w:r w:rsidRPr="009F4C66">
              <w:rPr>
                <w:sz w:val="20"/>
              </w:rPr>
              <w:t>(Charbonneau J.)</w:t>
            </w:r>
          </w:p>
          <w:p w:rsidR="00BD32E2" w:rsidRPr="009F4C66" w:rsidRDefault="00BD32E2" w:rsidP="0095503C">
            <w:pPr>
              <w:jc w:val="both"/>
              <w:rPr>
                <w:sz w:val="20"/>
              </w:rPr>
            </w:pP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Motion to reopen pre</w:t>
            </w:r>
            <w:r w:rsidRPr="009F4C66">
              <w:rPr>
                <w:sz w:val="20"/>
              </w:rPr>
              <w:noBreakHyphen/>
              <w:t>inquiry declared non</w:t>
            </w:r>
            <w:r w:rsidRPr="009F4C66">
              <w:rPr>
                <w:sz w:val="20"/>
              </w:rPr>
              <w:noBreakHyphen/>
              <w:t>existent</w:t>
            </w:r>
          </w:p>
          <w:p w:rsidR="00BD32E2" w:rsidRPr="009F4C66" w:rsidRDefault="00BD32E2" w:rsidP="0095503C">
            <w:pPr>
              <w:jc w:val="both"/>
              <w:rPr>
                <w:sz w:val="20"/>
              </w:rPr>
            </w:pPr>
          </w:p>
        </w:tc>
      </w:tr>
      <w:tr w:rsidR="00BD32E2" w:rsidRPr="009F4C66" w:rsidTr="004A3A0E">
        <w:trPr>
          <w:cantSplit/>
        </w:trPr>
        <w:tc>
          <w:tcPr>
            <w:tcW w:w="2427" w:type="pct"/>
          </w:tcPr>
          <w:p w:rsidR="00BD32E2" w:rsidRPr="009F4C66" w:rsidRDefault="00BD32E2" w:rsidP="0095503C">
            <w:pPr>
              <w:jc w:val="both"/>
              <w:rPr>
                <w:sz w:val="20"/>
              </w:rPr>
            </w:pPr>
            <w:r w:rsidRPr="009F4C66">
              <w:rPr>
                <w:sz w:val="20"/>
              </w:rPr>
              <w:t>October 6, 2011</w:t>
            </w:r>
          </w:p>
          <w:p w:rsidR="00BD32E2" w:rsidRPr="009F4C66" w:rsidRDefault="00BD32E2" w:rsidP="0095503C">
            <w:pPr>
              <w:jc w:val="both"/>
              <w:rPr>
                <w:sz w:val="20"/>
              </w:rPr>
            </w:pPr>
            <w:r w:rsidRPr="009F4C66">
              <w:rPr>
                <w:sz w:val="20"/>
              </w:rPr>
              <w:t>Quebec Court of Appeal (Montréal)</w:t>
            </w:r>
          </w:p>
          <w:p w:rsidR="00BD32E2" w:rsidRPr="009F4C66" w:rsidRDefault="00BD32E2" w:rsidP="0095503C">
            <w:pPr>
              <w:jc w:val="both"/>
              <w:rPr>
                <w:sz w:val="20"/>
              </w:rPr>
            </w:pPr>
            <w:r w:rsidRPr="009F4C66">
              <w:rPr>
                <w:sz w:val="20"/>
              </w:rPr>
              <w:t>(Beauregard, Rochon and Wagner JJ.A. (500</w:t>
            </w:r>
            <w:r w:rsidRPr="009F4C66">
              <w:rPr>
                <w:sz w:val="20"/>
              </w:rPr>
              <w:noBreakHyphen/>
              <w:t>10-004996-104))</w:t>
            </w:r>
          </w:p>
          <w:p w:rsidR="00BD32E2" w:rsidRPr="009F4C66" w:rsidRDefault="00BD32E2" w:rsidP="0095503C">
            <w:pPr>
              <w:jc w:val="both"/>
              <w:rPr>
                <w:sz w:val="20"/>
              </w:rPr>
            </w:pPr>
            <w:r w:rsidRPr="009F4C66">
              <w:rPr>
                <w:sz w:val="20"/>
              </w:rPr>
              <w:t>2011 QCCA 1897</w:t>
            </w:r>
          </w:p>
          <w:p w:rsidR="00BD32E2" w:rsidRPr="009F4C66" w:rsidRDefault="00BD32E2" w:rsidP="0095503C">
            <w:pPr>
              <w:jc w:val="both"/>
              <w:rPr>
                <w:sz w:val="20"/>
              </w:rPr>
            </w:pP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Appeal dismissed</w:t>
            </w:r>
          </w:p>
          <w:p w:rsidR="00BD32E2" w:rsidRPr="009F4C66" w:rsidRDefault="00BD32E2" w:rsidP="0095503C">
            <w:pPr>
              <w:jc w:val="both"/>
              <w:rPr>
                <w:sz w:val="20"/>
              </w:rPr>
            </w:pPr>
          </w:p>
        </w:tc>
      </w:tr>
      <w:tr w:rsidR="00BD32E2" w:rsidRPr="009F4C66" w:rsidTr="004A3A0E">
        <w:trPr>
          <w:cantSplit/>
        </w:trPr>
        <w:tc>
          <w:tcPr>
            <w:tcW w:w="2427" w:type="pct"/>
          </w:tcPr>
          <w:p w:rsidR="00BD32E2" w:rsidRPr="009F4C66" w:rsidRDefault="00BD32E2" w:rsidP="0095503C">
            <w:pPr>
              <w:jc w:val="both"/>
              <w:rPr>
                <w:sz w:val="20"/>
              </w:rPr>
            </w:pPr>
            <w:r w:rsidRPr="009F4C66">
              <w:rPr>
                <w:sz w:val="20"/>
              </w:rPr>
              <w:t>December 20, 2011</w:t>
            </w:r>
          </w:p>
          <w:p w:rsidR="00BD32E2" w:rsidRPr="009F4C66" w:rsidRDefault="00BD32E2" w:rsidP="0095503C">
            <w:pPr>
              <w:jc w:val="both"/>
              <w:rPr>
                <w:sz w:val="20"/>
              </w:rPr>
            </w:pPr>
            <w:r w:rsidRPr="009F4C66">
              <w:rPr>
                <w:sz w:val="20"/>
              </w:rPr>
              <w:t>Supreme Court of Canada</w:t>
            </w:r>
          </w:p>
          <w:p w:rsidR="00BD32E2" w:rsidRPr="009F4C66" w:rsidRDefault="00BD32E2" w:rsidP="0095503C">
            <w:pPr>
              <w:jc w:val="both"/>
              <w:rPr>
                <w:sz w:val="20"/>
              </w:rPr>
            </w:pP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Applications to extend time to serve and file application for leave and application for leave to appeal filed</w:t>
            </w: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86"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32E2" w:rsidRPr="006403D0" w:rsidTr="0095503C">
        <w:tc>
          <w:tcPr>
            <w:tcW w:w="5000" w:type="pct"/>
            <w:gridSpan w:val="3"/>
          </w:tcPr>
          <w:p w:rsidR="00BD32E2" w:rsidRPr="009F4C66" w:rsidRDefault="00BD32E2" w:rsidP="0095503C">
            <w:pPr>
              <w:jc w:val="both"/>
              <w:rPr>
                <w:smallCaps/>
                <w:sz w:val="20"/>
                <w:lang w:val="fr-CA"/>
              </w:rPr>
            </w:pPr>
            <w:r w:rsidRPr="009F4C66">
              <w:rPr>
                <w:smallCaps/>
                <w:sz w:val="20"/>
                <w:lang w:val="fr-CA"/>
              </w:rPr>
              <w:t>(Ordonnance de mise sous scellés)</w:t>
            </w:r>
          </w:p>
          <w:p w:rsidR="00BD32E2" w:rsidRPr="009F4C66" w:rsidRDefault="00BD32E2" w:rsidP="0095503C">
            <w:pPr>
              <w:jc w:val="both"/>
              <w:rPr>
                <w:sz w:val="20"/>
                <w:lang w:val="fr-CA"/>
              </w:rPr>
            </w:pPr>
          </w:p>
          <w:p w:rsidR="00BD32E2" w:rsidRPr="009F4C66" w:rsidRDefault="00BD32E2" w:rsidP="0095503C">
            <w:pPr>
              <w:jc w:val="both"/>
              <w:rPr>
                <w:sz w:val="20"/>
                <w:lang w:val="fr-CA"/>
              </w:rPr>
            </w:pPr>
            <w:r w:rsidRPr="009F4C66">
              <w:rPr>
                <w:sz w:val="20"/>
                <w:lang w:val="fr-CA"/>
              </w:rPr>
              <w:t>Procédure civile – Appel  - Un juge a imposé au demandeur de demander la permission au juge en chef de la Cour supérieure pour exercer tous ses droits d’ester devant la Cour supérieure – Est-ce que la requête déposée en Cour supérieure nécessitait la permission du juge en chef de la Cour supérieure.</w:t>
            </w:r>
          </w:p>
          <w:p w:rsidR="00BD32E2" w:rsidRPr="009F4C66" w:rsidRDefault="00BD32E2" w:rsidP="0095503C">
            <w:pPr>
              <w:jc w:val="both"/>
              <w:rPr>
                <w:sz w:val="20"/>
                <w:lang w:val="fr-CA"/>
              </w:rPr>
            </w:pPr>
          </w:p>
        </w:tc>
      </w:tr>
      <w:tr w:rsidR="00BD32E2" w:rsidRPr="006403D0" w:rsidTr="0095503C">
        <w:tc>
          <w:tcPr>
            <w:tcW w:w="5000" w:type="pct"/>
            <w:gridSpan w:val="3"/>
          </w:tcPr>
          <w:p w:rsidR="00BD32E2" w:rsidRPr="009F4C66" w:rsidRDefault="00BD32E2" w:rsidP="0095503C">
            <w:pPr>
              <w:jc w:val="both"/>
              <w:rPr>
                <w:sz w:val="20"/>
                <w:lang w:val="fr-CA"/>
              </w:rPr>
            </w:pPr>
            <w:r w:rsidRPr="009F4C66">
              <w:rPr>
                <w:sz w:val="20"/>
                <w:lang w:val="fr-CA"/>
              </w:rPr>
              <w:t>Le 15 janvier 2004, le juge Israël Mass déclare M. Raîche  plaideur vexatoire. Par la même occasion, il ordonne à M. Raîche de n’intenter aucune procédure introductive d’instance sans l’autorisation écrite du juge en chef de la Cour supérieure ou d’un juge désigné par lui. L’ordonnance imposait également à M.  Raîche  de demander cette  permission pour toute procédure incidente, interlocutoire, directement ou indirectement et afin d’exercer tous ses droits d’ester devant la Cour supérieure. Le demandeur tente  subséquemment de présenter plusieurs requêtes et d’annuler l’ordonnance de l’arrêt définitif des procédures.</w:t>
            </w:r>
          </w:p>
          <w:p w:rsidR="00BD32E2" w:rsidRPr="009F4C66" w:rsidRDefault="00BD32E2" w:rsidP="0095503C">
            <w:pPr>
              <w:jc w:val="both"/>
              <w:rPr>
                <w:sz w:val="20"/>
                <w:lang w:val="fr-CA"/>
              </w:rPr>
            </w:pPr>
          </w:p>
        </w:tc>
      </w:tr>
      <w:tr w:rsidR="00BD32E2" w:rsidRPr="006403D0" w:rsidTr="0095503C">
        <w:tc>
          <w:tcPr>
            <w:tcW w:w="2427" w:type="pct"/>
          </w:tcPr>
          <w:p w:rsidR="00BD32E2" w:rsidRPr="009F4C66" w:rsidRDefault="00BD32E2" w:rsidP="0095503C">
            <w:pPr>
              <w:jc w:val="both"/>
              <w:rPr>
                <w:sz w:val="20"/>
                <w:lang w:val="fr-CA"/>
              </w:rPr>
            </w:pPr>
            <w:r w:rsidRPr="009F4C66">
              <w:rPr>
                <w:sz w:val="20"/>
                <w:lang w:val="fr-CA"/>
              </w:rPr>
              <w:t>Le 23 septembre 2010</w:t>
            </w:r>
          </w:p>
          <w:p w:rsidR="00BD32E2" w:rsidRPr="009F4C66" w:rsidRDefault="00BD32E2" w:rsidP="0095503C">
            <w:pPr>
              <w:jc w:val="both"/>
              <w:rPr>
                <w:sz w:val="20"/>
                <w:lang w:val="fr-CA"/>
              </w:rPr>
            </w:pPr>
            <w:r w:rsidRPr="009F4C66">
              <w:rPr>
                <w:sz w:val="20"/>
                <w:lang w:val="fr-CA"/>
              </w:rPr>
              <w:t>Cour supérieure du Québec (Chambre criminelle)</w:t>
            </w:r>
          </w:p>
          <w:p w:rsidR="00BD32E2" w:rsidRPr="009F4C66" w:rsidRDefault="00BD32E2" w:rsidP="0095503C">
            <w:pPr>
              <w:jc w:val="both"/>
              <w:rPr>
                <w:sz w:val="20"/>
                <w:lang w:val="fr-CA"/>
              </w:rPr>
            </w:pPr>
            <w:r w:rsidRPr="009F4C66">
              <w:rPr>
                <w:sz w:val="20"/>
                <w:lang w:val="fr-CA"/>
              </w:rPr>
              <w:t>Le juge Wilbrod Décarie</w:t>
            </w: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lang w:val="fr-CA"/>
              </w:rPr>
            </w:pPr>
            <w:r w:rsidRPr="009F4C66">
              <w:rPr>
                <w:sz w:val="20"/>
                <w:lang w:val="fr-CA"/>
              </w:rPr>
              <w:t>Rejette les demandes d’autorisation datées du 22 avril (pour être autorisé à présenter requête du 22 mars  2010) et du 13 mai 2010 (visant l’annulation de l’ordonnance de l’arrêt définitif des procédures).</w:t>
            </w:r>
          </w:p>
          <w:p w:rsidR="00BD32E2" w:rsidRPr="009F4C66" w:rsidRDefault="00BD32E2" w:rsidP="0095503C">
            <w:pPr>
              <w:jc w:val="both"/>
              <w:rPr>
                <w:sz w:val="20"/>
                <w:lang w:val="fr-CA"/>
              </w:rPr>
            </w:pPr>
          </w:p>
        </w:tc>
      </w:tr>
      <w:tr w:rsidR="00BD32E2" w:rsidRPr="006403D0" w:rsidTr="0095503C">
        <w:tc>
          <w:tcPr>
            <w:tcW w:w="2427" w:type="pct"/>
          </w:tcPr>
          <w:p w:rsidR="00BD32E2" w:rsidRPr="009F4C66" w:rsidRDefault="00BD32E2" w:rsidP="0095503C">
            <w:pPr>
              <w:jc w:val="both"/>
              <w:rPr>
                <w:sz w:val="20"/>
                <w:lang w:val="fr-CA"/>
              </w:rPr>
            </w:pPr>
            <w:r w:rsidRPr="009F4C66">
              <w:rPr>
                <w:sz w:val="20"/>
                <w:lang w:val="fr-CA"/>
              </w:rPr>
              <w:t>Le 19 août 2011</w:t>
            </w:r>
          </w:p>
          <w:p w:rsidR="00BD32E2" w:rsidRPr="009F4C66" w:rsidRDefault="00BD32E2" w:rsidP="0095503C">
            <w:pPr>
              <w:jc w:val="both"/>
              <w:rPr>
                <w:sz w:val="20"/>
                <w:lang w:val="fr-CA"/>
              </w:rPr>
            </w:pPr>
            <w:r w:rsidRPr="009F4C66">
              <w:rPr>
                <w:sz w:val="20"/>
                <w:lang w:val="fr-CA"/>
              </w:rPr>
              <w:t>Cour supérieure du Québec</w:t>
            </w:r>
          </w:p>
          <w:p w:rsidR="00BD32E2" w:rsidRPr="009F4C66" w:rsidRDefault="00BD32E2" w:rsidP="0095503C">
            <w:pPr>
              <w:jc w:val="both"/>
              <w:rPr>
                <w:sz w:val="20"/>
                <w:lang w:val="fr-CA"/>
              </w:rPr>
            </w:pPr>
            <w:r w:rsidRPr="009F4C66">
              <w:rPr>
                <w:sz w:val="20"/>
                <w:lang w:val="fr-CA"/>
              </w:rPr>
              <w:t>(La juge Charbonneau)</w:t>
            </w:r>
          </w:p>
          <w:p w:rsidR="00BD32E2" w:rsidRPr="009F4C66" w:rsidRDefault="00BD32E2" w:rsidP="0095503C">
            <w:pPr>
              <w:jc w:val="both"/>
              <w:rPr>
                <w:sz w:val="20"/>
              </w:rPr>
            </w:pP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lang w:val="fr-CA"/>
              </w:rPr>
            </w:pPr>
            <w:r w:rsidRPr="009F4C66">
              <w:rPr>
                <w:sz w:val="20"/>
                <w:lang w:val="fr-CA"/>
              </w:rPr>
              <w:t>Requête pour la ré-ouverture d’une pré-enquête déclarée inexistante</w:t>
            </w:r>
          </w:p>
          <w:p w:rsidR="00BD32E2" w:rsidRPr="009F4C66" w:rsidRDefault="00BD32E2" w:rsidP="0095503C">
            <w:pPr>
              <w:jc w:val="both"/>
              <w:rPr>
                <w:sz w:val="20"/>
                <w:lang w:val="fr-CA"/>
              </w:rPr>
            </w:pPr>
          </w:p>
        </w:tc>
      </w:tr>
      <w:tr w:rsidR="00BD32E2" w:rsidRPr="009F4C66" w:rsidTr="0095503C">
        <w:tc>
          <w:tcPr>
            <w:tcW w:w="2427" w:type="pct"/>
          </w:tcPr>
          <w:p w:rsidR="00BD32E2" w:rsidRPr="009F4C66" w:rsidRDefault="00BD32E2" w:rsidP="0095503C">
            <w:pPr>
              <w:jc w:val="both"/>
              <w:rPr>
                <w:sz w:val="20"/>
                <w:lang w:val="fr-CA"/>
              </w:rPr>
            </w:pPr>
            <w:r w:rsidRPr="009F4C66">
              <w:rPr>
                <w:sz w:val="20"/>
                <w:lang w:val="fr-CA"/>
              </w:rPr>
              <w:t>Le 6 octobre 2011</w:t>
            </w:r>
          </w:p>
          <w:p w:rsidR="00BD32E2" w:rsidRPr="009F4C66" w:rsidRDefault="00BD32E2" w:rsidP="0095503C">
            <w:pPr>
              <w:jc w:val="both"/>
              <w:rPr>
                <w:sz w:val="20"/>
                <w:lang w:val="fr-CA"/>
              </w:rPr>
            </w:pPr>
            <w:r w:rsidRPr="009F4C66">
              <w:rPr>
                <w:sz w:val="20"/>
                <w:lang w:val="fr-CA"/>
              </w:rPr>
              <w:t>Cour d’appel du Québec (Montréal)</w:t>
            </w:r>
          </w:p>
          <w:p w:rsidR="00BD32E2" w:rsidRPr="009F4C66" w:rsidRDefault="00BD32E2" w:rsidP="0095503C">
            <w:pPr>
              <w:jc w:val="both"/>
              <w:rPr>
                <w:sz w:val="20"/>
                <w:lang w:val="fr-CA"/>
              </w:rPr>
            </w:pPr>
            <w:r w:rsidRPr="009F4C66">
              <w:rPr>
                <w:sz w:val="20"/>
                <w:lang w:val="fr-CA"/>
              </w:rPr>
              <w:t>(Les juges Beauregard, Rochon et, Wagner (500-10-004996-104)</w:t>
            </w:r>
          </w:p>
          <w:p w:rsidR="00BD32E2" w:rsidRPr="009F4C66" w:rsidRDefault="00BD32E2" w:rsidP="0095503C">
            <w:pPr>
              <w:jc w:val="both"/>
              <w:rPr>
                <w:sz w:val="20"/>
                <w:lang w:val="fr-CA"/>
              </w:rPr>
            </w:pPr>
            <w:r w:rsidRPr="009F4C66">
              <w:rPr>
                <w:sz w:val="20"/>
                <w:lang w:val="fr-CA"/>
              </w:rPr>
              <w:t>2011 QCCA 1897</w:t>
            </w:r>
          </w:p>
          <w:p w:rsidR="00BD32E2" w:rsidRPr="009F4C66" w:rsidRDefault="00BD32E2" w:rsidP="0095503C">
            <w:pPr>
              <w:jc w:val="both"/>
              <w:rPr>
                <w:sz w:val="20"/>
                <w:lang w:val="fr-FR"/>
              </w:rPr>
            </w:pPr>
          </w:p>
        </w:tc>
        <w:tc>
          <w:tcPr>
            <w:tcW w:w="243" w:type="pct"/>
          </w:tcPr>
          <w:p w:rsidR="00BD32E2" w:rsidRPr="009F4C66" w:rsidRDefault="00BD32E2" w:rsidP="0095503C">
            <w:pPr>
              <w:jc w:val="both"/>
              <w:rPr>
                <w:sz w:val="20"/>
                <w:lang w:val="fr-FR"/>
              </w:rPr>
            </w:pPr>
          </w:p>
        </w:tc>
        <w:tc>
          <w:tcPr>
            <w:tcW w:w="2330" w:type="pct"/>
          </w:tcPr>
          <w:p w:rsidR="00BD32E2" w:rsidRPr="009F4C66" w:rsidRDefault="00BD32E2" w:rsidP="0095503C">
            <w:pPr>
              <w:jc w:val="both"/>
              <w:rPr>
                <w:sz w:val="20"/>
                <w:lang w:val="fr-CA"/>
              </w:rPr>
            </w:pPr>
            <w:r w:rsidRPr="009F4C66">
              <w:rPr>
                <w:sz w:val="20"/>
                <w:lang w:val="fr-CA"/>
              </w:rPr>
              <w:t>Appel rejeté</w:t>
            </w:r>
          </w:p>
          <w:p w:rsidR="00BD32E2" w:rsidRPr="009F4C66" w:rsidRDefault="00BD32E2" w:rsidP="0095503C">
            <w:pPr>
              <w:jc w:val="both"/>
              <w:rPr>
                <w:sz w:val="20"/>
                <w:lang w:val="fr-CA"/>
              </w:rPr>
            </w:pPr>
          </w:p>
        </w:tc>
      </w:tr>
      <w:tr w:rsidR="00BD32E2" w:rsidRPr="006403D0" w:rsidTr="004A3A0E">
        <w:trPr>
          <w:cantSplit/>
        </w:trPr>
        <w:tc>
          <w:tcPr>
            <w:tcW w:w="2427" w:type="pct"/>
          </w:tcPr>
          <w:p w:rsidR="00BD32E2" w:rsidRPr="009F4C66" w:rsidRDefault="00BD32E2" w:rsidP="0095503C">
            <w:pPr>
              <w:jc w:val="both"/>
              <w:rPr>
                <w:sz w:val="20"/>
                <w:lang w:val="fr-CA"/>
              </w:rPr>
            </w:pPr>
            <w:r w:rsidRPr="009F4C66">
              <w:rPr>
                <w:sz w:val="20"/>
                <w:lang w:val="fr-CA"/>
              </w:rPr>
              <w:t>Le 20 décembre 2011</w:t>
            </w:r>
          </w:p>
          <w:p w:rsidR="00BD32E2" w:rsidRPr="009F4C66" w:rsidRDefault="00BD32E2" w:rsidP="0095503C">
            <w:pPr>
              <w:jc w:val="both"/>
              <w:rPr>
                <w:sz w:val="20"/>
                <w:lang w:val="fr-CA"/>
              </w:rPr>
            </w:pPr>
            <w:r w:rsidRPr="009F4C66">
              <w:rPr>
                <w:sz w:val="20"/>
                <w:lang w:val="fr-CA"/>
              </w:rPr>
              <w:t>Cour suprême du Canada</w:t>
            </w:r>
          </w:p>
          <w:p w:rsidR="00BD32E2" w:rsidRPr="009F4C66" w:rsidRDefault="00BD32E2" w:rsidP="0095503C">
            <w:pPr>
              <w:jc w:val="both"/>
              <w:rPr>
                <w:sz w:val="20"/>
                <w:lang w:val="fr-FR"/>
              </w:rPr>
            </w:pPr>
          </w:p>
        </w:tc>
        <w:tc>
          <w:tcPr>
            <w:tcW w:w="243" w:type="pct"/>
          </w:tcPr>
          <w:p w:rsidR="00BD32E2" w:rsidRPr="009F4C66" w:rsidRDefault="00BD32E2" w:rsidP="0095503C">
            <w:pPr>
              <w:jc w:val="both"/>
              <w:rPr>
                <w:sz w:val="20"/>
                <w:lang w:val="fr-FR"/>
              </w:rPr>
            </w:pPr>
          </w:p>
        </w:tc>
        <w:tc>
          <w:tcPr>
            <w:tcW w:w="2330" w:type="pct"/>
          </w:tcPr>
          <w:p w:rsidR="00BD32E2" w:rsidRPr="009F4C66" w:rsidRDefault="00BD32E2" w:rsidP="0095503C">
            <w:pPr>
              <w:jc w:val="both"/>
              <w:rPr>
                <w:sz w:val="20"/>
                <w:lang w:val="fr-CA"/>
              </w:rPr>
            </w:pPr>
            <w:r w:rsidRPr="009F4C66">
              <w:rPr>
                <w:sz w:val="20"/>
                <w:lang w:val="fr-CA"/>
              </w:rPr>
              <w:t>Demandes de prorogation de délai pour signifier et déposer demande d’autorisation et demande d'autorisation d'appel déposées</w:t>
            </w:r>
          </w:p>
        </w:tc>
      </w:tr>
    </w:tbl>
    <w:p w:rsidR="00140B84" w:rsidRPr="00BD32E2" w:rsidRDefault="00140B84" w:rsidP="00140B84">
      <w:pPr>
        <w:rPr>
          <w:sz w:val="20"/>
          <w:szCs w:val="20"/>
          <w:lang w:val="fr-CA"/>
        </w:rPr>
      </w:pPr>
    </w:p>
    <w:p w:rsidR="00140B84" w:rsidRDefault="00E5065D" w:rsidP="00140B84">
      <w:pPr>
        <w:rPr>
          <w:sz w:val="20"/>
          <w:szCs w:val="20"/>
          <w:lang w:val="fr-CA"/>
        </w:rPr>
      </w:pPr>
      <w:r w:rsidRPr="00E5065D">
        <w:rPr>
          <w:sz w:val="20"/>
          <w:szCs w:val="20"/>
          <w:lang w:val="fr-CA"/>
        </w:rPr>
        <w:pict>
          <v:rect id="_x0000_i1087" style="width:2in;height:1pt" o:hrpct="0" o:hralign="center" o:hrstd="t" o:hrnoshade="t" o:hr="t" fillcolor="black [3213]" stroked="f"/>
        </w:pict>
      </w:r>
    </w:p>
    <w:p w:rsidR="00140B84" w:rsidRDefault="00140B84" w:rsidP="00140B8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3A0E" w:rsidRPr="006403D0" w:rsidTr="00024A17">
        <w:trPr>
          <w:cantSplit/>
        </w:trPr>
        <w:tc>
          <w:tcPr>
            <w:tcW w:w="1458" w:type="dxa"/>
          </w:tcPr>
          <w:p w:rsidR="004A3A0E" w:rsidRPr="004A3A0E" w:rsidRDefault="004A3A0E" w:rsidP="00024A17">
            <w:pPr>
              <w:rPr>
                <w:sz w:val="20"/>
                <w:szCs w:val="20"/>
              </w:rPr>
            </w:pPr>
            <w:r w:rsidRPr="004A3A0E">
              <w:rPr>
                <w:rStyle w:val="SCCFileNumberChar"/>
                <w:sz w:val="20"/>
                <w:szCs w:val="20"/>
              </w:rPr>
              <w:t>34603</w:t>
            </w:r>
          </w:p>
          <w:p w:rsidR="004A3A0E" w:rsidRPr="004A3A0E" w:rsidRDefault="004A3A0E" w:rsidP="00024A17">
            <w:pPr>
              <w:rPr>
                <w:b/>
                <w:sz w:val="20"/>
                <w:szCs w:val="20"/>
                <w:lang w:val="fr-CA"/>
              </w:rPr>
            </w:pPr>
          </w:p>
        </w:tc>
        <w:tc>
          <w:tcPr>
            <w:tcW w:w="8118" w:type="dxa"/>
          </w:tcPr>
          <w:p w:rsidR="004A3A0E" w:rsidRPr="004A3A0E" w:rsidRDefault="004A3A0E" w:rsidP="00024A17">
            <w:pPr>
              <w:rPr>
                <w:sz w:val="20"/>
                <w:szCs w:val="20"/>
                <w:lang w:val="fr-CA"/>
              </w:rPr>
            </w:pPr>
            <w:r w:rsidRPr="004A3A0E">
              <w:rPr>
                <w:rStyle w:val="SCCLsocChar"/>
                <w:sz w:val="20"/>
                <w:szCs w:val="20"/>
              </w:rPr>
              <w:t>Richard Raîche c. Sa Majesté la Reine</w:t>
            </w:r>
            <w:r w:rsidRPr="004A3A0E">
              <w:rPr>
                <w:sz w:val="20"/>
                <w:szCs w:val="20"/>
                <w:lang w:val="fr-CA"/>
              </w:rPr>
              <w:t xml:space="preserve"> (Qc) (Criminelle) (Autorisation)</w:t>
            </w:r>
          </w:p>
          <w:p w:rsidR="004A3A0E" w:rsidRPr="004A3A0E" w:rsidRDefault="004A3A0E" w:rsidP="00024A17">
            <w:pPr>
              <w:rPr>
                <w:sz w:val="20"/>
                <w:szCs w:val="20"/>
                <w:lang w:val="fr-CA"/>
              </w:rPr>
            </w:pPr>
          </w:p>
        </w:tc>
      </w:tr>
      <w:tr w:rsidR="004A3A0E" w:rsidRPr="006403D0" w:rsidTr="00024A17">
        <w:trPr>
          <w:cantSplit/>
        </w:trPr>
        <w:tc>
          <w:tcPr>
            <w:tcW w:w="1458" w:type="dxa"/>
          </w:tcPr>
          <w:p w:rsidR="004A3A0E" w:rsidRPr="004A3A0E" w:rsidRDefault="004A3A0E" w:rsidP="00024A17">
            <w:pPr>
              <w:rPr>
                <w:sz w:val="20"/>
                <w:szCs w:val="20"/>
              </w:rPr>
            </w:pPr>
            <w:r w:rsidRPr="004A3A0E">
              <w:rPr>
                <w:sz w:val="20"/>
                <w:szCs w:val="20"/>
              </w:rPr>
              <w:t>Coram :</w:t>
            </w:r>
          </w:p>
        </w:tc>
        <w:tc>
          <w:tcPr>
            <w:tcW w:w="8118" w:type="dxa"/>
          </w:tcPr>
          <w:p w:rsidR="004A3A0E" w:rsidRPr="004A3A0E" w:rsidRDefault="004A3A0E" w:rsidP="00024A17">
            <w:pPr>
              <w:rPr>
                <w:sz w:val="20"/>
                <w:szCs w:val="20"/>
                <w:lang w:val="fr-CA"/>
              </w:rPr>
            </w:pPr>
            <w:r w:rsidRPr="004A3A0E">
              <w:rPr>
                <w:rStyle w:val="SCCCoramChar"/>
                <w:sz w:val="20"/>
                <w:szCs w:val="20"/>
              </w:rPr>
              <w:t>Les juges Deschamps, Fish et Karakatsanis</w:t>
            </w:r>
          </w:p>
          <w:p w:rsidR="004A3A0E" w:rsidRPr="004A3A0E" w:rsidRDefault="004A3A0E" w:rsidP="00024A17">
            <w:pPr>
              <w:rPr>
                <w:sz w:val="20"/>
                <w:szCs w:val="20"/>
                <w:u w:val="single"/>
                <w:lang w:val="fr-CA"/>
              </w:rPr>
            </w:pPr>
          </w:p>
        </w:tc>
      </w:tr>
      <w:tr w:rsidR="004A3A0E" w:rsidRPr="004A3A0E" w:rsidTr="00024A17">
        <w:trPr>
          <w:cantSplit/>
        </w:trPr>
        <w:tc>
          <w:tcPr>
            <w:tcW w:w="9576" w:type="dxa"/>
            <w:gridSpan w:val="2"/>
          </w:tcPr>
          <w:p w:rsidR="004A3A0E" w:rsidRPr="004A3A0E" w:rsidRDefault="004A3A0E" w:rsidP="00024A17">
            <w:pPr>
              <w:pStyle w:val="SCCShortJudgment"/>
              <w:rPr>
                <w:szCs w:val="20"/>
                <w:lang w:val="fr-CA"/>
              </w:rPr>
            </w:pPr>
            <w:r w:rsidRPr="004A3A0E">
              <w:rPr>
                <w:szCs w:val="20"/>
                <w:lang w:val="fr-CA"/>
              </w:rPr>
              <w:t>La requête en prorogation du délai de signification et de dépôt de la demande d’autorisation d’appel de l’arrêt de la Cour d’appel du Québec (Montréal), numéro 500-10-004778-104, daté du 6 octobre 2011, est rejetée.  Quoi qu’il en soit, même si la requête avait été accueillie, la demande d’autorisation d’appel aurait été rejetée sans dépens.</w:t>
            </w:r>
          </w:p>
          <w:p w:rsidR="004A3A0E" w:rsidRPr="004A3A0E" w:rsidRDefault="004A3A0E" w:rsidP="00024A17">
            <w:pPr>
              <w:pStyle w:val="SCCShortJudgment"/>
              <w:ind w:firstLine="0"/>
              <w:rPr>
                <w:szCs w:val="20"/>
                <w:lang w:val="fr-CA"/>
              </w:rPr>
            </w:pPr>
          </w:p>
          <w:p w:rsidR="004A3A0E" w:rsidRPr="004A3A0E" w:rsidRDefault="004A3A0E" w:rsidP="004A3A0E">
            <w:pPr>
              <w:pStyle w:val="SCCShortJudgment"/>
              <w:rPr>
                <w:szCs w:val="20"/>
              </w:rPr>
            </w:pPr>
            <w:r w:rsidRPr="004A3A0E">
              <w:rPr>
                <w:szCs w:val="20"/>
              </w:rPr>
              <w:t>The motion for an extension of time to serve and file an application for leave to appeal from the judgment of the Court of Appeal of Quebec (Montréal), Number 500-10-004778-104, dated October 6, 2011, is dismissed. In any event, had such motion been granted, the application for leave to appeal would have been dismissed without costs.</w:t>
            </w:r>
          </w:p>
        </w:tc>
      </w:tr>
    </w:tbl>
    <w:p w:rsidR="00140B84" w:rsidRPr="004A3A0E" w:rsidRDefault="00140B84" w:rsidP="00140B84">
      <w:pPr>
        <w:rPr>
          <w:sz w:val="20"/>
          <w:szCs w:val="20"/>
        </w:rPr>
      </w:pPr>
    </w:p>
    <w:p w:rsidR="00140B84" w:rsidRPr="001B157C" w:rsidRDefault="00140B84" w:rsidP="00140B84">
      <w:pPr>
        <w:rPr>
          <w:sz w:val="20"/>
          <w:szCs w:val="20"/>
          <w:u w:val="single"/>
        </w:rPr>
      </w:pPr>
      <w:r w:rsidRPr="001B157C">
        <w:rPr>
          <w:sz w:val="20"/>
          <w:szCs w:val="20"/>
          <w:u w:val="single"/>
        </w:rPr>
        <w:t>CASE SUMMARY</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32E2" w:rsidRPr="009F4C66" w:rsidTr="0095503C">
        <w:tc>
          <w:tcPr>
            <w:tcW w:w="5000" w:type="pct"/>
            <w:gridSpan w:val="3"/>
          </w:tcPr>
          <w:p w:rsidR="00BD32E2" w:rsidRPr="009F4C66" w:rsidRDefault="00BD32E2" w:rsidP="0095503C">
            <w:pPr>
              <w:jc w:val="both"/>
              <w:rPr>
                <w:smallCaps/>
                <w:sz w:val="20"/>
              </w:rPr>
            </w:pPr>
            <w:r w:rsidRPr="009F4C66">
              <w:rPr>
                <w:smallCaps/>
                <w:sz w:val="20"/>
              </w:rPr>
              <w:t>(Sealing Order)</w:t>
            </w:r>
          </w:p>
          <w:p w:rsidR="00BD32E2" w:rsidRPr="009F4C66" w:rsidRDefault="00BD32E2" w:rsidP="0095503C">
            <w:pPr>
              <w:jc w:val="both"/>
              <w:rPr>
                <w:sz w:val="20"/>
              </w:rPr>
            </w:pPr>
          </w:p>
          <w:p w:rsidR="00BD32E2" w:rsidRPr="009F4C66" w:rsidRDefault="00BD32E2" w:rsidP="0095503C">
            <w:pPr>
              <w:jc w:val="both"/>
              <w:rPr>
                <w:sz w:val="20"/>
              </w:rPr>
            </w:pPr>
            <w:r w:rsidRPr="009F4C66">
              <w:rPr>
                <w:sz w:val="20"/>
              </w:rPr>
              <w:t>Civil procedure – Appeal – Judge requiring applicant to apply for leave from Chief Justice of Superior Court to exercise all his rights of action in Superior Court – Whether motion filed in Superior Court required leave of Chief Justice of Superior Court.</w:t>
            </w:r>
          </w:p>
        </w:tc>
      </w:tr>
      <w:tr w:rsidR="00BD32E2" w:rsidRPr="009F4C66" w:rsidTr="0095503C">
        <w:tc>
          <w:tcPr>
            <w:tcW w:w="5000" w:type="pct"/>
            <w:gridSpan w:val="3"/>
          </w:tcPr>
          <w:p w:rsidR="00BD32E2" w:rsidRPr="009F4C66" w:rsidRDefault="00BD32E2" w:rsidP="0095503C">
            <w:pPr>
              <w:jc w:val="both"/>
              <w:rPr>
                <w:sz w:val="20"/>
              </w:rPr>
            </w:pPr>
          </w:p>
        </w:tc>
      </w:tr>
      <w:tr w:rsidR="00BD32E2" w:rsidRPr="009F4C66" w:rsidTr="0095503C">
        <w:tc>
          <w:tcPr>
            <w:tcW w:w="5000" w:type="pct"/>
            <w:gridSpan w:val="3"/>
          </w:tcPr>
          <w:p w:rsidR="00BD32E2" w:rsidRPr="009F4C66" w:rsidRDefault="00BD32E2" w:rsidP="0095503C">
            <w:pPr>
              <w:jc w:val="both"/>
              <w:rPr>
                <w:sz w:val="20"/>
              </w:rPr>
            </w:pPr>
            <w:r w:rsidRPr="009F4C66">
              <w:rPr>
                <w:sz w:val="20"/>
              </w:rPr>
              <w:t>On January 15, 2004, Mr. Justice Israël Mass declared Mr. Raîche to be a vexatious litigant.  At the same time, he ordered Mr. Raîche not to file any proceeding to institute a suit without written leave from the Chief Justice of the Superior Court or a judge designated by him.  The order also required Mr. Raîche to apply for such leave in order to institute any incidental or interlocutory proceeding, whether directly or indirectly, and to exercise all his rights of action in the Superior Court.  The applicant subsequently tried to present several motions and to have the order for a final stay of proceedings set aside.</w:t>
            </w:r>
          </w:p>
          <w:p w:rsidR="00BD32E2" w:rsidRPr="009F4C66" w:rsidRDefault="00BD32E2" w:rsidP="0095503C">
            <w:pPr>
              <w:jc w:val="both"/>
              <w:rPr>
                <w:sz w:val="20"/>
              </w:rPr>
            </w:pPr>
          </w:p>
        </w:tc>
      </w:tr>
      <w:tr w:rsidR="00BD32E2" w:rsidRPr="009F4C66" w:rsidTr="0095503C">
        <w:tc>
          <w:tcPr>
            <w:tcW w:w="2427" w:type="pct"/>
          </w:tcPr>
          <w:p w:rsidR="00BD32E2" w:rsidRPr="009F4C66" w:rsidRDefault="00BD32E2" w:rsidP="0095503C">
            <w:pPr>
              <w:jc w:val="both"/>
              <w:rPr>
                <w:sz w:val="20"/>
              </w:rPr>
            </w:pPr>
            <w:r w:rsidRPr="009F4C66">
              <w:rPr>
                <w:sz w:val="20"/>
              </w:rPr>
              <w:t>September 23, 2010</w:t>
            </w:r>
          </w:p>
          <w:p w:rsidR="00BD32E2" w:rsidRPr="009F4C66" w:rsidRDefault="00BD32E2" w:rsidP="0095503C">
            <w:pPr>
              <w:jc w:val="both"/>
              <w:rPr>
                <w:sz w:val="20"/>
              </w:rPr>
            </w:pPr>
            <w:r w:rsidRPr="009F4C66">
              <w:rPr>
                <w:sz w:val="20"/>
              </w:rPr>
              <w:t>Quebec Superior Court (Criminal Division)</w:t>
            </w:r>
          </w:p>
          <w:p w:rsidR="00BD32E2" w:rsidRPr="009F4C66" w:rsidRDefault="00BD32E2" w:rsidP="0095503C">
            <w:pPr>
              <w:jc w:val="both"/>
              <w:rPr>
                <w:sz w:val="20"/>
              </w:rPr>
            </w:pPr>
            <w:r w:rsidRPr="009F4C66">
              <w:rPr>
                <w:sz w:val="20"/>
              </w:rPr>
              <w:t>Wilbrod Décarie J.</w:t>
            </w: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Applications for leave dated April 22, 2010 (to present motion of March 22, 2010) and May 13, 2010 (to set aside order for final stay of proceedings) dismissed</w:t>
            </w:r>
          </w:p>
          <w:p w:rsidR="00BD32E2" w:rsidRPr="009F4C66" w:rsidRDefault="00BD32E2" w:rsidP="0095503C">
            <w:pPr>
              <w:jc w:val="both"/>
              <w:rPr>
                <w:sz w:val="20"/>
              </w:rPr>
            </w:pPr>
          </w:p>
        </w:tc>
      </w:tr>
      <w:tr w:rsidR="00BD32E2" w:rsidRPr="009F4C66" w:rsidTr="0095503C">
        <w:tc>
          <w:tcPr>
            <w:tcW w:w="2427" w:type="pct"/>
          </w:tcPr>
          <w:p w:rsidR="00BD32E2" w:rsidRPr="009F4C66" w:rsidRDefault="00BD32E2" w:rsidP="0095503C">
            <w:pPr>
              <w:jc w:val="both"/>
              <w:rPr>
                <w:sz w:val="20"/>
              </w:rPr>
            </w:pPr>
            <w:r w:rsidRPr="009F4C66">
              <w:rPr>
                <w:sz w:val="20"/>
              </w:rPr>
              <w:t>August 19, 2011</w:t>
            </w:r>
          </w:p>
          <w:p w:rsidR="00BD32E2" w:rsidRPr="009F4C66" w:rsidRDefault="00BD32E2" w:rsidP="0095503C">
            <w:pPr>
              <w:jc w:val="both"/>
              <w:rPr>
                <w:sz w:val="20"/>
              </w:rPr>
            </w:pPr>
            <w:r w:rsidRPr="009F4C66">
              <w:rPr>
                <w:sz w:val="20"/>
              </w:rPr>
              <w:t>Quebec Superior Court</w:t>
            </w:r>
          </w:p>
          <w:p w:rsidR="00BD32E2" w:rsidRPr="009F4C66" w:rsidRDefault="00BD32E2" w:rsidP="0095503C">
            <w:pPr>
              <w:jc w:val="both"/>
              <w:rPr>
                <w:sz w:val="20"/>
              </w:rPr>
            </w:pPr>
            <w:r w:rsidRPr="009F4C66">
              <w:rPr>
                <w:sz w:val="20"/>
              </w:rPr>
              <w:t>(Charbonneau J.)</w:t>
            </w:r>
          </w:p>
          <w:p w:rsidR="00BD32E2" w:rsidRPr="009F4C66" w:rsidRDefault="00BD32E2" w:rsidP="0095503C">
            <w:pPr>
              <w:jc w:val="both"/>
              <w:rPr>
                <w:sz w:val="20"/>
              </w:rPr>
            </w:pP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Motion to reopen pre</w:t>
            </w:r>
            <w:r w:rsidRPr="009F4C66">
              <w:rPr>
                <w:sz w:val="20"/>
              </w:rPr>
              <w:noBreakHyphen/>
              <w:t>inquiry declared non</w:t>
            </w:r>
            <w:r w:rsidRPr="009F4C66">
              <w:rPr>
                <w:sz w:val="20"/>
              </w:rPr>
              <w:noBreakHyphen/>
              <w:t>existent</w:t>
            </w:r>
          </w:p>
          <w:p w:rsidR="00BD32E2" w:rsidRPr="009F4C66" w:rsidRDefault="00BD32E2" w:rsidP="0095503C">
            <w:pPr>
              <w:jc w:val="both"/>
              <w:rPr>
                <w:sz w:val="20"/>
              </w:rPr>
            </w:pPr>
          </w:p>
        </w:tc>
      </w:tr>
      <w:tr w:rsidR="00BD32E2" w:rsidRPr="009F4C66" w:rsidTr="0095503C">
        <w:tc>
          <w:tcPr>
            <w:tcW w:w="2427" w:type="pct"/>
          </w:tcPr>
          <w:p w:rsidR="00BD32E2" w:rsidRPr="009F4C66" w:rsidRDefault="00BD32E2" w:rsidP="0095503C">
            <w:pPr>
              <w:jc w:val="both"/>
              <w:rPr>
                <w:sz w:val="20"/>
              </w:rPr>
            </w:pPr>
            <w:r w:rsidRPr="009F4C66">
              <w:rPr>
                <w:sz w:val="20"/>
              </w:rPr>
              <w:t>October 6, 2011</w:t>
            </w:r>
          </w:p>
          <w:p w:rsidR="00BD32E2" w:rsidRPr="009F4C66" w:rsidRDefault="00BD32E2" w:rsidP="0095503C">
            <w:pPr>
              <w:jc w:val="both"/>
              <w:rPr>
                <w:sz w:val="20"/>
              </w:rPr>
            </w:pPr>
            <w:r w:rsidRPr="009F4C66">
              <w:rPr>
                <w:sz w:val="20"/>
              </w:rPr>
              <w:t>Quebec Court of Appeal (Montréal)</w:t>
            </w:r>
          </w:p>
          <w:p w:rsidR="00BD32E2" w:rsidRPr="009F4C66" w:rsidRDefault="00BD32E2" w:rsidP="004A3A0E">
            <w:pPr>
              <w:jc w:val="both"/>
              <w:rPr>
                <w:sz w:val="20"/>
              </w:rPr>
            </w:pPr>
            <w:r w:rsidRPr="009F4C66">
              <w:rPr>
                <w:sz w:val="20"/>
              </w:rPr>
              <w:t>(Beauregard, Rochon and Wagner JJ.A.)</w:t>
            </w: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Appeal dismissed</w:t>
            </w:r>
          </w:p>
          <w:p w:rsidR="00BD32E2" w:rsidRPr="009F4C66" w:rsidRDefault="00BD32E2" w:rsidP="0095503C">
            <w:pPr>
              <w:jc w:val="both"/>
              <w:rPr>
                <w:sz w:val="20"/>
              </w:rPr>
            </w:pPr>
          </w:p>
        </w:tc>
      </w:tr>
    </w:tbl>
    <w:p w:rsidR="004A3A0E" w:rsidRDefault="004A3A0E"/>
    <w:p w:rsidR="004A3A0E" w:rsidRDefault="004A3A0E">
      <w:r>
        <w:br w:type="page"/>
      </w:r>
    </w:p>
    <w:tbl>
      <w:tblPr>
        <w:tblW w:w="4952" w:type="pct"/>
        <w:tblLayout w:type="fixed"/>
        <w:tblCellMar>
          <w:left w:w="0" w:type="dxa"/>
          <w:bottom w:w="99" w:type="dxa"/>
          <w:right w:w="0" w:type="dxa"/>
        </w:tblCellMar>
        <w:tblLook w:val="04A0"/>
      </w:tblPr>
      <w:tblGrid>
        <w:gridCol w:w="4624"/>
        <w:gridCol w:w="463"/>
        <w:gridCol w:w="4440"/>
      </w:tblGrid>
      <w:tr w:rsidR="00BD32E2" w:rsidRPr="009F4C66" w:rsidTr="004A3A0E">
        <w:trPr>
          <w:cantSplit/>
        </w:trPr>
        <w:tc>
          <w:tcPr>
            <w:tcW w:w="2427" w:type="pct"/>
          </w:tcPr>
          <w:p w:rsidR="00BD32E2" w:rsidRPr="009F4C66" w:rsidRDefault="00BD32E2" w:rsidP="0095503C">
            <w:pPr>
              <w:jc w:val="both"/>
              <w:rPr>
                <w:sz w:val="20"/>
              </w:rPr>
            </w:pPr>
            <w:r w:rsidRPr="009F4C66">
              <w:rPr>
                <w:sz w:val="20"/>
              </w:rPr>
              <w:t>December 20, 2011</w:t>
            </w:r>
          </w:p>
          <w:p w:rsidR="00BD32E2" w:rsidRPr="009F4C66" w:rsidRDefault="00BD32E2" w:rsidP="0095503C">
            <w:pPr>
              <w:jc w:val="both"/>
              <w:rPr>
                <w:sz w:val="20"/>
              </w:rPr>
            </w:pPr>
            <w:r w:rsidRPr="009F4C66">
              <w:rPr>
                <w:sz w:val="20"/>
              </w:rPr>
              <w:t>Supreme Court of Canada</w:t>
            </w:r>
          </w:p>
          <w:p w:rsidR="00BD32E2" w:rsidRPr="009F4C66" w:rsidRDefault="00BD32E2" w:rsidP="0095503C">
            <w:pPr>
              <w:jc w:val="both"/>
              <w:rPr>
                <w:sz w:val="20"/>
              </w:rPr>
            </w:pP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rPr>
            </w:pPr>
            <w:r w:rsidRPr="009F4C66">
              <w:rPr>
                <w:sz w:val="20"/>
              </w:rPr>
              <w:t>Applications to extend time to serve and file application for leave to appeal and application for leave to appeal filed</w:t>
            </w:r>
          </w:p>
        </w:tc>
      </w:tr>
    </w:tbl>
    <w:p w:rsidR="00140B84" w:rsidRDefault="00140B84" w:rsidP="00140B84">
      <w:pPr>
        <w:rPr>
          <w:sz w:val="20"/>
          <w:szCs w:val="20"/>
        </w:rPr>
      </w:pPr>
    </w:p>
    <w:p w:rsidR="00140B84" w:rsidRPr="00C50A5C" w:rsidRDefault="00E5065D" w:rsidP="00140B84">
      <w:pPr>
        <w:rPr>
          <w:sz w:val="20"/>
          <w:szCs w:val="20"/>
        </w:rPr>
      </w:pPr>
      <w:r w:rsidRPr="00E5065D">
        <w:rPr>
          <w:sz w:val="20"/>
          <w:szCs w:val="20"/>
          <w:lang w:val="fr-CA"/>
        </w:rPr>
        <w:pict>
          <v:rect id="_x0000_i1088" style="width:2in;height:1pt" o:hrpct="0" o:hralign="center" o:hrstd="t" o:hrnoshade="t" o:hr="t" fillcolor="black [3213]" stroked="f"/>
        </w:pict>
      </w:r>
    </w:p>
    <w:p w:rsidR="00140B84" w:rsidRDefault="00140B84" w:rsidP="00140B84">
      <w:pPr>
        <w:rPr>
          <w:sz w:val="20"/>
          <w:szCs w:val="20"/>
        </w:rPr>
      </w:pPr>
    </w:p>
    <w:p w:rsidR="00140B84" w:rsidRPr="001B157C" w:rsidRDefault="00140B84" w:rsidP="00140B84">
      <w:pPr>
        <w:rPr>
          <w:sz w:val="20"/>
          <w:szCs w:val="20"/>
          <w:u w:val="single"/>
          <w:lang w:val="fr-CA"/>
        </w:rPr>
      </w:pPr>
      <w:r w:rsidRPr="001B157C">
        <w:rPr>
          <w:sz w:val="20"/>
          <w:szCs w:val="20"/>
          <w:u w:val="single"/>
          <w:lang w:val="fr-CA"/>
        </w:rPr>
        <w:t>RÉSUMÉ DE L’AFFAIRE</w:t>
      </w:r>
    </w:p>
    <w:p w:rsidR="00140B84" w:rsidRDefault="00140B84" w:rsidP="00140B8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32E2" w:rsidRPr="006403D0" w:rsidTr="0095503C">
        <w:tc>
          <w:tcPr>
            <w:tcW w:w="5000" w:type="pct"/>
            <w:gridSpan w:val="3"/>
          </w:tcPr>
          <w:p w:rsidR="00BD32E2" w:rsidRPr="009F4C66" w:rsidRDefault="00BD32E2" w:rsidP="0095503C">
            <w:pPr>
              <w:jc w:val="both"/>
              <w:rPr>
                <w:smallCaps/>
                <w:sz w:val="20"/>
                <w:lang w:val="fr-CA"/>
              </w:rPr>
            </w:pPr>
            <w:r w:rsidRPr="009F4C66">
              <w:rPr>
                <w:smallCaps/>
                <w:sz w:val="20"/>
                <w:lang w:val="fr-CA"/>
              </w:rPr>
              <w:t>(Ordonnance de mise sous scellés)</w:t>
            </w:r>
          </w:p>
          <w:p w:rsidR="00BD32E2" w:rsidRPr="009F4C66" w:rsidRDefault="00BD32E2" w:rsidP="0095503C">
            <w:pPr>
              <w:jc w:val="both"/>
              <w:rPr>
                <w:sz w:val="20"/>
                <w:lang w:val="fr-CA"/>
              </w:rPr>
            </w:pPr>
          </w:p>
          <w:p w:rsidR="00BD32E2" w:rsidRPr="009F4C66" w:rsidRDefault="00BD32E2" w:rsidP="0095503C">
            <w:pPr>
              <w:jc w:val="both"/>
              <w:rPr>
                <w:sz w:val="20"/>
                <w:lang w:val="fr-CA"/>
              </w:rPr>
            </w:pPr>
            <w:r w:rsidRPr="009F4C66">
              <w:rPr>
                <w:sz w:val="20"/>
                <w:lang w:val="fr-CA"/>
              </w:rPr>
              <w:t>Procédure civile – Appel – Un juge a imposé au demandeur de demander la permission au juge en chef de la Cour supérieure pour exercer tous ses droits d’ester devant la Cour supérieure – Est-ce que la requête déposée en Cour supérieure nécessitait la permission du juge en chef de la Cour supérieure.</w:t>
            </w:r>
          </w:p>
        </w:tc>
      </w:tr>
      <w:tr w:rsidR="00BD32E2" w:rsidRPr="006403D0" w:rsidTr="0095503C">
        <w:tc>
          <w:tcPr>
            <w:tcW w:w="5000" w:type="pct"/>
            <w:gridSpan w:val="3"/>
          </w:tcPr>
          <w:p w:rsidR="00BD32E2" w:rsidRPr="009F4C66" w:rsidRDefault="00BD32E2" w:rsidP="0095503C">
            <w:pPr>
              <w:jc w:val="both"/>
              <w:rPr>
                <w:sz w:val="20"/>
                <w:lang w:val="fr-CA"/>
              </w:rPr>
            </w:pPr>
          </w:p>
        </w:tc>
      </w:tr>
      <w:tr w:rsidR="00BD32E2" w:rsidRPr="006403D0" w:rsidTr="0095503C">
        <w:tc>
          <w:tcPr>
            <w:tcW w:w="5000" w:type="pct"/>
            <w:gridSpan w:val="3"/>
          </w:tcPr>
          <w:p w:rsidR="00BD32E2" w:rsidRPr="009F4C66" w:rsidRDefault="00BD32E2" w:rsidP="0095503C">
            <w:pPr>
              <w:jc w:val="both"/>
              <w:rPr>
                <w:sz w:val="20"/>
                <w:lang w:val="fr-CA"/>
              </w:rPr>
            </w:pPr>
            <w:r w:rsidRPr="009F4C66">
              <w:rPr>
                <w:sz w:val="20"/>
                <w:lang w:val="fr-CA"/>
              </w:rPr>
              <w:t>Le 15 janvier 2004, le juge Israël Mass déclare M. Raîche  plaideur vexatoire. Par la même occasion, il ordonne à M. Raîche de n’intenter aucune procédure introductive d’instance sans l’autorisation écrite du juge en chef de la Cour supérieure ou d’un juge désigné par lui. L’ordonnance imposait également à M.  Raîche  de demander cette  permission pour toute procédure incidente, interlocutoire, directement ou indirectement et afin d’exercer tous ses droits d’ester devant la Cour supérieure. Le demandeur tente  subséquemment de présenter plusieurs requêtes et d’annuler l’ordonnance de l’arrêt définitif des procédures.</w:t>
            </w:r>
          </w:p>
          <w:p w:rsidR="00BD32E2" w:rsidRPr="009F4C66" w:rsidRDefault="00BD32E2" w:rsidP="0095503C">
            <w:pPr>
              <w:jc w:val="both"/>
              <w:rPr>
                <w:sz w:val="20"/>
                <w:lang w:val="fr-CA"/>
              </w:rPr>
            </w:pPr>
          </w:p>
        </w:tc>
      </w:tr>
      <w:tr w:rsidR="00BD32E2" w:rsidRPr="006403D0" w:rsidTr="0095503C">
        <w:tc>
          <w:tcPr>
            <w:tcW w:w="2427" w:type="pct"/>
          </w:tcPr>
          <w:p w:rsidR="00BD32E2" w:rsidRPr="009F4C66" w:rsidRDefault="00BD32E2" w:rsidP="0095503C">
            <w:pPr>
              <w:jc w:val="both"/>
              <w:rPr>
                <w:sz w:val="20"/>
                <w:lang w:val="fr-CA"/>
              </w:rPr>
            </w:pPr>
            <w:r w:rsidRPr="009F4C66">
              <w:rPr>
                <w:sz w:val="20"/>
                <w:lang w:val="fr-CA"/>
              </w:rPr>
              <w:t>Le 23 septembre 2010</w:t>
            </w:r>
          </w:p>
          <w:p w:rsidR="00BD32E2" w:rsidRPr="009F4C66" w:rsidRDefault="00BD32E2" w:rsidP="0095503C">
            <w:pPr>
              <w:jc w:val="both"/>
              <w:rPr>
                <w:sz w:val="20"/>
                <w:lang w:val="fr-CA"/>
              </w:rPr>
            </w:pPr>
            <w:r w:rsidRPr="009F4C66">
              <w:rPr>
                <w:sz w:val="20"/>
                <w:lang w:val="fr-CA"/>
              </w:rPr>
              <w:t>Cour supérieure du Québec (Chambre criminelle)</w:t>
            </w:r>
          </w:p>
          <w:p w:rsidR="00BD32E2" w:rsidRPr="009F4C66" w:rsidRDefault="00BD32E2" w:rsidP="0095503C">
            <w:pPr>
              <w:jc w:val="both"/>
              <w:rPr>
                <w:sz w:val="20"/>
                <w:lang w:val="fr-CA"/>
              </w:rPr>
            </w:pPr>
            <w:r w:rsidRPr="009F4C66">
              <w:rPr>
                <w:sz w:val="20"/>
                <w:lang w:val="fr-CA"/>
              </w:rPr>
              <w:t>Le juge Wilbrod Décarie</w:t>
            </w:r>
          </w:p>
        </w:tc>
        <w:tc>
          <w:tcPr>
            <w:tcW w:w="243" w:type="pct"/>
          </w:tcPr>
          <w:p w:rsidR="00BD32E2" w:rsidRPr="009F4C66" w:rsidRDefault="00BD32E2" w:rsidP="0095503C">
            <w:pPr>
              <w:jc w:val="both"/>
              <w:rPr>
                <w:sz w:val="20"/>
                <w:lang w:val="fr-FR"/>
              </w:rPr>
            </w:pPr>
          </w:p>
        </w:tc>
        <w:tc>
          <w:tcPr>
            <w:tcW w:w="2330" w:type="pct"/>
          </w:tcPr>
          <w:p w:rsidR="00BD32E2" w:rsidRPr="009F4C66" w:rsidRDefault="00BD32E2" w:rsidP="0095503C">
            <w:pPr>
              <w:jc w:val="both"/>
              <w:rPr>
                <w:sz w:val="20"/>
                <w:lang w:val="fr-CA"/>
              </w:rPr>
            </w:pPr>
            <w:r w:rsidRPr="009F4C66">
              <w:rPr>
                <w:sz w:val="20"/>
                <w:lang w:val="fr-CA"/>
              </w:rPr>
              <w:t>Rejette les demandes d’autorisation datées du 22 avril (pour être autorisé à présenter requête du 22 mars  2010) et du 13 mai 2010 (visant l’annulation de l’ordonnance de l’arrêt définitif des procédures).</w:t>
            </w:r>
          </w:p>
          <w:p w:rsidR="00BD32E2" w:rsidRPr="009F4C66" w:rsidRDefault="00BD32E2" w:rsidP="0095503C">
            <w:pPr>
              <w:jc w:val="both"/>
              <w:rPr>
                <w:sz w:val="20"/>
                <w:lang w:val="fr-CA"/>
              </w:rPr>
            </w:pPr>
          </w:p>
        </w:tc>
      </w:tr>
      <w:tr w:rsidR="00BD32E2" w:rsidRPr="006403D0" w:rsidTr="0095503C">
        <w:tc>
          <w:tcPr>
            <w:tcW w:w="2427" w:type="pct"/>
          </w:tcPr>
          <w:p w:rsidR="00BD32E2" w:rsidRPr="009F4C66" w:rsidRDefault="00BD32E2" w:rsidP="0095503C">
            <w:pPr>
              <w:jc w:val="both"/>
              <w:rPr>
                <w:sz w:val="20"/>
                <w:lang w:val="fr-CA"/>
              </w:rPr>
            </w:pPr>
            <w:r w:rsidRPr="009F4C66">
              <w:rPr>
                <w:sz w:val="20"/>
                <w:lang w:val="fr-CA"/>
              </w:rPr>
              <w:t>Le 19 août 2011</w:t>
            </w:r>
          </w:p>
          <w:p w:rsidR="00BD32E2" w:rsidRPr="009F4C66" w:rsidRDefault="00BD32E2" w:rsidP="0095503C">
            <w:pPr>
              <w:jc w:val="both"/>
              <w:rPr>
                <w:sz w:val="20"/>
                <w:lang w:val="fr-CA"/>
              </w:rPr>
            </w:pPr>
            <w:r w:rsidRPr="009F4C66">
              <w:rPr>
                <w:sz w:val="20"/>
                <w:lang w:val="fr-CA"/>
              </w:rPr>
              <w:t>Cour supérieure du Québec</w:t>
            </w:r>
          </w:p>
          <w:p w:rsidR="00BD32E2" w:rsidRPr="009F4C66" w:rsidRDefault="00BD32E2" w:rsidP="0095503C">
            <w:pPr>
              <w:jc w:val="both"/>
              <w:rPr>
                <w:sz w:val="20"/>
                <w:lang w:val="fr-CA"/>
              </w:rPr>
            </w:pPr>
            <w:r w:rsidRPr="009F4C66">
              <w:rPr>
                <w:sz w:val="20"/>
                <w:lang w:val="fr-CA"/>
              </w:rPr>
              <w:t>(La juge Charbonneau)</w:t>
            </w:r>
          </w:p>
          <w:p w:rsidR="00BD32E2" w:rsidRPr="009F4C66" w:rsidRDefault="00BD32E2" w:rsidP="0095503C">
            <w:pPr>
              <w:jc w:val="both"/>
              <w:rPr>
                <w:sz w:val="20"/>
                <w:lang w:val="fr-CA"/>
              </w:rPr>
            </w:pPr>
          </w:p>
        </w:tc>
        <w:tc>
          <w:tcPr>
            <w:tcW w:w="243" w:type="pct"/>
          </w:tcPr>
          <w:p w:rsidR="00BD32E2" w:rsidRPr="009F4C66" w:rsidRDefault="00BD32E2" w:rsidP="0095503C">
            <w:pPr>
              <w:jc w:val="both"/>
              <w:rPr>
                <w:sz w:val="20"/>
              </w:rPr>
            </w:pPr>
          </w:p>
        </w:tc>
        <w:tc>
          <w:tcPr>
            <w:tcW w:w="2330" w:type="pct"/>
          </w:tcPr>
          <w:p w:rsidR="00BD32E2" w:rsidRPr="009F4C66" w:rsidRDefault="00BD32E2" w:rsidP="0095503C">
            <w:pPr>
              <w:jc w:val="both"/>
              <w:rPr>
                <w:sz w:val="20"/>
                <w:lang w:val="fr-CA"/>
              </w:rPr>
            </w:pPr>
            <w:r w:rsidRPr="009F4C66">
              <w:rPr>
                <w:sz w:val="20"/>
                <w:lang w:val="fr-CA"/>
              </w:rPr>
              <w:t>Requête pour la ré-ouverture d’une pré-enquête déclarée inexistante</w:t>
            </w:r>
          </w:p>
          <w:p w:rsidR="00BD32E2" w:rsidRPr="009F4C66" w:rsidRDefault="00BD32E2" w:rsidP="0095503C">
            <w:pPr>
              <w:jc w:val="both"/>
              <w:rPr>
                <w:sz w:val="20"/>
                <w:lang w:val="fr-CA"/>
              </w:rPr>
            </w:pPr>
          </w:p>
        </w:tc>
      </w:tr>
      <w:tr w:rsidR="00BD32E2" w:rsidRPr="009F4C66" w:rsidTr="0095503C">
        <w:tc>
          <w:tcPr>
            <w:tcW w:w="2427" w:type="pct"/>
          </w:tcPr>
          <w:p w:rsidR="00BD32E2" w:rsidRPr="009F4C66" w:rsidRDefault="00BD32E2" w:rsidP="0095503C">
            <w:pPr>
              <w:jc w:val="both"/>
              <w:rPr>
                <w:sz w:val="20"/>
                <w:lang w:val="fr-CA"/>
              </w:rPr>
            </w:pPr>
            <w:r w:rsidRPr="009F4C66">
              <w:rPr>
                <w:sz w:val="20"/>
                <w:lang w:val="fr-CA"/>
              </w:rPr>
              <w:t>Le 6 octobre 2011</w:t>
            </w:r>
          </w:p>
          <w:p w:rsidR="00BD32E2" w:rsidRPr="009F4C66" w:rsidRDefault="00BD32E2" w:rsidP="0095503C">
            <w:pPr>
              <w:jc w:val="both"/>
              <w:rPr>
                <w:sz w:val="20"/>
                <w:lang w:val="fr-CA"/>
              </w:rPr>
            </w:pPr>
            <w:r w:rsidRPr="009F4C66">
              <w:rPr>
                <w:sz w:val="20"/>
                <w:lang w:val="fr-CA"/>
              </w:rPr>
              <w:t>Cour d’appel du Québec (Montréal)</w:t>
            </w:r>
          </w:p>
          <w:p w:rsidR="00BD32E2" w:rsidRPr="009F4C66" w:rsidRDefault="00BD32E2" w:rsidP="0095503C">
            <w:pPr>
              <w:jc w:val="both"/>
              <w:rPr>
                <w:sz w:val="20"/>
                <w:lang w:val="fr-CA"/>
              </w:rPr>
            </w:pPr>
            <w:r w:rsidRPr="009F4C66">
              <w:rPr>
                <w:sz w:val="20"/>
                <w:lang w:val="fr-CA"/>
              </w:rPr>
              <w:t xml:space="preserve">(Les juges Beauregard, Rocho et </w:t>
            </w:r>
            <w:proofErr w:type="gramStart"/>
            <w:r w:rsidRPr="009F4C66">
              <w:rPr>
                <w:sz w:val="20"/>
                <w:lang w:val="fr-CA"/>
              </w:rPr>
              <w:t>Wagner )</w:t>
            </w:r>
            <w:proofErr w:type="gramEnd"/>
          </w:p>
          <w:p w:rsidR="00BD32E2" w:rsidRPr="009F4C66" w:rsidRDefault="00BD32E2" w:rsidP="0095503C">
            <w:pPr>
              <w:jc w:val="both"/>
              <w:rPr>
                <w:sz w:val="20"/>
                <w:lang w:val="fr-FR"/>
              </w:rPr>
            </w:pPr>
          </w:p>
        </w:tc>
        <w:tc>
          <w:tcPr>
            <w:tcW w:w="243" w:type="pct"/>
          </w:tcPr>
          <w:p w:rsidR="00BD32E2" w:rsidRPr="009F4C66" w:rsidRDefault="00BD32E2" w:rsidP="0095503C">
            <w:pPr>
              <w:jc w:val="both"/>
              <w:rPr>
                <w:sz w:val="20"/>
                <w:lang w:val="fr-FR"/>
              </w:rPr>
            </w:pPr>
          </w:p>
        </w:tc>
        <w:tc>
          <w:tcPr>
            <w:tcW w:w="2330" w:type="pct"/>
          </w:tcPr>
          <w:p w:rsidR="00BD32E2" w:rsidRPr="009F4C66" w:rsidRDefault="00BD32E2" w:rsidP="0095503C">
            <w:pPr>
              <w:jc w:val="both"/>
              <w:rPr>
                <w:sz w:val="20"/>
                <w:lang w:val="fr-CA"/>
              </w:rPr>
            </w:pPr>
            <w:r w:rsidRPr="009F4C66">
              <w:rPr>
                <w:sz w:val="20"/>
                <w:lang w:val="fr-CA"/>
              </w:rPr>
              <w:t>Appel rejeté</w:t>
            </w:r>
          </w:p>
          <w:p w:rsidR="00BD32E2" w:rsidRPr="009F4C66" w:rsidRDefault="00BD32E2" w:rsidP="0095503C">
            <w:pPr>
              <w:jc w:val="both"/>
              <w:rPr>
                <w:sz w:val="20"/>
                <w:lang w:val="fr-CA"/>
              </w:rPr>
            </w:pPr>
          </w:p>
        </w:tc>
      </w:tr>
      <w:tr w:rsidR="00BD32E2" w:rsidRPr="006403D0" w:rsidTr="0095503C">
        <w:tc>
          <w:tcPr>
            <w:tcW w:w="2427" w:type="pct"/>
          </w:tcPr>
          <w:p w:rsidR="00BD32E2" w:rsidRPr="009F4C66" w:rsidRDefault="00BD32E2" w:rsidP="0095503C">
            <w:pPr>
              <w:jc w:val="both"/>
              <w:rPr>
                <w:sz w:val="20"/>
                <w:lang w:val="fr-CA"/>
              </w:rPr>
            </w:pPr>
            <w:r w:rsidRPr="009F4C66">
              <w:rPr>
                <w:sz w:val="20"/>
                <w:lang w:val="fr-CA"/>
              </w:rPr>
              <w:t>Le 20 décembre 2011</w:t>
            </w:r>
          </w:p>
          <w:p w:rsidR="00BD32E2" w:rsidRPr="009F4C66" w:rsidRDefault="00BD32E2" w:rsidP="0095503C">
            <w:pPr>
              <w:jc w:val="both"/>
              <w:rPr>
                <w:sz w:val="20"/>
                <w:lang w:val="fr-CA"/>
              </w:rPr>
            </w:pPr>
            <w:r w:rsidRPr="009F4C66">
              <w:rPr>
                <w:sz w:val="20"/>
                <w:lang w:val="fr-CA"/>
              </w:rPr>
              <w:t>Cour suprême du Canada</w:t>
            </w:r>
          </w:p>
          <w:p w:rsidR="00BD32E2" w:rsidRPr="009F4C66" w:rsidRDefault="00BD32E2" w:rsidP="0095503C">
            <w:pPr>
              <w:jc w:val="both"/>
              <w:rPr>
                <w:sz w:val="20"/>
                <w:lang w:val="fr-FR"/>
              </w:rPr>
            </w:pPr>
          </w:p>
        </w:tc>
        <w:tc>
          <w:tcPr>
            <w:tcW w:w="243" w:type="pct"/>
          </w:tcPr>
          <w:p w:rsidR="00BD32E2" w:rsidRPr="009F4C66" w:rsidRDefault="00BD32E2" w:rsidP="0095503C">
            <w:pPr>
              <w:jc w:val="both"/>
              <w:rPr>
                <w:sz w:val="20"/>
                <w:lang w:val="fr-FR"/>
              </w:rPr>
            </w:pPr>
          </w:p>
        </w:tc>
        <w:tc>
          <w:tcPr>
            <w:tcW w:w="2330" w:type="pct"/>
          </w:tcPr>
          <w:p w:rsidR="00BD32E2" w:rsidRPr="009F4C66" w:rsidRDefault="00BD32E2" w:rsidP="0095503C">
            <w:pPr>
              <w:jc w:val="both"/>
              <w:rPr>
                <w:sz w:val="20"/>
                <w:lang w:val="fr-CA"/>
              </w:rPr>
            </w:pPr>
            <w:r w:rsidRPr="009F4C66">
              <w:rPr>
                <w:sz w:val="20"/>
                <w:lang w:val="fr-CA"/>
              </w:rPr>
              <w:t>Demandes de prorogation de délai pour signifier et déposer demande d'autorisation d'appel  et demande d’autorisation d’appel déposées.</w:t>
            </w:r>
          </w:p>
        </w:tc>
      </w:tr>
    </w:tbl>
    <w:p w:rsidR="00140B84" w:rsidRPr="00BD32E2" w:rsidRDefault="00140B84" w:rsidP="00140B84">
      <w:pPr>
        <w:rPr>
          <w:sz w:val="20"/>
          <w:szCs w:val="20"/>
          <w:lang w:val="fr-CA"/>
        </w:rPr>
      </w:pPr>
    </w:p>
    <w:p w:rsidR="00140B84" w:rsidRDefault="00E5065D" w:rsidP="00140B84">
      <w:pPr>
        <w:rPr>
          <w:sz w:val="20"/>
          <w:szCs w:val="20"/>
          <w:lang w:val="fr-CA"/>
        </w:rPr>
      </w:pPr>
      <w:r w:rsidRPr="00E5065D">
        <w:rPr>
          <w:sz w:val="20"/>
          <w:szCs w:val="20"/>
          <w:lang w:val="fr-CA"/>
        </w:rPr>
        <w:pict>
          <v:rect id="_x0000_i1089" style="width:2in;height:1pt" o:hrpct="0" o:hralign="center" o:hrstd="t" o:hrnoshade="t" o:hr="t" fillcolor="black [3213]" stroked="f"/>
        </w:pict>
      </w:r>
    </w:p>
    <w:p w:rsidR="00140B84" w:rsidRDefault="00140B84" w:rsidP="00140B84">
      <w:pPr>
        <w:rPr>
          <w:sz w:val="20"/>
          <w:szCs w:val="20"/>
        </w:rPr>
      </w:pPr>
    </w:p>
    <w:p w:rsidR="00BD32E2" w:rsidRPr="00BD32E2" w:rsidRDefault="00BD32E2" w:rsidP="008D292F">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23.03.2012</w: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jc w:val="both"/>
        <w:rPr>
          <w:sz w:val="20"/>
          <w:szCs w:val="20"/>
        </w:rPr>
      </w:pPr>
      <w:r w:rsidRPr="00AB6BAD">
        <w:rPr>
          <w:sz w:val="20"/>
          <w:szCs w:val="20"/>
        </w:rPr>
        <w:t xml:space="preserve">Before / </w:t>
      </w:r>
      <w:proofErr w:type="gramStart"/>
      <w:r w:rsidRPr="00AB6BAD">
        <w:rPr>
          <w:sz w:val="20"/>
          <w:szCs w:val="20"/>
        </w:rPr>
        <w:t>Devant :</w:t>
      </w:r>
      <w:proofErr w:type="gramEnd"/>
      <w:r w:rsidRPr="00AB6BAD">
        <w:rPr>
          <w:sz w:val="20"/>
          <w:szCs w:val="20"/>
        </w:rPr>
        <w:t xml:space="preserve">   THE DEPUTY REGISTRAR / LA REGISTRAIRE ADJOINTE</w:t>
      </w:r>
    </w:p>
    <w:p w:rsidR="0097170F" w:rsidRPr="00AB6BAD" w:rsidRDefault="0097170F" w:rsidP="0097170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7170F" w:rsidRPr="006403D0" w:rsidTr="0095503C">
        <w:tc>
          <w:tcPr>
            <w:tcW w:w="4338" w:type="dxa"/>
          </w:tcPr>
          <w:p w:rsidR="0097170F" w:rsidRPr="00AB6BAD" w:rsidRDefault="00E5065D" w:rsidP="0095503C">
            <w:pPr>
              <w:tabs>
                <w:tab w:val="left" w:pos="-1440"/>
                <w:tab w:val="left" w:pos="-720"/>
              </w:tabs>
              <w:jc w:val="both"/>
              <w:rPr>
                <w:b/>
                <w:sz w:val="20"/>
                <w:szCs w:val="20"/>
              </w:rPr>
            </w:pP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r w:rsidR="0097170F" w:rsidRPr="00AB6BAD">
              <w:rPr>
                <w:b/>
                <w:bCs/>
                <w:sz w:val="20"/>
                <w:szCs w:val="20"/>
              </w:rPr>
              <w:t>Motion to extend the time to serve and file the respondent’s response to March 20, 2012</w:t>
            </w: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p>
        </w:tc>
        <w:tc>
          <w:tcPr>
            <w:tcW w:w="1170" w:type="dxa"/>
          </w:tcPr>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E5065D" w:rsidP="0095503C">
            <w:pPr>
              <w:tabs>
                <w:tab w:val="left" w:pos="-1440"/>
                <w:tab w:val="left" w:pos="-720"/>
              </w:tabs>
              <w:jc w:val="both"/>
              <w:rPr>
                <w:sz w:val="20"/>
                <w:szCs w:val="20"/>
                <w:lang w:val="fr-CA"/>
              </w:rPr>
            </w:pP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b/>
                <w:bCs/>
                <w:sz w:val="20"/>
                <w:szCs w:val="20"/>
                <w:lang w:val="fr-CA"/>
              </w:rPr>
              <w:t>Requête en prorogation du délai de signification et de dépôt de la réponse de l’intimée jusqu’au 20 mars 2012</w:t>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sz w:val="20"/>
                <w:szCs w:val="20"/>
                <w:lang w:val="fr-CA"/>
              </w:rPr>
              <w:t xml:space="preserve"> </w:t>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p>
        </w:tc>
      </w:tr>
      <w:tr w:rsidR="0097170F" w:rsidRPr="00AB6BAD" w:rsidTr="0095503C">
        <w:tc>
          <w:tcPr>
            <w:tcW w:w="4338" w:type="dxa"/>
          </w:tcPr>
          <w:p w:rsidR="0097170F" w:rsidRPr="00AB6BAD" w:rsidRDefault="0097170F" w:rsidP="0095503C">
            <w:pPr>
              <w:tabs>
                <w:tab w:val="left" w:pos="-1440"/>
                <w:tab w:val="left" w:pos="-720"/>
              </w:tabs>
              <w:jc w:val="both"/>
              <w:rPr>
                <w:sz w:val="20"/>
                <w:szCs w:val="20"/>
              </w:rPr>
            </w:pPr>
            <w:r w:rsidRPr="00AB6BAD">
              <w:rPr>
                <w:sz w:val="20"/>
                <w:szCs w:val="20"/>
              </w:rPr>
              <w:t>Alpha Manufacturing Inc. et al.</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ab/>
              <w:t>v. (34610)</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Her Majesty the Queen (B.C.)</w:t>
            </w:r>
          </w:p>
        </w:tc>
        <w:tc>
          <w:tcPr>
            <w:tcW w:w="1170" w:type="dxa"/>
          </w:tcPr>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97170F" w:rsidP="0095503C">
            <w:pPr>
              <w:tabs>
                <w:tab w:val="left" w:pos="-1440"/>
                <w:tab w:val="left" w:pos="-720"/>
              </w:tabs>
              <w:jc w:val="both"/>
              <w:rPr>
                <w:sz w:val="20"/>
                <w:szCs w:val="20"/>
              </w:rPr>
            </w:pPr>
          </w:p>
        </w:tc>
      </w:tr>
    </w:tbl>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b/>
          <w:sz w:val="20"/>
          <w:szCs w:val="20"/>
          <w:lang w:val="fr-CA"/>
        </w:rPr>
      </w:pPr>
      <w:r w:rsidRPr="00AB6BAD">
        <w:rPr>
          <w:b/>
          <w:sz w:val="20"/>
          <w:szCs w:val="20"/>
          <w:lang w:val="fr-CA"/>
        </w:rPr>
        <w:t>GRANTED / ACCORDÉE</w:t>
      </w:r>
    </w:p>
    <w:p w:rsidR="0097170F" w:rsidRPr="00AB6BAD" w:rsidRDefault="0097170F" w:rsidP="0097170F">
      <w:pPr>
        <w:tabs>
          <w:tab w:val="left" w:pos="-1440"/>
          <w:tab w:val="left" w:pos="-720"/>
        </w:tabs>
        <w:jc w:val="both"/>
        <w:rPr>
          <w:sz w:val="20"/>
          <w:szCs w:val="20"/>
          <w:lang w:val="fr-CA"/>
        </w:rPr>
      </w:pPr>
    </w:p>
    <w:p w:rsidR="0097170F" w:rsidRPr="00AB6BAD" w:rsidRDefault="00E5065D" w:rsidP="0097170F">
      <w:pPr>
        <w:tabs>
          <w:tab w:val="left" w:pos="-1440"/>
          <w:tab w:val="left" w:pos="-720"/>
        </w:tabs>
        <w:jc w:val="both"/>
        <w:rPr>
          <w:sz w:val="20"/>
          <w:szCs w:val="20"/>
          <w:lang w:val="fr-CA"/>
        </w:rPr>
      </w:pPr>
      <w:r w:rsidRPr="00E5065D">
        <w:rPr>
          <w:sz w:val="20"/>
          <w:szCs w:val="20"/>
          <w:lang w:val="fr-CA"/>
        </w:rPr>
        <w:pict>
          <v:rect id="_x0000_i1092" style="width:2in;height:1pt" o:hrpct="0" o:hralign="center" o:hrstd="t" o:hrnoshade="t" o:hr="t" fillcolor="black [3213]" stroked="f"/>
        </w:pic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23.03.2012</w: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jc w:val="both"/>
        <w:rPr>
          <w:sz w:val="20"/>
          <w:szCs w:val="20"/>
        </w:rPr>
      </w:pPr>
      <w:r w:rsidRPr="00AB6BAD">
        <w:rPr>
          <w:sz w:val="20"/>
          <w:szCs w:val="20"/>
        </w:rPr>
        <w:t xml:space="preserve">Before / </w:t>
      </w:r>
      <w:proofErr w:type="gramStart"/>
      <w:r w:rsidRPr="00AB6BAD">
        <w:rPr>
          <w:sz w:val="20"/>
          <w:szCs w:val="20"/>
        </w:rPr>
        <w:t>Devant :</w:t>
      </w:r>
      <w:proofErr w:type="gramEnd"/>
      <w:r w:rsidRPr="00AB6BAD">
        <w:rPr>
          <w:sz w:val="20"/>
          <w:szCs w:val="20"/>
        </w:rPr>
        <w:t xml:space="preserve">   THE DEPUTY REGISTRAR / LA REGISTRAIRE ADJOINTE</w:t>
      </w:r>
    </w:p>
    <w:p w:rsidR="0097170F" w:rsidRPr="00AB6BAD" w:rsidRDefault="0097170F" w:rsidP="0097170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7170F" w:rsidRPr="006403D0" w:rsidTr="0095503C">
        <w:tc>
          <w:tcPr>
            <w:tcW w:w="4338" w:type="dxa"/>
          </w:tcPr>
          <w:p w:rsidR="0097170F" w:rsidRPr="00AB6BAD" w:rsidRDefault="00E5065D" w:rsidP="0095503C">
            <w:pPr>
              <w:tabs>
                <w:tab w:val="left" w:pos="-1440"/>
                <w:tab w:val="left" w:pos="-720"/>
              </w:tabs>
              <w:jc w:val="both"/>
              <w:rPr>
                <w:b/>
                <w:sz w:val="20"/>
                <w:szCs w:val="20"/>
              </w:rPr>
            </w:pP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r w:rsidR="0097170F" w:rsidRPr="00AB6BAD">
              <w:rPr>
                <w:b/>
                <w:bCs/>
                <w:sz w:val="20"/>
                <w:szCs w:val="20"/>
              </w:rPr>
              <w:t>Motion to extend the time to serve and file the respondent’s response to March 2, 2012</w:t>
            </w: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p>
        </w:tc>
        <w:tc>
          <w:tcPr>
            <w:tcW w:w="1170" w:type="dxa"/>
          </w:tcPr>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E5065D" w:rsidP="0095503C">
            <w:pPr>
              <w:tabs>
                <w:tab w:val="left" w:pos="-1440"/>
                <w:tab w:val="left" w:pos="-720"/>
              </w:tabs>
              <w:jc w:val="both"/>
              <w:rPr>
                <w:sz w:val="20"/>
                <w:szCs w:val="20"/>
                <w:lang w:val="fr-CA"/>
              </w:rPr>
            </w:pP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b/>
                <w:bCs/>
                <w:sz w:val="20"/>
                <w:szCs w:val="20"/>
                <w:lang w:val="fr-CA"/>
              </w:rPr>
              <w:t>Requête en prorogation du délai de signification et de dépôt de la réponse de l’intimée jusqu’au 2 mars 2012</w:t>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sz w:val="20"/>
                <w:szCs w:val="20"/>
                <w:lang w:val="fr-CA"/>
              </w:rPr>
              <w:t xml:space="preserve"> </w:t>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p>
        </w:tc>
      </w:tr>
      <w:tr w:rsidR="0097170F" w:rsidRPr="00AB6BAD" w:rsidTr="0095503C">
        <w:tc>
          <w:tcPr>
            <w:tcW w:w="4338" w:type="dxa"/>
          </w:tcPr>
          <w:p w:rsidR="0097170F" w:rsidRPr="00AB6BAD" w:rsidRDefault="0097170F" w:rsidP="0095503C">
            <w:pPr>
              <w:tabs>
                <w:tab w:val="left" w:pos="-1440"/>
                <w:tab w:val="left" w:pos="-720"/>
              </w:tabs>
              <w:jc w:val="both"/>
              <w:rPr>
                <w:sz w:val="20"/>
                <w:szCs w:val="20"/>
              </w:rPr>
            </w:pPr>
            <w:r w:rsidRPr="00AB6BAD">
              <w:rPr>
                <w:sz w:val="20"/>
                <w:szCs w:val="20"/>
              </w:rPr>
              <w:t>B.C.</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ab/>
              <w:t>v. (34535)</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Her Majesty the Queen (Crim.) (Ont.)</w:t>
            </w:r>
          </w:p>
        </w:tc>
        <w:tc>
          <w:tcPr>
            <w:tcW w:w="1170" w:type="dxa"/>
          </w:tcPr>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97170F" w:rsidP="0095503C">
            <w:pPr>
              <w:tabs>
                <w:tab w:val="left" w:pos="-1440"/>
                <w:tab w:val="left" w:pos="-720"/>
              </w:tabs>
              <w:jc w:val="both"/>
              <w:rPr>
                <w:sz w:val="20"/>
                <w:szCs w:val="20"/>
              </w:rPr>
            </w:pPr>
          </w:p>
        </w:tc>
      </w:tr>
    </w:tbl>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b/>
          <w:sz w:val="20"/>
          <w:szCs w:val="20"/>
        </w:rPr>
      </w:pPr>
      <w:r w:rsidRPr="00AB6BAD">
        <w:rPr>
          <w:b/>
          <w:sz w:val="20"/>
          <w:szCs w:val="20"/>
        </w:rPr>
        <w:t>GRANTED / ACCORDÉE</w:t>
      </w:r>
    </w:p>
    <w:p w:rsidR="0097170F" w:rsidRPr="00AB6BAD" w:rsidRDefault="0097170F" w:rsidP="0097170F">
      <w:pPr>
        <w:tabs>
          <w:tab w:val="left" w:pos="-1440"/>
          <w:tab w:val="left" w:pos="-720"/>
        </w:tabs>
        <w:jc w:val="both"/>
        <w:rPr>
          <w:sz w:val="20"/>
          <w:szCs w:val="20"/>
        </w:rPr>
      </w:pPr>
    </w:p>
    <w:p w:rsidR="0097170F" w:rsidRPr="00AB6BAD" w:rsidRDefault="00E5065D" w:rsidP="0097170F">
      <w:pPr>
        <w:tabs>
          <w:tab w:val="left" w:pos="-1440"/>
          <w:tab w:val="left" w:pos="-720"/>
        </w:tabs>
        <w:jc w:val="both"/>
        <w:rPr>
          <w:sz w:val="20"/>
          <w:szCs w:val="20"/>
        </w:rPr>
      </w:pPr>
      <w:r w:rsidRPr="00E5065D">
        <w:rPr>
          <w:sz w:val="20"/>
          <w:szCs w:val="20"/>
          <w:lang w:val="fr-CA"/>
        </w:rPr>
        <w:pict>
          <v:rect id="_x0000_i1093" style="width:2in;height:1pt" o:hrpct="0" o:hralign="center" o:hrstd="t" o:hrnoshade="t" o:hr="t" fillcolor="black [3213]" stroked="f"/>
        </w:pict>
      </w:r>
    </w:p>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26.03.2012</w: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jc w:val="both"/>
        <w:rPr>
          <w:sz w:val="20"/>
          <w:szCs w:val="20"/>
        </w:rPr>
      </w:pPr>
      <w:r w:rsidRPr="00AB6BAD">
        <w:rPr>
          <w:sz w:val="20"/>
          <w:szCs w:val="20"/>
        </w:rPr>
        <w:t xml:space="preserve">Before / </w:t>
      </w:r>
      <w:proofErr w:type="gramStart"/>
      <w:r w:rsidRPr="00AB6BAD">
        <w:rPr>
          <w:sz w:val="20"/>
          <w:szCs w:val="20"/>
        </w:rPr>
        <w:t>Devant :</w:t>
      </w:r>
      <w:proofErr w:type="gramEnd"/>
      <w:r w:rsidRPr="00AB6BAD">
        <w:rPr>
          <w:sz w:val="20"/>
          <w:szCs w:val="20"/>
        </w:rPr>
        <w:t xml:space="preserve">   THE DEPUTY REGISTRAR / LA REGISTRAIRE ADJOINTE</w:t>
      </w:r>
    </w:p>
    <w:p w:rsidR="0097170F" w:rsidRPr="00AB6BAD" w:rsidRDefault="0097170F" w:rsidP="0097170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7170F" w:rsidRPr="007A7033" w:rsidTr="0095503C">
        <w:tc>
          <w:tcPr>
            <w:tcW w:w="4338" w:type="dxa"/>
          </w:tcPr>
          <w:p w:rsidR="0097170F" w:rsidRPr="00AB6BAD" w:rsidRDefault="00E5065D" w:rsidP="0095503C">
            <w:pPr>
              <w:jc w:val="both"/>
              <w:rPr>
                <w:b/>
                <w:sz w:val="20"/>
                <w:szCs w:val="20"/>
              </w:rPr>
            </w:pP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r w:rsidR="0097170F" w:rsidRPr="00AB6BAD">
              <w:rPr>
                <w:b/>
                <w:bCs/>
                <w:sz w:val="20"/>
                <w:szCs w:val="20"/>
              </w:rPr>
              <w:t>Motion to extend the time to serve and file the appellant’s record, factum and book of authorities to February 29, 2012</w:t>
            </w: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p>
        </w:tc>
        <w:tc>
          <w:tcPr>
            <w:tcW w:w="1170" w:type="dxa"/>
          </w:tcPr>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E5065D" w:rsidP="0095503C">
            <w:pPr>
              <w:tabs>
                <w:tab w:val="left" w:pos="-1440"/>
                <w:tab w:val="left" w:pos="-720"/>
              </w:tabs>
              <w:jc w:val="both"/>
              <w:rPr>
                <w:sz w:val="20"/>
                <w:szCs w:val="20"/>
                <w:lang w:val="fr-CA"/>
              </w:rPr>
            </w:pP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b/>
                <w:bCs/>
                <w:sz w:val="20"/>
                <w:szCs w:val="20"/>
                <w:lang w:val="fr-CA"/>
              </w:rPr>
              <w:t xml:space="preserve">Requête en prorogation du délai de signification et de dépôt des </w:t>
            </w:r>
            <w:proofErr w:type="gramStart"/>
            <w:r w:rsidR="0097170F" w:rsidRPr="00AB6BAD">
              <w:rPr>
                <w:b/>
                <w:bCs/>
                <w:sz w:val="20"/>
                <w:szCs w:val="20"/>
                <w:lang w:val="fr-CA"/>
              </w:rPr>
              <w:t>dossier</w:t>
            </w:r>
            <w:proofErr w:type="gramEnd"/>
            <w:r w:rsidR="0097170F" w:rsidRPr="00AB6BAD">
              <w:rPr>
                <w:b/>
                <w:bCs/>
                <w:sz w:val="20"/>
                <w:szCs w:val="20"/>
                <w:lang w:val="fr-CA"/>
              </w:rPr>
              <w:t>, mémoire et recueil de sources de l’appelante jusqu’au 29 février 2012</w:t>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sz w:val="20"/>
                <w:szCs w:val="20"/>
                <w:lang w:val="fr-CA"/>
              </w:rPr>
              <w:t xml:space="preserve"> </w:t>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p>
        </w:tc>
      </w:tr>
      <w:tr w:rsidR="0097170F" w:rsidRPr="00AB6BAD" w:rsidTr="0095503C">
        <w:tc>
          <w:tcPr>
            <w:tcW w:w="4338" w:type="dxa"/>
          </w:tcPr>
          <w:p w:rsidR="0097170F" w:rsidRPr="00AB6BAD" w:rsidRDefault="0097170F" w:rsidP="0095503C">
            <w:pPr>
              <w:tabs>
                <w:tab w:val="left" w:pos="-1440"/>
                <w:tab w:val="left" w:pos="-720"/>
              </w:tabs>
              <w:jc w:val="both"/>
              <w:rPr>
                <w:sz w:val="20"/>
                <w:szCs w:val="20"/>
              </w:rPr>
            </w:pPr>
            <w:r w:rsidRPr="00AB6BAD">
              <w:rPr>
                <w:sz w:val="20"/>
                <w:szCs w:val="20"/>
              </w:rPr>
              <w:t>Telus Communications Company</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ab/>
              <w:t>v. (34252)</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Her Majesty the Queen (Crim.) (Ont.)</w:t>
            </w:r>
          </w:p>
        </w:tc>
        <w:tc>
          <w:tcPr>
            <w:tcW w:w="1170" w:type="dxa"/>
          </w:tcPr>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97170F" w:rsidP="0095503C">
            <w:pPr>
              <w:tabs>
                <w:tab w:val="left" w:pos="-1440"/>
                <w:tab w:val="left" w:pos="-720"/>
              </w:tabs>
              <w:jc w:val="both"/>
              <w:rPr>
                <w:sz w:val="20"/>
                <w:szCs w:val="20"/>
              </w:rPr>
            </w:pPr>
          </w:p>
        </w:tc>
      </w:tr>
    </w:tbl>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b/>
          <w:sz w:val="20"/>
          <w:szCs w:val="20"/>
        </w:rPr>
      </w:pPr>
      <w:r w:rsidRPr="00AB6BAD">
        <w:rPr>
          <w:b/>
          <w:sz w:val="20"/>
          <w:szCs w:val="20"/>
        </w:rPr>
        <w:t>GRANTED / ACCORDÉE</w:t>
      </w:r>
    </w:p>
    <w:p w:rsidR="0097170F" w:rsidRPr="00AB6BAD" w:rsidRDefault="0097170F" w:rsidP="0097170F">
      <w:pPr>
        <w:tabs>
          <w:tab w:val="left" w:pos="-1440"/>
          <w:tab w:val="left" w:pos="-720"/>
        </w:tabs>
        <w:jc w:val="both"/>
        <w:rPr>
          <w:sz w:val="20"/>
          <w:szCs w:val="20"/>
        </w:rPr>
      </w:pPr>
    </w:p>
    <w:p w:rsidR="0097170F" w:rsidRPr="00AB6BAD" w:rsidRDefault="00E5065D" w:rsidP="0097170F">
      <w:pPr>
        <w:tabs>
          <w:tab w:val="left" w:pos="-1440"/>
          <w:tab w:val="left" w:pos="-720"/>
        </w:tabs>
        <w:jc w:val="both"/>
        <w:rPr>
          <w:sz w:val="20"/>
          <w:szCs w:val="20"/>
        </w:rPr>
      </w:pPr>
      <w:r w:rsidRPr="00E5065D">
        <w:rPr>
          <w:sz w:val="20"/>
          <w:szCs w:val="20"/>
          <w:lang w:val="fr-CA"/>
        </w:rPr>
        <w:pict>
          <v:rect id="_x0000_i1094" style="width:2in;height:1pt" o:hrpct="0" o:hralign="center" o:hrstd="t" o:hrnoshade="t" o:hr="t" fillcolor="black [3213]" stroked="f"/>
        </w:pict>
      </w:r>
    </w:p>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26.03.2012</w: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Before / Devant :   ABELLA J. / LA JUGE ABELLA</w:t>
      </w:r>
    </w:p>
    <w:p w:rsidR="0097170F" w:rsidRPr="00AB6BAD" w:rsidRDefault="0097170F" w:rsidP="0097170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7170F" w:rsidRPr="006403D0" w:rsidTr="0095503C">
        <w:tc>
          <w:tcPr>
            <w:tcW w:w="4338" w:type="dxa"/>
          </w:tcPr>
          <w:p w:rsidR="0097170F" w:rsidRPr="00AB6BAD" w:rsidRDefault="0097170F" w:rsidP="0095503C">
            <w:pPr>
              <w:tabs>
                <w:tab w:val="left" w:pos="-1440"/>
                <w:tab w:val="left" w:pos="-720"/>
              </w:tabs>
              <w:jc w:val="both"/>
              <w:rPr>
                <w:b/>
                <w:sz w:val="20"/>
                <w:szCs w:val="20"/>
              </w:rPr>
            </w:pPr>
            <w:r w:rsidRPr="00AB6BAD">
              <w:rPr>
                <w:b/>
                <w:bCs/>
                <w:sz w:val="20"/>
                <w:szCs w:val="20"/>
              </w:rPr>
              <w:t>Motion to extend the time to serve and file the respondent's record, factum and book of authorities to March 16, 2012, and for an order pursuant to Rule 71(3) permitting oral argument at the hearing  of the appeal</w:t>
            </w:r>
            <w:r w:rsidR="00E5065D" w:rsidRPr="00AB6BAD">
              <w:rPr>
                <w:sz w:val="20"/>
                <w:szCs w:val="20"/>
              </w:rPr>
              <w:fldChar w:fldCharType="begin"/>
            </w:r>
            <w:r w:rsidRPr="00AB6BAD">
              <w:rPr>
                <w:sz w:val="20"/>
                <w:szCs w:val="20"/>
              </w:rPr>
              <w:instrText xml:space="preserve"> SEQ CHAPTER \h \r 1</w:instrText>
            </w:r>
            <w:r w:rsidR="00E5065D" w:rsidRPr="00AB6BAD">
              <w:rPr>
                <w:sz w:val="20"/>
                <w:szCs w:val="20"/>
              </w:rPr>
              <w:fldChar w:fldCharType="end"/>
            </w:r>
          </w:p>
        </w:tc>
        <w:tc>
          <w:tcPr>
            <w:tcW w:w="1170" w:type="dxa"/>
          </w:tcPr>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97170F" w:rsidP="0095503C">
            <w:pPr>
              <w:tabs>
                <w:tab w:val="left" w:pos="-1440"/>
                <w:tab w:val="left" w:pos="-720"/>
              </w:tabs>
              <w:jc w:val="both"/>
              <w:rPr>
                <w:sz w:val="20"/>
                <w:szCs w:val="20"/>
                <w:lang w:val="fr-CA"/>
              </w:rPr>
            </w:pPr>
            <w:r w:rsidRPr="00AB6BAD">
              <w:rPr>
                <w:b/>
                <w:bCs/>
                <w:sz w:val="20"/>
                <w:szCs w:val="20"/>
                <w:lang w:val="fr-CA"/>
              </w:rPr>
              <w:t xml:space="preserve">Requête de l'intimée en prorogation du délai de signification et de dépôt de ses dossier, mémoire et recueil de sources jusqu'au 16 mars 2012, et en vue de présenter une plaidoirie orale à l'audition en vertu du par. 71(3) des </w:t>
            </w:r>
            <w:r w:rsidRPr="00AB6BAD">
              <w:rPr>
                <w:b/>
                <w:bCs/>
                <w:i/>
                <w:sz w:val="20"/>
                <w:szCs w:val="20"/>
                <w:lang w:val="fr-CA"/>
              </w:rPr>
              <w:t>Règles</w:t>
            </w:r>
            <w:r w:rsidRPr="00AB6BAD">
              <w:rPr>
                <w:sz w:val="20"/>
                <w:szCs w:val="20"/>
                <w:lang w:val="fr-CA"/>
              </w:rPr>
              <w:t xml:space="preserve"> </w:t>
            </w:r>
            <w:r w:rsidR="00E5065D" w:rsidRPr="00AB6BAD">
              <w:rPr>
                <w:sz w:val="20"/>
                <w:szCs w:val="20"/>
              </w:rPr>
              <w:fldChar w:fldCharType="begin"/>
            </w:r>
            <w:r w:rsidRPr="00AB6BAD">
              <w:rPr>
                <w:sz w:val="20"/>
                <w:szCs w:val="20"/>
                <w:lang w:val="fr-CA"/>
              </w:rPr>
              <w:instrText xml:space="preserve"> SEQ CHAPTER \h \r 1</w:instrText>
            </w:r>
            <w:r w:rsidR="00E5065D" w:rsidRPr="00AB6BAD">
              <w:rPr>
                <w:sz w:val="20"/>
                <w:szCs w:val="20"/>
              </w:rPr>
              <w:fldChar w:fldCharType="end"/>
            </w:r>
            <w:r w:rsidR="00E5065D" w:rsidRPr="00AB6BAD">
              <w:rPr>
                <w:sz w:val="20"/>
                <w:szCs w:val="20"/>
              </w:rPr>
              <w:fldChar w:fldCharType="begin"/>
            </w:r>
            <w:r w:rsidRPr="00AB6BAD">
              <w:rPr>
                <w:sz w:val="20"/>
                <w:szCs w:val="20"/>
                <w:lang w:val="fr-CA"/>
              </w:rPr>
              <w:instrText xml:space="preserve"> SEQ CHAPTER \h \r 1</w:instrText>
            </w:r>
            <w:r w:rsidR="00E5065D" w:rsidRPr="00AB6BAD">
              <w:rPr>
                <w:sz w:val="20"/>
                <w:szCs w:val="20"/>
              </w:rPr>
              <w:fldChar w:fldCharType="end"/>
            </w:r>
          </w:p>
        </w:tc>
      </w:tr>
      <w:tr w:rsidR="0097170F" w:rsidRPr="00AB6BAD" w:rsidTr="0095503C">
        <w:tc>
          <w:tcPr>
            <w:tcW w:w="4338" w:type="dxa"/>
          </w:tcPr>
          <w:p w:rsidR="0097170F" w:rsidRPr="00AB6BAD" w:rsidRDefault="0097170F" w:rsidP="0095503C">
            <w:pPr>
              <w:tabs>
                <w:tab w:val="left" w:pos="-1440"/>
                <w:tab w:val="left" w:pos="-720"/>
              </w:tabs>
              <w:jc w:val="both"/>
              <w:rPr>
                <w:sz w:val="20"/>
                <w:szCs w:val="20"/>
              </w:rPr>
            </w:pPr>
            <w:r w:rsidRPr="00AB6BAD">
              <w:rPr>
                <w:sz w:val="20"/>
                <w:szCs w:val="20"/>
              </w:rPr>
              <w:t>Robert Joseph Kociuk</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ab/>
              <w:t>v. (34517)</w:t>
            </w:r>
          </w:p>
          <w:p w:rsidR="0097170F" w:rsidRPr="00AB6BAD" w:rsidRDefault="0097170F" w:rsidP="0095503C">
            <w:pPr>
              <w:tabs>
                <w:tab w:val="left" w:pos="-1440"/>
                <w:tab w:val="left" w:pos="-720"/>
              </w:tabs>
              <w:jc w:val="both"/>
              <w:rPr>
                <w:sz w:val="20"/>
                <w:szCs w:val="20"/>
              </w:rPr>
            </w:pPr>
          </w:p>
          <w:p w:rsidR="0097170F" w:rsidRPr="00AB6BAD" w:rsidRDefault="0097170F" w:rsidP="0095503C">
            <w:pPr>
              <w:tabs>
                <w:tab w:val="left" w:pos="-1440"/>
                <w:tab w:val="left" w:pos="-720"/>
              </w:tabs>
              <w:jc w:val="both"/>
              <w:rPr>
                <w:sz w:val="20"/>
                <w:szCs w:val="20"/>
              </w:rPr>
            </w:pPr>
            <w:r w:rsidRPr="00AB6BAD">
              <w:rPr>
                <w:sz w:val="20"/>
                <w:szCs w:val="20"/>
              </w:rPr>
              <w:t>Her Majesty the Queen (Crim.) (Man.)</w:t>
            </w:r>
          </w:p>
        </w:tc>
        <w:tc>
          <w:tcPr>
            <w:tcW w:w="1170" w:type="dxa"/>
          </w:tcPr>
          <w:p w:rsidR="0097170F" w:rsidRPr="00AB6BAD" w:rsidRDefault="0097170F" w:rsidP="0095503C">
            <w:pPr>
              <w:tabs>
                <w:tab w:val="left" w:pos="-1440"/>
                <w:tab w:val="left" w:pos="-720"/>
              </w:tabs>
              <w:jc w:val="both"/>
              <w:rPr>
                <w:sz w:val="20"/>
                <w:szCs w:val="20"/>
              </w:rPr>
            </w:pPr>
          </w:p>
        </w:tc>
        <w:tc>
          <w:tcPr>
            <w:tcW w:w="4327" w:type="dxa"/>
          </w:tcPr>
          <w:p w:rsidR="0097170F" w:rsidRPr="00AB6BAD" w:rsidRDefault="0097170F" w:rsidP="0095503C">
            <w:pPr>
              <w:tabs>
                <w:tab w:val="left" w:pos="-1440"/>
                <w:tab w:val="left" w:pos="-720"/>
              </w:tabs>
              <w:jc w:val="both"/>
              <w:rPr>
                <w:sz w:val="20"/>
                <w:szCs w:val="20"/>
              </w:rPr>
            </w:pPr>
          </w:p>
        </w:tc>
      </w:tr>
    </w:tbl>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b/>
          <w:sz w:val="20"/>
          <w:szCs w:val="20"/>
        </w:rPr>
      </w:pPr>
      <w:r w:rsidRPr="00AB6BAD">
        <w:rPr>
          <w:b/>
          <w:sz w:val="20"/>
          <w:szCs w:val="20"/>
        </w:rPr>
        <w:t>GRANTED / ACCORDÉE</w:t>
      </w:r>
    </w:p>
    <w:p w:rsidR="0097170F" w:rsidRPr="00AB6BAD" w:rsidRDefault="0097170F" w:rsidP="0097170F">
      <w:pPr>
        <w:tabs>
          <w:tab w:val="left" w:pos="-1440"/>
          <w:tab w:val="left" w:pos="-720"/>
        </w:tabs>
        <w:jc w:val="both"/>
        <w:rPr>
          <w:sz w:val="20"/>
          <w:szCs w:val="20"/>
        </w:rPr>
      </w:pPr>
    </w:p>
    <w:p w:rsidR="0097170F" w:rsidRPr="00AB6BAD" w:rsidRDefault="00E5065D" w:rsidP="0097170F">
      <w:pPr>
        <w:tabs>
          <w:tab w:val="left" w:pos="-1440"/>
          <w:tab w:val="left" w:pos="-720"/>
        </w:tabs>
        <w:jc w:val="both"/>
        <w:rPr>
          <w:sz w:val="20"/>
          <w:szCs w:val="20"/>
        </w:rPr>
      </w:pPr>
      <w:r w:rsidRPr="00E5065D">
        <w:rPr>
          <w:sz w:val="20"/>
          <w:szCs w:val="20"/>
          <w:lang w:val="fr-CA"/>
        </w:rPr>
        <w:pict>
          <v:rect id="_x0000_i1095" style="width:2in;height:1pt" o:hrpct="0" o:hralign="center" o:hrstd="t" o:hrnoshade="t" o:hr="t" fillcolor="black [3213]" stroked="f"/>
        </w:pict>
      </w:r>
    </w:p>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27.03.2012</w: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jc w:val="both"/>
        <w:rPr>
          <w:sz w:val="20"/>
          <w:szCs w:val="20"/>
          <w:lang w:val="fr-CA"/>
        </w:rPr>
      </w:pPr>
      <w:r w:rsidRPr="00AB6BAD">
        <w:rPr>
          <w:sz w:val="20"/>
          <w:szCs w:val="20"/>
          <w:lang w:val="fr-CA"/>
        </w:rPr>
        <w:t>Before / Devant:   THE CHIEF JUSTICE / LA JUGE EN CHEF</w:t>
      </w:r>
    </w:p>
    <w:p w:rsidR="0097170F" w:rsidRPr="00AB6BAD" w:rsidRDefault="0097170F" w:rsidP="0097170F">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7170F" w:rsidRPr="006403D0" w:rsidTr="0095503C">
        <w:trPr>
          <w:trHeight w:val="151"/>
        </w:trPr>
        <w:tc>
          <w:tcPr>
            <w:tcW w:w="4338" w:type="dxa"/>
          </w:tcPr>
          <w:p w:rsidR="0097170F" w:rsidRPr="00AB6BAD" w:rsidRDefault="00E5065D" w:rsidP="0095503C">
            <w:pPr>
              <w:tabs>
                <w:tab w:val="left" w:pos="-1440"/>
                <w:tab w:val="left" w:pos="-720"/>
              </w:tabs>
              <w:jc w:val="both"/>
              <w:rPr>
                <w:sz w:val="20"/>
                <w:szCs w:val="20"/>
              </w:rPr>
            </w:pP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r w:rsidR="0097170F" w:rsidRPr="00AB6BAD">
              <w:rPr>
                <w:b/>
                <w:bCs/>
                <w:sz w:val="20"/>
                <w:szCs w:val="20"/>
              </w:rPr>
              <w:t xml:space="preserve">Motion </w:t>
            </w: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r w:rsidR="0097170F" w:rsidRPr="00AB6BAD">
              <w:rPr>
                <w:b/>
                <w:bCs/>
                <w:sz w:val="20"/>
                <w:szCs w:val="20"/>
              </w:rPr>
              <w:t>to adjourn the hearing of the appeal</w:t>
            </w:r>
          </w:p>
          <w:p w:rsidR="0097170F" w:rsidRPr="00AB6BAD" w:rsidRDefault="00E5065D" w:rsidP="0095503C">
            <w:pPr>
              <w:tabs>
                <w:tab w:val="left" w:pos="-1440"/>
                <w:tab w:val="left" w:pos="-720"/>
              </w:tabs>
              <w:jc w:val="both"/>
              <w:rPr>
                <w:sz w:val="20"/>
                <w:szCs w:val="20"/>
              </w:rPr>
            </w:pPr>
            <w:r w:rsidRPr="00AB6BAD">
              <w:rPr>
                <w:sz w:val="20"/>
                <w:szCs w:val="20"/>
              </w:rPr>
              <w:fldChar w:fldCharType="begin"/>
            </w:r>
            <w:r w:rsidR="0097170F" w:rsidRPr="00AB6BAD">
              <w:rPr>
                <w:sz w:val="20"/>
                <w:szCs w:val="20"/>
              </w:rPr>
              <w:instrText xml:space="preserve"> SEQ CHAPTER \h \r 1</w:instrText>
            </w:r>
            <w:r w:rsidRPr="00AB6BAD">
              <w:rPr>
                <w:sz w:val="20"/>
                <w:szCs w:val="20"/>
              </w:rPr>
              <w:fldChar w:fldCharType="end"/>
            </w:r>
          </w:p>
        </w:tc>
        <w:tc>
          <w:tcPr>
            <w:tcW w:w="1170" w:type="dxa"/>
          </w:tcPr>
          <w:p w:rsidR="0097170F" w:rsidRPr="00AB6BAD" w:rsidRDefault="0097170F" w:rsidP="0095503C">
            <w:pPr>
              <w:jc w:val="both"/>
              <w:rPr>
                <w:sz w:val="20"/>
                <w:szCs w:val="20"/>
              </w:rPr>
            </w:pPr>
          </w:p>
          <w:p w:rsidR="0097170F" w:rsidRPr="00AB6BAD" w:rsidRDefault="0097170F" w:rsidP="0095503C">
            <w:pPr>
              <w:jc w:val="both"/>
              <w:rPr>
                <w:sz w:val="20"/>
                <w:szCs w:val="20"/>
              </w:rPr>
            </w:pPr>
          </w:p>
        </w:tc>
        <w:tc>
          <w:tcPr>
            <w:tcW w:w="4327" w:type="dxa"/>
          </w:tcPr>
          <w:p w:rsidR="0097170F" w:rsidRPr="00AB6BAD" w:rsidRDefault="00E5065D" w:rsidP="0095503C">
            <w:pPr>
              <w:jc w:val="both"/>
              <w:rPr>
                <w:b/>
                <w:sz w:val="20"/>
                <w:szCs w:val="20"/>
                <w:lang w:val="fr-CA"/>
              </w:rPr>
            </w:pP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b/>
                <w:bCs/>
                <w:sz w:val="20"/>
                <w:szCs w:val="20"/>
                <w:lang w:val="fr-CA"/>
              </w:rPr>
              <w:t xml:space="preserve">Requête </w:t>
            </w:r>
            <w:r w:rsidRPr="00AB6BAD">
              <w:rPr>
                <w:sz w:val="20"/>
                <w:szCs w:val="20"/>
              </w:rPr>
              <w:fldChar w:fldCharType="begin"/>
            </w:r>
            <w:r w:rsidR="0097170F" w:rsidRPr="00AB6BAD">
              <w:rPr>
                <w:sz w:val="20"/>
                <w:szCs w:val="20"/>
                <w:lang w:val="fr-CA"/>
              </w:rPr>
              <w:instrText xml:space="preserve"> SEQ CHAPTER \h \r 1</w:instrText>
            </w:r>
            <w:r w:rsidRPr="00AB6BAD">
              <w:rPr>
                <w:sz w:val="20"/>
                <w:szCs w:val="20"/>
              </w:rPr>
              <w:fldChar w:fldCharType="end"/>
            </w:r>
            <w:r w:rsidR="0097170F" w:rsidRPr="00AB6BAD">
              <w:rPr>
                <w:b/>
                <w:bCs/>
                <w:sz w:val="20"/>
                <w:szCs w:val="20"/>
                <w:lang w:val="fr-CA"/>
              </w:rPr>
              <w:t>en ajournement de l’audition de l’appel</w:t>
            </w:r>
          </w:p>
          <w:p w:rsidR="0097170F" w:rsidRPr="00AB6BAD" w:rsidRDefault="00E5065D" w:rsidP="0095503C">
            <w:pPr>
              <w:jc w:val="both"/>
              <w:rPr>
                <w:b/>
                <w:sz w:val="20"/>
                <w:szCs w:val="20"/>
                <w:lang w:val="fr-CA"/>
              </w:rPr>
            </w:pPr>
            <w:r w:rsidRPr="00AB6BAD">
              <w:rPr>
                <w:b/>
                <w:sz w:val="20"/>
                <w:szCs w:val="20"/>
              </w:rPr>
              <w:fldChar w:fldCharType="begin"/>
            </w:r>
            <w:r w:rsidR="0097170F" w:rsidRPr="00AB6BAD">
              <w:rPr>
                <w:b/>
                <w:sz w:val="20"/>
                <w:szCs w:val="20"/>
                <w:lang w:val="fr-CA"/>
              </w:rPr>
              <w:instrText xml:space="preserve"> SEQ CHAPTER \h \r 1</w:instrText>
            </w:r>
            <w:r w:rsidRPr="00AB6BAD">
              <w:rPr>
                <w:b/>
                <w:sz w:val="20"/>
                <w:szCs w:val="20"/>
              </w:rPr>
              <w:fldChar w:fldCharType="end"/>
            </w:r>
            <w:r w:rsidRPr="00AB6BAD">
              <w:rPr>
                <w:b/>
                <w:sz w:val="20"/>
                <w:szCs w:val="20"/>
              </w:rPr>
              <w:fldChar w:fldCharType="begin"/>
            </w:r>
            <w:r w:rsidR="0097170F" w:rsidRPr="00AB6BAD">
              <w:rPr>
                <w:b/>
                <w:sz w:val="20"/>
                <w:szCs w:val="20"/>
                <w:lang w:val="fr-CA"/>
              </w:rPr>
              <w:instrText xml:space="preserve"> SEQ CHAPTER \h \r 1</w:instrText>
            </w:r>
            <w:r w:rsidRPr="00AB6BAD">
              <w:rPr>
                <w:b/>
                <w:sz w:val="20"/>
                <w:szCs w:val="20"/>
              </w:rPr>
              <w:fldChar w:fldCharType="end"/>
            </w:r>
          </w:p>
        </w:tc>
      </w:tr>
      <w:tr w:rsidR="0097170F" w:rsidRPr="00AB6BAD" w:rsidTr="0095503C">
        <w:trPr>
          <w:trHeight w:val="150"/>
        </w:trPr>
        <w:tc>
          <w:tcPr>
            <w:tcW w:w="4338" w:type="dxa"/>
          </w:tcPr>
          <w:p w:rsidR="0097170F" w:rsidRPr="00AB6BAD" w:rsidRDefault="0097170F" w:rsidP="0095503C">
            <w:pPr>
              <w:tabs>
                <w:tab w:val="left" w:pos="-1440"/>
                <w:tab w:val="left" w:pos="-720"/>
              </w:tabs>
              <w:jc w:val="both"/>
              <w:rPr>
                <w:sz w:val="20"/>
                <w:szCs w:val="20"/>
                <w:lang w:val="fr-CA"/>
              </w:rPr>
            </w:pPr>
            <w:r w:rsidRPr="00AB6BAD">
              <w:rPr>
                <w:sz w:val="20"/>
                <w:szCs w:val="20"/>
                <w:lang w:val="fr-CA"/>
              </w:rPr>
              <w:t>Charles Picot</w:t>
            </w:r>
          </w:p>
          <w:p w:rsidR="0097170F" w:rsidRPr="00AB6BAD" w:rsidRDefault="0097170F" w:rsidP="0095503C">
            <w:pPr>
              <w:tabs>
                <w:tab w:val="left" w:pos="-1440"/>
                <w:tab w:val="left" w:pos="-720"/>
              </w:tabs>
              <w:jc w:val="both"/>
              <w:rPr>
                <w:sz w:val="20"/>
                <w:szCs w:val="20"/>
                <w:lang w:val="fr-CA"/>
              </w:rPr>
            </w:pPr>
          </w:p>
          <w:p w:rsidR="0097170F" w:rsidRPr="00AB6BAD" w:rsidRDefault="0097170F" w:rsidP="0095503C">
            <w:pPr>
              <w:tabs>
                <w:tab w:val="left" w:pos="-1440"/>
                <w:tab w:val="left" w:pos="-720"/>
              </w:tabs>
              <w:jc w:val="both"/>
              <w:rPr>
                <w:sz w:val="20"/>
                <w:szCs w:val="20"/>
                <w:lang w:val="fr-CA"/>
              </w:rPr>
            </w:pPr>
            <w:r w:rsidRPr="00AB6BAD">
              <w:rPr>
                <w:sz w:val="20"/>
                <w:szCs w:val="20"/>
                <w:lang w:val="fr-CA"/>
              </w:rPr>
              <w:tab/>
              <w:t>c. (34499)</w:t>
            </w:r>
          </w:p>
          <w:p w:rsidR="0097170F" w:rsidRPr="00AB6BAD" w:rsidRDefault="0097170F" w:rsidP="0095503C">
            <w:pPr>
              <w:tabs>
                <w:tab w:val="left" w:pos="-1440"/>
                <w:tab w:val="left" w:pos="-720"/>
              </w:tabs>
              <w:jc w:val="both"/>
              <w:rPr>
                <w:sz w:val="20"/>
                <w:szCs w:val="20"/>
                <w:lang w:val="fr-CA"/>
              </w:rPr>
            </w:pPr>
          </w:p>
          <w:p w:rsidR="0097170F" w:rsidRPr="00AB6BAD" w:rsidRDefault="0097170F" w:rsidP="0095503C">
            <w:pPr>
              <w:tabs>
                <w:tab w:val="left" w:pos="-1440"/>
                <w:tab w:val="left" w:pos="-720"/>
              </w:tabs>
              <w:jc w:val="both"/>
              <w:rPr>
                <w:sz w:val="20"/>
                <w:szCs w:val="20"/>
                <w:lang w:val="fr-CA"/>
              </w:rPr>
            </w:pPr>
            <w:r w:rsidRPr="00AB6BAD">
              <w:rPr>
                <w:sz w:val="20"/>
                <w:szCs w:val="20"/>
                <w:lang w:val="fr-CA"/>
              </w:rPr>
              <w:t>Sa Majesté la Reine (Crim.) (N.-B.)</w:t>
            </w:r>
          </w:p>
        </w:tc>
        <w:tc>
          <w:tcPr>
            <w:tcW w:w="1170" w:type="dxa"/>
          </w:tcPr>
          <w:p w:rsidR="0097170F" w:rsidRPr="00AB6BAD" w:rsidRDefault="0097170F" w:rsidP="0095503C">
            <w:pPr>
              <w:jc w:val="both"/>
              <w:rPr>
                <w:sz w:val="20"/>
                <w:szCs w:val="20"/>
                <w:lang w:val="fr-CA"/>
              </w:rPr>
            </w:pPr>
          </w:p>
        </w:tc>
        <w:tc>
          <w:tcPr>
            <w:tcW w:w="4327" w:type="dxa"/>
          </w:tcPr>
          <w:p w:rsidR="0097170F" w:rsidRPr="00AB6BAD" w:rsidRDefault="0097170F" w:rsidP="0095503C">
            <w:pPr>
              <w:jc w:val="both"/>
              <w:rPr>
                <w:sz w:val="20"/>
                <w:szCs w:val="20"/>
                <w:lang w:val="fr-CA"/>
              </w:rPr>
            </w:pPr>
          </w:p>
        </w:tc>
      </w:tr>
    </w:tbl>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jc w:val="both"/>
        <w:rPr>
          <w:sz w:val="20"/>
          <w:szCs w:val="20"/>
        </w:rPr>
      </w:pPr>
      <w:r w:rsidRPr="00AB6BAD">
        <w:rPr>
          <w:b/>
          <w:sz w:val="20"/>
          <w:szCs w:val="20"/>
        </w:rPr>
        <w:t>GRANTED / ACCORDÉE</w:t>
      </w:r>
    </w:p>
    <w:p w:rsidR="0097170F" w:rsidRPr="00AB6BAD" w:rsidRDefault="0097170F" w:rsidP="0097170F">
      <w:pPr>
        <w:tabs>
          <w:tab w:val="left" w:pos="-1440"/>
          <w:tab w:val="left" w:pos="-720"/>
        </w:tabs>
        <w:jc w:val="both"/>
        <w:rPr>
          <w:sz w:val="20"/>
          <w:szCs w:val="20"/>
        </w:rPr>
      </w:pPr>
    </w:p>
    <w:p w:rsidR="0097170F" w:rsidRPr="00AB6BAD" w:rsidRDefault="0097170F" w:rsidP="0097170F">
      <w:pPr>
        <w:rPr>
          <w:sz w:val="20"/>
          <w:szCs w:val="20"/>
        </w:rPr>
      </w:pPr>
      <w:r w:rsidRPr="00AB6BAD">
        <w:rPr>
          <w:b/>
          <w:sz w:val="20"/>
          <w:szCs w:val="20"/>
        </w:rPr>
        <w:t xml:space="preserve">UPON A MOTION </w:t>
      </w:r>
      <w:r w:rsidRPr="00AB6BAD">
        <w:rPr>
          <w:sz w:val="20"/>
          <w:szCs w:val="20"/>
        </w:rPr>
        <w:t>by the appellant to adjourn the hearing scheduled for May 17, 2012;</w:t>
      </w:r>
    </w:p>
    <w:p w:rsidR="0097170F" w:rsidRPr="00AB6BAD" w:rsidRDefault="0097170F" w:rsidP="0097170F">
      <w:pPr>
        <w:rPr>
          <w:sz w:val="20"/>
          <w:szCs w:val="20"/>
        </w:rPr>
      </w:pPr>
    </w:p>
    <w:p w:rsidR="0097170F" w:rsidRPr="00AB6BAD" w:rsidRDefault="0097170F" w:rsidP="0097170F">
      <w:pPr>
        <w:rPr>
          <w:sz w:val="20"/>
          <w:szCs w:val="20"/>
        </w:rPr>
      </w:pPr>
      <w:r w:rsidRPr="00AB6BAD">
        <w:rPr>
          <w:b/>
          <w:sz w:val="20"/>
          <w:szCs w:val="20"/>
        </w:rPr>
        <w:t>AND UPON A MOTION</w:t>
      </w:r>
      <w:r w:rsidRPr="00AB6BAD">
        <w:rPr>
          <w:sz w:val="20"/>
          <w:szCs w:val="20"/>
        </w:rPr>
        <w:t xml:space="preserve"> by the appellant to file a factum and a book of authorities</w:t>
      </w:r>
      <w:bookmarkStart w:id="2" w:name="OLE_LINK1"/>
      <w:bookmarkStart w:id="3" w:name="OLE_LINK2"/>
      <w:r w:rsidRPr="00AB6BAD">
        <w:rPr>
          <w:sz w:val="20"/>
          <w:szCs w:val="20"/>
        </w:rPr>
        <w:t xml:space="preserve">; </w:t>
      </w:r>
    </w:p>
    <w:bookmarkEnd w:id="2"/>
    <w:bookmarkEnd w:id="3"/>
    <w:p w:rsidR="0097170F" w:rsidRPr="00AB6BAD" w:rsidRDefault="0097170F" w:rsidP="0097170F">
      <w:pPr>
        <w:rPr>
          <w:sz w:val="20"/>
          <w:szCs w:val="20"/>
        </w:rPr>
      </w:pPr>
    </w:p>
    <w:p w:rsidR="0097170F" w:rsidRPr="00AB6BAD" w:rsidRDefault="0097170F" w:rsidP="0097170F">
      <w:pPr>
        <w:rPr>
          <w:bCs/>
          <w:sz w:val="20"/>
          <w:szCs w:val="20"/>
        </w:rPr>
      </w:pPr>
      <w:r w:rsidRPr="00AB6BAD">
        <w:rPr>
          <w:b/>
          <w:bCs/>
          <w:sz w:val="20"/>
          <w:szCs w:val="20"/>
        </w:rPr>
        <w:t xml:space="preserve">AND THE MATERIAL FILED </w:t>
      </w:r>
      <w:r w:rsidRPr="00AB6BAD">
        <w:rPr>
          <w:bCs/>
          <w:sz w:val="20"/>
          <w:szCs w:val="20"/>
        </w:rPr>
        <w:t>having been read,</w:t>
      </w:r>
    </w:p>
    <w:p w:rsidR="0097170F" w:rsidRPr="00AB6BAD" w:rsidRDefault="0097170F" w:rsidP="0097170F">
      <w:pPr>
        <w:rPr>
          <w:bCs/>
          <w:sz w:val="20"/>
          <w:szCs w:val="20"/>
        </w:rPr>
      </w:pPr>
    </w:p>
    <w:p w:rsidR="0097170F" w:rsidRPr="00AB6BAD" w:rsidRDefault="0097170F" w:rsidP="0097170F">
      <w:pPr>
        <w:rPr>
          <w:b/>
          <w:bCs/>
          <w:sz w:val="20"/>
          <w:szCs w:val="20"/>
        </w:rPr>
      </w:pPr>
      <w:r w:rsidRPr="00AB6BAD">
        <w:rPr>
          <w:b/>
          <w:bCs/>
          <w:sz w:val="20"/>
          <w:szCs w:val="20"/>
        </w:rPr>
        <w:t xml:space="preserve">IT IS HEREBY ORDERED THAT: </w:t>
      </w:r>
    </w:p>
    <w:p w:rsidR="0097170F" w:rsidRPr="00AB6BAD" w:rsidRDefault="0097170F" w:rsidP="0097170F">
      <w:pPr>
        <w:rPr>
          <w:b/>
          <w:bCs/>
          <w:sz w:val="20"/>
          <w:szCs w:val="20"/>
        </w:rPr>
      </w:pPr>
    </w:p>
    <w:p w:rsidR="0097170F" w:rsidRPr="00AB6BAD" w:rsidRDefault="0097170F" w:rsidP="0097170F">
      <w:pPr>
        <w:rPr>
          <w:bCs/>
          <w:sz w:val="20"/>
          <w:szCs w:val="20"/>
        </w:rPr>
      </w:pPr>
      <w:r w:rsidRPr="00AB6BAD">
        <w:rPr>
          <w:bCs/>
          <w:sz w:val="20"/>
          <w:szCs w:val="20"/>
        </w:rPr>
        <w:t>(1)</w:t>
      </w:r>
      <w:r w:rsidRPr="00AB6BAD">
        <w:rPr>
          <w:bCs/>
          <w:sz w:val="20"/>
          <w:szCs w:val="20"/>
        </w:rPr>
        <w:tab/>
        <w:t>The motion to adjourn the hearing of the appeal is granted.  The Registrar shall fix the hearing date.</w:t>
      </w:r>
    </w:p>
    <w:p w:rsidR="0097170F" w:rsidRPr="00AB6BAD" w:rsidRDefault="0097170F" w:rsidP="0097170F">
      <w:pPr>
        <w:rPr>
          <w:bCs/>
          <w:sz w:val="20"/>
          <w:szCs w:val="20"/>
        </w:rPr>
      </w:pPr>
    </w:p>
    <w:p w:rsidR="0097170F" w:rsidRPr="00AB6BAD" w:rsidRDefault="0097170F" w:rsidP="0097170F">
      <w:pPr>
        <w:rPr>
          <w:b/>
          <w:bCs/>
          <w:sz w:val="20"/>
          <w:szCs w:val="20"/>
        </w:rPr>
      </w:pPr>
      <w:r w:rsidRPr="00AB6BAD">
        <w:rPr>
          <w:bCs/>
          <w:sz w:val="20"/>
          <w:szCs w:val="20"/>
        </w:rPr>
        <w:t>(2)</w:t>
      </w:r>
      <w:r w:rsidRPr="00AB6BAD">
        <w:rPr>
          <w:bCs/>
          <w:sz w:val="20"/>
          <w:szCs w:val="20"/>
        </w:rPr>
        <w:tab/>
      </w:r>
      <w:r w:rsidRPr="00AB6BAD">
        <w:rPr>
          <w:sz w:val="20"/>
          <w:szCs w:val="20"/>
        </w:rPr>
        <w:t xml:space="preserve">The motion to file a factum and a book of authorities is granted.  The appellant shall serve and file his factum and book of authorities no later than June 22, 2012. </w:t>
      </w:r>
    </w:p>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sz w:val="20"/>
          <w:szCs w:val="20"/>
        </w:rPr>
      </w:pPr>
    </w:p>
    <w:p w:rsidR="0097170F" w:rsidRPr="00AB6BAD" w:rsidRDefault="0097170F" w:rsidP="0097170F">
      <w:pPr>
        <w:jc w:val="both"/>
        <w:rPr>
          <w:sz w:val="20"/>
          <w:szCs w:val="20"/>
          <w:lang w:val="fr-CA"/>
        </w:rPr>
      </w:pPr>
      <w:r w:rsidRPr="00AB6BAD">
        <w:rPr>
          <w:b/>
          <w:sz w:val="20"/>
          <w:szCs w:val="20"/>
          <w:lang w:val="fr-CA"/>
        </w:rPr>
        <w:t xml:space="preserve">À LA SUITE DE LA REQUÊTE </w:t>
      </w:r>
      <w:r w:rsidRPr="00AB6BAD">
        <w:rPr>
          <w:sz w:val="20"/>
          <w:szCs w:val="20"/>
          <w:lang w:val="fr-CA"/>
        </w:rPr>
        <w:t>de l’appelant visant l’ajournement de l’audition prévue pour le 17 mai 2012;</w:t>
      </w:r>
    </w:p>
    <w:p w:rsidR="0097170F" w:rsidRPr="00AB6BAD" w:rsidRDefault="0097170F" w:rsidP="0097170F">
      <w:pPr>
        <w:jc w:val="both"/>
        <w:rPr>
          <w:sz w:val="20"/>
          <w:szCs w:val="20"/>
          <w:lang w:val="fr-CA"/>
        </w:rPr>
      </w:pPr>
    </w:p>
    <w:p w:rsidR="0097170F" w:rsidRPr="00AB6BAD" w:rsidRDefault="0097170F" w:rsidP="0097170F">
      <w:pPr>
        <w:jc w:val="both"/>
        <w:rPr>
          <w:sz w:val="20"/>
          <w:szCs w:val="20"/>
          <w:lang w:val="fr-CA"/>
        </w:rPr>
      </w:pPr>
      <w:r w:rsidRPr="00AB6BAD">
        <w:rPr>
          <w:b/>
          <w:sz w:val="20"/>
          <w:szCs w:val="20"/>
          <w:lang w:val="fr-CA"/>
        </w:rPr>
        <w:t>ET</w:t>
      </w:r>
      <w:r w:rsidRPr="00AB6BAD">
        <w:rPr>
          <w:sz w:val="20"/>
          <w:szCs w:val="20"/>
          <w:lang w:val="fr-CA"/>
        </w:rPr>
        <w:t xml:space="preserve"> </w:t>
      </w:r>
      <w:r w:rsidRPr="00AB6BAD">
        <w:rPr>
          <w:b/>
          <w:bCs/>
          <w:sz w:val="20"/>
          <w:szCs w:val="20"/>
          <w:lang w:val="fr-CA"/>
        </w:rPr>
        <w:t>À LA SUITE DE LA REQUÊTE</w:t>
      </w:r>
      <w:r w:rsidRPr="00AB6BAD">
        <w:rPr>
          <w:sz w:val="20"/>
          <w:szCs w:val="20"/>
          <w:lang w:val="fr-CA"/>
        </w:rPr>
        <w:t xml:space="preserve"> de l’appelant visant à déposer un mémoire et un recueil de sources; </w:t>
      </w:r>
    </w:p>
    <w:p w:rsidR="0097170F" w:rsidRPr="00AB6BAD" w:rsidRDefault="0097170F" w:rsidP="0097170F">
      <w:pPr>
        <w:jc w:val="both"/>
        <w:rPr>
          <w:sz w:val="20"/>
          <w:szCs w:val="20"/>
          <w:lang w:val="fr-CA"/>
        </w:rPr>
      </w:pPr>
    </w:p>
    <w:p w:rsidR="0097170F" w:rsidRDefault="0097170F">
      <w:pPr>
        <w:rPr>
          <w:b/>
          <w:bCs/>
          <w:sz w:val="20"/>
          <w:szCs w:val="20"/>
          <w:lang w:val="fr-CA"/>
        </w:rPr>
      </w:pPr>
      <w:r>
        <w:rPr>
          <w:b/>
          <w:bCs/>
          <w:sz w:val="20"/>
          <w:szCs w:val="20"/>
          <w:lang w:val="fr-CA"/>
        </w:rPr>
        <w:br w:type="page"/>
      </w:r>
    </w:p>
    <w:p w:rsidR="0097170F" w:rsidRPr="00AB6BAD" w:rsidRDefault="0097170F" w:rsidP="0097170F">
      <w:pPr>
        <w:jc w:val="both"/>
        <w:rPr>
          <w:bCs/>
          <w:sz w:val="20"/>
          <w:szCs w:val="20"/>
          <w:lang w:val="fr-CA"/>
        </w:rPr>
      </w:pPr>
      <w:r w:rsidRPr="00AB6BAD">
        <w:rPr>
          <w:b/>
          <w:bCs/>
          <w:sz w:val="20"/>
          <w:szCs w:val="20"/>
          <w:lang w:val="fr-CA"/>
        </w:rPr>
        <w:t xml:space="preserve">ET APRÈS EXAMEN </w:t>
      </w:r>
      <w:r w:rsidRPr="00AB6BAD">
        <w:rPr>
          <w:bCs/>
          <w:sz w:val="20"/>
          <w:szCs w:val="20"/>
          <w:lang w:val="fr-CA"/>
        </w:rPr>
        <w:t>des documents déposés,</w:t>
      </w:r>
    </w:p>
    <w:p w:rsidR="0097170F" w:rsidRPr="00AB6BAD" w:rsidRDefault="0097170F" w:rsidP="0097170F">
      <w:pPr>
        <w:jc w:val="both"/>
        <w:rPr>
          <w:bCs/>
          <w:sz w:val="20"/>
          <w:szCs w:val="20"/>
          <w:lang w:val="fr-CA"/>
        </w:rPr>
      </w:pPr>
    </w:p>
    <w:p w:rsidR="0097170F" w:rsidRPr="00AB6BAD" w:rsidRDefault="0097170F" w:rsidP="0097170F">
      <w:pPr>
        <w:jc w:val="both"/>
        <w:rPr>
          <w:b/>
          <w:bCs/>
          <w:sz w:val="20"/>
          <w:szCs w:val="20"/>
          <w:lang w:val="fr-CA"/>
        </w:rPr>
      </w:pPr>
      <w:r w:rsidRPr="00AB6BAD">
        <w:rPr>
          <w:b/>
          <w:bCs/>
          <w:sz w:val="20"/>
          <w:szCs w:val="20"/>
          <w:lang w:val="fr-CA"/>
        </w:rPr>
        <w:t xml:space="preserve">IL EST ORDONNÉ CE QUI SUIT : </w:t>
      </w:r>
    </w:p>
    <w:p w:rsidR="0097170F" w:rsidRPr="00AB6BAD" w:rsidRDefault="0097170F" w:rsidP="0097170F">
      <w:pPr>
        <w:jc w:val="both"/>
        <w:rPr>
          <w:b/>
          <w:bCs/>
          <w:sz w:val="20"/>
          <w:szCs w:val="20"/>
          <w:lang w:val="fr-CA"/>
        </w:rPr>
      </w:pPr>
    </w:p>
    <w:p w:rsidR="0097170F" w:rsidRPr="00AB6BAD" w:rsidRDefault="0097170F" w:rsidP="0097170F">
      <w:pPr>
        <w:jc w:val="both"/>
        <w:rPr>
          <w:bCs/>
          <w:sz w:val="20"/>
          <w:szCs w:val="20"/>
          <w:lang w:val="fr-CA"/>
        </w:rPr>
      </w:pPr>
      <w:r w:rsidRPr="00AB6BAD">
        <w:rPr>
          <w:bCs/>
          <w:sz w:val="20"/>
          <w:szCs w:val="20"/>
          <w:lang w:val="fr-CA"/>
        </w:rPr>
        <w:t>1)</w:t>
      </w:r>
      <w:r w:rsidRPr="00AB6BAD">
        <w:rPr>
          <w:bCs/>
          <w:sz w:val="20"/>
          <w:szCs w:val="20"/>
          <w:lang w:val="fr-CA"/>
        </w:rPr>
        <w:tab/>
        <w:t>La requête visant à obtenir l’ajournement de l’audition de l’appel est accueillie. La date d’audition sera fixée par le registraire.</w:t>
      </w:r>
    </w:p>
    <w:p w:rsidR="0097170F" w:rsidRPr="00AB6BAD" w:rsidRDefault="0097170F" w:rsidP="0097170F">
      <w:pPr>
        <w:jc w:val="both"/>
        <w:rPr>
          <w:bCs/>
          <w:sz w:val="20"/>
          <w:szCs w:val="20"/>
          <w:lang w:val="fr-CA"/>
        </w:rPr>
      </w:pPr>
    </w:p>
    <w:p w:rsidR="0097170F" w:rsidRPr="00AB6BAD" w:rsidRDefault="0097170F" w:rsidP="0097170F">
      <w:pPr>
        <w:jc w:val="both"/>
        <w:rPr>
          <w:b/>
          <w:bCs/>
          <w:sz w:val="20"/>
          <w:szCs w:val="20"/>
          <w:lang w:val="fr-CA"/>
        </w:rPr>
      </w:pPr>
      <w:r w:rsidRPr="00AB6BAD">
        <w:rPr>
          <w:bCs/>
          <w:sz w:val="20"/>
          <w:szCs w:val="20"/>
          <w:lang w:val="fr-CA"/>
        </w:rPr>
        <w:t>2)</w:t>
      </w:r>
      <w:r w:rsidRPr="00AB6BAD">
        <w:rPr>
          <w:bCs/>
          <w:sz w:val="20"/>
          <w:szCs w:val="20"/>
          <w:lang w:val="fr-CA"/>
        </w:rPr>
        <w:tab/>
      </w:r>
      <w:r w:rsidRPr="00AB6BAD">
        <w:rPr>
          <w:sz w:val="20"/>
          <w:szCs w:val="20"/>
          <w:lang w:val="fr-CA"/>
        </w:rPr>
        <w:t xml:space="preserve">La requête visant à déposer un mémoire et un recueil de sources est accueillie. L’appelant devra signifier et déposer son mémoire et son recueil de sources au plus tard le 22 juin 2012. </w: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spacing w:line="-19" w:lineRule="auto"/>
        <w:jc w:val="both"/>
        <w:rPr>
          <w:sz w:val="20"/>
          <w:szCs w:val="20"/>
          <w:lang w:val="fr-CA"/>
        </w:rPr>
      </w:pPr>
    </w:p>
    <w:p w:rsidR="0097170F" w:rsidRPr="00AB6BAD" w:rsidRDefault="00E5065D" w:rsidP="0097170F">
      <w:pPr>
        <w:tabs>
          <w:tab w:val="left" w:pos="-1440"/>
          <w:tab w:val="left" w:pos="-720"/>
        </w:tabs>
        <w:jc w:val="both"/>
        <w:rPr>
          <w:sz w:val="20"/>
          <w:szCs w:val="20"/>
        </w:rPr>
      </w:pPr>
      <w:r w:rsidRPr="00E5065D">
        <w:rPr>
          <w:sz w:val="20"/>
          <w:szCs w:val="20"/>
          <w:lang w:val="fr-CA"/>
        </w:rPr>
        <w:pict>
          <v:rect id="_x0000_i1096" style="width:2in;height:1pt" o:hrpct="0" o:hralign="center" o:hrstd="t" o:hrnoshade="t" o:hr="t" fillcolor="black [3213]" stroked="f"/>
        </w:pict>
      </w:r>
    </w:p>
    <w:p w:rsidR="0097170F" w:rsidRPr="00AB6BAD" w:rsidRDefault="0097170F" w:rsidP="0097170F">
      <w:pPr>
        <w:rPr>
          <w:sz w:val="20"/>
          <w:szCs w:val="20"/>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29.03.2012</w:t>
      </w:r>
    </w:p>
    <w:p w:rsidR="0097170F" w:rsidRPr="00AB6BAD" w:rsidRDefault="0097170F" w:rsidP="0097170F">
      <w:pPr>
        <w:tabs>
          <w:tab w:val="left" w:pos="-1440"/>
          <w:tab w:val="left" w:pos="-720"/>
        </w:tabs>
        <w:jc w:val="both"/>
        <w:rPr>
          <w:sz w:val="20"/>
          <w:szCs w:val="20"/>
          <w:lang w:val="fr-CA"/>
        </w:rPr>
      </w:pPr>
    </w:p>
    <w:p w:rsidR="0097170F" w:rsidRPr="00AB6BAD" w:rsidRDefault="0097170F" w:rsidP="0097170F">
      <w:pPr>
        <w:tabs>
          <w:tab w:val="left" w:pos="-1440"/>
          <w:tab w:val="left" w:pos="-720"/>
        </w:tabs>
        <w:jc w:val="both"/>
        <w:rPr>
          <w:sz w:val="20"/>
          <w:szCs w:val="20"/>
          <w:lang w:val="fr-CA"/>
        </w:rPr>
      </w:pPr>
      <w:r w:rsidRPr="00AB6BAD">
        <w:rPr>
          <w:sz w:val="20"/>
          <w:szCs w:val="20"/>
          <w:lang w:val="fr-CA"/>
        </w:rPr>
        <w:t>Before / Devant :   CROMWELL J. / LE JUGE CROMWELL</w:t>
      </w:r>
    </w:p>
    <w:p w:rsidR="0097170F" w:rsidRPr="00AB6BAD" w:rsidRDefault="0097170F" w:rsidP="0097170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7170F" w:rsidRPr="00832ABE" w:rsidTr="0095503C">
        <w:tc>
          <w:tcPr>
            <w:tcW w:w="4338" w:type="dxa"/>
            <w:gridSpan w:val="2"/>
          </w:tcPr>
          <w:p w:rsidR="0097170F" w:rsidRPr="00AB6BAD" w:rsidRDefault="0097170F" w:rsidP="0095503C">
            <w:pPr>
              <w:jc w:val="both"/>
              <w:rPr>
                <w:b/>
                <w:sz w:val="20"/>
                <w:szCs w:val="20"/>
              </w:rPr>
            </w:pPr>
            <w:r w:rsidRPr="00AB6BAD">
              <w:rPr>
                <w:b/>
                <w:sz w:val="20"/>
                <w:szCs w:val="20"/>
              </w:rPr>
              <w:t xml:space="preserve">Order on interventions with respect to oral argument </w:t>
            </w:r>
            <w:r w:rsidR="00E5065D" w:rsidRPr="00AB6BAD">
              <w:rPr>
                <w:b/>
                <w:sz w:val="20"/>
                <w:szCs w:val="20"/>
              </w:rPr>
              <w:fldChar w:fldCharType="begin"/>
            </w:r>
            <w:r w:rsidRPr="00AB6BAD">
              <w:rPr>
                <w:b/>
                <w:sz w:val="20"/>
                <w:szCs w:val="20"/>
              </w:rPr>
              <w:instrText xml:space="preserve"> SEQ CHAPTER \h \r 1</w:instrText>
            </w:r>
            <w:r w:rsidR="00E5065D" w:rsidRPr="00AB6BAD">
              <w:rPr>
                <w:b/>
                <w:sz w:val="20"/>
                <w:szCs w:val="20"/>
              </w:rPr>
              <w:fldChar w:fldCharType="end"/>
            </w:r>
          </w:p>
        </w:tc>
        <w:tc>
          <w:tcPr>
            <w:tcW w:w="1170" w:type="dxa"/>
          </w:tcPr>
          <w:p w:rsidR="0097170F" w:rsidRPr="00AB6BAD" w:rsidRDefault="0097170F" w:rsidP="0095503C">
            <w:pPr>
              <w:rPr>
                <w:sz w:val="20"/>
                <w:szCs w:val="20"/>
              </w:rPr>
            </w:pPr>
          </w:p>
          <w:p w:rsidR="0097170F" w:rsidRPr="00AB6BAD" w:rsidRDefault="0097170F" w:rsidP="0095503C">
            <w:pPr>
              <w:rPr>
                <w:sz w:val="20"/>
                <w:szCs w:val="20"/>
              </w:rPr>
            </w:pPr>
          </w:p>
          <w:p w:rsidR="0097170F" w:rsidRPr="00AB6BAD" w:rsidRDefault="0097170F" w:rsidP="0095503C">
            <w:pPr>
              <w:rPr>
                <w:sz w:val="20"/>
                <w:szCs w:val="20"/>
              </w:rPr>
            </w:pPr>
          </w:p>
        </w:tc>
        <w:tc>
          <w:tcPr>
            <w:tcW w:w="4327" w:type="dxa"/>
          </w:tcPr>
          <w:p w:rsidR="0097170F" w:rsidRPr="00AB6BAD" w:rsidRDefault="0097170F" w:rsidP="0095503C">
            <w:pPr>
              <w:jc w:val="both"/>
              <w:rPr>
                <w:b/>
                <w:sz w:val="20"/>
                <w:szCs w:val="20"/>
                <w:lang w:val="fr-CA"/>
              </w:rPr>
            </w:pPr>
            <w:r w:rsidRPr="00AB6BAD">
              <w:rPr>
                <w:b/>
                <w:sz w:val="20"/>
                <w:szCs w:val="20"/>
                <w:lang w:val="fr-CA"/>
              </w:rPr>
              <w:t>Ordonnance relative à la présentation d’une plaidoirie orale par l’intervenante</w:t>
            </w:r>
            <w:r w:rsidR="00E5065D" w:rsidRPr="00AB6BAD">
              <w:rPr>
                <w:b/>
                <w:sz w:val="20"/>
                <w:szCs w:val="20"/>
              </w:rPr>
              <w:fldChar w:fldCharType="begin"/>
            </w:r>
            <w:r w:rsidRPr="00AB6BAD">
              <w:rPr>
                <w:b/>
                <w:sz w:val="20"/>
                <w:szCs w:val="20"/>
                <w:lang w:val="fr-CA"/>
              </w:rPr>
              <w:instrText xml:space="preserve"> SEQ CHAPTER \h \r 1</w:instrText>
            </w:r>
            <w:r w:rsidR="00E5065D" w:rsidRPr="00AB6BAD">
              <w:rPr>
                <w:b/>
                <w:sz w:val="20"/>
                <w:szCs w:val="20"/>
              </w:rPr>
              <w:fldChar w:fldCharType="end"/>
            </w:r>
          </w:p>
        </w:tc>
      </w:tr>
      <w:tr w:rsidR="0097170F" w:rsidRPr="00AB6BAD" w:rsidTr="0095503C">
        <w:tc>
          <w:tcPr>
            <w:tcW w:w="1368" w:type="dxa"/>
          </w:tcPr>
          <w:p w:rsidR="0097170F" w:rsidRPr="00AB6BAD" w:rsidRDefault="0097170F" w:rsidP="0095503C">
            <w:pPr>
              <w:rPr>
                <w:sz w:val="20"/>
                <w:szCs w:val="20"/>
              </w:rPr>
            </w:pPr>
            <w:r w:rsidRPr="00AB6BAD">
              <w:rPr>
                <w:sz w:val="20"/>
                <w:szCs w:val="20"/>
              </w:rPr>
              <w:t>RE:</w:t>
            </w:r>
          </w:p>
        </w:tc>
        <w:tc>
          <w:tcPr>
            <w:tcW w:w="2970" w:type="dxa"/>
          </w:tcPr>
          <w:p w:rsidR="0097170F" w:rsidRPr="00AB6BAD" w:rsidRDefault="0097170F" w:rsidP="0095503C">
            <w:pPr>
              <w:rPr>
                <w:sz w:val="20"/>
                <w:szCs w:val="20"/>
              </w:rPr>
            </w:pPr>
            <w:r w:rsidRPr="00AB6BAD">
              <w:rPr>
                <w:sz w:val="20"/>
                <w:szCs w:val="20"/>
              </w:rPr>
              <w:t>Criminal Lawyers’ Association of Ontario</w:t>
            </w:r>
          </w:p>
        </w:tc>
        <w:tc>
          <w:tcPr>
            <w:tcW w:w="1170" w:type="dxa"/>
          </w:tcPr>
          <w:p w:rsidR="0097170F" w:rsidRPr="00AB6BAD" w:rsidRDefault="0097170F" w:rsidP="0095503C">
            <w:pPr>
              <w:rPr>
                <w:sz w:val="20"/>
                <w:szCs w:val="20"/>
              </w:rPr>
            </w:pPr>
          </w:p>
        </w:tc>
        <w:tc>
          <w:tcPr>
            <w:tcW w:w="4327" w:type="dxa"/>
          </w:tcPr>
          <w:p w:rsidR="0097170F" w:rsidRPr="00AB6BAD" w:rsidRDefault="0097170F" w:rsidP="0095503C">
            <w:pPr>
              <w:rPr>
                <w:sz w:val="20"/>
                <w:szCs w:val="20"/>
              </w:rPr>
            </w:pPr>
          </w:p>
        </w:tc>
      </w:tr>
      <w:tr w:rsidR="0097170F" w:rsidRPr="00AB6BAD" w:rsidTr="0095503C">
        <w:tc>
          <w:tcPr>
            <w:tcW w:w="1368" w:type="dxa"/>
          </w:tcPr>
          <w:p w:rsidR="0097170F" w:rsidRPr="00AB6BAD" w:rsidRDefault="0097170F" w:rsidP="0095503C">
            <w:pPr>
              <w:rPr>
                <w:sz w:val="20"/>
                <w:szCs w:val="20"/>
              </w:rPr>
            </w:pPr>
          </w:p>
        </w:tc>
        <w:tc>
          <w:tcPr>
            <w:tcW w:w="2970" w:type="dxa"/>
          </w:tcPr>
          <w:p w:rsidR="0097170F" w:rsidRPr="00AB6BAD" w:rsidRDefault="0097170F" w:rsidP="0095503C">
            <w:pPr>
              <w:rPr>
                <w:sz w:val="20"/>
                <w:szCs w:val="20"/>
              </w:rPr>
            </w:pPr>
          </w:p>
        </w:tc>
        <w:tc>
          <w:tcPr>
            <w:tcW w:w="1170" w:type="dxa"/>
          </w:tcPr>
          <w:p w:rsidR="0097170F" w:rsidRPr="00AB6BAD" w:rsidRDefault="0097170F" w:rsidP="0095503C">
            <w:pPr>
              <w:rPr>
                <w:sz w:val="20"/>
                <w:szCs w:val="20"/>
              </w:rPr>
            </w:pPr>
          </w:p>
        </w:tc>
        <w:tc>
          <w:tcPr>
            <w:tcW w:w="4327" w:type="dxa"/>
          </w:tcPr>
          <w:p w:rsidR="0097170F" w:rsidRPr="00AB6BAD" w:rsidRDefault="0097170F" w:rsidP="0095503C">
            <w:pPr>
              <w:rPr>
                <w:sz w:val="20"/>
                <w:szCs w:val="20"/>
              </w:rPr>
            </w:pPr>
          </w:p>
        </w:tc>
      </w:tr>
      <w:tr w:rsidR="0097170F" w:rsidRPr="00AB6BAD" w:rsidTr="0095503C">
        <w:tc>
          <w:tcPr>
            <w:tcW w:w="1368" w:type="dxa"/>
          </w:tcPr>
          <w:p w:rsidR="0097170F" w:rsidRPr="00AB6BAD" w:rsidRDefault="0097170F" w:rsidP="0095503C">
            <w:pPr>
              <w:rPr>
                <w:sz w:val="20"/>
                <w:szCs w:val="20"/>
              </w:rPr>
            </w:pPr>
            <w:r w:rsidRPr="00AB6BAD">
              <w:rPr>
                <w:sz w:val="20"/>
                <w:szCs w:val="20"/>
              </w:rPr>
              <w:t>IN / DANS :</w:t>
            </w:r>
          </w:p>
        </w:tc>
        <w:tc>
          <w:tcPr>
            <w:tcW w:w="2970" w:type="dxa"/>
          </w:tcPr>
          <w:p w:rsidR="0097170F" w:rsidRPr="00AB6BAD" w:rsidRDefault="0097170F" w:rsidP="0095503C">
            <w:pPr>
              <w:rPr>
                <w:sz w:val="20"/>
                <w:szCs w:val="20"/>
              </w:rPr>
            </w:pPr>
            <w:r w:rsidRPr="00AB6BAD">
              <w:rPr>
                <w:sz w:val="20"/>
                <w:szCs w:val="20"/>
              </w:rPr>
              <w:t>Adrian John Walle</w:t>
            </w:r>
          </w:p>
          <w:p w:rsidR="0097170F" w:rsidRPr="00AB6BAD" w:rsidRDefault="0097170F" w:rsidP="0095503C">
            <w:pPr>
              <w:rPr>
                <w:sz w:val="20"/>
                <w:szCs w:val="20"/>
              </w:rPr>
            </w:pPr>
          </w:p>
        </w:tc>
        <w:tc>
          <w:tcPr>
            <w:tcW w:w="1170" w:type="dxa"/>
          </w:tcPr>
          <w:p w:rsidR="0097170F" w:rsidRPr="00AB6BAD" w:rsidRDefault="0097170F" w:rsidP="0095503C">
            <w:pPr>
              <w:rPr>
                <w:sz w:val="20"/>
                <w:szCs w:val="20"/>
              </w:rPr>
            </w:pPr>
          </w:p>
        </w:tc>
        <w:tc>
          <w:tcPr>
            <w:tcW w:w="4327" w:type="dxa"/>
          </w:tcPr>
          <w:p w:rsidR="0097170F" w:rsidRPr="00AB6BAD" w:rsidRDefault="0097170F" w:rsidP="0095503C">
            <w:pPr>
              <w:rPr>
                <w:sz w:val="20"/>
                <w:szCs w:val="20"/>
              </w:rPr>
            </w:pPr>
          </w:p>
        </w:tc>
      </w:tr>
      <w:tr w:rsidR="0097170F" w:rsidRPr="00AB6BAD" w:rsidTr="0095503C">
        <w:tc>
          <w:tcPr>
            <w:tcW w:w="1368" w:type="dxa"/>
          </w:tcPr>
          <w:p w:rsidR="0097170F" w:rsidRPr="00AB6BAD" w:rsidRDefault="0097170F" w:rsidP="0095503C">
            <w:pPr>
              <w:rPr>
                <w:sz w:val="20"/>
                <w:szCs w:val="20"/>
              </w:rPr>
            </w:pPr>
          </w:p>
        </w:tc>
        <w:tc>
          <w:tcPr>
            <w:tcW w:w="2970" w:type="dxa"/>
          </w:tcPr>
          <w:p w:rsidR="0097170F" w:rsidRPr="00AB6BAD" w:rsidRDefault="0097170F" w:rsidP="0095503C">
            <w:pPr>
              <w:rPr>
                <w:sz w:val="20"/>
                <w:szCs w:val="20"/>
              </w:rPr>
            </w:pPr>
            <w:r w:rsidRPr="00AB6BAD">
              <w:rPr>
                <w:sz w:val="20"/>
                <w:szCs w:val="20"/>
              </w:rPr>
              <w:tab/>
              <w:t>v. (34080)</w:t>
            </w:r>
          </w:p>
          <w:p w:rsidR="0097170F" w:rsidRPr="00AB6BAD" w:rsidRDefault="0097170F" w:rsidP="0095503C">
            <w:pPr>
              <w:rPr>
                <w:sz w:val="20"/>
                <w:szCs w:val="20"/>
              </w:rPr>
            </w:pPr>
          </w:p>
        </w:tc>
        <w:tc>
          <w:tcPr>
            <w:tcW w:w="1170" w:type="dxa"/>
          </w:tcPr>
          <w:p w:rsidR="0097170F" w:rsidRPr="00AB6BAD" w:rsidRDefault="0097170F" w:rsidP="0095503C">
            <w:pPr>
              <w:rPr>
                <w:sz w:val="20"/>
                <w:szCs w:val="20"/>
              </w:rPr>
            </w:pPr>
          </w:p>
        </w:tc>
        <w:tc>
          <w:tcPr>
            <w:tcW w:w="4327" w:type="dxa"/>
          </w:tcPr>
          <w:p w:rsidR="0097170F" w:rsidRPr="00AB6BAD" w:rsidRDefault="0097170F" w:rsidP="0095503C">
            <w:pPr>
              <w:rPr>
                <w:sz w:val="20"/>
                <w:szCs w:val="20"/>
              </w:rPr>
            </w:pPr>
          </w:p>
        </w:tc>
      </w:tr>
      <w:tr w:rsidR="0097170F" w:rsidRPr="00AB6BAD" w:rsidTr="0095503C">
        <w:tc>
          <w:tcPr>
            <w:tcW w:w="1368" w:type="dxa"/>
          </w:tcPr>
          <w:p w:rsidR="0097170F" w:rsidRPr="00AB6BAD" w:rsidRDefault="0097170F" w:rsidP="0095503C">
            <w:pPr>
              <w:rPr>
                <w:sz w:val="20"/>
                <w:szCs w:val="20"/>
              </w:rPr>
            </w:pPr>
          </w:p>
        </w:tc>
        <w:tc>
          <w:tcPr>
            <w:tcW w:w="2970" w:type="dxa"/>
          </w:tcPr>
          <w:p w:rsidR="0097170F" w:rsidRPr="00AB6BAD" w:rsidRDefault="0097170F" w:rsidP="0095503C">
            <w:pPr>
              <w:jc w:val="both"/>
              <w:rPr>
                <w:sz w:val="20"/>
                <w:szCs w:val="20"/>
              </w:rPr>
            </w:pPr>
            <w:r w:rsidRPr="00AB6BAD">
              <w:rPr>
                <w:sz w:val="20"/>
                <w:szCs w:val="20"/>
              </w:rPr>
              <w:t>Her Majesty the Queen (Crim.) (Alta.)</w:t>
            </w:r>
          </w:p>
        </w:tc>
        <w:tc>
          <w:tcPr>
            <w:tcW w:w="1170" w:type="dxa"/>
          </w:tcPr>
          <w:p w:rsidR="0097170F" w:rsidRPr="00AB6BAD" w:rsidRDefault="0097170F" w:rsidP="0095503C">
            <w:pPr>
              <w:rPr>
                <w:sz w:val="20"/>
                <w:szCs w:val="20"/>
              </w:rPr>
            </w:pPr>
          </w:p>
        </w:tc>
        <w:tc>
          <w:tcPr>
            <w:tcW w:w="4327" w:type="dxa"/>
          </w:tcPr>
          <w:p w:rsidR="0097170F" w:rsidRPr="00AB6BAD" w:rsidRDefault="0097170F" w:rsidP="0095503C">
            <w:pPr>
              <w:rPr>
                <w:sz w:val="20"/>
                <w:szCs w:val="20"/>
              </w:rPr>
            </w:pPr>
          </w:p>
        </w:tc>
      </w:tr>
    </w:tbl>
    <w:p w:rsidR="0097170F" w:rsidRPr="00AB6BAD" w:rsidRDefault="0097170F" w:rsidP="0097170F">
      <w:pPr>
        <w:tabs>
          <w:tab w:val="left" w:pos="-1440"/>
          <w:tab w:val="left" w:pos="-720"/>
        </w:tabs>
        <w:jc w:val="both"/>
        <w:rPr>
          <w:sz w:val="20"/>
          <w:szCs w:val="20"/>
        </w:rPr>
      </w:pPr>
    </w:p>
    <w:p w:rsidR="0097170F" w:rsidRPr="00AB6BAD" w:rsidRDefault="0097170F" w:rsidP="0097170F">
      <w:pPr>
        <w:spacing w:line="230" w:lineRule="auto"/>
        <w:jc w:val="both"/>
        <w:rPr>
          <w:sz w:val="20"/>
          <w:szCs w:val="20"/>
        </w:rPr>
      </w:pPr>
      <w:r w:rsidRPr="00AB6BAD">
        <w:rPr>
          <w:b/>
          <w:bCs/>
          <w:sz w:val="20"/>
          <w:szCs w:val="20"/>
        </w:rPr>
        <w:t>FURTHER TO THE ORDER</w:t>
      </w:r>
      <w:r w:rsidRPr="00AB6BAD">
        <w:rPr>
          <w:sz w:val="20"/>
          <w:szCs w:val="20"/>
        </w:rPr>
        <w:t xml:space="preserve"> dated February 27, 2012, granting leave to intervene to</w:t>
      </w:r>
      <w:r w:rsidRPr="00AB6BAD">
        <w:rPr>
          <w:b/>
          <w:bCs/>
          <w:sz w:val="20"/>
          <w:szCs w:val="20"/>
        </w:rPr>
        <w:t xml:space="preserve"> </w:t>
      </w:r>
      <w:r w:rsidRPr="00AB6BAD">
        <w:rPr>
          <w:sz w:val="20"/>
          <w:szCs w:val="20"/>
        </w:rPr>
        <w:t>the Criminal Lawyers’ Association of Ontario;</w:t>
      </w:r>
    </w:p>
    <w:p w:rsidR="0097170F" w:rsidRPr="00AB6BAD" w:rsidRDefault="0097170F" w:rsidP="0097170F">
      <w:pPr>
        <w:spacing w:line="230" w:lineRule="auto"/>
        <w:jc w:val="both"/>
        <w:rPr>
          <w:sz w:val="20"/>
          <w:szCs w:val="20"/>
        </w:rPr>
      </w:pPr>
    </w:p>
    <w:p w:rsidR="0097170F" w:rsidRPr="00AB6BAD" w:rsidRDefault="0097170F" w:rsidP="0097170F">
      <w:pPr>
        <w:spacing w:line="230" w:lineRule="auto"/>
        <w:jc w:val="both"/>
        <w:rPr>
          <w:sz w:val="20"/>
          <w:szCs w:val="20"/>
        </w:rPr>
      </w:pPr>
      <w:r w:rsidRPr="00AB6BAD">
        <w:rPr>
          <w:b/>
          <w:bCs/>
          <w:sz w:val="20"/>
          <w:szCs w:val="20"/>
        </w:rPr>
        <w:t xml:space="preserve">IT IS HEREBY FURTHER ORDERED THAT </w:t>
      </w:r>
      <w:r w:rsidRPr="00AB6BAD">
        <w:rPr>
          <w:sz w:val="20"/>
          <w:szCs w:val="20"/>
        </w:rPr>
        <w:t>the said intervener is granted permission to present oral argument not exceeding ten (10) minutes at the hearing of the appeal.</w:t>
      </w:r>
    </w:p>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sz w:val="20"/>
          <w:szCs w:val="20"/>
        </w:rPr>
      </w:pPr>
    </w:p>
    <w:p w:rsidR="0097170F" w:rsidRPr="00AB6BAD" w:rsidRDefault="0097170F" w:rsidP="0097170F">
      <w:pPr>
        <w:tabs>
          <w:tab w:val="left" w:pos="-1440"/>
          <w:tab w:val="left" w:pos="-720"/>
        </w:tabs>
        <w:jc w:val="both"/>
        <w:rPr>
          <w:sz w:val="20"/>
          <w:szCs w:val="20"/>
        </w:rPr>
      </w:pPr>
    </w:p>
    <w:p w:rsidR="0097170F" w:rsidRPr="00AB6BAD" w:rsidRDefault="0097170F" w:rsidP="0097170F">
      <w:pPr>
        <w:spacing w:line="230" w:lineRule="auto"/>
        <w:jc w:val="both"/>
        <w:rPr>
          <w:sz w:val="20"/>
          <w:szCs w:val="20"/>
          <w:lang w:val="fr-FR"/>
        </w:rPr>
      </w:pPr>
      <w:r w:rsidRPr="00AB6BAD">
        <w:rPr>
          <w:b/>
          <w:sz w:val="20"/>
          <w:szCs w:val="20"/>
          <w:lang w:val="fr-FR"/>
        </w:rPr>
        <w:t>À LA SUITE DE L’ORDONNANCE</w:t>
      </w:r>
      <w:r w:rsidRPr="00AB6BAD">
        <w:rPr>
          <w:sz w:val="20"/>
          <w:szCs w:val="20"/>
          <w:lang w:val="fr-FR"/>
        </w:rPr>
        <w:t xml:space="preserve"> datée du 27 février 2012 autorisant la Criminal Lawyers’ Association of Ontario à intervenir;</w:t>
      </w:r>
    </w:p>
    <w:p w:rsidR="0097170F" w:rsidRPr="00AB6BAD" w:rsidRDefault="0097170F" w:rsidP="0097170F">
      <w:pPr>
        <w:spacing w:line="230" w:lineRule="auto"/>
        <w:jc w:val="both"/>
        <w:rPr>
          <w:sz w:val="20"/>
          <w:szCs w:val="20"/>
          <w:lang w:val="fr-FR"/>
        </w:rPr>
      </w:pPr>
    </w:p>
    <w:p w:rsidR="0097170F" w:rsidRPr="00AB6BAD" w:rsidRDefault="0097170F" w:rsidP="0097170F">
      <w:pPr>
        <w:spacing w:line="230" w:lineRule="auto"/>
        <w:jc w:val="both"/>
        <w:rPr>
          <w:sz w:val="20"/>
          <w:szCs w:val="20"/>
          <w:lang w:val="fr-FR"/>
        </w:rPr>
      </w:pPr>
      <w:r w:rsidRPr="00AB6BAD">
        <w:rPr>
          <w:b/>
          <w:sz w:val="20"/>
          <w:szCs w:val="20"/>
          <w:lang w:val="fr-FR"/>
        </w:rPr>
        <w:t>IL EST EN OUTRE ORDONNÉ QUE</w:t>
      </w:r>
      <w:r w:rsidRPr="00AB6BAD">
        <w:rPr>
          <w:sz w:val="20"/>
          <w:szCs w:val="20"/>
          <w:lang w:val="fr-FR"/>
        </w:rPr>
        <w:t xml:space="preserve"> cette intervenante pourra présenter une plaidoirie orale d’au plus dix (10) minutes lors de l’audition de l’appel. </w:t>
      </w:r>
    </w:p>
    <w:p w:rsidR="0097170F" w:rsidRPr="00AB6BAD" w:rsidRDefault="0097170F" w:rsidP="0097170F">
      <w:pPr>
        <w:tabs>
          <w:tab w:val="left" w:pos="-1440"/>
          <w:tab w:val="left" w:pos="-720"/>
        </w:tabs>
        <w:jc w:val="both"/>
        <w:rPr>
          <w:sz w:val="20"/>
          <w:szCs w:val="20"/>
          <w:lang w:val="fr-FR"/>
        </w:rPr>
      </w:pPr>
    </w:p>
    <w:p w:rsidR="0097170F" w:rsidRPr="00AB6BAD" w:rsidRDefault="00E5065D" w:rsidP="0097170F">
      <w:pPr>
        <w:tabs>
          <w:tab w:val="left" w:pos="-1440"/>
          <w:tab w:val="left" w:pos="-720"/>
        </w:tabs>
        <w:jc w:val="both"/>
        <w:rPr>
          <w:sz w:val="20"/>
          <w:szCs w:val="20"/>
          <w:lang w:val="fr-CA"/>
        </w:rPr>
      </w:pPr>
      <w:r w:rsidRPr="00E5065D">
        <w:rPr>
          <w:sz w:val="20"/>
          <w:szCs w:val="20"/>
          <w:lang w:val="fr-CA"/>
        </w:rPr>
        <w:pict>
          <v:rect id="_x0000_i1097" style="width:2in;height:1pt" o:hrpct="0" o:hralign="center" o:hrstd="t" o:hrnoshade="t" o:hr="t" fillcolor="black [3213]" stroked="f"/>
        </w:pict>
      </w:r>
    </w:p>
    <w:p w:rsidR="00192735" w:rsidRDefault="00192735" w:rsidP="0010587F">
      <w:pPr>
        <w:tabs>
          <w:tab w:val="left" w:pos="-1440"/>
          <w:tab w:val="left" w:pos="-720"/>
        </w:tabs>
        <w:jc w:val="both"/>
        <w:rPr>
          <w:sz w:val="20"/>
          <w:szCs w:val="20"/>
        </w:rPr>
      </w:pPr>
    </w:p>
    <w:p w:rsidR="00192735" w:rsidRDefault="00192735" w:rsidP="0010587F">
      <w:pPr>
        <w:tabs>
          <w:tab w:val="left" w:pos="-1440"/>
          <w:tab w:val="left" w:pos="-720"/>
        </w:tabs>
        <w:jc w:val="both"/>
        <w:rPr>
          <w:sz w:val="20"/>
          <w:szCs w:val="20"/>
        </w:rPr>
      </w:pPr>
    </w:p>
    <w:p w:rsidR="00192735" w:rsidRDefault="00192735"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832AB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463C2A" w:rsidRDefault="00463C2A" w:rsidP="003B3977">
            <w:pPr>
              <w:rPr>
                <w:sz w:val="20"/>
                <w:szCs w:val="20"/>
                <w:lang w:val="fr-CA"/>
              </w:rPr>
            </w:pPr>
            <w:r w:rsidRPr="00463C2A">
              <w:rPr>
                <w:sz w:val="20"/>
                <w:szCs w:val="20"/>
                <w:lang w:val="fr-CA"/>
              </w:rPr>
              <w:t>1</w:t>
            </w:r>
            <w:r w:rsidR="0010587F" w:rsidRPr="00463C2A">
              <w:rPr>
                <w:sz w:val="20"/>
                <w:szCs w:val="20"/>
                <w:lang w:val="fr-CA"/>
              </w:rPr>
              <w:t>6.0</w:t>
            </w:r>
            <w:r w:rsidRPr="00463C2A">
              <w:rPr>
                <w:sz w:val="20"/>
                <w:szCs w:val="20"/>
                <w:lang w:val="fr-CA"/>
              </w:rPr>
              <w:t>3</w:t>
            </w:r>
            <w:r w:rsidR="0010587F" w:rsidRPr="00463C2A">
              <w:rPr>
                <w:sz w:val="20"/>
                <w:szCs w:val="20"/>
                <w:lang w:val="fr-CA"/>
              </w:rPr>
              <w:t>.201</w:t>
            </w:r>
            <w:r w:rsidRPr="00463C2A">
              <w:rPr>
                <w:sz w:val="20"/>
                <w:szCs w:val="20"/>
                <w:lang w:val="fr-CA"/>
              </w:rPr>
              <w:t>2</w:t>
            </w:r>
          </w:p>
          <w:p w:rsidR="0010587F" w:rsidRPr="00463C2A" w:rsidRDefault="0010587F" w:rsidP="003B3977">
            <w:pPr>
              <w:rPr>
                <w:sz w:val="20"/>
                <w:szCs w:val="20"/>
                <w:lang w:val="fr-CA"/>
              </w:rPr>
            </w:pPr>
          </w:p>
          <w:p w:rsidR="0010587F" w:rsidRPr="00463C2A" w:rsidRDefault="00463C2A" w:rsidP="003B3977">
            <w:pPr>
              <w:rPr>
                <w:b/>
                <w:sz w:val="20"/>
                <w:szCs w:val="20"/>
                <w:lang w:val="fr-CA"/>
              </w:rPr>
            </w:pPr>
            <w:r w:rsidRPr="00463C2A">
              <w:rPr>
                <w:b/>
                <w:sz w:val="20"/>
                <w:szCs w:val="20"/>
                <w:lang w:val="fr-CA"/>
              </w:rPr>
              <w:t>Sa Majesté la Reine</w:t>
            </w:r>
          </w:p>
          <w:p w:rsidR="0010587F" w:rsidRPr="00463C2A" w:rsidRDefault="0010587F" w:rsidP="003B3977">
            <w:pPr>
              <w:rPr>
                <w:b/>
                <w:sz w:val="20"/>
                <w:szCs w:val="20"/>
                <w:lang w:val="fr-CA"/>
              </w:rPr>
            </w:pPr>
          </w:p>
          <w:p w:rsidR="0010587F" w:rsidRPr="00463C2A" w:rsidRDefault="0010587F" w:rsidP="003B3977">
            <w:pPr>
              <w:rPr>
                <w:b/>
                <w:sz w:val="20"/>
                <w:szCs w:val="20"/>
                <w:lang w:val="fr-CA"/>
              </w:rPr>
            </w:pPr>
            <w:r w:rsidRPr="00463C2A">
              <w:rPr>
                <w:b/>
                <w:sz w:val="20"/>
                <w:szCs w:val="20"/>
                <w:lang w:val="fr-CA"/>
              </w:rPr>
              <w:tab/>
            </w:r>
            <w:r w:rsidR="00463C2A">
              <w:rPr>
                <w:b/>
                <w:sz w:val="20"/>
                <w:szCs w:val="20"/>
                <w:lang w:val="fr-CA"/>
              </w:rPr>
              <w:t>c</w:t>
            </w:r>
            <w:r w:rsidRPr="00463C2A">
              <w:rPr>
                <w:b/>
                <w:sz w:val="20"/>
                <w:szCs w:val="20"/>
                <w:lang w:val="fr-CA"/>
              </w:rPr>
              <w:t>. (34</w:t>
            </w:r>
            <w:r w:rsidR="00463C2A" w:rsidRPr="00463C2A">
              <w:rPr>
                <w:b/>
                <w:sz w:val="20"/>
                <w:szCs w:val="20"/>
                <w:lang w:val="fr-CA"/>
              </w:rPr>
              <w:t>358</w:t>
            </w:r>
            <w:r w:rsidRPr="00463C2A">
              <w:rPr>
                <w:b/>
                <w:sz w:val="20"/>
                <w:szCs w:val="20"/>
                <w:lang w:val="fr-CA"/>
              </w:rPr>
              <w:t>)</w:t>
            </w:r>
          </w:p>
          <w:p w:rsidR="0010587F" w:rsidRPr="00463C2A" w:rsidRDefault="0010587F" w:rsidP="003B3977">
            <w:pPr>
              <w:rPr>
                <w:b/>
                <w:sz w:val="20"/>
                <w:szCs w:val="20"/>
                <w:lang w:val="fr-CA"/>
              </w:rPr>
            </w:pPr>
          </w:p>
          <w:p w:rsidR="0010587F" w:rsidRPr="003B3977" w:rsidRDefault="00463C2A" w:rsidP="003B3977">
            <w:pPr>
              <w:rPr>
                <w:b/>
                <w:sz w:val="20"/>
                <w:szCs w:val="20"/>
              </w:rPr>
            </w:pPr>
            <w:r>
              <w:rPr>
                <w:b/>
                <w:sz w:val="20"/>
                <w:szCs w:val="20"/>
              </w:rPr>
              <w:t>Alphide Manning</w:t>
            </w:r>
            <w:r w:rsidR="0010587F" w:rsidRPr="003B3977">
              <w:rPr>
                <w:b/>
                <w:sz w:val="20"/>
                <w:szCs w:val="20"/>
              </w:rPr>
              <w:t xml:space="preserve"> (</w:t>
            </w:r>
            <w:r>
              <w:rPr>
                <w:b/>
                <w:sz w:val="20"/>
                <w:szCs w:val="20"/>
              </w:rPr>
              <w:t>Qc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w:t>
            </w:r>
            <w:r w:rsidR="00463C2A">
              <w:rPr>
                <w:sz w:val="20"/>
                <w:szCs w:val="20"/>
              </w:rPr>
              <w:t>utori</w:t>
            </w:r>
            <w:r w:rsidRPr="003B3977">
              <w:rPr>
                <w:sz w:val="20"/>
                <w:szCs w:val="20"/>
              </w:rPr>
              <w:t>s</w:t>
            </w:r>
            <w:r w:rsidR="00463C2A">
              <w:rPr>
                <w:sz w:val="20"/>
                <w:szCs w:val="20"/>
              </w:rPr>
              <w:t>a</w:t>
            </w:r>
            <w:r w:rsidRPr="003B3977">
              <w:rPr>
                <w:sz w:val="20"/>
                <w:szCs w:val="20"/>
              </w:rPr>
              <w:t>t</w:t>
            </w:r>
            <w:r w:rsidR="00463C2A">
              <w:rPr>
                <w:sz w:val="20"/>
                <w:szCs w:val="20"/>
              </w:rPr>
              <w:t>ion</w:t>
            </w:r>
            <w:r w:rsidRPr="003B3977">
              <w:rPr>
                <w:sz w:val="20"/>
                <w:szCs w:val="20"/>
              </w:rPr>
              <w:t>)</w:t>
            </w:r>
          </w:p>
          <w:p w:rsidR="0010587F" w:rsidRPr="003B3977" w:rsidRDefault="0010587F" w:rsidP="003B3977">
            <w:pPr>
              <w:rPr>
                <w:sz w:val="20"/>
                <w:szCs w:val="20"/>
              </w:rPr>
            </w:pPr>
          </w:p>
          <w:p w:rsidR="0010587F" w:rsidRPr="003B3977" w:rsidRDefault="00E5065D" w:rsidP="003B3977">
            <w:pPr>
              <w:rPr>
                <w:sz w:val="20"/>
                <w:szCs w:val="20"/>
                <w:lang w:val="fr-CA"/>
              </w:rPr>
            </w:pPr>
            <w:r w:rsidRPr="00E5065D">
              <w:rPr>
                <w:sz w:val="20"/>
                <w:szCs w:val="20"/>
                <w:lang w:val="fr-CA"/>
              </w:rPr>
              <w:pict>
                <v:rect id="_x0000_i110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E903A1" w:rsidRPr="002E0C7E" w:rsidRDefault="00E5065D"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D0" w:rsidRDefault="006403D0" w:rsidP="00A87207">
      <w:r>
        <w:separator/>
      </w:r>
    </w:p>
  </w:endnote>
  <w:endnote w:type="continuationSeparator" w:id="0">
    <w:p w:rsidR="006403D0" w:rsidRDefault="006403D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pPr>
      <w:pStyle w:val="Footer"/>
      <w:rPr>
        <w:lang w:val="fr-CA"/>
      </w:rPr>
    </w:pPr>
    <w:r w:rsidRPr="00E5065D">
      <w:rPr>
        <w:lang w:val="fr-CA"/>
      </w:rPr>
      <w:pict>
        <v:rect id="_x0000_i1091" style="width:480.95pt;height:1pt" o:hralign="center" o:hrstd="t" o:hrnoshade="t" o:hr="t" fillcolor="black [3213]" stroked="f"/>
      </w:pict>
    </w:r>
  </w:p>
  <w:p w:rsidR="006403D0" w:rsidRDefault="006403D0" w:rsidP="00245129">
    <w:pPr>
      <w:tabs>
        <w:tab w:val="center" w:pos="4680"/>
      </w:tabs>
    </w:pPr>
    <w:r>
      <w:tab/>
    </w:r>
    <w:r w:rsidRPr="0009648D">
      <w:t xml:space="preserve">- </w:t>
    </w:r>
    <w:fldSimple w:instr=" PAGE   \* MERGEFORMAT ">
      <w:r w:rsidR="00832ABE">
        <w:rPr>
          <w:noProof/>
        </w:rPr>
        <w:t>492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03D0" w:rsidRDefault="006403D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rsidP="00755F22">
    <w:pPr>
      <w:tabs>
        <w:tab w:val="left" w:pos="-1440"/>
        <w:tab w:val="left" w:pos="-720"/>
      </w:tabs>
    </w:pPr>
    <w:r>
      <w:pict>
        <v:rect id="_x0000_i1098" style="width:480.95pt;height:1pt" o:hralign="center" o:hrstd="t" o:hrnoshade="t" o:hr="t" fillcolor="black [3213]" stroked="f"/>
      </w:pict>
    </w:r>
  </w:p>
  <w:p w:rsidR="006403D0" w:rsidRDefault="006403D0" w:rsidP="00EB2B90">
    <w:pPr>
      <w:tabs>
        <w:tab w:val="center" w:pos="4680"/>
      </w:tabs>
    </w:pPr>
    <w:r>
      <w:tab/>
      <w:t xml:space="preserve">- </w:t>
    </w:r>
    <w:fldSimple w:instr=" PAGE   \* MERGEFORMAT ">
      <w:r w:rsidR="00832ABE">
        <w:rPr>
          <w:noProof/>
        </w:rPr>
        <w:t>534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rsidP="00EB2B90">
    <w:pPr>
      <w:tabs>
        <w:tab w:val="center" w:pos="4680"/>
      </w:tabs>
    </w:pPr>
    <w:r>
      <w:pict>
        <v:rect id="_x0000_i1099" style="width:480.95pt;height:1pt" o:hralign="center" o:hrstd="t" o:hrnoshade="t" o:hr="t" fillcolor="black [3213]" stroked="f"/>
      </w:pict>
    </w:r>
  </w:p>
  <w:p w:rsidR="006403D0" w:rsidRPr="0031432F" w:rsidRDefault="006403D0" w:rsidP="00EB2B90">
    <w:pPr>
      <w:tabs>
        <w:tab w:val="center" w:pos="4680"/>
      </w:tabs>
    </w:pPr>
    <w:r>
      <w:tab/>
      <w:t xml:space="preserve">- </w:t>
    </w:r>
    <w:fldSimple w:instr=" PAGE   \* MERGEFORMAT ">
      <w:r w:rsidR="00832ABE">
        <w:rPr>
          <w:noProof/>
        </w:rPr>
        <w:t>532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03D0" w:rsidRDefault="006403D0">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065D">
      <w:rPr>
        <w:lang w:val="fr-CA"/>
      </w:rPr>
      <w:pict>
        <v:rect id="_x0000_i1101" style="width:480.95pt;height:1pt" o:hralign="center" o:hrstd="t" o:hrnoshade="t" o:hr="t" fillcolor="black [3213]" stroked="f"/>
      </w:pict>
    </w:r>
  </w:p>
  <w:p w:rsidR="006403D0" w:rsidRDefault="006403D0"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pPr>
      <w:pStyle w:val="Footer"/>
      <w:rPr>
        <w:lang w:val="fr-CA"/>
      </w:rPr>
    </w:pPr>
    <w:r w:rsidRPr="00E5065D">
      <w:rPr>
        <w:lang w:val="fr-CA"/>
      </w:rPr>
      <w:pict>
        <v:rect id="_x0000_i1102" style="width:480.95pt;height:1pt" o:hralign="center" o:hrstd="t" o:hrnoshade="t" o:hr="t" fillcolor="black [3213]" stroked="f"/>
      </w:pict>
    </w:r>
  </w:p>
  <w:p w:rsidR="006403D0" w:rsidRDefault="006403D0" w:rsidP="00EB2B90">
    <w:pPr>
      <w:tabs>
        <w:tab w:val="center" w:pos="4680"/>
      </w:tabs>
    </w:pPr>
    <w:r>
      <w:tab/>
      <w:t xml:space="preserve">- </w:t>
    </w:r>
    <w:fldSimple w:instr=" PAGE   \* MERGEFORMAT ">
      <w:r w:rsidR="00832ABE">
        <w:rPr>
          <w:noProof/>
        </w:rPr>
        <w:t>535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Pr="00924065" w:rsidRDefault="006403D0"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rsidP="00A87207">
    <w:pPr>
      <w:pStyle w:val="Footer"/>
    </w:pPr>
    <w:r>
      <w:pict>
        <v:rect id="_x0000_i1041" style="width:480.95pt;height:1pt" o:hralign="center" o:hrstd="t" o:hrnoshade="t" o:hr="t" fillcolor="black [3213]" stroked="f"/>
      </w:pict>
    </w:r>
  </w:p>
  <w:p w:rsidR="006403D0" w:rsidRPr="00B7374B" w:rsidRDefault="006403D0" w:rsidP="00B7374B">
    <w:pPr>
      <w:tabs>
        <w:tab w:val="center" w:pos="4680"/>
      </w:tabs>
      <w:rPr>
        <w:szCs w:val="24"/>
      </w:rPr>
    </w:pPr>
    <w:r w:rsidRPr="00954D22">
      <w:rPr>
        <w:szCs w:val="24"/>
      </w:rPr>
      <w:tab/>
      <w:t xml:space="preserve">- </w:t>
    </w:r>
    <w:r w:rsidR="00E5065D" w:rsidRPr="00954D22">
      <w:rPr>
        <w:szCs w:val="24"/>
      </w:rPr>
      <w:fldChar w:fldCharType="begin"/>
    </w:r>
    <w:r w:rsidRPr="00954D22">
      <w:rPr>
        <w:szCs w:val="24"/>
      </w:rPr>
      <w:instrText xml:space="preserve"> PAGE   \* MERGEFORMAT </w:instrText>
    </w:r>
    <w:r w:rsidR="00E5065D" w:rsidRPr="00954D22">
      <w:rPr>
        <w:szCs w:val="24"/>
      </w:rPr>
      <w:fldChar w:fldCharType="separate"/>
    </w:r>
    <w:r w:rsidR="00832ABE">
      <w:rPr>
        <w:noProof/>
        <w:szCs w:val="24"/>
      </w:rPr>
      <w:t>489</w:t>
    </w:r>
    <w:r w:rsidR="00E5065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rsidP="00755F22">
    <w:pPr>
      <w:tabs>
        <w:tab w:val="left" w:pos="-1440"/>
        <w:tab w:val="left" w:pos="-720"/>
      </w:tabs>
    </w:pPr>
    <w:r>
      <w:pict>
        <v:rect id="_x0000_i1042" style="width:480.95pt;height:1pt" o:hralign="center" o:hrstd="t" o:hrnoshade="t" o:hr="t" fillcolor="black [3213]" stroked="f"/>
      </w:pict>
    </w:r>
  </w:p>
  <w:p w:rsidR="006403D0" w:rsidRPr="00954D22" w:rsidRDefault="006403D0" w:rsidP="00B7374B">
    <w:pPr>
      <w:tabs>
        <w:tab w:val="center" w:pos="4680"/>
      </w:tabs>
      <w:rPr>
        <w:szCs w:val="24"/>
      </w:rPr>
    </w:pPr>
    <w:r w:rsidRPr="00954D22">
      <w:rPr>
        <w:szCs w:val="24"/>
      </w:rPr>
      <w:tab/>
      <w:t xml:space="preserve">- </w:t>
    </w:r>
    <w:r w:rsidR="00E5065D">
      <w:rPr>
        <w:szCs w:val="24"/>
      </w:rPr>
      <w:fldChar w:fldCharType="begin"/>
    </w:r>
    <w:r>
      <w:rPr>
        <w:szCs w:val="24"/>
      </w:rPr>
      <w:instrText xml:space="preserve"> PAGE   \* MERGEFORMAT </w:instrText>
    </w:r>
    <w:r w:rsidR="00E5065D">
      <w:rPr>
        <w:szCs w:val="24"/>
      </w:rPr>
      <w:fldChar w:fldCharType="separate"/>
    </w:r>
    <w:r w:rsidR="00832ABE">
      <w:rPr>
        <w:noProof/>
        <w:szCs w:val="24"/>
      </w:rPr>
      <w:t>488</w:t>
    </w:r>
    <w:r w:rsidR="00E5065D">
      <w:rPr>
        <w:szCs w:val="24"/>
      </w:rPr>
      <w:fldChar w:fldCharType="end"/>
    </w:r>
    <w:r w:rsidRPr="00954D22">
      <w:rPr>
        <w:szCs w:val="24"/>
      </w:rPr>
      <w:t xml:space="preserve"> -</w:t>
    </w:r>
  </w:p>
  <w:p w:rsidR="006403D0" w:rsidRDefault="006403D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rsidP="00A87207">
    <w:pPr>
      <w:pStyle w:val="Footer"/>
    </w:pPr>
    <w:r>
      <w:pict>
        <v:rect id="_x0000_i1044" style="width:480.95pt;height:1pt" o:hralign="center" o:hrstd="t" o:hrnoshade="t" o:hr="t" fillcolor="black [3213]" stroked="f"/>
      </w:pict>
    </w:r>
  </w:p>
  <w:p w:rsidR="006403D0" w:rsidRPr="00B7374B" w:rsidRDefault="006403D0" w:rsidP="00B7374B">
    <w:pPr>
      <w:tabs>
        <w:tab w:val="center" w:pos="4680"/>
      </w:tabs>
      <w:rPr>
        <w:szCs w:val="24"/>
      </w:rPr>
    </w:pPr>
    <w:r w:rsidRPr="00954D22">
      <w:rPr>
        <w:szCs w:val="24"/>
      </w:rPr>
      <w:tab/>
      <w:t xml:space="preserve">- </w:t>
    </w:r>
    <w:r w:rsidR="00E5065D" w:rsidRPr="00954D22">
      <w:rPr>
        <w:szCs w:val="24"/>
      </w:rPr>
      <w:fldChar w:fldCharType="begin"/>
    </w:r>
    <w:r w:rsidRPr="00954D22">
      <w:rPr>
        <w:szCs w:val="24"/>
      </w:rPr>
      <w:instrText xml:space="preserve"> PAGE   \* MERGEFORMAT </w:instrText>
    </w:r>
    <w:r w:rsidR="00E5065D" w:rsidRPr="00954D22">
      <w:rPr>
        <w:szCs w:val="24"/>
      </w:rPr>
      <w:fldChar w:fldCharType="separate"/>
    </w:r>
    <w:r w:rsidR="00832ABE">
      <w:rPr>
        <w:noProof/>
        <w:szCs w:val="24"/>
      </w:rPr>
      <w:t>491</w:t>
    </w:r>
    <w:r w:rsidR="00E5065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6403D0" w:rsidRPr="00954D22" w:rsidRDefault="006403D0" w:rsidP="00B7374B">
    <w:pPr>
      <w:tabs>
        <w:tab w:val="center" w:pos="4680"/>
      </w:tabs>
      <w:rPr>
        <w:szCs w:val="24"/>
      </w:rPr>
    </w:pPr>
    <w:r w:rsidRPr="00954D22">
      <w:rPr>
        <w:szCs w:val="24"/>
      </w:rPr>
      <w:tab/>
      <w:t xml:space="preserve">- </w:t>
    </w:r>
    <w:r w:rsidR="00E5065D" w:rsidRPr="00954D22">
      <w:rPr>
        <w:szCs w:val="24"/>
      </w:rPr>
      <w:fldChar w:fldCharType="begin"/>
    </w:r>
    <w:r w:rsidRPr="00954D22">
      <w:rPr>
        <w:szCs w:val="24"/>
      </w:rPr>
      <w:instrText xml:space="preserve"> PAGE   \* MERGEFORMAT </w:instrText>
    </w:r>
    <w:r w:rsidR="00E5065D" w:rsidRPr="00954D22">
      <w:rPr>
        <w:szCs w:val="24"/>
      </w:rPr>
      <w:fldChar w:fldCharType="separate"/>
    </w:r>
    <w:r w:rsidR="00832ABE">
      <w:rPr>
        <w:noProof/>
        <w:szCs w:val="24"/>
      </w:rPr>
      <w:t>490</w:t>
    </w:r>
    <w:r w:rsidR="00E5065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03D0" w:rsidRDefault="006403D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E506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065D">
      <w:rPr>
        <w:lang w:val="fr-CA"/>
      </w:rPr>
      <w:pict>
        <v:rect id="_x0000_i1090" style="width:480.95pt;height:1pt" o:hralign="center" o:hrstd="t" o:hrnoshade="t" o:hr="t" fillcolor="black [3213]" stroked="f"/>
      </w:pict>
    </w:r>
  </w:p>
  <w:p w:rsidR="006403D0" w:rsidRPr="0009648D" w:rsidRDefault="006403D0" w:rsidP="00ED7E83">
    <w:pPr>
      <w:tabs>
        <w:tab w:val="center" w:pos="4680"/>
      </w:tabs>
    </w:pPr>
    <w:r>
      <w:tab/>
    </w:r>
    <w:r w:rsidRPr="0009648D">
      <w:t xml:space="preserve">- </w:t>
    </w:r>
    <w:fldSimple w:instr=" PAGE   \* MERGEFORMAT ">
      <w:r w:rsidR="00832ABE">
        <w:rPr>
          <w:noProof/>
        </w:rPr>
        <w:t>531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D0" w:rsidRDefault="006403D0" w:rsidP="00A87207">
      <w:r>
        <w:separator/>
      </w:r>
    </w:p>
  </w:footnote>
  <w:footnote w:type="continuationSeparator" w:id="0">
    <w:p w:rsidR="006403D0" w:rsidRDefault="006403D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403D0">
      <w:tc>
        <w:tcPr>
          <w:tcW w:w="4230" w:type="dxa"/>
          <w:tcMar>
            <w:left w:w="0" w:type="dxa"/>
            <w:right w:w="0" w:type="dxa"/>
          </w:tcMar>
        </w:tcPr>
        <w:p w:rsidR="006403D0" w:rsidRDefault="006403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403D0" w:rsidRDefault="006403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03D0" w:rsidRDefault="006403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403D0">
      <w:trPr>
        <w:gridAfter w:val="2"/>
        <w:wAfter w:w="5250" w:type="dxa"/>
      </w:trPr>
      <w:tc>
        <w:tcPr>
          <w:tcW w:w="4230" w:type="dxa"/>
          <w:tcMar>
            <w:left w:w="0" w:type="dxa"/>
            <w:right w:w="0" w:type="dxa"/>
          </w:tcMar>
        </w:tcPr>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403D0"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403D0" w:rsidRPr="00755F22" w:rsidTr="00245129">
      <w:tc>
        <w:tcPr>
          <w:tcW w:w="4230" w:type="dxa"/>
          <w:tcMar>
            <w:left w:w="0" w:type="dxa"/>
            <w:right w:w="0" w:type="dxa"/>
          </w:tcMar>
        </w:tcPr>
        <w:p w:rsidR="006403D0" w:rsidRPr="00755F22" w:rsidRDefault="006403D0" w:rsidP="00831CA9">
          <w:pPr>
            <w:keepNext/>
            <w:keepLines/>
            <w:rPr>
              <w:sz w:val="20"/>
              <w:szCs w:val="20"/>
            </w:rPr>
          </w:pPr>
          <w:r w:rsidRPr="00755F22">
            <w:rPr>
              <w:sz w:val="20"/>
              <w:szCs w:val="20"/>
            </w:rPr>
            <w:t>MOTIONS</w:t>
          </w:r>
        </w:p>
      </w:tc>
      <w:tc>
        <w:tcPr>
          <w:tcW w:w="1170" w:type="dxa"/>
          <w:tcMar>
            <w:left w:w="0" w:type="dxa"/>
            <w:right w:w="0" w:type="dxa"/>
          </w:tcMar>
        </w:tcPr>
        <w:p w:rsidR="006403D0" w:rsidRPr="00755F22" w:rsidRDefault="006403D0" w:rsidP="00831CA9">
          <w:pPr>
            <w:keepLines/>
            <w:jc w:val="center"/>
            <w:rPr>
              <w:sz w:val="20"/>
              <w:szCs w:val="20"/>
            </w:rPr>
          </w:pPr>
        </w:p>
        <w:p w:rsidR="006403D0" w:rsidRPr="00755F22" w:rsidRDefault="006403D0" w:rsidP="00831CA9">
          <w:pPr>
            <w:keepLines/>
            <w:tabs>
              <w:tab w:val="left" w:pos="-1440"/>
              <w:tab w:val="left" w:pos="-720"/>
            </w:tabs>
            <w:jc w:val="center"/>
            <w:rPr>
              <w:sz w:val="20"/>
              <w:szCs w:val="20"/>
            </w:rPr>
          </w:pPr>
        </w:p>
      </w:tc>
      <w:tc>
        <w:tcPr>
          <w:tcW w:w="4080" w:type="dxa"/>
          <w:tcMar>
            <w:left w:w="0" w:type="dxa"/>
            <w:right w:w="0" w:type="dxa"/>
          </w:tcMar>
        </w:tcPr>
        <w:p w:rsidR="006403D0" w:rsidRPr="00BA6468" w:rsidRDefault="006403D0" w:rsidP="00BA6468">
          <w:pPr>
            <w:keepLines/>
            <w:rPr>
              <w:sz w:val="20"/>
              <w:szCs w:val="20"/>
              <w:lang w:val="fr-CA"/>
            </w:rPr>
          </w:pPr>
          <w:r w:rsidRPr="00BA6468">
            <w:rPr>
              <w:sz w:val="20"/>
              <w:szCs w:val="20"/>
              <w:lang w:val="fr-CA"/>
            </w:rPr>
            <w:t>REQUÊTES</w:t>
          </w:r>
        </w:p>
      </w:tc>
    </w:tr>
  </w:tbl>
  <w:p w:rsidR="006403D0" w:rsidRDefault="006403D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403D0" w:rsidRPr="006403D0">
      <w:tc>
        <w:tcPr>
          <w:tcW w:w="4200" w:type="dxa"/>
          <w:tcMar>
            <w:left w:w="0" w:type="dxa"/>
            <w:right w:w="0" w:type="dxa"/>
          </w:tcMar>
        </w:tcPr>
        <w:p w:rsidR="006403D0" w:rsidRDefault="006403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403D0" w:rsidRDefault="006403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03D0" w:rsidRPr="00B01A03" w:rsidRDefault="006403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403D0" w:rsidRPr="00B01A03"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403D0" w:rsidRPr="00B01A03"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6403D0" w:rsidRPr="006403D0" w:rsidTr="00245129">
      <w:tc>
        <w:tcPr>
          <w:tcW w:w="4200" w:type="dxa"/>
          <w:tcMar>
            <w:left w:w="0" w:type="dxa"/>
            <w:right w:w="0" w:type="dxa"/>
          </w:tcMar>
        </w:tcPr>
        <w:p w:rsidR="006403D0" w:rsidRPr="00F40249" w:rsidRDefault="006403D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403D0" w:rsidRDefault="006403D0" w:rsidP="00102926">
          <w:pPr>
            <w:keepNext/>
            <w:keepLines/>
            <w:tabs>
              <w:tab w:val="left" w:pos="-1440"/>
              <w:tab w:val="left" w:pos="-720"/>
            </w:tabs>
            <w:jc w:val="center"/>
            <w:rPr>
              <w:sz w:val="20"/>
              <w:szCs w:val="20"/>
            </w:rPr>
          </w:pPr>
        </w:p>
        <w:p w:rsidR="006403D0" w:rsidRDefault="006403D0" w:rsidP="00102926">
          <w:pPr>
            <w:keepNext/>
            <w:keepLines/>
            <w:tabs>
              <w:tab w:val="left" w:pos="-1440"/>
              <w:tab w:val="left" w:pos="-720"/>
            </w:tabs>
            <w:jc w:val="center"/>
            <w:rPr>
              <w:sz w:val="20"/>
              <w:szCs w:val="20"/>
            </w:rPr>
          </w:pPr>
        </w:p>
        <w:p w:rsidR="006403D0" w:rsidRPr="00F40249" w:rsidRDefault="006403D0" w:rsidP="00102926">
          <w:pPr>
            <w:keepNext/>
            <w:keepLines/>
            <w:tabs>
              <w:tab w:val="left" w:pos="-1440"/>
              <w:tab w:val="left" w:pos="-720"/>
            </w:tabs>
            <w:jc w:val="center"/>
            <w:rPr>
              <w:sz w:val="20"/>
              <w:szCs w:val="20"/>
            </w:rPr>
          </w:pPr>
        </w:p>
      </w:tc>
      <w:tc>
        <w:tcPr>
          <w:tcW w:w="4230" w:type="dxa"/>
          <w:tcMar>
            <w:left w:w="0" w:type="dxa"/>
            <w:right w:w="0" w:type="dxa"/>
          </w:tcMar>
        </w:tcPr>
        <w:p w:rsidR="006403D0" w:rsidRPr="00F40249" w:rsidRDefault="006403D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403D0" w:rsidRPr="00B01A03" w:rsidRDefault="006403D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403D0" w:rsidRPr="0044776A" w:rsidTr="00245129">
      <w:tc>
        <w:tcPr>
          <w:tcW w:w="4290" w:type="dxa"/>
          <w:tcMar>
            <w:left w:w="0" w:type="dxa"/>
            <w:right w:w="0" w:type="dxa"/>
          </w:tcMar>
        </w:tcPr>
        <w:p w:rsidR="006403D0" w:rsidRPr="0044776A" w:rsidRDefault="006403D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403D0" w:rsidRPr="0044776A" w:rsidRDefault="006403D0" w:rsidP="002E2327">
          <w:pPr>
            <w:keepNext/>
            <w:keepLines/>
            <w:tabs>
              <w:tab w:val="left" w:pos="-1440"/>
              <w:tab w:val="left" w:pos="-720"/>
            </w:tabs>
            <w:jc w:val="center"/>
            <w:rPr>
              <w:sz w:val="20"/>
              <w:szCs w:val="20"/>
            </w:rPr>
          </w:pPr>
        </w:p>
        <w:p w:rsidR="006403D0" w:rsidRPr="0044776A" w:rsidRDefault="006403D0" w:rsidP="002E2327">
          <w:pPr>
            <w:keepNext/>
            <w:keepLines/>
            <w:tabs>
              <w:tab w:val="left" w:pos="-1440"/>
              <w:tab w:val="left" w:pos="-720"/>
            </w:tabs>
            <w:jc w:val="center"/>
            <w:rPr>
              <w:sz w:val="20"/>
              <w:szCs w:val="20"/>
            </w:rPr>
          </w:pPr>
        </w:p>
        <w:p w:rsidR="006403D0" w:rsidRPr="0044776A" w:rsidRDefault="006403D0" w:rsidP="002E2327">
          <w:pPr>
            <w:keepNext/>
            <w:keepLines/>
            <w:tabs>
              <w:tab w:val="left" w:pos="-1440"/>
              <w:tab w:val="left" w:pos="-720"/>
            </w:tabs>
            <w:jc w:val="center"/>
            <w:rPr>
              <w:sz w:val="20"/>
              <w:szCs w:val="20"/>
            </w:rPr>
          </w:pPr>
        </w:p>
      </w:tc>
      <w:tc>
        <w:tcPr>
          <w:tcW w:w="4320" w:type="dxa"/>
          <w:tcMar>
            <w:left w:w="0" w:type="dxa"/>
            <w:right w:w="0" w:type="dxa"/>
          </w:tcMar>
        </w:tcPr>
        <w:p w:rsidR="006403D0" w:rsidRPr="0044776A" w:rsidRDefault="006403D0" w:rsidP="002E2327">
          <w:pPr>
            <w:keepLines/>
            <w:rPr>
              <w:sz w:val="20"/>
              <w:szCs w:val="20"/>
              <w:lang w:val="fr-CA"/>
            </w:rPr>
          </w:pPr>
          <w:r w:rsidRPr="0044776A">
            <w:rPr>
              <w:sz w:val="20"/>
              <w:szCs w:val="20"/>
              <w:lang w:val="fr-CA"/>
            </w:rPr>
            <w:t>DEMANDES D'AUTORISATION D'APPEL DÉPOSÉES</w:t>
          </w:r>
        </w:p>
      </w:tc>
    </w:tr>
  </w:tbl>
  <w:p w:rsidR="006403D0" w:rsidRDefault="006403D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403D0" w:rsidRPr="006403D0" w:rsidTr="00245129">
      <w:tc>
        <w:tcPr>
          <w:tcW w:w="4200" w:type="dxa"/>
          <w:tcMar>
            <w:left w:w="0" w:type="dxa"/>
            <w:right w:w="0" w:type="dxa"/>
          </w:tcMar>
        </w:tcPr>
        <w:p w:rsidR="006403D0" w:rsidRPr="0044776A" w:rsidRDefault="006403D0" w:rsidP="0044776A">
          <w:pPr>
            <w:keepNext/>
            <w:keepLines/>
            <w:widowControl w:val="0"/>
            <w:rPr>
              <w:sz w:val="20"/>
              <w:szCs w:val="20"/>
            </w:rPr>
          </w:pPr>
          <w:r>
            <w:rPr>
              <w:sz w:val="20"/>
              <w:szCs w:val="20"/>
            </w:rPr>
            <w:t>APPLICATIONS FOR LEAVE</w:t>
          </w:r>
        </w:p>
        <w:p w:rsidR="006403D0" w:rsidRPr="0044776A" w:rsidRDefault="006403D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403D0" w:rsidRPr="0044776A" w:rsidRDefault="006403D0" w:rsidP="0044776A">
          <w:pPr>
            <w:keepNext/>
            <w:keepLines/>
            <w:widowControl w:val="0"/>
            <w:jc w:val="center"/>
            <w:rPr>
              <w:sz w:val="20"/>
              <w:szCs w:val="20"/>
            </w:rPr>
          </w:pPr>
        </w:p>
        <w:p w:rsidR="006403D0" w:rsidRPr="0044776A" w:rsidRDefault="006403D0" w:rsidP="0044776A">
          <w:pPr>
            <w:keepNext/>
            <w:keepLines/>
            <w:widowControl w:val="0"/>
            <w:jc w:val="center"/>
            <w:rPr>
              <w:sz w:val="20"/>
              <w:szCs w:val="20"/>
            </w:rPr>
          </w:pPr>
        </w:p>
        <w:p w:rsidR="006403D0" w:rsidRPr="0044776A" w:rsidRDefault="006403D0" w:rsidP="0044776A">
          <w:pPr>
            <w:keepNext/>
            <w:keepLines/>
            <w:widowControl w:val="0"/>
            <w:jc w:val="center"/>
            <w:rPr>
              <w:sz w:val="20"/>
              <w:szCs w:val="20"/>
            </w:rPr>
          </w:pPr>
        </w:p>
      </w:tc>
      <w:tc>
        <w:tcPr>
          <w:tcW w:w="4080" w:type="dxa"/>
          <w:tcMar>
            <w:left w:w="0" w:type="dxa"/>
            <w:right w:w="0" w:type="dxa"/>
          </w:tcMar>
        </w:tcPr>
        <w:p w:rsidR="006403D0" w:rsidRPr="0044776A" w:rsidRDefault="006403D0" w:rsidP="0044776A">
          <w:pPr>
            <w:keepLines/>
            <w:widowControl w:val="0"/>
            <w:rPr>
              <w:sz w:val="20"/>
              <w:szCs w:val="20"/>
              <w:lang w:val="fr-CA"/>
            </w:rPr>
          </w:pPr>
          <w:r w:rsidRPr="0044776A">
            <w:rPr>
              <w:sz w:val="20"/>
              <w:szCs w:val="20"/>
              <w:lang w:val="fr-CA"/>
            </w:rPr>
            <w:t>DEMANDES SOUMISES À LA COUR DEPUIS LA DERNIÈRE PARUTION</w:t>
          </w:r>
        </w:p>
        <w:p w:rsidR="006403D0" w:rsidRPr="0044776A" w:rsidRDefault="006403D0" w:rsidP="0044776A">
          <w:pPr>
            <w:widowControl w:val="0"/>
            <w:rPr>
              <w:sz w:val="20"/>
              <w:szCs w:val="20"/>
              <w:lang w:val="fr-CA"/>
            </w:rPr>
          </w:pPr>
        </w:p>
      </w:tc>
    </w:tr>
  </w:tbl>
  <w:p w:rsidR="006403D0" w:rsidRPr="002E2327" w:rsidRDefault="006403D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D0" w:rsidRDefault="006403D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403D0" w:rsidRPr="006403D0">
      <w:tc>
        <w:tcPr>
          <w:tcW w:w="4200" w:type="dxa"/>
          <w:tcMar>
            <w:left w:w="0" w:type="dxa"/>
            <w:right w:w="0" w:type="dxa"/>
          </w:tcMar>
        </w:tcPr>
        <w:p w:rsidR="006403D0" w:rsidRDefault="006403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403D0" w:rsidRDefault="006403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403D0" w:rsidRDefault="006403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03D0" w:rsidRPr="00FF6BA5" w:rsidRDefault="006403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403D0" w:rsidRPr="00FF6BA5"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403D0" w:rsidRPr="00FF6BA5"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403D0" w:rsidRPr="00FF6BA5" w:rsidRDefault="0064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403D0" w:rsidRPr="006403D0" w:rsidTr="00245129">
      <w:tc>
        <w:tcPr>
          <w:tcW w:w="4200" w:type="dxa"/>
          <w:tcMar>
            <w:left w:w="0" w:type="dxa"/>
            <w:right w:w="0" w:type="dxa"/>
          </w:tcMar>
        </w:tcPr>
        <w:p w:rsidR="006403D0" w:rsidRPr="00755F22" w:rsidRDefault="006403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403D0" w:rsidRPr="00755F22" w:rsidRDefault="006403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403D0" w:rsidRPr="00755F22" w:rsidRDefault="006403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403D0" w:rsidRPr="00755F22" w:rsidRDefault="006403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403D0" w:rsidRPr="00755F22" w:rsidRDefault="006403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403D0" w:rsidRPr="00755F22" w:rsidRDefault="006403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403D0" w:rsidRPr="00FF6BA5" w:rsidRDefault="006403D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grammar="clean"/>
  <w:defaultTabStop w:val="720"/>
  <w:drawingGridHorizontalSpacing w:val="120"/>
  <w:displayHorizontalDrawingGridEvery w:val="2"/>
  <w:characterSpacingControl w:val="doNotCompress"/>
  <w:hdrShapeDefaults>
    <o:shapedefaults v:ext="edit" spidmax="30731"/>
  </w:hdrShapeDefaults>
  <w:footnotePr>
    <w:footnote w:id="-1"/>
    <w:footnote w:id="0"/>
  </w:footnotePr>
  <w:endnotePr>
    <w:endnote w:id="-1"/>
    <w:endnote w:id="0"/>
  </w:endnotePr>
  <w:compat/>
  <w:rsids>
    <w:rsidRoot w:val="00751C79"/>
    <w:rsid w:val="0001118D"/>
    <w:rsid w:val="0001415D"/>
    <w:rsid w:val="00024A17"/>
    <w:rsid w:val="0003223B"/>
    <w:rsid w:val="000327B2"/>
    <w:rsid w:val="00066E8E"/>
    <w:rsid w:val="00080BDD"/>
    <w:rsid w:val="00081936"/>
    <w:rsid w:val="00096BD9"/>
    <w:rsid w:val="000B3C9A"/>
    <w:rsid w:val="000B40A2"/>
    <w:rsid w:val="000B4624"/>
    <w:rsid w:val="000C0ACD"/>
    <w:rsid w:val="00102926"/>
    <w:rsid w:val="0010587F"/>
    <w:rsid w:val="00111C6B"/>
    <w:rsid w:val="0012102B"/>
    <w:rsid w:val="001309FC"/>
    <w:rsid w:val="0013369E"/>
    <w:rsid w:val="00140B84"/>
    <w:rsid w:val="00151EC1"/>
    <w:rsid w:val="001600B8"/>
    <w:rsid w:val="00164E6D"/>
    <w:rsid w:val="00192735"/>
    <w:rsid w:val="00194B79"/>
    <w:rsid w:val="001B157C"/>
    <w:rsid w:val="001B5C23"/>
    <w:rsid w:val="001D0D5F"/>
    <w:rsid w:val="001D6B8C"/>
    <w:rsid w:val="001F1F83"/>
    <w:rsid w:val="002021A9"/>
    <w:rsid w:val="002128C7"/>
    <w:rsid w:val="002139A7"/>
    <w:rsid w:val="00214CB8"/>
    <w:rsid w:val="00215F7C"/>
    <w:rsid w:val="0022323B"/>
    <w:rsid w:val="002256EC"/>
    <w:rsid w:val="002410B8"/>
    <w:rsid w:val="00242AEE"/>
    <w:rsid w:val="00245129"/>
    <w:rsid w:val="002451F0"/>
    <w:rsid w:val="00245879"/>
    <w:rsid w:val="00267FD5"/>
    <w:rsid w:val="002868D0"/>
    <w:rsid w:val="002A27D1"/>
    <w:rsid w:val="002A4AFA"/>
    <w:rsid w:val="002B516C"/>
    <w:rsid w:val="002C4250"/>
    <w:rsid w:val="002D72EB"/>
    <w:rsid w:val="002E2327"/>
    <w:rsid w:val="002E3583"/>
    <w:rsid w:val="002E5576"/>
    <w:rsid w:val="0031320A"/>
    <w:rsid w:val="00331B52"/>
    <w:rsid w:val="003359D3"/>
    <w:rsid w:val="00355967"/>
    <w:rsid w:val="00364F37"/>
    <w:rsid w:val="00370DFA"/>
    <w:rsid w:val="00377F92"/>
    <w:rsid w:val="00382C47"/>
    <w:rsid w:val="00384384"/>
    <w:rsid w:val="003866AE"/>
    <w:rsid w:val="003B3977"/>
    <w:rsid w:val="003F084E"/>
    <w:rsid w:val="00425DAC"/>
    <w:rsid w:val="00432989"/>
    <w:rsid w:val="00440E24"/>
    <w:rsid w:val="0044776A"/>
    <w:rsid w:val="00460A3C"/>
    <w:rsid w:val="00460AFC"/>
    <w:rsid w:val="00463C2A"/>
    <w:rsid w:val="004650E7"/>
    <w:rsid w:val="0047471F"/>
    <w:rsid w:val="004A3A0E"/>
    <w:rsid w:val="004B016D"/>
    <w:rsid w:val="004B195E"/>
    <w:rsid w:val="004B66B4"/>
    <w:rsid w:val="004B7F60"/>
    <w:rsid w:val="004C1AAC"/>
    <w:rsid w:val="004F090E"/>
    <w:rsid w:val="004F57BF"/>
    <w:rsid w:val="00527CC7"/>
    <w:rsid w:val="00537D5C"/>
    <w:rsid w:val="00571CA4"/>
    <w:rsid w:val="00582136"/>
    <w:rsid w:val="005B56EA"/>
    <w:rsid w:val="005C2EFA"/>
    <w:rsid w:val="005C6840"/>
    <w:rsid w:val="005D35E9"/>
    <w:rsid w:val="005D65AC"/>
    <w:rsid w:val="005F263E"/>
    <w:rsid w:val="00600252"/>
    <w:rsid w:val="00612A40"/>
    <w:rsid w:val="00615936"/>
    <w:rsid w:val="006403D0"/>
    <w:rsid w:val="006456A5"/>
    <w:rsid w:val="00647543"/>
    <w:rsid w:val="00675479"/>
    <w:rsid w:val="00696BF9"/>
    <w:rsid w:val="00697C62"/>
    <w:rsid w:val="006A329B"/>
    <w:rsid w:val="006A7EB8"/>
    <w:rsid w:val="006B6926"/>
    <w:rsid w:val="006C2448"/>
    <w:rsid w:val="006C3F47"/>
    <w:rsid w:val="006C5F7A"/>
    <w:rsid w:val="006E06AF"/>
    <w:rsid w:val="006F350F"/>
    <w:rsid w:val="00712295"/>
    <w:rsid w:val="00732DB7"/>
    <w:rsid w:val="0074238B"/>
    <w:rsid w:val="00745EF7"/>
    <w:rsid w:val="00751C79"/>
    <w:rsid w:val="00755F22"/>
    <w:rsid w:val="00766E4A"/>
    <w:rsid w:val="00767DD9"/>
    <w:rsid w:val="007820CE"/>
    <w:rsid w:val="00782711"/>
    <w:rsid w:val="00782AE4"/>
    <w:rsid w:val="00793AE8"/>
    <w:rsid w:val="0079724F"/>
    <w:rsid w:val="007A3EAE"/>
    <w:rsid w:val="007A7033"/>
    <w:rsid w:val="007B6951"/>
    <w:rsid w:val="007C04FC"/>
    <w:rsid w:val="007C299D"/>
    <w:rsid w:val="007D3E0F"/>
    <w:rsid w:val="007E389D"/>
    <w:rsid w:val="007F387B"/>
    <w:rsid w:val="00802863"/>
    <w:rsid w:val="00815B3C"/>
    <w:rsid w:val="0082783A"/>
    <w:rsid w:val="00831CA9"/>
    <w:rsid w:val="00832ABE"/>
    <w:rsid w:val="00850E1F"/>
    <w:rsid w:val="0085476B"/>
    <w:rsid w:val="00890FEB"/>
    <w:rsid w:val="008B11D9"/>
    <w:rsid w:val="008B545E"/>
    <w:rsid w:val="008D292F"/>
    <w:rsid w:val="008E03DC"/>
    <w:rsid w:val="00924065"/>
    <w:rsid w:val="00930D68"/>
    <w:rsid w:val="00932DB4"/>
    <w:rsid w:val="00941A4B"/>
    <w:rsid w:val="00946242"/>
    <w:rsid w:val="0095096B"/>
    <w:rsid w:val="0095503C"/>
    <w:rsid w:val="009629C0"/>
    <w:rsid w:val="00965DF6"/>
    <w:rsid w:val="00970CD3"/>
    <w:rsid w:val="0097170F"/>
    <w:rsid w:val="009723FA"/>
    <w:rsid w:val="009734DA"/>
    <w:rsid w:val="00984546"/>
    <w:rsid w:val="00996510"/>
    <w:rsid w:val="009D1F15"/>
    <w:rsid w:val="009D555E"/>
    <w:rsid w:val="009F3024"/>
    <w:rsid w:val="00A0355E"/>
    <w:rsid w:val="00A13208"/>
    <w:rsid w:val="00A375D1"/>
    <w:rsid w:val="00A51D10"/>
    <w:rsid w:val="00A52A83"/>
    <w:rsid w:val="00A6552C"/>
    <w:rsid w:val="00A770F1"/>
    <w:rsid w:val="00A87207"/>
    <w:rsid w:val="00A935AA"/>
    <w:rsid w:val="00AB2201"/>
    <w:rsid w:val="00AD3259"/>
    <w:rsid w:val="00AF1715"/>
    <w:rsid w:val="00AF3904"/>
    <w:rsid w:val="00B010C0"/>
    <w:rsid w:val="00B23986"/>
    <w:rsid w:val="00B4740D"/>
    <w:rsid w:val="00B61629"/>
    <w:rsid w:val="00B7374B"/>
    <w:rsid w:val="00B90DC0"/>
    <w:rsid w:val="00BA116A"/>
    <w:rsid w:val="00BA3A45"/>
    <w:rsid w:val="00BA5582"/>
    <w:rsid w:val="00BA6468"/>
    <w:rsid w:val="00BD06DA"/>
    <w:rsid w:val="00BD32E2"/>
    <w:rsid w:val="00BD4217"/>
    <w:rsid w:val="00BF25F3"/>
    <w:rsid w:val="00C1697B"/>
    <w:rsid w:val="00C21CB5"/>
    <w:rsid w:val="00C4156E"/>
    <w:rsid w:val="00C43D1F"/>
    <w:rsid w:val="00C50A5C"/>
    <w:rsid w:val="00C50FDF"/>
    <w:rsid w:val="00C63381"/>
    <w:rsid w:val="00C73D06"/>
    <w:rsid w:val="00C73E1B"/>
    <w:rsid w:val="00C759B4"/>
    <w:rsid w:val="00C77713"/>
    <w:rsid w:val="00C81B01"/>
    <w:rsid w:val="00C8670C"/>
    <w:rsid w:val="00CB43D5"/>
    <w:rsid w:val="00CC4D84"/>
    <w:rsid w:val="00CE198A"/>
    <w:rsid w:val="00CE7E6F"/>
    <w:rsid w:val="00D037A0"/>
    <w:rsid w:val="00D515A0"/>
    <w:rsid w:val="00D52434"/>
    <w:rsid w:val="00D64901"/>
    <w:rsid w:val="00D76BDF"/>
    <w:rsid w:val="00D862C1"/>
    <w:rsid w:val="00D93B50"/>
    <w:rsid w:val="00D94670"/>
    <w:rsid w:val="00DA46F6"/>
    <w:rsid w:val="00DD0B49"/>
    <w:rsid w:val="00E06DFA"/>
    <w:rsid w:val="00E1036B"/>
    <w:rsid w:val="00E20A0A"/>
    <w:rsid w:val="00E34984"/>
    <w:rsid w:val="00E356C7"/>
    <w:rsid w:val="00E45FE4"/>
    <w:rsid w:val="00E5065D"/>
    <w:rsid w:val="00E57166"/>
    <w:rsid w:val="00E64FA7"/>
    <w:rsid w:val="00E6589C"/>
    <w:rsid w:val="00E75745"/>
    <w:rsid w:val="00E770CB"/>
    <w:rsid w:val="00E771A5"/>
    <w:rsid w:val="00E85CC4"/>
    <w:rsid w:val="00E8729F"/>
    <w:rsid w:val="00E903A1"/>
    <w:rsid w:val="00E940EB"/>
    <w:rsid w:val="00EA42A3"/>
    <w:rsid w:val="00EB2B90"/>
    <w:rsid w:val="00ED7E83"/>
    <w:rsid w:val="00EE7445"/>
    <w:rsid w:val="00EF3141"/>
    <w:rsid w:val="00EF4B63"/>
    <w:rsid w:val="00F0068D"/>
    <w:rsid w:val="00F0576D"/>
    <w:rsid w:val="00F14E6D"/>
    <w:rsid w:val="00F15EA8"/>
    <w:rsid w:val="00F16C8D"/>
    <w:rsid w:val="00F26C61"/>
    <w:rsid w:val="00F33CCE"/>
    <w:rsid w:val="00F40249"/>
    <w:rsid w:val="00F526C8"/>
    <w:rsid w:val="00F9272D"/>
    <w:rsid w:val="00F9518C"/>
    <w:rsid w:val="00FA316E"/>
    <w:rsid w:val="00FA59EF"/>
    <w:rsid w:val="00FB19A2"/>
    <w:rsid w:val="00FF0AF7"/>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196F-346B-4A18-82CE-C998C683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19629</Words>
  <Characters>111888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2012-04-10T13:36:00Z</dcterms:created>
  <dcterms:modified xsi:type="dcterms:W3CDTF">2012-04-10T13:37:00Z</dcterms:modified>
</cp:coreProperties>
</file>