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B3AE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B3AE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B3AE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B3AE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B3AEE" w:rsidTr="002E5576">
        <w:tc>
          <w:tcPr>
            <w:tcW w:w="4518" w:type="dxa"/>
          </w:tcPr>
          <w:p w:rsidR="00BF25F3" w:rsidRPr="002E2327" w:rsidRDefault="00A3677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3677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B3AEE" w:rsidTr="002E5576">
        <w:tc>
          <w:tcPr>
            <w:tcW w:w="4518" w:type="dxa"/>
          </w:tcPr>
          <w:p w:rsidR="009F3024" w:rsidRPr="006E4E0C" w:rsidRDefault="009F3024" w:rsidP="009F3024">
            <w:pPr>
              <w:tabs>
                <w:tab w:val="left" w:pos="6075"/>
              </w:tabs>
              <w:rPr>
                <w:rFonts w:cs="Times New Roman"/>
                <w:szCs w:val="24"/>
                <w:lang w:val="fr-CA"/>
              </w:rPr>
            </w:pPr>
          </w:p>
          <w:p w:rsidR="009F3024" w:rsidRPr="006E4E0C" w:rsidRDefault="009F3024" w:rsidP="009F3024">
            <w:pPr>
              <w:tabs>
                <w:tab w:val="left" w:pos="6075"/>
              </w:tabs>
              <w:rPr>
                <w:rFonts w:cs="Times New Roman"/>
                <w:szCs w:val="24"/>
                <w:lang w:val="fr-CA"/>
              </w:rPr>
            </w:pPr>
          </w:p>
        </w:tc>
        <w:tc>
          <w:tcPr>
            <w:tcW w:w="630" w:type="dxa"/>
          </w:tcPr>
          <w:p w:rsidR="009F3024" w:rsidRPr="006E4E0C"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B3AEE"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E4E0C" w:rsidP="00F0068D">
      <w:pPr>
        <w:pBdr>
          <w:bottom w:val="single" w:sz="6" w:space="1" w:color="auto"/>
        </w:pBdr>
        <w:tabs>
          <w:tab w:val="center" w:pos="4680"/>
          <w:tab w:val="right" w:pos="9360"/>
        </w:tabs>
        <w:rPr>
          <w:lang w:val="fr-CA"/>
        </w:rPr>
      </w:pPr>
      <w:r>
        <w:rPr>
          <w:lang w:val="fr-CA"/>
        </w:rPr>
        <w:t>Ap</w:t>
      </w:r>
      <w:r w:rsidR="00C73D06">
        <w:rPr>
          <w:lang w:val="fr-CA"/>
        </w:rPr>
        <w:t>r</w:t>
      </w:r>
      <w:r>
        <w:rPr>
          <w:lang w:val="fr-CA"/>
        </w:rPr>
        <w:t>il</w:t>
      </w:r>
      <w:r w:rsidR="00440E24" w:rsidRPr="00675479">
        <w:rPr>
          <w:lang w:val="fr-CA"/>
        </w:rPr>
        <w:t xml:space="preserve"> </w:t>
      </w:r>
      <w:r>
        <w:rPr>
          <w:lang w:val="fr-CA"/>
        </w:rPr>
        <w:t>20</w:t>
      </w:r>
      <w:r w:rsidR="00440E24" w:rsidRPr="00675479">
        <w:rPr>
          <w:lang w:val="fr-CA"/>
        </w:rPr>
        <w:t>, 201</w:t>
      </w:r>
      <w:r w:rsidR="00C73D06">
        <w:rPr>
          <w:lang w:val="fr-CA"/>
        </w:rPr>
        <w:t>2</w:t>
      </w:r>
      <w:r w:rsidR="00F0068D" w:rsidRPr="00675479">
        <w:rPr>
          <w:lang w:val="fr-CA"/>
        </w:rPr>
        <w:tab/>
      </w:r>
      <w:r>
        <w:rPr>
          <w:lang w:val="fr-CA"/>
        </w:rPr>
        <w:t>583</w:t>
      </w:r>
      <w:r w:rsidR="00F0068D" w:rsidRPr="00675479">
        <w:rPr>
          <w:lang w:val="fr-CA"/>
        </w:rPr>
        <w:t xml:space="preserve"> - </w:t>
      </w:r>
      <w:r w:rsidR="000867B6">
        <w:rPr>
          <w:lang w:val="fr-CA"/>
        </w:rPr>
        <w:t>613</w:t>
      </w:r>
      <w:r w:rsidR="00440E24" w:rsidRPr="00675479">
        <w:rPr>
          <w:lang w:val="fr-CA"/>
        </w:rPr>
        <w:tab/>
      </w:r>
      <w:r w:rsidR="00440E24" w:rsidRPr="002E2327">
        <w:rPr>
          <w:lang w:val="fr-CA"/>
        </w:rPr>
        <w:t>Le</w:t>
      </w:r>
      <w:r w:rsidR="00C73D06">
        <w:rPr>
          <w:lang w:val="fr-CA"/>
        </w:rPr>
        <w:t xml:space="preserve"> </w:t>
      </w:r>
      <w:r>
        <w:rPr>
          <w:lang w:val="fr-CA"/>
        </w:rPr>
        <w:t>20</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Notices of withdrawal of intervention filed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F329C2">
            <w:pPr>
              <w:tabs>
                <w:tab w:val="right" w:pos="9360"/>
              </w:tabs>
              <w:rPr>
                <w:rFonts w:cs="Times New Roman"/>
                <w:sz w:val="20"/>
                <w:szCs w:val="20"/>
              </w:rPr>
            </w:pPr>
          </w:p>
        </w:tc>
        <w:tc>
          <w:tcPr>
            <w:tcW w:w="1980" w:type="dxa"/>
          </w:tcPr>
          <w:p w:rsidR="0095096B" w:rsidRPr="002E2327" w:rsidRDefault="006E4E0C" w:rsidP="0095096B">
            <w:pPr>
              <w:jc w:val="center"/>
              <w:rPr>
                <w:rFonts w:cs="Times New Roman"/>
                <w:sz w:val="20"/>
                <w:szCs w:val="20"/>
              </w:rPr>
            </w:pPr>
            <w:r>
              <w:rPr>
                <w:rFonts w:cs="Times New Roman"/>
                <w:sz w:val="20"/>
                <w:szCs w:val="20"/>
              </w:rPr>
              <w:t>583</w:t>
            </w:r>
            <w:r w:rsidR="00A3677B" w:rsidRPr="002E2327">
              <w:rPr>
                <w:rFonts w:cs="Times New Roman"/>
                <w:sz w:val="20"/>
                <w:szCs w:val="20"/>
              </w:rPr>
              <w:fldChar w:fldCharType="begin"/>
            </w:r>
            <w:r w:rsidR="0095096B" w:rsidRPr="002E2327">
              <w:rPr>
                <w:rFonts w:cs="Times New Roman"/>
                <w:sz w:val="20"/>
                <w:szCs w:val="20"/>
              </w:rPr>
              <w:instrText xml:space="preserve"> SEQ CHAPTER \h \r 1</w:instrText>
            </w:r>
            <w:r w:rsidR="00A3677B"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B172E" w:rsidP="0095096B">
            <w:pPr>
              <w:jc w:val="center"/>
              <w:rPr>
                <w:rFonts w:cs="Times New Roman"/>
                <w:sz w:val="20"/>
                <w:szCs w:val="20"/>
              </w:rPr>
            </w:pPr>
            <w:r>
              <w:rPr>
                <w:rFonts w:cs="Times New Roman"/>
                <w:sz w:val="20"/>
                <w:szCs w:val="20"/>
              </w:rPr>
              <w:t>584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29C2" w:rsidP="0095096B">
            <w:pPr>
              <w:jc w:val="center"/>
              <w:rPr>
                <w:rFonts w:cs="Times New Roman"/>
                <w:sz w:val="20"/>
                <w:szCs w:val="20"/>
              </w:rPr>
            </w:pPr>
            <w:r>
              <w:rPr>
                <w:rFonts w:cs="Times New Roman"/>
                <w:sz w:val="20"/>
                <w:szCs w:val="20"/>
              </w:rPr>
              <w:t xml:space="preserve">585 </w:t>
            </w:r>
            <w:r w:rsidR="0095096B" w:rsidRPr="002E2327">
              <w:rPr>
                <w:rFonts w:cs="Times New Roman"/>
                <w:sz w:val="20"/>
                <w:szCs w:val="20"/>
              </w:rPr>
              <w:t>-</w:t>
            </w:r>
            <w:r>
              <w:rPr>
                <w:rFonts w:cs="Times New Roman"/>
                <w:sz w:val="20"/>
                <w:szCs w:val="20"/>
              </w:rPr>
              <w:t xml:space="preserve"> 586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29C2" w:rsidP="0095096B">
            <w:pPr>
              <w:jc w:val="center"/>
              <w:rPr>
                <w:rFonts w:cs="Times New Roman"/>
                <w:sz w:val="20"/>
                <w:szCs w:val="20"/>
              </w:rPr>
            </w:pPr>
            <w:r>
              <w:rPr>
                <w:rFonts w:cs="Times New Roman"/>
                <w:sz w:val="20"/>
                <w:szCs w:val="20"/>
              </w:rPr>
              <w:t xml:space="preserve">587 </w:t>
            </w:r>
            <w:r w:rsidR="0095096B" w:rsidRPr="002E2327">
              <w:rPr>
                <w:rFonts w:cs="Times New Roman"/>
                <w:sz w:val="20"/>
                <w:szCs w:val="20"/>
              </w:rPr>
              <w:t>-</w:t>
            </w:r>
            <w:r>
              <w:rPr>
                <w:rFonts w:cs="Times New Roman"/>
                <w:sz w:val="20"/>
                <w:szCs w:val="20"/>
              </w:rPr>
              <w:t xml:space="preserve"> 590</w:t>
            </w:r>
          </w:p>
          <w:p w:rsidR="0095096B" w:rsidRPr="002E2327" w:rsidRDefault="0095096B" w:rsidP="0095096B">
            <w:pPr>
              <w:jc w:val="center"/>
              <w:rPr>
                <w:rFonts w:cs="Times New Roman"/>
                <w:sz w:val="20"/>
                <w:szCs w:val="20"/>
              </w:rPr>
            </w:pPr>
          </w:p>
          <w:p w:rsidR="0095096B" w:rsidRPr="002E2327" w:rsidRDefault="00F329C2" w:rsidP="0095096B">
            <w:pPr>
              <w:jc w:val="center"/>
              <w:rPr>
                <w:rFonts w:cs="Times New Roman"/>
                <w:sz w:val="20"/>
                <w:szCs w:val="20"/>
              </w:rPr>
            </w:pPr>
            <w:r>
              <w:rPr>
                <w:rFonts w:cs="Times New Roman"/>
                <w:sz w:val="20"/>
                <w:szCs w:val="20"/>
              </w:rPr>
              <w:t>591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29C2" w:rsidP="0095096B">
            <w:pPr>
              <w:jc w:val="center"/>
              <w:rPr>
                <w:rFonts w:cs="Times New Roman"/>
                <w:sz w:val="20"/>
                <w:szCs w:val="20"/>
              </w:rPr>
            </w:pPr>
            <w:r>
              <w:rPr>
                <w:rFonts w:cs="Times New Roman"/>
                <w:sz w:val="20"/>
                <w:szCs w:val="20"/>
              </w:rPr>
              <w:t>592</w:t>
            </w:r>
          </w:p>
          <w:p w:rsidR="0095096B" w:rsidRDefault="0095096B" w:rsidP="0095096B">
            <w:pPr>
              <w:jc w:val="center"/>
              <w:rPr>
                <w:rFonts w:cs="Times New Roman"/>
                <w:sz w:val="20"/>
                <w:szCs w:val="20"/>
              </w:rPr>
            </w:pPr>
          </w:p>
          <w:p w:rsidR="00F329C2" w:rsidRPr="002E2327" w:rsidRDefault="00F329C2" w:rsidP="0095096B">
            <w:pPr>
              <w:jc w:val="center"/>
              <w:rPr>
                <w:rFonts w:cs="Times New Roman"/>
                <w:sz w:val="20"/>
                <w:szCs w:val="20"/>
              </w:rPr>
            </w:pPr>
          </w:p>
          <w:p w:rsidR="0095096B" w:rsidRPr="002E2327" w:rsidRDefault="00F329C2" w:rsidP="0095096B">
            <w:pPr>
              <w:jc w:val="center"/>
              <w:rPr>
                <w:rFonts w:cs="Times New Roman"/>
                <w:sz w:val="20"/>
                <w:szCs w:val="20"/>
              </w:rPr>
            </w:pPr>
            <w:r>
              <w:rPr>
                <w:rFonts w:cs="Times New Roman"/>
                <w:sz w:val="20"/>
                <w:szCs w:val="20"/>
              </w:rPr>
              <w:t>593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329C2" w:rsidP="0095096B">
            <w:pPr>
              <w:jc w:val="center"/>
              <w:rPr>
                <w:rFonts w:cs="Times New Roman"/>
                <w:sz w:val="20"/>
                <w:szCs w:val="20"/>
              </w:rPr>
            </w:pPr>
            <w:r>
              <w:rPr>
                <w:rFonts w:cs="Times New Roman"/>
                <w:sz w:val="20"/>
                <w:szCs w:val="20"/>
              </w:rPr>
              <w:t xml:space="preserve">594 </w:t>
            </w:r>
            <w:r w:rsidR="0095096B" w:rsidRPr="002E2327">
              <w:rPr>
                <w:rFonts w:cs="Times New Roman"/>
                <w:sz w:val="20"/>
                <w:szCs w:val="20"/>
              </w:rPr>
              <w:t>-</w:t>
            </w:r>
            <w:r w:rsidR="000867B6">
              <w:rPr>
                <w:rFonts w:cs="Times New Roman"/>
                <w:sz w:val="20"/>
                <w:szCs w:val="20"/>
              </w:rPr>
              <w:t xml:space="preserve"> 596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023D6" w:rsidP="0095096B">
            <w:pPr>
              <w:jc w:val="center"/>
              <w:rPr>
                <w:rFonts w:cs="Times New Roman"/>
                <w:sz w:val="20"/>
                <w:szCs w:val="20"/>
              </w:rPr>
            </w:pPr>
            <w:r>
              <w:rPr>
                <w:rFonts w:cs="Times New Roman"/>
                <w:sz w:val="20"/>
                <w:szCs w:val="20"/>
              </w:rPr>
              <w:t>59</w:t>
            </w:r>
            <w:r w:rsidR="000867B6">
              <w:rPr>
                <w:rFonts w:cs="Times New Roman"/>
                <w:sz w:val="20"/>
                <w:szCs w:val="20"/>
              </w:rPr>
              <w:t>7</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59</w:t>
            </w:r>
            <w:r w:rsidR="000867B6">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867B6" w:rsidP="0095096B">
            <w:pPr>
              <w:jc w:val="center"/>
              <w:rPr>
                <w:rFonts w:cs="Times New Roman"/>
                <w:sz w:val="20"/>
                <w:szCs w:val="20"/>
              </w:rPr>
            </w:pPr>
            <w:r>
              <w:rPr>
                <w:rFonts w:cs="Times New Roman"/>
                <w:sz w:val="20"/>
                <w:szCs w:val="20"/>
              </w:rPr>
              <w:t xml:space="preserve">599 </w:t>
            </w:r>
            <w:r w:rsidR="0095096B" w:rsidRPr="002E2327">
              <w:rPr>
                <w:rFonts w:cs="Times New Roman"/>
                <w:sz w:val="20"/>
                <w:szCs w:val="20"/>
              </w:rPr>
              <w:t>-</w:t>
            </w:r>
            <w:r>
              <w:rPr>
                <w:rFonts w:cs="Times New Roman"/>
                <w:sz w:val="20"/>
                <w:szCs w:val="20"/>
              </w:rPr>
              <w:t xml:space="preserve"> 613</w:t>
            </w:r>
          </w:p>
          <w:p w:rsidR="00A87207" w:rsidRPr="002E2327" w:rsidRDefault="00A87207" w:rsidP="00F329C2">
            <w:pPr>
              <w:tabs>
                <w:tab w:val="right" w:pos="9360"/>
              </w:tabs>
              <w:jc w:val="center"/>
              <w:rPr>
                <w:rFonts w:cs="Times New Roman"/>
                <w:sz w:val="20"/>
                <w:szCs w:val="20"/>
              </w:rPr>
            </w:pPr>
          </w:p>
        </w:tc>
        <w:tc>
          <w:tcPr>
            <w:tcW w:w="3888" w:type="dxa"/>
          </w:tcPr>
          <w:p w:rsidR="0095096B" w:rsidRPr="002E2327" w:rsidRDefault="00A3677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retrait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F329C2">
            <w:pPr>
              <w:tabs>
                <w:tab w:val="right" w:pos="9360"/>
              </w:tabs>
              <w:rPr>
                <w:rFonts w:cs="Times New Roman"/>
                <w:sz w:val="20"/>
                <w:szCs w:val="20"/>
                <w:lang w:val="fr-CA"/>
              </w:rPr>
            </w:pPr>
          </w:p>
        </w:tc>
      </w:tr>
    </w:tbl>
    <w:p w:rsidR="0095096B" w:rsidRDefault="0095096B" w:rsidP="0095096B">
      <w:pPr>
        <w:tabs>
          <w:tab w:val="right" w:pos="9360"/>
        </w:tabs>
      </w:pPr>
    </w:p>
    <w:p w:rsidR="00F329C2" w:rsidRDefault="00F329C2" w:rsidP="0095096B">
      <w:pPr>
        <w:tabs>
          <w:tab w:val="right" w:pos="9360"/>
        </w:tabs>
      </w:pPr>
    </w:p>
    <w:p w:rsidR="00F329C2" w:rsidRDefault="00F329C2" w:rsidP="0095096B">
      <w:pPr>
        <w:tabs>
          <w:tab w:val="right" w:pos="9360"/>
        </w:tabs>
      </w:pPr>
    </w:p>
    <w:p w:rsidR="00F329C2" w:rsidRDefault="00F329C2" w:rsidP="0095096B">
      <w:pPr>
        <w:tabs>
          <w:tab w:val="right" w:pos="9360"/>
        </w:tabs>
      </w:pPr>
    </w:p>
    <w:p w:rsidR="00F329C2" w:rsidRDefault="00F329C2" w:rsidP="0095096B">
      <w:pPr>
        <w:tabs>
          <w:tab w:val="right" w:pos="9360"/>
        </w:tabs>
      </w:pPr>
    </w:p>
    <w:p w:rsidR="00F329C2" w:rsidRPr="002E2327" w:rsidRDefault="00F329C2" w:rsidP="0095096B">
      <w:pPr>
        <w:tabs>
          <w:tab w:val="right" w:pos="9360"/>
        </w:tabs>
      </w:pPr>
    </w:p>
    <w:tbl>
      <w:tblPr>
        <w:tblStyle w:val="TableGrid"/>
        <w:tblW w:w="0" w:type="auto"/>
        <w:tblLook w:val="04A0"/>
      </w:tblPr>
      <w:tblGrid>
        <w:gridCol w:w="9576"/>
      </w:tblGrid>
      <w:tr w:rsidR="0079724F" w:rsidRPr="006B3AE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9E7212" w:rsidRDefault="009E7212" w:rsidP="003B3977">
            <w:pPr>
              <w:rPr>
                <w:b/>
                <w:sz w:val="20"/>
                <w:szCs w:val="20"/>
                <w:lang w:val="fr-CA"/>
              </w:rPr>
            </w:pPr>
            <w:r>
              <w:rPr>
                <w:b/>
                <w:sz w:val="20"/>
                <w:szCs w:val="20"/>
                <w:lang w:val="fr-CA"/>
              </w:rPr>
              <w:t>Jacques Gauthier T/A Gauthier &amp; Associates</w:t>
            </w:r>
          </w:p>
          <w:p w:rsidR="009E7212" w:rsidRDefault="009E7212" w:rsidP="009E7212">
            <w:pPr>
              <w:rPr>
                <w:sz w:val="20"/>
                <w:szCs w:val="20"/>
              </w:rPr>
            </w:pPr>
            <w:r>
              <w:rPr>
                <w:b/>
                <w:sz w:val="20"/>
                <w:szCs w:val="20"/>
                <w:lang w:val="fr-CA"/>
              </w:rPr>
              <w:tab/>
            </w:r>
            <w:r w:rsidRPr="00C82B54">
              <w:rPr>
                <w:sz w:val="20"/>
                <w:szCs w:val="20"/>
              </w:rPr>
              <w:t>Ronald G. Slaght</w:t>
            </w:r>
            <w:r w:rsidR="00C82B54" w:rsidRPr="00C82B54">
              <w:rPr>
                <w:sz w:val="20"/>
                <w:szCs w:val="20"/>
              </w:rPr>
              <w:t>, Q.C.</w:t>
            </w:r>
          </w:p>
          <w:p w:rsidR="00B72247" w:rsidRPr="00A935AA" w:rsidRDefault="00B72247" w:rsidP="00B72247">
            <w:pPr>
              <w:tabs>
                <w:tab w:val="left" w:pos="-1440"/>
                <w:tab w:val="left" w:pos="-720"/>
              </w:tabs>
              <w:rPr>
                <w:sz w:val="20"/>
                <w:szCs w:val="20"/>
              </w:rPr>
            </w:pPr>
            <w:r w:rsidRPr="001E74A1">
              <w:rPr>
                <w:sz w:val="20"/>
                <w:szCs w:val="20"/>
              </w:rPr>
              <w:tab/>
            </w:r>
            <w:r w:rsidRPr="009E7212">
              <w:rPr>
                <w:sz w:val="20"/>
                <w:szCs w:val="20"/>
              </w:rPr>
              <w:t xml:space="preserve">Lenczner Slaght Royce Smith Griffin </w:t>
            </w:r>
            <w:r w:rsidRPr="009E7212">
              <w:rPr>
                <w:sz w:val="20"/>
                <w:szCs w:val="20"/>
              </w:rPr>
              <w:tab/>
              <w:t>LLP</w:t>
            </w:r>
          </w:p>
          <w:p w:rsidR="00B72247" w:rsidRPr="00A935AA" w:rsidRDefault="00B72247" w:rsidP="00B72247">
            <w:pPr>
              <w:tabs>
                <w:tab w:val="left" w:pos="-1440"/>
                <w:tab w:val="left" w:pos="-720"/>
              </w:tabs>
              <w:rPr>
                <w:sz w:val="20"/>
                <w:szCs w:val="20"/>
              </w:rPr>
            </w:pPr>
          </w:p>
          <w:p w:rsidR="00B72247" w:rsidRPr="00A935AA" w:rsidRDefault="00B72247" w:rsidP="00B72247">
            <w:pPr>
              <w:tabs>
                <w:tab w:val="left" w:pos="-1440"/>
                <w:tab w:val="left" w:pos="-720"/>
              </w:tabs>
              <w:rPr>
                <w:sz w:val="20"/>
                <w:szCs w:val="20"/>
              </w:rPr>
            </w:pPr>
            <w:r w:rsidRPr="00A935AA">
              <w:rPr>
                <w:sz w:val="20"/>
                <w:szCs w:val="20"/>
              </w:rPr>
              <w:tab/>
              <w:t>v. (3</w:t>
            </w:r>
            <w:r>
              <w:rPr>
                <w:sz w:val="20"/>
                <w:szCs w:val="20"/>
              </w:rPr>
              <w:t>4723</w:t>
            </w:r>
            <w:r w:rsidRPr="00A935AA">
              <w:rPr>
                <w:sz w:val="20"/>
                <w:szCs w:val="20"/>
              </w:rPr>
              <w:t>)</w:t>
            </w:r>
          </w:p>
          <w:p w:rsidR="00B72247" w:rsidRPr="00A935AA" w:rsidRDefault="00B72247" w:rsidP="00B72247">
            <w:pPr>
              <w:tabs>
                <w:tab w:val="left" w:pos="-1440"/>
                <w:tab w:val="left" w:pos="-720"/>
              </w:tabs>
              <w:rPr>
                <w:sz w:val="20"/>
                <w:szCs w:val="20"/>
              </w:rPr>
            </w:pPr>
          </w:p>
          <w:p w:rsidR="00B72247" w:rsidRPr="00A935AA" w:rsidRDefault="00B72247" w:rsidP="00B72247">
            <w:pPr>
              <w:tabs>
                <w:tab w:val="left" w:pos="-1440"/>
                <w:tab w:val="left" w:pos="-720"/>
              </w:tabs>
              <w:rPr>
                <w:b/>
                <w:sz w:val="20"/>
                <w:szCs w:val="20"/>
              </w:rPr>
            </w:pPr>
            <w:r>
              <w:rPr>
                <w:b/>
                <w:sz w:val="20"/>
                <w:szCs w:val="20"/>
              </w:rPr>
              <w:t xml:space="preserve">Tarlo Lyons (A Firm) </w:t>
            </w:r>
            <w:r w:rsidRPr="00A935AA">
              <w:rPr>
                <w:b/>
                <w:sz w:val="20"/>
                <w:szCs w:val="20"/>
              </w:rPr>
              <w:t>(</w:t>
            </w:r>
            <w:r>
              <w:rPr>
                <w:b/>
                <w:sz w:val="20"/>
                <w:szCs w:val="20"/>
              </w:rPr>
              <w:t>Ont</w:t>
            </w:r>
            <w:r w:rsidRPr="00A935AA">
              <w:rPr>
                <w:b/>
                <w:sz w:val="20"/>
                <w:szCs w:val="20"/>
              </w:rPr>
              <w:t>.)</w:t>
            </w:r>
          </w:p>
          <w:p w:rsidR="00B72247" w:rsidRPr="00A935AA" w:rsidRDefault="00B72247" w:rsidP="00B72247">
            <w:pPr>
              <w:tabs>
                <w:tab w:val="left" w:pos="-1440"/>
                <w:tab w:val="left" w:pos="-720"/>
              </w:tabs>
              <w:rPr>
                <w:sz w:val="20"/>
                <w:szCs w:val="20"/>
              </w:rPr>
            </w:pPr>
            <w:r w:rsidRPr="00A935AA">
              <w:rPr>
                <w:sz w:val="20"/>
                <w:szCs w:val="20"/>
              </w:rPr>
              <w:tab/>
            </w:r>
            <w:r>
              <w:rPr>
                <w:sz w:val="20"/>
                <w:szCs w:val="20"/>
              </w:rPr>
              <w:t>Deborah C. Templer</w:t>
            </w:r>
          </w:p>
          <w:p w:rsidR="00B72247" w:rsidRPr="00A935AA" w:rsidRDefault="00B72247" w:rsidP="00B72247">
            <w:pPr>
              <w:tabs>
                <w:tab w:val="left" w:pos="-1440"/>
                <w:tab w:val="left" w:pos="-720"/>
              </w:tabs>
              <w:rPr>
                <w:sz w:val="20"/>
                <w:szCs w:val="20"/>
              </w:rPr>
            </w:pPr>
            <w:r w:rsidRPr="00A935AA">
              <w:rPr>
                <w:sz w:val="20"/>
                <w:szCs w:val="20"/>
              </w:rPr>
              <w:tab/>
            </w:r>
            <w:r>
              <w:rPr>
                <w:sz w:val="20"/>
                <w:szCs w:val="20"/>
              </w:rPr>
              <w:t>Gowling Lafleur Henderson LLP</w:t>
            </w:r>
          </w:p>
          <w:p w:rsidR="00B72247" w:rsidRPr="00A935AA" w:rsidRDefault="00B72247" w:rsidP="00B72247">
            <w:pPr>
              <w:tabs>
                <w:tab w:val="left" w:pos="-1440"/>
                <w:tab w:val="left" w:pos="-720"/>
              </w:tabs>
              <w:rPr>
                <w:sz w:val="20"/>
                <w:szCs w:val="20"/>
              </w:rPr>
            </w:pPr>
          </w:p>
          <w:p w:rsidR="00B72247" w:rsidRPr="00A935AA" w:rsidRDefault="00B72247" w:rsidP="00B72247">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3</w:t>
            </w:r>
            <w:r w:rsidRPr="00A935AA">
              <w:rPr>
                <w:sz w:val="20"/>
                <w:szCs w:val="20"/>
              </w:rPr>
              <w:t>.201</w:t>
            </w:r>
            <w:r>
              <w:rPr>
                <w:sz w:val="20"/>
                <w:szCs w:val="20"/>
              </w:rPr>
              <w:t>2</w:t>
            </w:r>
          </w:p>
          <w:p w:rsidR="00B72247" w:rsidRPr="00C82B54" w:rsidRDefault="00A3677B" w:rsidP="00B72247">
            <w:pPr>
              <w:rPr>
                <w:sz w:val="20"/>
                <w:szCs w:val="20"/>
              </w:rPr>
            </w:pPr>
            <w:r w:rsidRPr="00A3677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242AEE" w:rsidRPr="00C82B54" w:rsidRDefault="00242AEE" w:rsidP="00242AEE">
            <w:pPr>
              <w:jc w:val="center"/>
              <w:rPr>
                <w:sz w:val="20"/>
                <w:szCs w:val="20"/>
              </w:rPr>
            </w:pPr>
          </w:p>
          <w:p w:rsidR="009E7212" w:rsidRPr="00C82B54" w:rsidRDefault="009E7212" w:rsidP="00242AEE">
            <w:pPr>
              <w:jc w:val="center"/>
              <w:rPr>
                <w:sz w:val="20"/>
                <w:szCs w:val="20"/>
              </w:rPr>
            </w:pPr>
          </w:p>
          <w:p w:rsidR="00242AEE" w:rsidRPr="00C82B54" w:rsidRDefault="00242AEE" w:rsidP="00242AEE">
            <w:pPr>
              <w:jc w:val="center"/>
              <w:rPr>
                <w:sz w:val="20"/>
                <w:szCs w:val="20"/>
              </w:rPr>
            </w:pPr>
          </w:p>
        </w:tc>
        <w:tc>
          <w:tcPr>
            <w:tcW w:w="4320" w:type="dxa"/>
            <w:shd w:val="clear" w:color="auto" w:fill="auto"/>
          </w:tcPr>
          <w:p w:rsidR="00B72247" w:rsidRPr="00A935AA" w:rsidRDefault="00B72247" w:rsidP="00B72247">
            <w:pPr>
              <w:rPr>
                <w:b/>
                <w:sz w:val="20"/>
                <w:szCs w:val="20"/>
              </w:rPr>
            </w:pPr>
            <w:r>
              <w:rPr>
                <w:b/>
                <w:sz w:val="20"/>
                <w:szCs w:val="20"/>
              </w:rPr>
              <w:t>Darwin Frederick Makarchuk</w:t>
            </w:r>
          </w:p>
          <w:p w:rsidR="00B72247" w:rsidRPr="00A935AA" w:rsidRDefault="00B72247" w:rsidP="00B72247">
            <w:pPr>
              <w:tabs>
                <w:tab w:val="left" w:pos="-1440"/>
                <w:tab w:val="left" w:pos="-720"/>
              </w:tabs>
              <w:rPr>
                <w:sz w:val="20"/>
                <w:szCs w:val="20"/>
              </w:rPr>
            </w:pPr>
            <w:r w:rsidRPr="00A935AA">
              <w:rPr>
                <w:sz w:val="20"/>
                <w:szCs w:val="20"/>
              </w:rPr>
              <w:tab/>
            </w:r>
            <w:r>
              <w:rPr>
                <w:sz w:val="20"/>
                <w:szCs w:val="20"/>
              </w:rPr>
              <w:t>Darwin Frederick Makarchuk</w:t>
            </w:r>
          </w:p>
          <w:p w:rsidR="00B72247" w:rsidRPr="00A935AA" w:rsidRDefault="00B72247" w:rsidP="00B72247">
            <w:pPr>
              <w:tabs>
                <w:tab w:val="left" w:pos="-1440"/>
                <w:tab w:val="left" w:pos="-720"/>
              </w:tabs>
              <w:rPr>
                <w:sz w:val="20"/>
                <w:szCs w:val="20"/>
              </w:rPr>
            </w:pPr>
          </w:p>
          <w:p w:rsidR="00B72247" w:rsidRPr="00A935AA" w:rsidRDefault="00B72247" w:rsidP="00B72247">
            <w:pPr>
              <w:tabs>
                <w:tab w:val="left" w:pos="-1440"/>
                <w:tab w:val="left" w:pos="-720"/>
              </w:tabs>
              <w:rPr>
                <w:sz w:val="20"/>
                <w:szCs w:val="20"/>
              </w:rPr>
            </w:pPr>
            <w:r w:rsidRPr="00A935AA">
              <w:rPr>
                <w:sz w:val="20"/>
                <w:szCs w:val="20"/>
              </w:rPr>
              <w:tab/>
              <w:t>v. (3</w:t>
            </w:r>
            <w:r>
              <w:rPr>
                <w:sz w:val="20"/>
                <w:szCs w:val="20"/>
              </w:rPr>
              <w:t>4727</w:t>
            </w:r>
            <w:r w:rsidRPr="00A935AA">
              <w:rPr>
                <w:sz w:val="20"/>
                <w:szCs w:val="20"/>
              </w:rPr>
              <w:t>)</w:t>
            </w:r>
          </w:p>
          <w:p w:rsidR="00B72247" w:rsidRPr="00A935AA" w:rsidRDefault="00B72247" w:rsidP="00B72247">
            <w:pPr>
              <w:tabs>
                <w:tab w:val="left" w:pos="-1440"/>
                <w:tab w:val="left" w:pos="-720"/>
              </w:tabs>
              <w:rPr>
                <w:sz w:val="20"/>
                <w:szCs w:val="20"/>
              </w:rPr>
            </w:pPr>
          </w:p>
          <w:p w:rsidR="00B72247" w:rsidRPr="00A935AA" w:rsidRDefault="00B72247" w:rsidP="00B72247">
            <w:pPr>
              <w:tabs>
                <w:tab w:val="left" w:pos="-1440"/>
                <w:tab w:val="left" w:pos="-720"/>
              </w:tabs>
              <w:rPr>
                <w:b/>
                <w:sz w:val="20"/>
                <w:szCs w:val="20"/>
              </w:rPr>
            </w:pPr>
            <w:r>
              <w:rPr>
                <w:b/>
                <w:sz w:val="20"/>
                <w:szCs w:val="20"/>
              </w:rPr>
              <w:t xml:space="preserve">Joan Bernice Makarchuk </w:t>
            </w:r>
            <w:r w:rsidRPr="00A935AA">
              <w:rPr>
                <w:b/>
                <w:sz w:val="20"/>
                <w:szCs w:val="20"/>
              </w:rPr>
              <w:t>(</w:t>
            </w:r>
            <w:r>
              <w:rPr>
                <w:b/>
                <w:sz w:val="20"/>
                <w:szCs w:val="20"/>
              </w:rPr>
              <w:t>Ont.</w:t>
            </w:r>
            <w:r w:rsidRPr="00A935AA">
              <w:rPr>
                <w:b/>
                <w:sz w:val="20"/>
                <w:szCs w:val="20"/>
              </w:rPr>
              <w:t>)</w:t>
            </w:r>
          </w:p>
          <w:p w:rsidR="00B72247" w:rsidRPr="00A935AA" w:rsidRDefault="00B72247" w:rsidP="00B72247">
            <w:pPr>
              <w:tabs>
                <w:tab w:val="left" w:pos="-1440"/>
                <w:tab w:val="left" w:pos="-720"/>
              </w:tabs>
              <w:rPr>
                <w:sz w:val="20"/>
                <w:szCs w:val="20"/>
              </w:rPr>
            </w:pPr>
            <w:r w:rsidRPr="00A935AA">
              <w:rPr>
                <w:sz w:val="20"/>
                <w:szCs w:val="20"/>
              </w:rPr>
              <w:tab/>
            </w:r>
            <w:r>
              <w:rPr>
                <w:sz w:val="20"/>
                <w:szCs w:val="20"/>
              </w:rPr>
              <w:t>Douglas B. Kearns</w:t>
            </w:r>
          </w:p>
          <w:p w:rsidR="00B72247" w:rsidRPr="00A935AA" w:rsidRDefault="00B72247" w:rsidP="00B72247">
            <w:pPr>
              <w:tabs>
                <w:tab w:val="left" w:pos="-1440"/>
                <w:tab w:val="left" w:pos="-720"/>
              </w:tabs>
              <w:rPr>
                <w:sz w:val="20"/>
                <w:szCs w:val="20"/>
              </w:rPr>
            </w:pPr>
            <w:r w:rsidRPr="00A935AA">
              <w:rPr>
                <w:sz w:val="20"/>
                <w:szCs w:val="20"/>
              </w:rPr>
              <w:tab/>
            </w:r>
            <w:r>
              <w:rPr>
                <w:sz w:val="20"/>
                <w:szCs w:val="20"/>
              </w:rPr>
              <w:t>Kearns Law Office</w:t>
            </w:r>
          </w:p>
          <w:p w:rsidR="00B72247" w:rsidRPr="00A935AA" w:rsidRDefault="00B72247" w:rsidP="00B72247">
            <w:pPr>
              <w:tabs>
                <w:tab w:val="left" w:pos="-1440"/>
                <w:tab w:val="left" w:pos="-720"/>
              </w:tabs>
              <w:rPr>
                <w:sz w:val="20"/>
                <w:szCs w:val="20"/>
              </w:rPr>
            </w:pPr>
          </w:p>
          <w:p w:rsidR="00B72247" w:rsidRPr="00A935AA" w:rsidRDefault="00B72247" w:rsidP="00B72247">
            <w:pPr>
              <w:rPr>
                <w:sz w:val="20"/>
                <w:szCs w:val="20"/>
              </w:rPr>
            </w:pPr>
            <w:r w:rsidRPr="00A935AA">
              <w:rPr>
                <w:sz w:val="20"/>
                <w:szCs w:val="20"/>
              </w:rPr>
              <w:t xml:space="preserve">FILING DATE: </w:t>
            </w:r>
            <w:r>
              <w:rPr>
                <w:sz w:val="20"/>
                <w:szCs w:val="20"/>
              </w:rPr>
              <w:t>08</w:t>
            </w:r>
            <w:r w:rsidRPr="00A935AA">
              <w:rPr>
                <w:sz w:val="20"/>
                <w:szCs w:val="20"/>
              </w:rPr>
              <w:t>.0</w:t>
            </w:r>
            <w:r>
              <w:rPr>
                <w:sz w:val="20"/>
                <w:szCs w:val="20"/>
              </w:rPr>
              <w:t>3</w:t>
            </w:r>
            <w:r w:rsidRPr="00A935AA">
              <w:rPr>
                <w:sz w:val="20"/>
                <w:szCs w:val="20"/>
              </w:rPr>
              <w:t>.201</w:t>
            </w:r>
            <w:r>
              <w:rPr>
                <w:sz w:val="20"/>
                <w:szCs w:val="20"/>
              </w:rPr>
              <w:t>2</w:t>
            </w:r>
          </w:p>
          <w:p w:rsidR="00B72247" w:rsidRDefault="00A3677B" w:rsidP="00B72247">
            <w:pPr>
              <w:rPr>
                <w:sz w:val="20"/>
                <w:szCs w:val="20"/>
                <w:lang w:val="fr-CA"/>
              </w:rPr>
            </w:pPr>
            <w:r w:rsidRPr="00A3677B">
              <w:rPr>
                <w:sz w:val="20"/>
                <w:szCs w:val="20"/>
                <w:lang w:val="fr-CA"/>
              </w:rPr>
              <w:pict>
                <v:rect id="_x0000_i1026" style="width:108pt;height:1pt" o:hrpct="0" o:hralign="center" o:hrstd="t" o:hrnoshade="t" o:hr="t" fillcolor="black [3213]" stroked="f"/>
              </w:pict>
            </w:r>
          </w:p>
          <w:p w:rsidR="00242AEE" w:rsidRDefault="00242AEE" w:rsidP="009E7212">
            <w:pPr>
              <w:rPr>
                <w:sz w:val="20"/>
                <w:szCs w:val="20"/>
              </w:rPr>
            </w:pPr>
          </w:p>
          <w:p w:rsidR="00B72247" w:rsidRPr="00A935AA" w:rsidRDefault="00B72247" w:rsidP="00B72247">
            <w:pPr>
              <w:keepNext/>
              <w:keepLines/>
              <w:tabs>
                <w:tab w:val="left" w:pos="-1440"/>
                <w:tab w:val="left" w:pos="-720"/>
              </w:tabs>
              <w:rPr>
                <w:sz w:val="20"/>
                <w:szCs w:val="20"/>
              </w:rPr>
            </w:pPr>
            <w:r>
              <w:rPr>
                <w:b/>
                <w:sz w:val="20"/>
                <w:szCs w:val="20"/>
              </w:rPr>
              <w:t xml:space="preserve">Thomas Burns et al. </w:t>
            </w:r>
          </w:p>
        </w:tc>
      </w:tr>
      <w:tr w:rsidR="00B72247" w:rsidRPr="00A935AA" w:rsidTr="003B3977">
        <w:tc>
          <w:tcPr>
            <w:tcW w:w="4320" w:type="dxa"/>
            <w:shd w:val="clear" w:color="auto" w:fill="auto"/>
          </w:tcPr>
          <w:p w:rsidR="00B72247" w:rsidRDefault="00B72247" w:rsidP="00B72247">
            <w:pPr>
              <w:rPr>
                <w:b/>
                <w:sz w:val="20"/>
                <w:szCs w:val="20"/>
                <w:lang w:val="fr-CA"/>
              </w:rPr>
            </w:pPr>
          </w:p>
          <w:p w:rsidR="00B72247" w:rsidRPr="001E74A1" w:rsidRDefault="00B72247" w:rsidP="00B72247">
            <w:pPr>
              <w:rPr>
                <w:b/>
                <w:sz w:val="20"/>
                <w:szCs w:val="20"/>
                <w:lang w:val="fr-CA"/>
              </w:rPr>
            </w:pPr>
            <w:r w:rsidRPr="001E74A1">
              <w:rPr>
                <w:b/>
                <w:sz w:val="20"/>
                <w:szCs w:val="20"/>
                <w:lang w:val="fr-CA"/>
              </w:rPr>
              <w:t xml:space="preserve">Fibrek Inc. </w:t>
            </w:r>
          </w:p>
          <w:p w:rsidR="00B72247" w:rsidRPr="001E74A1" w:rsidRDefault="00B72247" w:rsidP="00B72247">
            <w:pPr>
              <w:tabs>
                <w:tab w:val="left" w:pos="-1440"/>
                <w:tab w:val="left" w:pos="-720"/>
              </w:tabs>
              <w:rPr>
                <w:sz w:val="20"/>
                <w:szCs w:val="20"/>
                <w:lang w:val="fr-CA"/>
              </w:rPr>
            </w:pPr>
            <w:r w:rsidRPr="001E74A1">
              <w:rPr>
                <w:sz w:val="20"/>
                <w:szCs w:val="20"/>
                <w:lang w:val="fr-CA"/>
              </w:rPr>
              <w:tab/>
              <w:t>Stéphanie Lapierre</w:t>
            </w:r>
          </w:p>
          <w:p w:rsidR="00B72247" w:rsidRPr="001E74A1" w:rsidRDefault="00B72247" w:rsidP="00B72247">
            <w:pPr>
              <w:tabs>
                <w:tab w:val="left" w:pos="-1440"/>
                <w:tab w:val="left" w:pos="-720"/>
              </w:tabs>
              <w:rPr>
                <w:sz w:val="20"/>
                <w:szCs w:val="20"/>
                <w:lang w:val="fr-CA"/>
              </w:rPr>
            </w:pPr>
            <w:r w:rsidRPr="001E74A1">
              <w:rPr>
                <w:sz w:val="20"/>
                <w:szCs w:val="20"/>
                <w:lang w:val="fr-CA"/>
              </w:rPr>
              <w:tab/>
              <w:t>Fasken Martineau DuMoulin LLP</w:t>
            </w:r>
          </w:p>
          <w:p w:rsidR="00B72247" w:rsidRPr="001E74A1" w:rsidRDefault="00B72247" w:rsidP="00B72247">
            <w:pPr>
              <w:tabs>
                <w:tab w:val="left" w:pos="-1440"/>
                <w:tab w:val="left" w:pos="-720"/>
              </w:tabs>
              <w:rPr>
                <w:sz w:val="20"/>
                <w:szCs w:val="20"/>
                <w:lang w:val="fr-CA"/>
              </w:rPr>
            </w:pPr>
          </w:p>
          <w:p w:rsidR="00B72247" w:rsidRPr="00A935AA" w:rsidRDefault="00B72247" w:rsidP="00B72247">
            <w:pPr>
              <w:tabs>
                <w:tab w:val="left" w:pos="-1440"/>
                <w:tab w:val="left" w:pos="-720"/>
              </w:tabs>
              <w:rPr>
                <w:sz w:val="20"/>
                <w:szCs w:val="20"/>
              </w:rPr>
            </w:pPr>
            <w:r w:rsidRPr="001E74A1">
              <w:rPr>
                <w:sz w:val="20"/>
                <w:szCs w:val="20"/>
                <w:lang w:val="fr-CA"/>
              </w:rPr>
              <w:tab/>
            </w:r>
            <w:r w:rsidRPr="00A935AA">
              <w:rPr>
                <w:sz w:val="20"/>
                <w:szCs w:val="20"/>
              </w:rPr>
              <w:t>v. (3</w:t>
            </w:r>
            <w:r>
              <w:rPr>
                <w:sz w:val="20"/>
                <w:szCs w:val="20"/>
              </w:rPr>
              <w:t>4757</w:t>
            </w:r>
            <w:r w:rsidRPr="00A935AA">
              <w:rPr>
                <w:sz w:val="20"/>
                <w:szCs w:val="20"/>
              </w:rPr>
              <w:t>)</w:t>
            </w:r>
          </w:p>
          <w:p w:rsidR="00B72247" w:rsidRPr="00A935AA" w:rsidRDefault="00B72247" w:rsidP="00B72247">
            <w:pPr>
              <w:tabs>
                <w:tab w:val="left" w:pos="-1440"/>
                <w:tab w:val="left" w:pos="-720"/>
              </w:tabs>
              <w:rPr>
                <w:sz w:val="20"/>
                <w:szCs w:val="20"/>
              </w:rPr>
            </w:pPr>
          </w:p>
          <w:p w:rsidR="00B72247" w:rsidRPr="00A935AA" w:rsidRDefault="00B72247" w:rsidP="00B72247">
            <w:pPr>
              <w:tabs>
                <w:tab w:val="left" w:pos="-1440"/>
                <w:tab w:val="left" w:pos="-720"/>
              </w:tabs>
              <w:rPr>
                <w:b/>
                <w:sz w:val="20"/>
                <w:szCs w:val="20"/>
              </w:rPr>
            </w:pPr>
            <w:r>
              <w:rPr>
                <w:b/>
                <w:sz w:val="20"/>
                <w:szCs w:val="20"/>
              </w:rPr>
              <w:t>AbitibiBowater Inc., doing business as Resolute Forest Products and RFP Acquisition Inc. (Que.)</w:t>
            </w:r>
          </w:p>
          <w:p w:rsidR="00B72247" w:rsidRPr="00A935AA" w:rsidRDefault="00B72247" w:rsidP="00B72247">
            <w:pPr>
              <w:tabs>
                <w:tab w:val="left" w:pos="-1440"/>
                <w:tab w:val="left" w:pos="-720"/>
              </w:tabs>
              <w:rPr>
                <w:sz w:val="20"/>
                <w:szCs w:val="20"/>
              </w:rPr>
            </w:pPr>
            <w:r w:rsidRPr="00A935AA">
              <w:rPr>
                <w:sz w:val="20"/>
                <w:szCs w:val="20"/>
              </w:rPr>
              <w:tab/>
            </w:r>
            <w:r>
              <w:rPr>
                <w:sz w:val="20"/>
                <w:szCs w:val="20"/>
              </w:rPr>
              <w:t>Sophie Melchers</w:t>
            </w:r>
          </w:p>
          <w:p w:rsidR="00B72247" w:rsidRPr="00A935AA" w:rsidRDefault="00B72247" w:rsidP="00B72247">
            <w:pPr>
              <w:tabs>
                <w:tab w:val="left" w:pos="-1440"/>
                <w:tab w:val="left" w:pos="-720"/>
              </w:tabs>
              <w:rPr>
                <w:sz w:val="20"/>
                <w:szCs w:val="20"/>
              </w:rPr>
            </w:pPr>
            <w:r w:rsidRPr="00A935AA">
              <w:rPr>
                <w:sz w:val="20"/>
                <w:szCs w:val="20"/>
              </w:rPr>
              <w:tab/>
            </w:r>
            <w:r>
              <w:rPr>
                <w:sz w:val="20"/>
                <w:szCs w:val="20"/>
              </w:rPr>
              <w:t>Norton Rose Canada LLP</w:t>
            </w:r>
          </w:p>
          <w:p w:rsidR="00B72247" w:rsidRDefault="00B72247" w:rsidP="003B3977">
            <w:pPr>
              <w:rPr>
                <w:b/>
                <w:sz w:val="20"/>
                <w:szCs w:val="20"/>
                <w:lang w:val="fr-CA"/>
              </w:rPr>
            </w:pPr>
          </w:p>
          <w:p w:rsidR="00B72247" w:rsidRDefault="00B72247" w:rsidP="00B72247">
            <w:pPr>
              <w:tabs>
                <w:tab w:val="left" w:pos="-1440"/>
                <w:tab w:val="left" w:pos="-720"/>
              </w:tabs>
              <w:rPr>
                <w:b/>
                <w:sz w:val="20"/>
                <w:szCs w:val="20"/>
                <w:lang w:val="fr-CA"/>
              </w:rPr>
            </w:pPr>
            <w:r>
              <w:rPr>
                <w:sz w:val="20"/>
                <w:szCs w:val="20"/>
              </w:rPr>
              <w:t>and between</w:t>
            </w:r>
          </w:p>
        </w:tc>
        <w:tc>
          <w:tcPr>
            <w:tcW w:w="1181" w:type="dxa"/>
            <w:shd w:val="clear" w:color="auto" w:fill="auto"/>
          </w:tcPr>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Pr="00C82B54" w:rsidRDefault="00B72247" w:rsidP="00242AEE">
            <w:pPr>
              <w:jc w:val="center"/>
              <w:rPr>
                <w:sz w:val="20"/>
                <w:szCs w:val="20"/>
              </w:rPr>
            </w:pPr>
          </w:p>
        </w:tc>
        <w:tc>
          <w:tcPr>
            <w:tcW w:w="4320" w:type="dxa"/>
            <w:shd w:val="clear" w:color="auto" w:fill="auto"/>
          </w:tcPr>
          <w:p w:rsidR="00B72247" w:rsidRPr="00B72247" w:rsidRDefault="00B72247" w:rsidP="00B72247">
            <w:pPr>
              <w:keepNext/>
              <w:keepLines/>
              <w:tabs>
                <w:tab w:val="left" w:pos="-1440"/>
                <w:tab w:val="left" w:pos="-720"/>
              </w:tabs>
              <w:rPr>
                <w:sz w:val="20"/>
                <w:szCs w:val="20"/>
                <w:lang w:val="fr-CA"/>
              </w:rPr>
            </w:pPr>
            <w:r w:rsidRPr="006B3AEE">
              <w:rPr>
                <w:sz w:val="20"/>
                <w:szCs w:val="20"/>
                <w:lang w:val="fr-CA"/>
              </w:rPr>
              <w:tab/>
            </w:r>
            <w:r w:rsidRPr="00B72247">
              <w:rPr>
                <w:sz w:val="20"/>
                <w:szCs w:val="20"/>
                <w:lang w:val="fr-CA"/>
              </w:rPr>
              <w:t>J. Gordon Petrie, Q.C.</w:t>
            </w:r>
          </w:p>
          <w:p w:rsidR="00B72247" w:rsidRPr="009E7212" w:rsidRDefault="00B72247" w:rsidP="00B72247">
            <w:pPr>
              <w:keepNext/>
              <w:keepLines/>
              <w:tabs>
                <w:tab w:val="left" w:pos="-1440"/>
                <w:tab w:val="left" w:pos="-720"/>
              </w:tabs>
              <w:rPr>
                <w:sz w:val="20"/>
                <w:szCs w:val="20"/>
              </w:rPr>
            </w:pPr>
            <w:r w:rsidRPr="00B72247">
              <w:rPr>
                <w:sz w:val="20"/>
                <w:szCs w:val="20"/>
                <w:lang w:val="fr-CA"/>
              </w:rPr>
              <w:tab/>
            </w:r>
            <w:r w:rsidRPr="009E7212">
              <w:rPr>
                <w:sz w:val="20"/>
                <w:szCs w:val="20"/>
              </w:rPr>
              <w:t>Stewart McKelvey</w:t>
            </w:r>
          </w:p>
          <w:p w:rsidR="00B72247" w:rsidRPr="009E7212" w:rsidRDefault="00B72247" w:rsidP="00B72247">
            <w:pPr>
              <w:keepNext/>
              <w:keepLines/>
              <w:tabs>
                <w:tab w:val="left" w:pos="-1440"/>
                <w:tab w:val="left" w:pos="-720"/>
              </w:tabs>
              <w:rPr>
                <w:sz w:val="20"/>
                <w:szCs w:val="20"/>
              </w:rPr>
            </w:pPr>
          </w:p>
          <w:p w:rsidR="00B72247" w:rsidRPr="009E7212" w:rsidRDefault="00B72247" w:rsidP="00B72247">
            <w:pPr>
              <w:keepNext/>
              <w:keepLines/>
              <w:tabs>
                <w:tab w:val="left" w:pos="-1440"/>
                <w:tab w:val="left" w:pos="-720"/>
              </w:tabs>
              <w:rPr>
                <w:sz w:val="20"/>
                <w:szCs w:val="20"/>
              </w:rPr>
            </w:pPr>
            <w:r w:rsidRPr="009E7212">
              <w:rPr>
                <w:sz w:val="20"/>
                <w:szCs w:val="20"/>
              </w:rPr>
              <w:tab/>
              <w:t>v. (34714)</w:t>
            </w:r>
          </w:p>
          <w:p w:rsidR="00B72247" w:rsidRPr="009E7212" w:rsidRDefault="00B72247" w:rsidP="00B72247">
            <w:pPr>
              <w:keepNext/>
              <w:keepLines/>
              <w:tabs>
                <w:tab w:val="left" w:pos="-1440"/>
                <w:tab w:val="left" w:pos="-720"/>
              </w:tabs>
              <w:rPr>
                <w:sz w:val="20"/>
                <w:szCs w:val="20"/>
              </w:rPr>
            </w:pPr>
          </w:p>
          <w:p w:rsidR="00B72247" w:rsidRPr="009E7212" w:rsidRDefault="00B72247" w:rsidP="00B72247">
            <w:pPr>
              <w:keepNext/>
              <w:keepLines/>
              <w:tabs>
                <w:tab w:val="left" w:pos="-1440"/>
                <w:tab w:val="left" w:pos="-720"/>
              </w:tabs>
              <w:rPr>
                <w:b/>
                <w:sz w:val="20"/>
                <w:szCs w:val="20"/>
              </w:rPr>
            </w:pPr>
            <w:r w:rsidRPr="009E7212">
              <w:rPr>
                <w:b/>
                <w:sz w:val="20"/>
                <w:szCs w:val="20"/>
              </w:rPr>
              <w:t>National Automobile, Aerospace, Transportation and General Workers Union of Canada (CAW-Canada), Local 219 et al.</w:t>
            </w:r>
            <w:r>
              <w:rPr>
                <w:b/>
                <w:sz w:val="20"/>
                <w:szCs w:val="20"/>
              </w:rPr>
              <w:t xml:space="preserve"> </w:t>
            </w:r>
            <w:r w:rsidRPr="009E7212">
              <w:rPr>
                <w:b/>
                <w:sz w:val="20"/>
                <w:szCs w:val="20"/>
              </w:rPr>
              <w:t>(</w:t>
            </w:r>
            <w:r>
              <w:rPr>
                <w:b/>
                <w:sz w:val="20"/>
                <w:szCs w:val="20"/>
              </w:rPr>
              <w:t>N</w:t>
            </w:r>
            <w:r w:rsidRPr="009E7212">
              <w:rPr>
                <w:b/>
                <w:sz w:val="20"/>
                <w:szCs w:val="20"/>
              </w:rPr>
              <w:t>.</w:t>
            </w:r>
            <w:r>
              <w:rPr>
                <w:b/>
                <w:sz w:val="20"/>
                <w:szCs w:val="20"/>
              </w:rPr>
              <w:t>B.</w:t>
            </w:r>
            <w:r w:rsidRPr="009E7212">
              <w:rPr>
                <w:b/>
                <w:sz w:val="20"/>
                <w:szCs w:val="20"/>
              </w:rPr>
              <w:t>)</w:t>
            </w:r>
          </w:p>
          <w:p w:rsidR="00B72247" w:rsidRPr="009E7212" w:rsidRDefault="00B72247" w:rsidP="00B72247">
            <w:pPr>
              <w:keepNext/>
              <w:keepLines/>
              <w:tabs>
                <w:tab w:val="left" w:pos="-1440"/>
                <w:tab w:val="left" w:pos="-720"/>
              </w:tabs>
              <w:rPr>
                <w:sz w:val="20"/>
                <w:szCs w:val="20"/>
              </w:rPr>
            </w:pPr>
            <w:r w:rsidRPr="009E7212">
              <w:rPr>
                <w:sz w:val="20"/>
                <w:szCs w:val="20"/>
              </w:rPr>
              <w:tab/>
            </w:r>
            <w:r>
              <w:rPr>
                <w:sz w:val="20"/>
                <w:szCs w:val="20"/>
              </w:rPr>
              <w:t>David Mombourquette</w:t>
            </w:r>
          </w:p>
          <w:p w:rsidR="00B72247" w:rsidRPr="009E7212" w:rsidRDefault="00B72247" w:rsidP="00B72247">
            <w:pPr>
              <w:keepNext/>
              <w:keepLines/>
              <w:tabs>
                <w:tab w:val="left" w:pos="-1440"/>
                <w:tab w:val="left" w:pos="-720"/>
              </w:tabs>
              <w:rPr>
                <w:sz w:val="20"/>
                <w:szCs w:val="20"/>
              </w:rPr>
            </w:pPr>
            <w:r w:rsidRPr="009E7212">
              <w:rPr>
                <w:sz w:val="20"/>
                <w:szCs w:val="20"/>
              </w:rPr>
              <w:tab/>
            </w:r>
            <w:r>
              <w:rPr>
                <w:sz w:val="20"/>
                <w:szCs w:val="20"/>
              </w:rPr>
              <w:t>Pink, Larkin</w:t>
            </w:r>
          </w:p>
          <w:p w:rsidR="00B72247" w:rsidRPr="009E7212" w:rsidRDefault="00B72247" w:rsidP="00B72247">
            <w:pPr>
              <w:keepNext/>
              <w:keepLines/>
              <w:tabs>
                <w:tab w:val="left" w:pos="-1440"/>
                <w:tab w:val="left" w:pos="-720"/>
              </w:tabs>
              <w:rPr>
                <w:sz w:val="20"/>
                <w:szCs w:val="20"/>
              </w:rPr>
            </w:pPr>
          </w:p>
          <w:p w:rsidR="00B72247" w:rsidRDefault="00B72247" w:rsidP="00B72247">
            <w:pPr>
              <w:rPr>
                <w:sz w:val="20"/>
                <w:szCs w:val="20"/>
                <w:lang w:val="fr-CA"/>
              </w:rPr>
            </w:pPr>
            <w:r w:rsidRPr="00A935AA">
              <w:rPr>
                <w:sz w:val="20"/>
                <w:szCs w:val="20"/>
              </w:rPr>
              <w:t xml:space="preserve">FILING DATE: </w:t>
            </w:r>
            <w:r>
              <w:rPr>
                <w:sz w:val="20"/>
                <w:szCs w:val="20"/>
              </w:rPr>
              <w:t>13</w:t>
            </w:r>
            <w:r w:rsidRPr="00A935AA">
              <w:rPr>
                <w:sz w:val="20"/>
                <w:szCs w:val="20"/>
              </w:rPr>
              <w:t>.0</w:t>
            </w:r>
            <w:r>
              <w:rPr>
                <w:sz w:val="20"/>
                <w:szCs w:val="20"/>
              </w:rPr>
              <w:t>3</w:t>
            </w:r>
            <w:r w:rsidRPr="00A935AA">
              <w:rPr>
                <w:sz w:val="20"/>
                <w:szCs w:val="20"/>
              </w:rPr>
              <w:t>.201</w:t>
            </w:r>
            <w:r>
              <w:rPr>
                <w:sz w:val="20"/>
                <w:szCs w:val="20"/>
              </w:rPr>
              <w:t>2</w:t>
            </w:r>
            <w:r w:rsidR="00A3677B" w:rsidRPr="00A3677B">
              <w:rPr>
                <w:sz w:val="20"/>
                <w:szCs w:val="20"/>
                <w:lang w:val="fr-CA"/>
              </w:rPr>
              <w:pict>
                <v:rect id="_x0000_i1027" style="width:108pt;height:1pt" o:hrpct="0" o:hralign="center" o:hrstd="t" o:hrnoshade="t" o:hr="t" fillcolor="black [3213]" stroked="f"/>
              </w:pict>
            </w:r>
          </w:p>
          <w:p w:rsidR="00B72247" w:rsidRDefault="00B72247" w:rsidP="00B72247">
            <w:pPr>
              <w:rPr>
                <w:b/>
                <w:sz w:val="20"/>
                <w:szCs w:val="20"/>
              </w:rPr>
            </w:pPr>
          </w:p>
        </w:tc>
      </w:tr>
      <w:tr w:rsidR="00B72247" w:rsidRPr="00A935AA" w:rsidTr="003B3977">
        <w:tc>
          <w:tcPr>
            <w:tcW w:w="4320" w:type="dxa"/>
            <w:shd w:val="clear" w:color="auto" w:fill="auto"/>
          </w:tcPr>
          <w:p w:rsidR="00B72247" w:rsidRDefault="00B72247" w:rsidP="00053108">
            <w:pPr>
              <w:tabs>
                <w:tab w:val="left" w:pos="-1440"/>
                <w:tab w:val="left" w:pos="-720"/>
              </w:tabs>
              <w:rPr>
                <w:sz w:val="20"/>
                <w:szCs w:val="20"/>
              </w:rPr>
            </w:pPr>
          </w:p>
          <w:p w:rsidR="00B72247" w:rsidRPr="00B72247" w:rsidRDefault="00B72247" w:rsidP="00053108">
            <w:pPr>
              <w:rPr>
                <w:b/>
                <w:sz w:val="20"/>
                <w:szCs w:val="20"/>
              </w:rPr>
            </w:pPr>
            <w:r w:rsidRPr="00B72247">
              <w:rPr>
                <w:b/>
                <w:sz w:val="20"/>
                <w:szCs w:val="20"/>
              </w:rPr>
              <w:t xml:space="preserve">Mercer International Inc. </w:t>
            </w:r>
          </w:p>
          <w:p w:rsidR="00B72247" w:rsidRPr="00B72247" w:rsidRDefault="00B72247" w:rsidP="00053108">
            <w:pPr>
              <w:tabs>
                <w:tab w:val="left" w:pos="-1440"/>
                <w:tab w:val="left" w:pos="-720"/>
              </w:tabs>
              <w:rPr>
                <w:sz w:val="20"/>
                <w:szCs w:val="20"/>
              </w:rPr>
            </w:pPr>
            <w:r w:rsidRPr="00B72247">
              <w:rPr>
                <w:sz w:val="20"/>
                <w:szCs w:val="20"/>
              </w:rPr>
              <w:tab/>
              <w:t>Sophie Perron</w:t>
            </w:r>
          </w:p>
          <w:p w:rsidR="00B72247" w:rsidRPr="00B72247" w:rsidRDefault="00B72247" w:rsidP="00053108">
            <w:pPr>
              <w:tabs>
                <w:tab w:val="left" w:pos="-1440"/>
                <w:tab w:val="left" w:pos="-720"/>
              </w:tabs>
              <w:rPr>
                <w:sz w:val="20"/>
                <w:szCs w:val="20"/>
              </w:rPr>
            </w:pPr>
            <w:r w:rsidRPr="00B72247">
              <w:rPr>
                <w:sz w:val="20"/>
                <w:szCs w:val="20"/>
              </w:rPr>
              <w:tab/>
              <w:t>Irving Mitchell Kalichman s.e.n.c.r.l.</w:t>
            </w:r>
          </w:p>
          <w:p w:rsidR="00B72247" w:rsidRPr="00B72247" w:rsidRDefault="00B72247" w:rsidP="00053108">
            <w:pPr>
              <w:tabs>
                <w:tab w:val="left" w:pos="-1440"/>
                <w:tab w:val="left" w:pos="-720"/>
              </w:tabs>
              <w:rPr>
                <w:sz w:val="20"/>
                <w:szCs w:val="20"/>
              </w:rPr>
            </w:pPr>
          </w:p>
          <w:p w:rsidR="00B72247" w:rsidRPr="00A935AA" w:rsidRDefault="00B72247" w:rsidP="00053108">
            <w:pPr>
              <w:tabs>
                <w:tab w:val="left" w:pos="-1440"/>
                <w:tab w:val="left" w:pos="-720"/>
              </w:tabs>
              <w:rPr>
                <w:sz w:val="20"/>
                <w:szCs w:val="20"/>
              </w:rPr>
            </w:pPr>
            <w:r w:rsidRPr="00B72247">
              <w:rPr>
                <w:sz w:val="20"/>
                <w:szCs w:val="20"/>
              </w:rPr>
              <w:tab/>
            </w:r>
            <w:r w:rsidRPr="00A935AA">
              <w:rPr>
                <w:sz w:val="20"/>
                <w:szCs w:val="20"/>
              </w:rPr>
              <w:t>v. (3</w:t>
            </w:r>
            <w:r>
              <w:rPr>
                <w:sz w:val="20"/>
                <w:szCs w:val="20"/>
              </w:rPr>
              <w:t>4757</w:t>
            </w:r>
            <w:r w:rsidRPr="00A935AA">
              <w:rPr>
                <w:sz w:val="20"/>
                <w:szCs w:val="20"/>
              </w:rPr>
              <w:t>)</w:t>
            </w:r>
          </w:p>
          <w:p w:rsidR="00B72247" w:rsidRPr="00A935AA" w:rsidRDefault="00B72247" w:rsidP="00053108">
            <w:pPr>
              <w:tabs>
                <w:tab w:val="left" w:pos="-1440"/>
                <w:tab w:val="left" w:pos="-720"/>
              </w:tabs>
              <w:rPr>
                <w:sz w:val="20"/>
                <w:szCs w:val="20"/>
              </w:rPr>
            </w:pPr>
          </w:p>
          <w:p w:rsidR="00B72247" w:rsidRPr="00A935AA" w:rsidRDefault="00B72247" w:rsidP="00053108">
            <w:pPr>
              <w:tabs>
                <w:tab w:val="left" w:pos="-1440"/>
                <w:tab w:val="left" w:pos="-720"/>
              </w:tabs>
              <w:rPr>
                <w:b/>
                <w:sz w:val="20"/>
                <w:szCs w:val="20"/>
              </w:rPr>
            </w:pPr>
            <w:r>
              <w:rPr>
                <w:b/>
                <w:sz w:val="20"/>
                <w:szCs w:val="20"/>
              </w:rPr>
              <w:t>AbitibiBowater Inc., doing business as Resolute Forest Products and RFP Acquisition Inc. (Que.)</w:t>
            </w:r>
          </w:p>
          <w:p w:rsidR="00B72247" w:rsidRPr="00A935AA" w:rsidRDefault="00B72247" w:rsidP="00053108">
            <w:pPr>
              <w:tabs>
                <w:tab w:val="left" w:pos="-1440"/>
                <w:tab w:val="left" w:pos="-720"/>
              </w:tabs>
              <w:rPr>
                <w:sz w:val="20"/>
                <w:szCs w:val="20"/>
              </w:rPr>
            </w:pPr>
            <w:r w:rsidRPr="00A935AA">
              <w:rPr>
                <w:sz w:val="20"/>
                <w:szCs w:val="20"/>
              </w:rPr>
              <w:tab/>
            </w:r>
            <w:r>
              <w:rPr>
                <w:sz w:val="20"/>
                <w:szCs w:val="20"/>
              </w:rPr>
              <w:t>Sophie Melchers</w:t>
            </w:r>
          </w:p>
          <w:p w:rsidR="00B72247" w:rsidRPr="00A935AA" w:rsidRDefault="00B72247" w:rsidP="00053108">
            <w:pPr>
              <w:tabs>
                <w:tab w:val="left" w:pos="-1440"/>
                <w:tab w:val="left" w:pos="-720"/>
              </w:tabs>
              <w:rPr>
                <w:sz w:val="20"/>
                <w:szCs w:val="20"/>
              </w:rPr>
            </w:pPr>
            <w:r w:rsidRPr="00A935AA">
              <w:rPr>
                <w:sz w:val="20"/>
                <w:szCs w:val="20"/>
              </w:rPr>
              <w:tab/>
            </w:r>
            <w:r>
              <w:rPr>
                <w:sz w:val="20"/>
                <w:szCs w:val="20"/>
              </w:rPr>
              <w:t>Norton Rose Canada LLP</w:t>
            </w:r>
          </w:p>
          <w:p w:rsidR="00B72247" w:rsidRPr="00A935AA" w:rsidRDefault="00B72247" w:rsidP="00053108">
            <w:pPr>
              <w:tabs>
                <w:tab w:val="left" w:pos="-1440"/>
                <w:tab w:val="left" w:pos="-720"/>
              </w:tabs>
              <w:rPr>
                <w:sz w:val="20"/>
                <w:szCs w:val="20"/>
              </w:rPr>
            </w:pPr>
          </w:p>
          <w:p w:rsidR="00B72247" w:rsidRPr="00A935AA" w:rsidRDefault="00B72247" w:rsidP="00053108">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4</w:t>
            </w:r>
            <w:r w:rsidRPr="00A935AA">
              <w:rPr>
                <w:sz w:val="20"/>
                <w:szCs w:val="20"/>
              </w:rPr>
              <w:t>.201</w:t>
            </w:r>
            <w:r>
              <w:rPr>
                <w:sz w:val="20"/>
                <w:szCs w:val="20"/>
              </w:rPr>
              <w:t>2</w:t>
            </w:r>
          </w:p>
          <w:p w:rsidR="00B72247" w:rsidRPr="00A935AA" w:rsidRDefault="00A3677B" w:rsidP="00053108">
            <w:pPr>
              <w:rPr>
                <w:sz w:val="20"/>
                <w:szCs w:val="20"/>
              </w:rPr>
            </w:pPr>
            <w:r w:rsidRPr="00A3677B">
              <w:rPr>
                <w:sz w:val="20"/>
                <w:szCs w:val="20"/>
                <w:lang w:val="fr-CA"/>
              </w:rPr>
              <w:pict>
                <v:rect id="_x0000_i1028" style="width:108pt;height:1pt" o:hrpct="0" o:hralign="center" o:hrstd="t" o:hrnoshade="t" o:hr="t" fillcolor="black [3213]" stroked="f"/>
              </w:pict>
            </w:r>
          </w:p>
        </w:tc>
        <w:tc>
          <w:tcPr>
            <w:tcW w:w="1181" w:type="dxa"/>
            <w:shd w:val="clear" w:color="auto" w:fill="auto"/>
          </w:tcPr>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Default="00B72247" w:rsidP="00242AEE">
            <w:pPr>
              <w:jc w:val="center"/>
              <w:rPr>
                <w:sz w:val="20"/>
                <w:szCs w:val="20"/>
              </w:rPr>
            </w:pPr>
          </w:p>
          <w:p w:rsidR="00B72247" w:rsidRPr="00C82B54" w:rsidRDefault="00B72247" w:rsidP="00242AEE">
            <w:pPr>
              <w:jc w:val="center"/>
              <w:rPr>
                <w:sz w:val="20"/>
                <w:szCs w:val="20"/>
              </w:rPr>
            </w:pPr>
          </w:p>
        </w:tc>
        <w:tc>
          <w:tcPr>
            <w:tcW w:w="4320" w:type="dxa"/>
            <w:shd w:val="clear" w:color="auto" w:fill="auto"/>
          </w:tcPr>
          <w:p w:rsidR="00B72247" w:rsidRPr="00A935AA" w:rsidRDefault="00B72247" w:rsidP="00B72247">
            <w:pPr>
              <w:keepNext/>
              <w:keepLines/>
              <w:tabs>
                <w:tab w:val="left" w:pos="-1440"/>
                <w:tab w:val="left" w:pos="-720"/>
              </w:tabs>
              <w:rPr>
                <w:b/>
                <w:sz w:val="20"/>
                <w:szCs w:val="20"/>
              </w:rPr>
            </w:pPr>
            <w:r>
              <w:rPr>
                <w:b/>
                <w:sz w:val="20"/>
                <w:szCs w:val="20"/>
              </w:rPr>
              <w:t>AIC Limited</w:t>
            </w:r>
          </w:p>
          <w:p w:rsidR="00B72247" w:rsidRPr="00A935AA" w:rsidRDefault="00B72247" w:rsidP="00B72247">
            <w:pPr>
              <w:keepNext/>
              <w:keepLines/>
              <w:tabs>
                <w:tab w:val="left" w:pos="-1440"/>
                <w:tab w:val="left" w:pos="-720"/>
              </w:tabs>
              <w:rPr>
                <w:sz w:val="20"/>
                <w:szCs w:val="20"/>
              </w:rPr>
            </w:pPr>
            <w:r w:rsidRPr="00A935AA">
              <w:rPr>
                <w:sz w:val="20"/>
                <w:szCs w:val="20"/>
              </w:rPr>
              <w:tab/>
            </w:r>
            <w:r>
              <w:rPr>
                <w:sz w:val="20"/>
                <w:szCs w:val="20"/>
              </w:rPr>
              <w:t>James D.G. Douglas</w:t>
            </w:r>
          </w:p>
          <w:p w:rsidR="00B72247" w:rsidRPr="00A935AA" w:rsidRDefault="00B72247" w:rsidP="00B72247">
            <w:pPr>
              <w:keepNext/>
              <w:keepLines/>
              <w:tabs>
                <w:tab w:val="left" w:pos="-1440"/>
                <w:tab w:val="left" w:pos="-720"/>
              </w:tabs>
              <w:rPr>
                <w:sz w:val="20"/>
                <w:szCs w:val="20"/>
              </w:rPr>
            </w:pPr>
            <w:r w:rsidRPr="00A935AA">
              <w:rPr>
                <w:sz w:val="20"/>
                <w:szCs w:val="20"/>
              </w:rPr>
              <w:tab/>
            </w:r>
            <w:r>
              <w:rPr>
                <w:sz w:val="20"/>
                <w:szCs w:val="20"/>
              </w:rPr>
              <w:t>Borden Ladner Gervais LLP</w:t>
            </w:r>
          </w:p>
          <w:p w:rsidR="00B72247" w:rsidRPr="00A935AA" w:rsidRDefault="00B72247" w:rsidP="00B72247">
            <w:pPr>
              <w:keepNext/>
              <w:keepLines/>
              <w:tabs>
                <w:tab w:val="left" w:pos="-1440"/>
                <w:tab w:val="left" w:pos="-720"/>
              </w:tabs>
              <w:rPr>
                <w:sz w:val="20"/>
                <w:szCs w:val="20"/>
              </w:rPr>
            </w:pPr>
          </w:p>
          <w:p w:rsidR="00B72247" w:rsidRPr="009E7212" w:rsidRDefault="00B72247" w:rsidP="00B72247">
            <w:pPr>
              <w:keepNext/>
              <w:keepLines/>
              <w:tabs>
                <w:tab w:val="left" w:pos="-1440"/>
                <w:tab w:val="left" w:pos="-720"/>
              </w:tabs>
              <w:rPr>
                <w:sz w:val="20"/>
                <w:szCs w:val="20"/>
              </w:rPr>
            </w:pPr>
            <w:r w:rsidRPr="00A935AA">
              <w:rPr>
                <w:sz w:val="20"/>
                <w:szCs w:val="20"/>
              </w:rPr>
              <w:tab/>
            </w:r>
            <w:r w:rsidRPr="009E7212">
              <w:rPr>
                <w:sz w:val="20"/>
                <w:szCs w:val="20"/>
              </w:rPr>
              <w:t>v. (34738)</w:t>
            </w:r>
          </w:p>
          <w:p w:rsidR="00B72247" w:rsidRPr="009E7212" w:rsidRDefault="00B72247" w:rsidP="00B72247">
            <w:pPr>
              <w:keepNext/>
              <w:keepLines/>
              <w:tabs>
                <w:tab w:val="left" w:pos="-1440"/>
                <w:tab w:val="left" w:pos="-720"/>
              </w:tabs>
              <w:rPr>
                <w:sz w:val="20"/>
                <w:szCs w:val="20"/>
              </w:rPr>
            </w:pPr>
          </w:p>
          <w:p w:rsidR="00B72247" w:rsidRPr="009E7212" w:rsidRDefault="00B72247" w:rsidP="00B72247">
            <w:pPr>
              <w:keepNext/>
              <w:keepLines/>
              <w:tabs>
                <w:tab w:val="left" w:pos="-1440"/>
                <w:tab w:val="left" w:pos="-720"/>
              </w:tabs>
              <w:rPr>
                <w:b/>
                <w:sz w:val="20"/>
                <w:szCs w:val="20"/>
                <w:lang w:val="fr-CA"/>
              </w:rPr>
            </w:pPr>
            <w:r w:rsidRPr="009E7212">
              <w:rPr>
                <w:b/>
                <w:sz w:val="20"/>
                <w:szCs w:val="20"/>
                <w:lang w:val="fr-CA"/>
              </w:rPr>
              <w:t>Dennis Fischer et al.</w:t>
            </w:r>
            <w:r>
              <w:rPr>
                <w:b/>
                <w:sz w:val="20"/>
                <w:szCs w:val="20"/>
                <w:lang w:val="fr-CA"/>
              </w:rPr>
              <w:t xml:space="preserve"> </w:t>
            </w:r>
            <w:r w:rsidRPr="009E7212">
              <w:rPr>
                <w:b/>
                <w:sz w:val="20"/>
                <w:szCs w:val="20"/>
                <w:lang w:val="fr-CA"/>
              </w:rPr>
              <w:t>(Ont.)</w:t>
            </w:r>
          </w:p>
          <w:p w:rsidR="00B72247" w:rsidRPr="0034329E" w:rsidRDefault="00B72247" w:rsidP="00B72247">
            <w:pPr>
              <w:keepNext/>
              <w:keepLines/>
              <w:tabs>
                <w:tab w:val="left" w:pos="-1440"/>
                <w:tab w:val="left" w:pos="-720"/>
              </w:tabs>
              <w:rPr>
                <w:sz w:val="20"/>
                <w:szCs w:val="20"/>
              </w:rPr>
            </w:pPr>
            <w:r w:rsidRPr="009E7212">
              <w:rPr>
                <w:sz w:val="20"/>
                <w:szCs w:val="20"/>
                <w:lang w:val="fr-CA"/>
              </w:rPr>
              <w:tab/>
            </w:r>
            <w:r w:rsidRPr="0034329E">
              <w:rPr>
                <w:sz w:val="20"/>
                <w:szCs w:val="20"/>
              </w:rPr>
              <w:t>Joel P. Rochon</w:t>
            </w:r>
          </w:p>
          <w:p w:rsidR="00B72247" w:rsidRPr="0034329E" w:rsidRDefault="00B72247" w:rsidP="00B72247">
            <w:pPr>
              <w:keepNext/>
              <w:keepLines/>
              <w:tabs>
                <w:tab w:val="left" w:pos="-1440"/>
                <w:tab w:val="left" w:pos="-720"/>
              </w:tabs>
              <w:rPr>
                <w:sz w:val="20"/>
                <w:szCs w:val="20"/>
              </w:rPr>
            </w:pPr>
            <w:r w:rsidRPr="0034329E">
              <w:rPr>
                <w:sz w:val="20"/>
                <w:szCs w:val="20"/>
              </w:rPr>
              <w:tab/>
              <w:t>Rochon Genova</w:t>
            </w:r>
          </w:p>
          <w:p w:rsidR="00B72247" w:rsidRPr="0034329E" w:rsidRDefault="00B72247" w:rsidP="00B72247">
            <w:pPr>
              <w:keepNext/>
              <w:keepLines/>
              <w:tabs>
                <w:tab w:val="left" w:pos="-1440"/>
                <w:tab w:val="left" w:pos="-720"/>
              </w:tabs>
              <w:rPr>
                <w:sz w:val="20"/>
                <w:szCs w:val="20"/>
              </w:rPr>
            </w:pPr>
          </w:p>
          <w:p w:rsidR="00B72247" w:rsidRDefault="00B72247" w:rsidP="00B72247">
            <w:pPr>
              <w:rPr>
                <w:sz w:val="20"/>
                <w:szCs w:val="20"/>
              </w:rPr>
            </w:pPr>
            <w:r>
              <w:rPr>
                <w:sz w:val="20"/>
                <w:szCs w:val="20"/>
              </w:rPr>
              <w:t>a</w:t>
            </w:r>
            <w:r w:rsidRPr="0034329E">
              <w:rPr>
                <w:sz w:val="20"/>
                <w:szCs w:val="20"/>
              </w:rPr>
              <w:t>nd</w:t>
            </w:r>
            <w:r w:rsidRPr="001E74A1">
              <w:rPr>
                <w:sz w:val="20"/>
                <w:szCs w:val="20"/>
              </w:rPr>
              <w:t xml:space="preserve"> between</w:t>
            </w:r>
          </w:p>
          <w:p w:rsidR="00B72247" w:rsidRDefault="00B72247" w:rsidP="00B72247">
            <w:pPr>
              <w:rPr>
                <w:sz w:val="20"/>
                <w:szCs w:val="20"/>
              </w:rPr>
            </w:pPr>
          </w:p>
          <w:p w:rsidR="00B72247" w:rsidRPr="00A935AA" w:rsidRDefault="00B72247" w:rsidP="00B72247">
            <w:pPr>
              <w:keepNext/>
              <w:keepLines/>
              <w:tabs>
                <w:tab w:val="left" w:pos="-1440"/>
                <w:tab w:val="left" w:pos="-720"/>
              </w:tabs>
              <w:rPr>
                <w:b/>
                <w:sz w:val="20"/>
                <w:szCs w:val="20"/>
              </w:rPr>
            </w:pPr>
            <w:r>
              <w:rPr>
                <w:b/>
                <w:sz w:val="20"/>
                <w:szCs w:val="20"/>
              </w:rPr>
              <w:t>CI Mutual Funds Inc.</w:t>
            </w:r>
          </w:p>
          <w:p w:rsidR="00B72247" w:rsidRPr="00A935AA" w:rsidRDefault="00B72247" w:rsidP="00B72247">
            <w:pPr>
              <w:keepNext/>
              <w:keepLines/>
              <w:tabs>
                <w:tab w:val="left" w:pos="-1440"/>
                <w:tab w:val="left" w:pos="-720"/>
              </w:tabs>
              <w:rPr>
                <w:sz w:val="20"/>
                <w:szCs w:val="20"/>
              </w:rPr>
            </w:pPr>
            <w:r w:rsidRPr="00A935AA">
              <w:rPr>
                <w:sz w:val="20"/>
                <w:szCs w:val="20"/>
              </w:rPr>
              <w:tab/>
            </w:r>
            <w:r>
              <w:rPr>
                <w:sz w:val="20"/>
                <w:szCs w:val="20"/>
              </w:rPr>
              <w:t>Benjamin Zarnett</w:t>
            </w:r>
          </w:p>
          <w:p w:rsidR="00B72247" w:rsidRPr="001E74A1" w:rsidRDefault="00B72247" w:rsidP="00B72247">
            <w:pPr>
              <w:keepNext/>
              <w:keepLines/>
              <w:tabs>
                <w:tab w:val="left" w:pos="-1440"/>
                <w:tab w:val="left" w:pos="-720"/>
              </w:tabs>
              <w:rPr>
                <w:sz w:val="20"/>
                <w:szCs w:val="20"/>
                <w:lang w:val="fr-CA"/>
              </w:rPr>
            </w:pPr>
            <w:r w:rsidRPr="00A935AA">
              <w:rPr>
                <w:sz w:val="20"/>
                <w:szCs w:val="20"/>
              </w:rPr>
              <w:tab/>
            </w:r>
            <w:r w:rsidRPr="001E74A1">
              <w:rPr>
                <w:sz w:val="20"/>
                <w:szCs w:val="20"/>
                <w:lang w:val="fr-CA"/>
              </w:rPr>
              <w:t>Goodmans LLP</w:t>
            </w:r>
          </w:p>
          <w:p w:rsidR="00B72247" w:rsidRPr="001E74A1" w:rsidRDefault="00B72247" w:rsidP="00B72247">
            <w:pPr>
              <w:keepNext/>
              <w:keepLines/>
              <w:tabs>
                <w:tab w:val="left" w:pos="-1440"/>
                <w:tab w:val="left" w:pos="-720"/>
              </w:tabs>
              <w:rPr>
                <w:sz w:val="20"/>
                <w:szCs w:val="20"/>
                <w:lang w:val="fr-CA"/>
              </w:rPr>
            </w:pPr>
          </w:p>
          <w:p w:rsidR="00B72247" w:rsidRPr="001E74A1" w:rsidRDefault="00B72247" w:rsidP="00B72247">
            <w:pPr>
              <w:keepNext/>
              <w:keepLines/>
              <w:tabs>
                <w:tab w:val="left" w:pos="-1440"/>
                <w:tab w:val="left" w:pos="-720"/>
              </w:tabs>
              <w:rPr>
                <w:sz w:val="20"/>
                <w:szCs w:val="20"/>
                <w:lang w:val="fr-CA"/>
              </w:rPr>
            </w:pPr>
            <w:r w:rsidRPr="001E74A1">
              <w:rPr>
                <w:sz w:val="20"/>
                <w:szCs w:val="20"/>
                <w:lang w:val="fr-CA"/>
              </w:rPr>
              <w:tab/>
              <w:t>v. (34738)</w:t>
            </w:r>
          </w:p>
          <w:p w:rsidR="00B72247" w:rsidRPr="001E74A1" w:rsidRDefault="00B72247" w:rsidP="00B72247">
            <w:pPr>
              <w:keepNext/>
              <w:keepLines/>
              <w:tabs>
                <w:tab w:val="left" w:pos="-1440"/>
                <w:tab w:val="left" w:pos="-720"/>
              </w:tabs>
              <w:rPr>
                <w:sz w:val="20"/>
                <w:szCs w:val="20"/>
                <w:lang w:val="fr-CA"/>
              </w:rPr>
            </w:pPr>
          </w:p>
          <w:p w:rsidR="00B72247" w:rsidRPr="0034329E" w:rsidRDefault="00B72247" w:rsidP="00B72247">
            <w:pPr>
              <w:keepNext/>
              <w:keepLines/>
              <w:tabs>
                <w:tab w:val="left" w:pos="-1440"/>
                <w:tab w:val="left" w:pos="-720"/>
              </w:tabs>
              <w:rPr>
                <w:b/>
                <w:sz w:val="20"/>
                <w:szCs w:val="20"/>
                <w:lang w:val="fr-CA"/>
              </w:rPr>
            </w:pPr>
            <w:r w:rsidRPr="001E74A1">
              <w:rPr>
                <w:b/>
                <w:sz w:val="20"/>
                <w:szCs w:val="20"/>
                <w:lang w:val="fr-CA"/>
              </w:rPr>
              <w:t>Dennis Fischer et al. (Ont.</w:t>
            </w:r>
            <w:r w:rsidRPr="0034329E">
              <w:rPr>
                <w:b/>
                <w:sz w:val="20"/>
                <w:szCs w:val="20"/>
                <w:lang w:val="fr-CA"/>
              </w:rPr>
              <w:t>)</w:t>
            </w:r>
          </w:p>
          <w:p w:rsidR="00B72247" w:rsidRPr="0034329E" w:rsidRDefault="00B72247" w:rsidP="00B72247">
            <w:pPr>
              <w:keepNext/>
              <w:keepLines/>
              <w:tabs>
                <w:tab w:val="left" w:pos="-1440"/>
                <w:tab w:val="left" w:pos="-720"/>
              </w:tabs>
              <w:rPr>
                <w:sz w:val="20"/>
                <w:szCs w:val="20"/>
              </w:rPr>
            </w:pPr>
            <w:r w:rsidRPr="0034329E">
              <w:rPr>
                <w:sz w:val="20"/>
                <w:szCs w:val="20"/>
                <w:lang w:val="fr-CA"/>
              </w:rPr>
              <w:tab/>
            </w:r>
            <w:r w:rsidRPr="0034329E">
              <w:rPr>
                <w:sz w:val="20"/>
                <w:szCs w:val="20"/>
              </w:rPr>
              <w:t>Joel P. Rochon</w:t>
            </w:r>
          </w:p>
          <w:p w:rsidR="00B72247" w:rsidRPr="0034329E" w:rsidRDefault="00B72247" w:rsidP="00B72247">
            <w:pPr>
              <w:keepNext/>
              <w:keepLines/>
              <w:tabs>
                <w:tab w:val="left" w:pos="-1440"/>
                <w:tab w:val="left" w:pos="-720"/>
              </w:tabs>
              <w:rPr>
                <w:sz w:val="20"/>
                <w:szCs w:val="20"/>
              </w:rPr>
            </w:pPr>
            <w:r w:rsidRPr="0034329E">
              <w:rPr>
                <w:sz w:val="20"/>
                <w:szCs w:val="20"/>
              </w:rPr>
              <w:tab/>
              <w:t>Rochon</w:t>
            </w:r>
            <w:r>
              <w:rPr>
                <w:sz w:val="20"/>
                <w:szCs w:val="20"/>
              </w:rPr>
              <w:t>,</w:t>
            </w:r>
            <w:r w:rsidRPr="0034329E">
              <w:rPr>
                <w:sz w:val="20"/>
                <w:szCs w:val="20"/>
              </w:rPr>
              <w:t xml:space="preserve"> Genova</w:t>
            </w:r>
          </w:p>
          <w:p w:rsidR="00B72247" w:rsidRPr="0034329E" w:rsidRDefault="00B72247" w:rsidP="00B72247">
            <w:pPr>
              <w:keepNext/>
              <w:keepLines/>
              <w:tabs>
                <w:tab w:val="left" w:pos="-1440"/>
                <w:tab w:val="left" w:pos="-720"/>
              </w:tabs>
              <w:rPr>
                <w:sz w:val="20"/>
                <w:szCs w:val="20"/>
              </w:rPr>
            </w:pPr>
          </w:p>
          <w:p w:rsidR="00B72247" w:rsidRDefault="00B72247" w:rsidP="00B72247">
            <w:pPr>
              <w:rPr>
                <w:sz w:val="20"/>
                <w:szCs w:val="20"/>
              </w:rPr>
            </w:pPr>
            <w:r w:rsidRPr="00A935AA">
              <w:rPr>
                <w:sz w:val="20"/>
                <w:szCs w:val="20"/>
              </w:rPr>
              <w:t>FILING DATE: 2</w:t>
            </w:r>
            <w:r>
              <w:rPr>
                <w:sz w:val="20"/>
                <w:szCs w:val="20"/>
              </w:rPr>
              <w:t>7</w:t>
            </w:r>
            <w:r w:rsidRPr="00A935AA">
              <w:rPr>
                <w:sz w:val="20"/>
                <w:szCs w:val="20"/>
              </w:rPr>
              <w:t>.0</w:t>
            </w:r>
            <w:r>
              <w:rPr>
                <w:sz w:val="20"/>
                <w:szCs w:val="20"/>
              </w:rPr>
              <w:t>3</w:t>
            </w:r>
            <w:r w:rsidRPr="00A935AA">
              <w:rPr>
                <w:sz w:val="20"/>
                <w:szCs w:val="20"/>
              </w:rPr>
              <w:t>.201</w:t>
            </w:r>
            <w:r>
              <w:rPr>
                <w:sz w:val="20"/>
                <w:szCs w:val="20"/>
              </w:rPr>
              <w:t>2</w:t>
            </w:r>
          </w:p>
          <w:p w:rsidR="00B72247" w:rsidRPr="00A935AA" w:rsidRDefault="00A3677B" w:rsidP="00B72247">
            <w:pPr>
              <w:rPr>
                <w:sz w:val="20"/>
                <w:szCs w:val="20"/>
              </w:rPr>
            </w:pPr>
            <w:r w:rsidRPr="00A3677B">
              <w:rPr>
                <w:sz w:val="20"/>
                <w:szCs w:val="20"/>
                <w:lang w:val="fr-CA"/>
              </w:rPr>
              <w:pict>
                <v:rect id="_x0000_i1029"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B172E">
          <w:headerReference w:type="default" r:id="rId16"/>
          <w:footerReference w:type="default" r:id="rId17"/>
          <w:headerReference w:type="first" r:id="rId18"/>
          <w:footerReference w:type="first" r:id="rId19"/>
          <w:pgSz w:w="12240" w:h="15840"/>
          <w:pgMar w:top="720" w:right="965" w:bottom="1080" w:left="1656" w:header="706" w:footer="706" w:gutter="0"/>
          <w:pgNumType w:start="58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6B3AE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6E4E0C" w:rsidP="004B7F60">
      <w:pPr>
        <w:widowControl w:val="0"/>
        <w:rPr>
          <w:b/>
          <w:sz w:val="20"/>
          <w:szCs w:val="20"/>
        </w:rPr>
      </w:pPr>
      <w:r>
        <w:rPr>
          <w:b/>
          <w:sz w:val="20"/>
          <w:szCs w:val="20"/>
        </w:rPr>
        <w:t>APRIL</w:t>
      </w:r>
      <w:r w:rsidR="004B7F60" w:rsidRPr="00C50A5C">
        <w:rPr>
          <w:b/>
          <w:sz w:val="20"/>
          <w:szCs w:val="20"/>
        </w:rPr>
        <w:t xml:space="preserve"> </w:t>
      </w:r>
      <w:r>
        <w:rPr>
          <w:b/>
          <w:sz w:val="20"/>
          <w:szCs w:val="20"/>
        </w:rPr>
        <w:t>1</w:t>
      </w:r>
      <w:r w:rsidR="00FC0744">
        <w:rPr>
          <w:b/>
          <w:sz w:val="20"/>
          <w:szCs w:val="20"/>
        </w:rPr>
        <w:t>6</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w:t>
      </w:r>
      <w:r w:rsidR="00FC0744">
        <w:rPr>
          <w:b/>
          <w:sz w:val="20"/>
          <w:szCs w:val="20"/>
        </w:rPr>
        <w:t>6</w:t>
      </w:r>
      <w:r w:rsidR="004B7F60">
        <w:rPr>
          <w:b/>
          <w:sz w:val="20"/>
          <w:szCs w:val="20"/>
        </w:rPr>
        <w:t xml:space="preserve"> </w:t>
      </w:r>
      <w:r>
        <w:rPr>
          <w:b/>
          <w:sz w:val="20"/>
          <w:szCs w:val="20"/>
        </w:rPr>
        <w:t>A</w:t>
      </w:r>
      <w:r w:rsidR="004B7F60">
        <w:rPr>
          <w:b/>
          <w:sz w:val="20"/>
          <w:szCs w:val="20"/>
        </w:rPr>
        <w:t>VR</w:t>
      </w:r>
      <w:r>
        <w:rPr>
          <w:b/>
          <w:sz w:val="20"/>
          <w:szCs w:val="20"/>
        </w:rPr>
        <w:t>IL</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FC0744" w:rsidP="004B7F60">
      <w:pPr>
        <w:pStyle w:val="ListParagraph"/>
        <w:widowControl w:val="0"/>
        <w:numPr>
          <w:ilvl w:val="0"/>
          <w:numId w:val="1"/>
        </w:numPr>
        <w:ind w:hanging="720"/>
        <w:jc w:val="both"/>
        <w:rPr>
          <w:sz w:val="20"/>
          <w:szCs w:val="20"/>
        </w:rPr>
      </w:pPr>
      <w:r w:rsidRPr="00FC0744">
        <w:rPr>
          <w:i/>
          <w:sz w:val="20"/>
          <w:szCs w:val="20"/>
        </w:rPr>
        <w:t>Diane Knopf, Warden of Mission Institution et al. v. Glen Phillip Foster</w:t>
      </w:r>
      <w:r w:rsidRPr="00A71EA7">
        <w:rPr>
          <w:sz w:val="20"/>
          <w:szCs w:val="20"/>
        </w:rPr>
        <w:t xml:space="preserve"> (B.C.) (Crim</w:t>
      </w:r>
      <w:r>
        <w:rPr>
          <w:sz w:val="20"/>
          <w:szCs w:val="20"/>
        </w:rPr>
        <w:t>.</w:t>
      </w:r>
      <w:r w:rsidRPr="00A71EA7">
        <w:rPr>
          <w:sz w:val="20"/>
          <w:szCs w:val="20"/>
        </w:rPr>
        <w:t>) (By Leave)</w:t>
      </w:r>
      <w:r>
        <w:rPr>
          <w:sz w:val="20"/>
          <w:szCs w:val="20"/>
        </w:rPr>
        <w:t xml:space="preserve"> </w:t>
      </w:r>
      <w:r w:rsidR="004B7F60" w:rsidRPr="00C50A5C">
        <w:rPr>
          <w:sz w:val="20"/>
          <w:szCs w:val="20"/>
        </w:rPr>
        <w:t>(3</w:t>
      </w:r>
      <w:r w:rsidR="004B7F60">
        <w:rPr>
          <w:sz w:val="20"/>
          <w:szCs w:val="20"/>
        </w:rPr>
        <w:t>4</w:t>
      </w:r>
      <w:r>
        <w:rPr>
          <w:sz w:val="20"/>
          <w:szCs w:val="20"/>
        </w:rPr>
        <w:t>608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FC0744" w:rsidP="004B7F60">
      <w:pPr>
        <w:pStyle w:val="ListParagraph"/>
        <w:widowControl w:val="0"/>
        <w:numPr>
          <w:ilvl w:val="0"/>
          <w:numId w:val="1"/>
        </w:numPr>
        <w:ind w:hanging="720"/>
        <w:jc w:val="both"/>
        <w:rPr>
          <w:sz w:val="20"/>
          <w:szCs w:val="20"/>
        </w:rPr>
      </w:pPr>
      <w:r w:rsidRPr="00FC0744">
        <w:rPr>
          <w:i/>
          <w:sz w:val="20"/>
          <w:szCs w:val="20"/>
        </w:rPr>
        <w:t>Diane Knopf, Warden of Mission Institution et al. v. Jonathan Zuria</w:t>
      </w:r>
      <w:r w:rsidRPr="00A71EA7">
        <w:rPr>
          <w:sz w:val="20"/>
          <w:szCs w:val="20"/>
        </w:rPr>
        <w:t xml:space="preserve"> (B.C.) (Crim</w:t>
      </w:r>
      <w:r>
        <w:rPr>
          <w:sz w:val="20"/>
          <w:szCs w:val="20"/>
        </w:rPr>
        <w:t>.</w:t>
      </w:r>
      <w:r w:rsidRPr="00A71EA7">
        <w:rPr>
          <w:sz w:val="20"/>
          <w:szCs w:val="20"/>
        </w:rPr>
        <w:t>) (By Leave)</w:t>
      </w:r>
      <w:r w:rsidRPr="00C612D0">
        <w:rPr>
          <w:sz w:val="20"/>
          <w:szCs w:val="20"/>
        </w:rPr>
        <w:t xml:space="preserve"> </w:t>
      </w:r>
      <w:r w:rsidR="004B7F60" w:rsidRPr="00C612D0">
        <w:rPr>
          <w:sz w:val="20"/>
          <w:szCs w:val="20"/>
        </w:rPr>
        <w:t>(34</w:t>
      </w:r>
      <w:r>
        <w:rPr>
          <w:sz w:val="20"/>
          <w:szCs w:val="20"/>
        </w:rPr>
        <w:t>607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FC0744" w:rsidP="004B7F60">
      <w:pPr>
        <w:pStyle w:val="ListParagraph"/>
        <w:widowControl w:val="0"/>
        <w:numPr>
          <w:ilvl w:val="0"/>
          <w:numId w:val="1"/>
        </w:numPr>
        <w:ind w:hanging="720"/>
        <w:jc w:val="both"/>
        <w:rPr>
          <w:sz w:val="20"/>
          <w:szCs w:val="20"/>
        </w:rPr>
      </w:pPr>
      <w:r w:rsidRPr="00FC0744">
        <w:rPr>
          <w:i/>
          <w:sz w:val="20"/>
          <w:szCs w:val="20"/>
        </w:rPr>
        <w:t>Diane Knopf, Warden of Mission Institution et al. v. Gurkirpal Singh Khela</w:t>
      </w:r>
      <w:r w:rsidRPr="00A71EA7">
        <w:rPr>
          <w:sz w:val="20"/>
          <w:szCs w:val="20"/>
        </w:rPr>
        <w:t xml:space="preserve"> (B.C.) (Crim</w:t>
      </w:r>
      <w:r>
        <w:rPr>
          <w:sz w:val="20"/>
          <w:szCs w:val="20"/>
        </w:rPr>
        <w:t>.</w:t>
      </w:r>
      <w:r w:rsidRPr="00A71EA7">
        <w:rPr>
          <w:sz w:val="20"/>
          <w:szCs w:val="20"/>
        </w:rPr>
        <w:t>) (By Leave)</w:t>
      </w:r>
      <w:r w:rsidRPr="00940CAD">
        <w:rPr>
          <w:sz w:val="20"/>
          <w:szCs w:val="20"/>
        </w:rPr>
        <w:t xml:space="preserve"> </w:t>
      </w:r>
      <w:r w:rsidR="004B7F60" w:rsidRPr="00940CAD">
        <w:rPr>
          <w:sz w:val="20"/>
          <w:szCs w:val="20"/>
        </w:rPr>
        <w:t>(346</w:t>
      </w:r>
      <w:r>
        <w:rPr>
          <w:sz w:val="20"/>
          <w:szCs w:val="20"/>
        </w:rPr>
        <w:t>09</w:t>
      </w:r>
      <w:r w:rsidR="004B7F60" w:rsidRPr="00940CAD">
        <w:rPr>
          <w:sz w:val="20"/>
          <w:szCs w:val="20"/>
        </w:rPr>
        <w:t>)</w:t>
      </w:r>
    </w:p>
    <w:p w:rsidR="004B7F60" w:rsidRDefault="004B7F60" w:rsidP="004B7F60">
      <w:pPr>
        <w:widowControl w:val="0"/>
        <w:rPr>
          <w:sz w:val="20"/>
          <w:szCs w:val="20"/>
        </w:rPr>
      </w:pPr>
    </w:p>
    <w:p w:rsidR="00FC0744" w:rsidRDefault="00FC0744" w:rsidP="004B7F60">
      <w:pPr>
        <w:widowControl w:val="0"/>
        <w:rPr>
          <w:sz w:val="20"/>
          <w:szCs w:val="20"/>
        </w:rPr>
      </w:pPr>
    </w:p>
    <w:p w:rsidR="00FC0744" w:rsidRPr="00C50A5C" w:rsidRDefault="00FC0744" w:rsidP="00FC0744">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FC0744" w:rsidRPr="00C50A5C" w:rsidRDefault="00FC0744" w:rsidP="00FC0744">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FC0744" w:rsidRPr="00FC0744" w:rsidRDefault="00FC0744" w:rsidP="004B7F60">
      <w:pPr>
        <w:widowControl w:val="0"/>
        <w:rPr>
          <w:sz w:val="20"/>
          <w:szCs w:val="20"/>
          <w:lang w:val="fr-CA"/>
        </w:rPr>
      </w:pPr>
    </w:p>
    <w:p w:rsidR="004B7F60" w:rsidRPr="00C50A5C" w:rsidRDefault="00FC0744" w:rsidP="004B7F60">
      <w:pPr>
        <w:pStyle w:val="ListParagraph"/>
        <w:widowControl w:val="0"/>
        <w:numPr>
          <w:ilvl w:val="0"/>
          <w:numId w:val="1"/>
        </w:numPr>
        <w:ind w:hanging="720"/>
        <w:jc w:val="both"/>
        <w:rPr>
          <w:sz w:val="20"/>
          <w:szCs w:val="20"/>
        </w:rPr>
      </w:pPr>
      <w:r w:rsidRPr="00FC0744">
        <w:rPr>
          <w:i/>
          <w:sz w:val="20"/>
          <w:szCs w:val="20"/>
        </w:rPr>
        <w:t>Merck Frosst Canada &amp; Co. v. Apotex Inc.</w:t>
      </w:r>
      <w:r w:rsidRPr="00A71EA7">
        <w:rPr>
          <w:sz w:val="20"/>
          <w:szCs w:val="20"/>
        </w:rPr>
        <w:t xml:space="preserve"> (F</w:t>
      </w:r>
      <w:r>
        <w:rPr>
          <w:sz w:val="20"/>
          <w:szCs w:val="20"/>
        </w:rPr>
        <w:t>.</w:t>
      </w:r>
      <w:r w:rsidRPr="00A71EA7">
        <w:rPr>
          <w:sz w:val="20"/>
          <w:szCs w:val="20"/>
        </w:rPr>
        <w:t>C</w:t>
      </w:r>
      <w:r>
        <w:rPr>
          <w:sz w:val="20"/>
          <w:szCs w:val="20"/>
        </w:rPr>
        <w:t>.</w:t>
      </w:r>
      <w:r w:rsidRPr="00A71EA7">
        <w:rPr>
          <w:sz w:val="20"/>
          <w:szCs w:val="20"/>
        </w:rPr>
        <w:t>) (Civil) (By Leave)</w:t>
      </w:r>
      <w:r w:rsidRPr="00C50A5C">
        <w:rPr>
          <w:sz w:val="20"/>
          <w:szCs w:val="20"/>
        </w:rPr>
        <w:t xml:space="preserve"> </w:t>
      </w:r>
      <w:r w:rsidR="004B7F60" w:rsidRPr="00C50A5C">
        <w:rPr>
          <w:sz w:val="20"/>
          <w:szCs w:val="20"/>
        </w:rPr>
        <w:t>(3</w:t>
      </w:r>
      <w:r w:rsidR="004B7F60">
        <w:rPr>
          <w:sz w:val="20"/>
          <w:szCs w:val="20"/>
        </w:rPr>
        <w:t>46</w:t>
      </w:r>
      <w:r>
        <w:rPr>
          <w:sz w:val="20"/>
          <w:szCs w:val="20"/>
        </w:rPr>
        <w:t>27</w:t>
      </w:r>
      <w:r w:rsidR="004B7F60" w:rsidRPr="00C50A5C">
        <w:rPr>
          <w:sz w:val="20"/>
          <w:szCs w:val="20"/>
        </w:rPr>
        <w:t>)</w:t>
      </w:r>
    </w:p>
    <w:p w:rsidR="004B7F60" w:rsidRPr="00FC0744" w:rsidRDefault="004B7F60" w:rsidP="004B7F60">
      <w:pPr>
        <w:widowControl w:val="0"/>
        <w:jc w:val="both"/>
        <w:rPr>
          <w:sz w:val="20"/>
          <w:szCs w:val="20"/>
        </w:rPr>
      </w:pPr>
    </w:p>
    <w:p w:rsidR="004B7F60" w:rsidRPr="00FC0744" w:rsidRDefault="00FC0744" w:rsidP="004B7F60">
      <w:pPr>
        <w:pStyle w:val="ListParagraph"/>
        <w:widowControl w:val="0"/>
        <w:numPr>
          <w:ilvl w:val="0"/>
          <w:numId w:val="1"/>
        </w:numPr>
        <w:ind w:hanging="720"/>
        <w:jc w:val="both"/>
        <w:rPr>
          <w:sz w:val="20"/>
          <w:szCs w:val="20"/>
        </w:rPr>
      </w:pPr>
      <w:r w:rsidRPr="00FC0744">
        <w:rPr>
          <w:i/>
          <w:sz w:val="20"/>
          <w:szCs w:val="20"/>
        </w:rPr>
        <w:t>Reverend Brian Hart v. Roman Catholic Episcopal Corporation of the Diocese of Kingston, in Canada</w:t>
      </w:r>
      <w:r w:rsidRPr="00A71EA7">
        <w:rPr>
          <w:sz w:val="20"/>
          <w:szCs w:val="20"/>
        </w:rPr>
        <w:t xml:space="preserve"> (Ont.) (Civil) (By Leave)</w:t>
      </w:r>
      <w:r w:rsidRPr="00FC0744">
        <w:rPr>
          <w:sz w:val="20"/>
          <w:szCs w:val="20"/>
        </w:rPr>
        <w:t xml:space="preserve"> </w:t>
      </w:r>
      <w:r w:rsidR="004B7F60" w:rsidRPr="00FC0744">
        <w:rPr>
          <w:sz w:val="20"/>
          <w:szCs w:val="20"/>
        </w:rPr>
        <w:t>(346</w:t>
      </w:r>
      <w:r w:rsidRPr="00FC0744">
        <w:rPr>
          <w:sz w:val="20"/>
          <w:szCs w:val="20"/>
        </w:rPr>
        <w:t>25</w:t>
      </w:r>
      <w:r w:rsidR="004B7F60" w:rsidRPr="00FC0744">
        <w:rPr>
          <w:sz w:val="20"/>
          <w:szCs w:val="20"/>
        </w:rPr>
        <w:t>)</w:t>
      </w:r>
    </w:p>
    <w:p w:rsidR="004B7F60" w:rsidRPr="00FC0744" w:rsidRDefault="004B7F60" w:rsidP="004B7F60">
      <w:pPr>
        <w:widowControl w:val="0"/>
        <w:rPr>
          <w:sz w:val="20"/>
          <w:szCs w:val="20"/>
        </w:rPr>
      </w:pPr>
    </w:p>
    <w:p w:rsidR="004B7F60" w:rsidRPr="00FC0744" w:rsidRDefault="00FC0744" w:rsidP="004B7F60">
      <w:pPr>
        <w:pStyle w:val="ListParagraph"/>
        <w:widowControl w:val="0"/>
        <w:numPr>
          <w:ilvl w:val="0"/>
          <w:numId w:val="1"/>
        </w:numPr>
        <w:ind w:hanging="720"/>
        <w:jc w:val="both"/>
        <w:rPr>
          <w:sz w:val="20"/>
          <w:szCs w:val="20"/>
        </w:rPr>
      </w:pPr>
      <w:r w:rsidRPr="00FC0744">
        <w:rPr>
          <w:i/>
          <w:sz w:val="20"/>
          <w:szCs w:val="20"/>
        </w:rPr>
        <w:t>Greenway Estates Homes Ltd. v. William McDonald et al.</w:t>
      </w:r>
      <w:r w:rsidRPr="00A71EA7">
        <w:rPr>
          <w:sz w:val="20"/>
          <w:szCs w:val="20"/>
        </w:rPr>
        <w:t xml:space="preserve"> (Ont.) (Civil) (By Leave)</w:t>
      </w:r>
      <w:r w:rsidRPr="00FC0744">
        <w:rPr>
          <w:sz w:val="20"/>
          <w:szCs w:val="20"/>
        </w:rPr>
        <w:t xml:space="preserve"> </w:t>
      </w:r>
      <w:r w:rsidR="004B7F60" w:rsidRPr="00FC0744">
        <w:rPr>
          <w:sz w:val="20"/>
          <w:szCs w:val="20"/>
        </w:rPr>
        <w:t>(34</w:t>
      </w:r>
      <w:r w:rsidRPr="00FC0744">
        <w:rPr>
          <w:sz w:val="20"/>
          <w:szCs w:val="20"/>
        </w:rPr>
        <w:t>690</w:t>
      </w:r>
      <w:r w:rsidR="004B7F60" w:rsidRPr="00FC0744">
        <w:rPr>
          <w:sz w:val="20"/>
          <w:szCs w:val="20"/>
        </w:rPr>
        <w:t>)</w:t>
      </w:r>
    </w:p>
    <w:p w:rsidR="004B7F60" w:rsidRPr="00FC0744" w:rsidRDefault="004B7F60" w:rsidP="004B7F60">
      <w:pPr>
        <w:widowControl w:val="0"/>
        <w:jc w:val="both"/>
        <w:rPr>
          <w:sz w:val="20"/>
          <w:szCs w:val="20"/>
        </w:rPr>
      </w:pPr>
    </w:p>
    <w:p w:rsidR="00FC0744" w:rsidRPr="00FC0744" w:rsidRDefault="00FC0744" w:rsidP="004B7F60">
      <w:pPr>
        <w:widowControl w:val="0"/>
        <w:jc w:val="both"/>
        <w:rPr>
          <w:sz w:val="20"/>
          <w:szCs w:val="20"/>
        </w:rPr>
      </w:pPr>
    </w:p>
    <w:p w:rsidR="00FC0744" w:rsidRPr="00C50A5C" w:rsidRDefault="00FC0744" w:rsidP="00FC0744">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FC0744" w:rsidRPr="00C50A5C" w:rsidRDefault="00FC0744" w:rsidP="00FC0744">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FC0744" w:rsidRPr="00115C9E" w:rsidRDefault="00FC0744" w:rsidP="004B7F60">
      <w:pPr>
        <w:widowControl w:val="0"/>
        <w:jc w:val="both"/>
        <w:rPr>
          <w:sz w:val="20"/>
          <w:szCs w:val="20"/>
          <w:lang w:val="fr-CA"/>
        </w:rPr>
      </w:pPr>
    </w:p>
    <w:p w:rsidR="004B7F60" w:rsidRPr="00115C9E" w:rsidRDefault="00FC0744" w:rsidP="004B7F60">
      <w:pPr>
        <w:pStyle w:val="ListParagraph"/>
        <w:widowControl w:val="0"/>
        <w:numPr>
          <w:ilvl w:val="0"/>
          <w:numId w:val="1"/>
        </w:numPr>
        <w:ind w:hanging="720"/>
        <w:jc w:val="both"/>
        <w:rPr>
          <w:sz w:val="20"/>
          <w:szCs w:val="20"/>
          <w:lang w:val="fr-CA"/>
        </w:rPr>
      </w:pPr>
      <w:r w:rsidRPr="00EF1BFB">
        <w:rPr>
          <w:i/>
          <w:sz w:val="20"/>
          <w:szCs w:val="20"/>
          <w:lang w:val="fr-CA"/>
        </w:rPr>
        <w:t xml:space="preserve">Tri-Caddi International Inc. </w:t>
      </w:r>
      <w:r w:rsidR="00EF1BFB" w:rsidRPr="00D027E3">
        <w:rPr>
          <w:i/>
          <w:sz w:val="20"/>
          <w:szCs w:val="20"/>
          <w:lang w:val="fr-CA"/>
        </w:rPr>
        <w:t>v. Sunrise Tradex Corporation</w:t>
      </w:r>
      <w:r w:rsidR="00EF1BFB" w:rsidRPr="00D027E3">
        <w:rPr>
          <w:sz w:val="20"/>
          <w:szCs w:val="20"/>
          <w:lang w:val="fr-CA"/>
        </w:rPr>
        <w:t xml:space="preserve"> </w:t>
      </w:r>
      <w:r w:rsidRPr="00D027E3">
        <w:rPr>
          <w:sz w:val="20"/>
          <w:szCs w:val="20"/>
          <w:lang w:val="fr-CA"/>
        </w:rPr>
        <w:t xml:space="preserve">(Que.) </w:t>
      </w:r>
      <w:r w:rsidRPr="00FC0744">
        <w:rPr>
          <w:sz w:val="20"/>
          <w:szCs w:val="20"/>
        </w:rPr>
        <w:t>(Civil) (By Leave)</w:t>
      </w:r>
      <w:r w:rsidRPr="00115C9E">
        <w:rPr>
          <w:sz w:val="20"/>
          <w:szCs w:val="20"/>
          <w:lang w:val="fr-CA"/>
        </w:rPr>
        <w:t xml:space="preserve"> </w:t>
      </w:r>
      <w:r w:rsidR="004B7F60" w:rsidRPr="00115C9E">
        <w:rPr>
          <w:sz w:val="20"/>
          <w:szCs w:val="20"/>
          <w:lang w:val="fr-CA"/>
        </w:rPr>
        <w:t>(34</w:t>
      </w:r>
      <w:r>
        <w:rPr>
          <w:sz w:val="20"/>
          <w:szCs w:val="20"/>
          <w:lang w:val="fr-CA"/>
        </w:rPr>
        <w:t>60</w:t>
      </w:r>
      <w:r w:rsidR="004B7F60" w:rsidRPr="00115C9E">
        <w:rPr>
          <w:sz w:val="20"/>
          <w:szCs w:val="20"/>
          <w:lang w:val="fr-CA"/>
        </w:rPr>
        <w:t>5)</w:t>
      </w:r>
    </w:p>
    <w:p w:rsidR="004B7F60" w:rsidRPr="00115C9E" w:rsidRDefault="004B7F60" w:rsidP="004B7F60">
      <w:pPr>
        <w:widowControl w:val="0"/>
        <w:jc w:val="both"/>
        <w:rPr>
          <w:sz w:val="20"/>
          <w:szCs w:val="20"/>
          <w:lang w:val="fr-CA"/>
        </w:rPr>
      </w:pPr>
    </w:p>
    <w:p w:rsidR="004B7F60" w:rsidRPr="00C50A5C" w:rsidRDefault="00EF1BFB" w:rsidP="004B7F60">
      <w:pPr>
        <w:pStyle w:val="ListParagraph"/>
        <w:widowControl w:val="0"/>
        <w:numPr>
          <w:ilvl w:val="0"/>
          <w:numId w:val="1"/>
        </w:numPr>
        <w:ind w:hanging="720"/>
        <w:jc w:val="both"/>
        <w:rPr>
          <w:sz w:val="20"/>
          <w:szCs w:val="20"/>
          <w:lang w:val="fr-CA"/>
        </w:rPr>
      </w:pPr>
      <w:r w:rsidRPr="00EF1BFB">
        <w:rPr>
          <w:i/>
          <w:sz w:val="20"/>
          <w:szCs w:val="20"/>
          <w:lang w:val="fr-CA"/>
        </w:rPr>
        <w:t>Émile Lavallée c. Yvan Simard et autre</w:t>
      </w:r>
      <w:r w:rsidRPr="00A71EA7">
        <w:rPr>
          <w:sz w:val="20"/>
          <w:szCs w:val="20"/>
          <w:lang w:val="fr-CA"/>
        </w:rPr>
        <w:t xml:space="preserve"> (Qc) (Civile) (Autorisation)</w:t>
      </w:r>
      <w:r>
        <w:rPr>
          <w:sz w:val="20"/>
          <w:szCs w:val="20"/>
          <w:lang w:val="fr-CA"/>
        </w:rPr>
        <w:t xml:space="preserve"> </w:t>
      </w:r>
      <w:r w:rsidR="004B7F60" w:rsidRPr="00C50A5C">
        <w:rPr>
          <w:sz w:val="20"/>
          <w:szCs w:val="20"/>
          <w:lang w:val="fr-CA"/>
        </w:rPr>
        <w:t>(3</w:t>
      </w:r>
      <w:r w:rsidR="004B7F60">
        <w:rPr>
          <w:sz w:val="20"/>
          <w:szCs w:val="20"/>
          <w:lang w:val="fr-CA"/>
        </w:rPr>
        <w:t>4</w:t>
      </w:r>
      <w:r w:rsidR="00FC0744">
        <w:rPr>
          <w:sz w:val="20"/>
          <w:szCs w:val="20"/>
          <w:lang w:val="fr-CA"/>
        </w:rPr>
        <w:t>63</w:t>
      </w:r>
      <w:r w:rsidR="004B7F60">
        <w:rPr>
          <w:sz w:val="20"/>
          <w:szCs w:val="20"/>
          <w:lang w:val="fr-CA"/>
        </w:rPr>
        <w:t>3</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FC0744" w:rsidRPr="00FC0744" w:rsidRDefault="00FC0744" w:rsidP="00FC0744">
      <w:pPr>
        <w:widowControl w:val="0"/>
        <w:rPr>
          <w:b/>
          <w:sz w:val="20"/>
          <w:szCs w:val="20"/>
          <w:lang w:val="fr-CA"/>
        </w:rPr>
      </w:pPr>
      <w:r w:rsidRPr="00FC0744">
        <w:rPr>
          <w:b/>
          <w:sz w:val="20"/>
          <w:szCs w:val="20"/>
          <w:lang w:val="fr-CA"/>
        </w:rPr>
        <w:t>MOTION FOR RECONSIDERATION / DEMANDE DE RÉEXAMEN</w:t>
      </w:r>
    </w:p>
    <w:p w:rsidR="00FC0744" w:rsidRDefault="00FC0744" w:rsidP="004B7F60">
      <w:pPr>
        <w:widowControl w:val="0"/>
        <w:rPr>
          <w:sz w:val="20"/>
          <w:szCs w:val="20"/>
          <w:lang w:val="fr-CA"/>
        </w:rPr>
      </w:pPr>
    </w:p>
    <w:p w:rsidR="00FC0744" w:rsidRPr="00C50A5C" w:rsidRDefault="00FC0744" w:rsidP="00FC0744">
      <w:pPr>
        <w:widowControl w:val="0"/>
        <w:jc w:val="center"/>
        <w:rPr>
          <w:b/>
          <w:sz w:val="20"/>
          <w:szCs w:val="20"/>
        </w:rPr>
      </w:pPr>
      <w:r w:rsidRPr="00C50A5C">
        <w:rPr>
          <w:b/>
          <w:sz w:val="20"/>
          <w:szCs w:val="20"/>
        </w:rPr>
        <w:t xml:space="preserve">CORAM:  Chief Justice McLachlin and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FC0744" w:rsidRPr="00C50A5C" w:rsidRDefault="00FC0744" w:rsidP="00FC0744">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Abella</w:t>
      </w:r>
      <w:r w:rsidRPr="00C50A5C">
        <w:rPr>
          <w:b/>
          <w:sz w:val="20"/>
          <w:szCs w:val="20"/>
          <w:lang w:val="fr-CA"/>
        </w:rPr>
        <w:t xml:space="preserve"> et </w:t>
      </w:r>
      <w:r>
        <w:rPr>
          <w:b/>
          <w:sz w:val="20"/>
          <w:szCs w:val="20"/>
          <w:lang w:val="fr-CA"/>
        </w:rPr>
        <w:t>Cromwell</w:t>
      </w:r>
    </w:p>
    <w:p w:rsidR="00FC0744" w:rsidRDefault="00FC0744" w:rsidP="004B7F60">
      <w:pPr>
        <w:widowControl w:val="0"/>
        <w:rPr>
          <w:sz w:val="20"/>
          <w:szCs w:val="20"/>
          <w:lang w:val="fr-CA"/>
        </w:rPr>
      </w:pPr>
    </w:p>
    <w:p w:rsidR="004B7F60" w:rsidRPr="00C50A5C" w:rsidRDefault="00EF1BFB" w:rsidP="004B7F60">
      <w:pPr>
        <w:pStyle w:val="ListParagraph"/>
        <w:widowControl w:val="0"/>
        <w:numPr>
          <w:ilvl w:val="0"/>
          <w:numId w:val="1"/>
        </w:numPr>
        <w:ind w:hanging="720"/>
        <w:jc w:val="both"/>
        <w:rPr>
          <w:sz w:val="20"/>
          <w:szCs w:val="20"/>
          <w:lang w:val="fr-CA"/>
        </w:rPr>
      </w:pPr>
      <w:r w:rsidRPr="00A71EA7">
        <w:rPr>
          <w:sz w:val="20"/>
          <w:szCs w:val="20"/>
          <w:lang w:val="fr-CA"/>
        </w:rPr>
        <w:t>Infineon Technologies AG et al.</w:t>
      </w:r>
      <w:r w:rsidRPr="00C50A5C">
        <w:rPr>
          <w:sz w:val="20"/>
          <w:szCs w:val="20"/>
          <w:lang w:val="fr-CA"/>
        </w:rPr>
        <w:t xml:space="preserve"> </w:t>
      </w:r>
      <w:r w:rsidRPr="00EF1BFB">
        <w:rPr>
          <w:sz w:val="20"/>
          <w:szCs w:val="20"/>
          <w:lang w:val="fr-CA"/>
        </w:rPr>
        <w:t>v. Pro-Sys Consultants Ltd. et al.</w:t>
      </w:r>
      <w:r w:rsidRPr="00C50A5C">
        <w:rPr>
          <w:sz w:val="20"/>
          <w:szCs w:val="20"/>
          <w:lang w:val="fr-CA"/>
        </w:rPr>
        <w:t xml:space="preserve"> </w:t>
      </w:r>
      <w:r w:rsidRPr="00A71EA7">
        <w:rPr>
          <w:sz w:val="20"/>
          <w:szCs w:val="20"/>
        </w:rPr>
        <w:t>(B.C.) (Civil) (By Leave)</w:t>
      </w:r>
      <w:r w:rsidRPr="00C50A5C">
        <w:rPr>
          <w:sz w:val="20"/>
          <w:szCs w:val="20"/>
          <w:lang w:val="fr-CA"/>
        </w:rPr>
        <w:t xml:space="preserve"> </w:t>
      </w:r>
      <w:r w:rsidR="004B7F60" w:rsidRPr="00C50A5C">
        <w:rPr>
          <w:sz w:val="20"/>
          <w:szCs w:val="20"/>
          <w:lang w:val="fr-CA"/>
        </w:rPr>
        <w:t>(3</w:t>
      </w:r>
      <w:r w:rsidR="00DB3574">
        <w:rPr>
          <w:sz w:val="20"/>
          <w:szCs w:val="20"/>
          <w:lang w:val="fr-CA"/>
        </w:rPr>
        <w:t>3</w:t>
      </w:r>
      <w:r w:rsidR="00FC0744">
        <w:rPr>
          <w:sz w:val="20"/>
          <w:szCs w:val="20"/>
          <w:lang w:val="fr-CA"/>
        </w:rPr>
        <w:t>522</w:t>
      </w:r>
      <w:r w:rsidR="004B7F60" w:rsidRPr="00C50A5C">
        <w:rPr>
          <w:sz w:val="20"/>
          <w:szCs w:val="20"/>
          <w:lang w:val="fr-CA"/>
        </w:rPr>
        <w:t>)</w:t>
      </w:r>
    </w:p>
    <w:p w:rsidR="00A71EA7" w:rsidRPr="00A71EA7" w:rsidRDefault="00A71EA7" w:rsidP="002E2327">
      <w:pPr>
        <w:widowControl w:val="0"/>
        <w:rPr>
          <w:sz w:val="20"/>
          <w:szCs w:val="20"/>
        </w:rPr>
      </w:pPr>
    </w:p>
    <w:p w:rsidR="002E2327" w:rsidRPr="00C50A5C" w:rsidRDefault="00A3677B" w:rsidP="002E2327">
      <w:pPr>
        <w:widowControl w:val="0"/>
        <w:rPr>
          <w:sz w:val="20"/>
          <w:szCs w:val="20"/>
        </w:rPr>
      </w:pPr>
      <w:r w:rsidRPr="00A3677B">
        <w:rPr>
          <w:sz w:val="20"/>
          <w:szCs w:val="20"/>
        </w:rPr>
        <w:pict>
          <v:rect id="_x0000_i1032"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6B3AEE"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 xml:space="preserve">APRIL </w:t>
      </w:r>
      <w:r w:rsidR="0092711B">
        <w:rPr>
          <w:b/>
          <w:sz w:val="20"/>
          <w:szCs w:val="20"/>
        </w:rPr>
        <w:t>18</w:t>
      </w:r>
      <w:r w:rsidRPr="00C50A5C">
        <w:rPr>
          <w:b/>
          <w:sz w:val="20"/>
          <w:szCs w:val="20"/>
        </w:rPr>
        <w:t>, 201</w:t>
      </w:r>
      <w:r w:rsidR="001E74A1">
        <w:rPr>
          <w:b/>
          <w:sz w:val="20"/>
          <w:szCs w:val="20"/>
        </w:rPr>
        <w:t>2</w:t>
      </w:r>
      <w:r w:rsidRPr="00C50A5C">
        <w:rPr>
          <w:b/>
          <w:sz w:val="20"/>
          <w:szCs w:val="20"/>
        </w:rPr>
        <w:t xml:space="preserve"> / LE </w:t>
      </w:r>
      <w:r w:rsidR="0092711B">
        <w:rPr>
          <w:b/>
          <w:sz w:val="20"/>
          <w:szCs w:val="20"/>
        </w:rPr>
        <w:t>18</w:t>
      </w:r>
      <w:r w:rsidRPr="00C50A5C">
        <w:rPr>
          <w:b/>
          <w:sz w:val="20"/>
          <w:szCs w:val="20"/>
        </w:rPr>
        <w:t xml:space="preserve"> AVRIL 201</w:t>
      </w:r>
      <w:r w:rsidR="001E74A1">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027E3" w:rsidRPr="00393A5B" w:rsidTr="00F329C2">
        <w:trPr>
          <w:cantSplit/>
        </w:trPr>
        <w:tc>
          <w:tcPr>
            <w:tcW w:w="1458" w:type="dxa"/>
          </w:tcPr>
          <w:p w:rsidR="00D027E3" w:rsidRPr="00393A5B" w:rsidRDefault="00D027E3" w:rsidP="00F329C2">
            <w:pPr>
              <w:rPr>
                <w:sz w:val="20"/>
                <w:szCs w:val="20"/>
              </w:rPr>
            </w:pPr>
            <w:r w:rsidRPr="00393A5B">
              <w:rPr>
                <w:rStyle w:val="SCCFileNumberChar"/>
                <w:sz w:val="20"/>
                <w:szCs w:val="20"/>
              </w:rPr>
              <w:t>34757</w:t>
            </w:r>
          </w:p>
          <w:p w:rsidR="00D027E3" w:rsidRPr="00393A5B" w:rsidRDefault="00D027E3" w:rsidP="00F329C2">
            <w:pPr>
              <w:rPr>
                <w:b/>
                <w:sz w:val="20"/>
                <w:szCs w:val="20"/>
                <w:lang w:val="fr-CA"/>
              </w:rPr>
            </w:pPr>
          </w:p>
        </w:tc>
        <w:tc>
          <w:tcPr>
            <w:tcW w:w="8118" w:type="dxa"/>
          </w:tcPr>
          <w:p w:rsidR="00D027E3" w:rsidRPr="00393A5B" w:rsidRDefault="00D027E3" w:rsidP="00F329C2">
            <w:pPr>
              <w:jc w:val="both"/>
              <w:rPr>
                <w:sz w:val="20"/>
                <w:szCs w:val="20"/>
              </w:rPr>
            </w:pPr>
            <w:r w:rsidRPr="00393A5B">
              <w:rPr>
                <w:rStyle w:val="SCCLsocChar"/>
                <w:sz w:val="20"/>
                <w:szCs w:val="20"/>
                <w:lang w:val="en-CA"/>
              </w:rPr>
              <w:t>Fibrek Inc. v. AbitibiBowater Inc., doing business as Resolute Forest Products and RFP Acquisition Inc. AND BETWEEN Mercer International Inc. v. AbitibiBowater Inc., doing business as Resolute Forest Products and RFP Acquisition Inc.</w:t>
            </w:r>
            <w:r w:rsidRPr="00393A5B">
              <w:rPr>
                <w:sz w:val="20"/>
                <w:szCs w:val="20"/>
              </w:rPr>
              <w:t xml:space="preserve"> (Que.) (Civil) (By Leave)</w:t>
            </w:r>
          </w:p>
          <w:p w:rsidR="00D027E3" w:rsidRPr="00393A5B" w:rsidRDefault="00D027E3" w:rsidP="00F329C2">
            <w:pPr>
              <w:rPr>
                <w:sz w:val="20"/>
                <w:szCs w:val="20"/>
              </w:rPr>
            </w:pPr>
          </w:p>
        </w:tc>
      </w:tr>
      <w:tr w:rsidR="00D027E3" w:rsidRPr="00393A5B" w:rsidTr="00F329C2">
        <w:trPr>
          <w:cantSplit/>
        </w:trPr>
        <w:tc>
          <w:tcPr>
            <w:tcW w:w="1458" w:type="dxa"/>
          </w:tcPr>
          <w:p w:rsidR="00D027E3" w:rsidRPr="00393A5B" w:rsidRDefault="00D027E3" w:rsidP="00F329C2">
            <w:pPr>
              <w:rPr>
                <w:sz w:val="20"/>
                <w:szCs w:val="20"/>
              </w:rPr>
            </w:pPr>
            <w:r w:rsidRPr="00393A5B">
              <w:rPr>
                <w:sz w:val="20"/>
                <w:szCs w:val="20"/>
              </w:rPr>
              <w:t>Coram :</w:t>
            </w:r>
          </w:p>
        </w:tc>
        <w:tc>
          <w:tcPr>
            <w:tcW w:w="8118" w:type="dxa"/>
          </w:tcPr>
          <w:p w:rsidR="00D027E3" w:rsidRPr="00393A5B" w:rsidRDefault="00D027E3" w:rsidP="00F329C2">
            <w:pPr>
              <w:rPr>
                <w:sz w:val="20"/>
                <w:szCs w:val="20"/>
              </w:rPr>
            </w:pPr>
            <w:r w:rsidRPr="00393A5B">
              <w:rPr>
                <w:rStyle w:val="SCCCoramChar"/>
                <w:sz w:val="20"/>
                <w:szCs w:val="20"/>
                <w:lang w:val="en-CA"/>
              </w:rPr>
              <w:t>McLachlin C.J. and LeBel and Deschamps JJ.</w:t>
            </w:r>
          </w:p>
          <w:p w:rsidR="00D027E3" w:rsidRPr="00393A5B" w:rsidRDefault="00D027E3" w:rsidP="00F329C2">
            <w:pPr>
              <w:rPr>
                <w:sz w:val="20"/>
                <w:szCs w:val="20"/>
                <w:u w:val="single"/>
              </w:rPr>
            </w:pPr>
          </w:p>
        </w:tc>
      </w:tr>
      <w:tr w:rsidR="00D027E3" w:rsidRPr="006B3AEE" w:rsidTr="00F329C2">
        <w:trPr>
          <w:cantSplit/>
        </w:trPr>
        <w:tc>
          <w:tcPr>
            <w:tcW w:w="9576" w:type="dxa"/>
            <w:gridSpan w:val="2"/>
          </w:tcPr>
          <w:p w:rsidR="00D027E3" w:rsidRPr="00393A5B" w:rsidRDefault="00D027E3" w:rsidP="00F329C2">
            <w:pPr>
              <w:pStyle w:val="SCCShortJudgment"/>
              <w:rPr>
                <w:szCs w:val="20"/>
              </w:rPr>
            </w:pPr>
            <w:r w:rsidRPr="00393A5B">
              <w:rPr>
                <w:szCs w:val="20"/>
              </w:rPr>
              <w:t>The applications for leave to appeal from the judgment of the Court of Appeal of Quebec (Montréal), Number 500-09-022484-125, 2012 QCCA 569, dated March 27, 2012, are dismissed with costs to the respondents.</w:t>
            </w:r>
          </w:p>
          <w:p w:rsidR="00D027E3" w:rsidRPr="00393A5B" w:rsidRDefault="00D027E3" w:rsidP="00F329C2">
            <w:pPr>
              <w:pStyle w:val="SCCShortJudgment"/>
              <w:ind w:firstLine="0"/>
              <w:rPr>
                <w:szCs w:val="20"/>
              </w:rPr>
            </w:pPr>
          </w:p>
          <w:p w:rsidR="00D027E3" w:rsidRPr="00393A5B" w:rsidRDefault="00D027E3" w:rsidP="00F329C2">
            <w:pPr>
              <w:pStyle w:val="SCCShortJudgment"/>
              <w:rPr>
                <w:szCs w:val="20"/>
                <w:lang w:val="fr-CA"/>
              </w:rPr>
            </w:pPr>
            <w:r w:rsidRPr="00393A5B">
              <w:rPr>
                <w:szCs w:val="20"/>
                <w:lang w:val="fr-CA"/>
              </w:rPr>
              <w:t>Les demandes d’autorisation d’appel de l’arrêt de la Cour d’appel du Québec (Montréal), numéro 500-09-022484-125, 2012 QCCA 569, daté du 27 mars 2012, sont rejetées avec dépens en faveur des intimées.</w:t>
            </w:r>
          </w:p>
        </w:tc>
      </w:tr>
    </w:tbl>
    <w:p w:rsidR="001E74A1" w:rsidRPr="00D027E3" w:rsidRDefault="001E74A1" w:rsidP="008D292F">
      <w:pPr>
        <w:rPr>
          <w:sz w:val="20"/>
          <w:szCs w:val="20"/>
          <w:lang w:val="fr-CA"/>
        </w:rPr>
      </w:pPr>
    </w:p>
    <w:p w:rsidR="001E74A1" w:rsidRPr="001B157C" w:rsidRDefault="001E74A1" w:rsidP="001E74A1">
      <w:pPr>
        <w:rPr>
          <w:sz w:val="20"/>
          <w:szCs w:val="20"/>
          <w:u w:val="single"/>
        </w:rPr>
      </w:pPr>
      <w:r w:rsidRPr="001B157C">
        <w:rPr>
          <w:sz w:val="20"/>
          <w:szCs w:val="20"/>
          <w:u w:val="single"/>
        </w:rPr>
        <w:t>CASE SUMMARY</w:t>
      </w:r>
    </w:p>
    <w:p w:rsidR="001E74A1" w:rsidRDefault="001E74A1"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04557" w:rsidRPr="00850E69" w:rsidTr="00A71EA7">
        <w:tc>
          <w:tcPr>
            <w:tcW w:w="5000" w:type="pct"/>
            <w:gridSpan w:val="3"/>
          </w:tcPr>
          <w:p w:rsidR="00B04557" w:rsidRPr="00850E69" w:rsidRDefault="00B04557" w:rsidP="00A71EA7">
            <w:pPr>
              <w:jc w:val="both"/>
              <w:rPr>
                <w:rFonts w:eastAsia="Calibri"/>
                <w:sz w:val="20"/>
                <w:szCs w:val="20"/>
              </w:rPr>
            </w:pPr>
            <w:r w:rsidRPr="00850E69">
              <w:rPr>
                <w:rFonts w:eastAsia="Calibri"/>
                <w:sz w:val="20"/>
                <w:szCs w:val="20"/>
              </w:rPr>
              <w:t>Commercial law – Corporations – Lock-up agreement negotiated by bidding company and certain shareholders of target company before takeover bid issued – Bureau de décision et de révision en matière de valeurs mobilières ordering board of target company to cease measures taken to solicit higher bids on basis that they were abusive of capital markets and that they violated lock-up agreements and right of majority shareholders to decide fate of target company – Nature of relationship between fiduciary duties of directors of target company and rules respecting defensive tactics in response to takeover bids.</w:t>
            </w:r>
          </w:p>
        </w:tc>
      </w:tr>
      <w:tr w:rsidR="00B04557" w:rsidRPr="00850E69" w:rsidTr="00A71EA7">
        <w:tc>
          <w:tcPr>
            <w:tcW w:w="5000" w:type="pct"/>
            <w:gridSpan w:val="3"/>
          </w:tcPr>
          <w:p w:rsidR="00B04557" w:rsidRPr="00850E69" w:rsidRDefault="00B04557" w:rsidP="00A71EA7">
            <w:pPr>
              <w:jc w:val="both"/>
              <w:rPr>
                <w:rFonts w:eastAsia="Calibri"/>
                <w:sz w:val="20"/>
                <w:szCs w:val="20"/>
              </w:rPr>
            </w:pPr>
          </w:p>
        </w:tc>
      </w:tr>
      <w:tr w:rsidR="00B04557" w:rsidRPr="00850E69" w:rsidTr="00A71EA7">
        <w:tc>
          <w:tcPr>
            <w:tcW w:w="5000" w:type="pct"/>
            <w:gridSpan w:val="3"/>
          </w:tcPr>
          <w:p w:rsidR="00B04557" w:rsidRPr="00850E69" w:rsidRDefault="00B04557" w:rsidP="00A71EA7">
            <w:pPr>
              <w:jc w:val="both"/>
              <w:rPr>
                <w:rFonts w:eastAsia="Calibri"/>
                <w:sz w:val="20"/>
                <w:szCs w:val="20"/>
              </w:rPr>
            </w:pPr>
            <w:r w:rsidRPr="00850E69">
              <w:rPr>
                <w:rFonts w:eastAsia="Calibri"/>
                <w:sz w:val="20"/>
                <w:szCs w:val="20"/>
              </w:rPr>
              <w:t>In November 2011, the respondent Abitibi announced that it intended to launch a takeover bid for the purpose of acquiring all issued and outstanding shares of the applicant Fibrek.  At that time, Abitibi already had the firm support of the three largest shareholders.  However, Fibrek’s board of directors considered the bid inadequate and took steps to discourage it and to solicit higher bids.  In the meantime, the applicant Mercer had also shown an interest and launched its own takeover bid for Fibrek.  Before doing so, it signed a support agreement in which Fibrek’s board undertook to support the bid; the agreement provided for a termination fee.  Mercer also required an option to acquire bonds that would be convertible to the same number of shares of Fibrek.  If they were so converted, Mercer would then hold 19.9% of the issued capital of Fibrek and would have the power to appoint two directors to Fibrek’s board.</w:t>
            </w:r>
          </w:p>
          <w:p w:rsidR="00B04557" w:rsidRPr="00850E69" w:rsidRDefault="00B04557" w:rsidP="00A71EA7">
            <w:pPr>
              <w:jc w:val="both"/>
              <w:rPr>
                <w:rFonts w:eastAsia="Calibri"/>
                <w:sz w:val="20"/>
                <w:szCs w:val="20"/>
              </w:rPr>
            </w:pPr>
          </w:p>
          <w:p w:rsidR="00B04557" w:rsidRPr="00850E69" w:rsidRDefault="00B04557" w:rsidP="00A71EA7">
            <w:pPr>
              <w:jc w:val="both"/>
              <w:rPr>
                <w:rFonts w:eastAsia="Calibri"/>
                <w:sz w:val="20"/>
                <w:szCs w:val="20"/>
              </w:rPr>
            </w:pPr>
            <w:r w:rsidRPr="00850E69">
              <w:rPr>
                <w:rFonts w:eastAsia="Calibri"/>
                <w:sz w:val="20"/>
                <w:szCs w:val="20"/>
              </w:rPr>
              <w:t xml:space="preserve">Abitibi then applied to the Bureau de décision et de révision en matière de valeurs mobilières under the </w:t>
            </w:r>
            <w:r w:rsidRPr="00850E69">
              <w:rPr>
                <w:rFonts w:eastAsia="Calibri"/>
                <w:i/>
                <w:sz w:val="20"/>
                <w:szCs w:val="20"/>
              </w:rPr>
              <w:t>Act respecting the Autorité des marchés financiers</w:t>
            </w:r>
            <w:r w:rsidRPr="00850E69">
              <w:rPr>
                <w:rFonts w:eastAsia="Calibri"/>
                <w:sz w:val="20"/>
                <w:szCs w:val="20"/>
              </w:rPr>
              <w:t>, R.S.Q., c. A</w:t>
            </w:r>
            <w:r w:rsidRPr="00850E69">
              <w:rPr>
                <w:rFonts w:eastAsia="Calibri"/>
                <w:sz w:val="20"/>
                <w:szCs w:val="20"/>
              </w:rPr>
              <w:noBreakHyphen/>
              <w:t xml:space="preserve">33.2, and the </w:t>
            </w:r>
            <w:r w:rsidRPr="00850E69">
              <w:rPr>
                <w:rFonts w:eastAsia="Calibri"/>
                <w:i/>
                <w:sz w:val="20"/>
                <w:szCs w:val="20"/>
              </w:rPr>
              <w:t>Securities Act</w:t>
            </w:r>
            <w:r w:rsidRPr="00850E69">
              <w:rPr>
                <w:rFonts w:eastAsia="Calibri"/>
                <w:sz w:val="20"/>
                <w:szCs w:val="20"/>
              </w:rPr>
              <w:t>, R.S.Q., c. V</w:t>
            </w:r>
            <w:r w:rsidRPr="00850E69">
              <w:rPr>
                <w:rFonts w:eastAsia="Calibri"/>
                <w:sz w:val="20"/>
                <w:szCs w:val="20"/>
              </w:rPr>
              <w:noBreakHyphen/>
              <w:t>1.1, for an order to cease in respect of Mercer’s bid and of the bonds.  Abitibi argued that this bid and the incidental agreements were abusive of shareholders and of the capital markets.  The Bureau made an order to cease in respect of the issuance of the bonds and their conversion to shares.</w:t>
            </w:r>
          </w:p>
          <w:p w:rsidR="00B04557" w:rsidRPr="00850E69" w:rsidRDefault="00B04557" w:rsidP="00A71EA7">
            <w:pPr>
              <w:jc w:val="both"/>
              <w:rPr>
                <w:rFonts w:eastAsia="Calibri"/>
                <w:sz w:val="20"/>
                <w:szCs w:val="20"/>
              </w:rPr>
            </w:pPr>
          </w:p>
        </w:tc>
      </w:tr>
      <w:tr w:rsidR="00B04557" w:rsidRPr="006B3AEE" w:rsidTr="00A71EA7">
        <w:tc>
          <w:tcPr>
            <w:tcW w:w="2427" w:type="pct"/>
          </w:tcPr>
          <w:p w:rsidR="00B04557" w:rsidRPr="00850E69" w:rsidRDefault="00B04557" w:rsidP="00A71EA7">
            <w:pPr>
              <w:jc w:val="both"/>
              <w:rPr>
                <w:rFonts w:eastAsia="Calibri"/>
                <w:sz w:val="20"/>
                <w:szCs w:val="20"/>
              </w:rPr>
            </w:pPr>
            <w:r w:rsidRPr="00850E69">
              <w:rPr>
                <w:rFonts w:eastAsia="Calibri"/>
                <w:sz w:val="20"/>
                <w:szCs w:val="20"/>
              </w:rPr>
              <w:t>March 9, 2012</w:t>
            </w:r>
          </w:p>
          <w:p w:rsidR="00B04557" w:rsidRPr="00850E69" w:rsidRDefault="00B04557" w:rsidP="00A71EA7">
            <w:pPr>
              <w:jc w:val="both"/>
              <w:rPr>
                <w:rFonts w:eastAsia="Calibri"/>
                <w:sz w:val="20"/>
                <w:szCs w:val="20"/>
              </w:rPr>
            </w:pPr>
            <w:r w:rsidRPr="00850E69">
              <w:rPr>
                <w:rFonts w:eastAsia="Calibri"/>
                <w:sz w:val="20"/>
                <w:szCs w:val="20"/>
              </w:rPr>
              <w:t>Court of Québec</w:t>
            </w:r>
          </w:p>
          <w:p w:rsidR="00B04557" w:rsidRPr="00850E69" w:rsidRDefault="00B04557" w:rsidP="00A71EA7">
            <w:pPr>
              <w:jc w:val="both"/>
              <w:rPr>
                <w:rFonts w:eastAsia="Calibri"/>
                <w:sz w:val="20"/>
                <w:szCs w:val="20"/>
              </w:rPr>
            </w:pPr>
            <w:r w:rsidRPr="00850E69">
              <w:rPr>
                <w:rFonts w:eastAsia="Calibri"/>
                <w:sz w:val="20"/>
                <w:szCs w:val="20"/>
              </w:rPr>
              <w:t>(Judge Quenneville)</w:t>
            </w:r>
          </w:p>
          <w:p w:rsidR="00B04557" w:rsidRPr="00850E69" w:rsidRDefault="00B04557" w:rsidP="00A71EA7">
            <w:pPr>
              <w:jc w:val="both"/>
              <w:rPr>
                <w:rFonts w:eastAsia="Calibri"/>
                <w:sz w:val="20"/>
                <w:szCs w:val="20"/>
              </w:rPr>
            </w:pPr>
            <w:r w:rsidRPr="00850E69">
              <w:rPr>
                <w:rFonts w:eastAsia="Calibri"/>
                <w:sz w:val="20"/>
                <w:szCs w:val="20"/>
              </w:rPr>
              <w:t xml:space="preserve">2012 QCCQ 1745 </w:t>
            </w:r>
          </w:p>
          <w:p w:rsidR="00B04557" w:rsidRPr="00850E69" w:rsidRDefault="00B04557" w:rsidP="00A71EA7">
            <w:pPr>
              <w:jc w:val="both"/>
              <w:rPr>
                <w:rFonts w:eastAsia="Calibri"/>
                <w:sz w:val="20"/>
                <w:szCs w:val="20"/>
              </w:rPr>
            </w:pPr>
          </w:p>
        </w:tc>
        <w:tc>
          <w:tcPr>
            <w:tcW w:w="243" w:type="pct"/>
          </w:tcPr>
          <w:p w:rsidR="00B04557" w:rsidRPr="00850E69" w:rsidRDefault="00B04557" w:rsidP="00A71EA7">
            <w:pPr>
              <w:jc w:val="both"/>
              <w:rPr>
                <w:rFonts w:eastAsia="Calibri"/>
                <w:sz w:val="20"/>
                <w:szCs w:val="20"/>
              </w:rPr>
            </w:pPr>
          </w:p>
        </w:tc>
        <w:tc>
          <w:tcPr>
            <w:tcW w:w="2330" w:type="pct"/>
          </w:tcPr>
          <w:p w:rsidR="00B04557" w:rsidRPr="00850E69" w:rsidRDefault="00B04557" w:rsidP="00A71EA7">
            <w:pPr>
              <w:jc w:val="both"/>
              <w:rPr>
                <w:rFonts w:eastAsia="Calibri"/>
                <w:sz w:val="20"/>
                <w:szCs w:val="20"/>
                <w:lang w:val="fr-CA"/>
              </w:rPr>
            </w:pPr>
            <w:r w:rsidRPr="00850E69">
              <w:rPr>
                <w:rFonts w:eastAsia="Calibri"/>
                <w:sz w:val="20"/>
                <w:szCs w:val="20"/>
                <w:lang w:val="fr-CA"/>
              </w:rPr>
              <w:t>Appeals from decision of Bureau de décision et de révision en matière de valeurs mobilières allowed; application for order to cease dismissed</w:t>
            </w:r>
          </w:p>
          <w:p w:rsidR="00B04557" w:rsidRPr="00850E69" w:rsidRDefault="00B04557" w:rsidP="00A71EA7">
            <w:pPr>
              <w:jc w:val="both"/>
              <w:rPr>
                <w:rFonts w:eastAsia="Calibri"/>
                <w:sz w:val="20"/>
                <w:szCs w:val="20"/>
                <w:lang w:val="fr-CA"/>
              </w:rPr>
            </w:pPr>
          </w:p>
        </w:tc>
      </w:tr>
      <w:tr w:rsidR="00B04557" w:rsidRPr="00850E69" w:rsidTr="00A71EA7">
        <w:tc>
          <w:tcPr>
            <w:tcW w:w="2427" w:type="pct"/>
          </w:tcPr>
          <w:p w:rsidR="00B04557" w:rsidRPr="00850E69" w:rsidRDefault="00B04557" w:rsidP="00A71EA7">
            <w:pPr>
              <w:jc w:val="both"/>
              <w:rPr>
                <w:rFonts w:eastAsia="Calibri"/>
                <w:sz w:val="20"/>
                <w:szCs w:val="20"/>
              </w:rPr>
            </w:pPr>
            <w:r w:rsidRPr="00850E69">
              <w:rPr>
                <w:rFonts w:eastAsia="Calibri"/>
                <w:sz w:val="20"/>
                <w:szCs w:val="20"/>
              </w:rPr>
              <w:t>March 27, 2012</w:t>
            </w:r>
          </w:p>
          <w:p w:rsidR="00B04557" w:rsidRPr="00850E69" w:rsidRDefault="00B04557" w:rsidP="00A71EA7">
            <w:pPr>
              <w:jc w:val="both"/>
              <w:rPr>
                <w:rFonts w:eastAsia="Calibri"/>
                <w:sz w:val="20"/>
                <w:szCs w:val="20"/>
              </w:rPr>
            </w:pPr>
            <w:r w:rsidRPr="00850E69">
              <w:rPr>
                <w:rFonts w:eastAsia="Calibri"/>
                <w:sz w:val="20"/>
                <w:szCs w:val="20"/>
              </w:rPr>
              <w:t>Quebec Court of Appeal (Montréal)</w:t>
            </w:r>
          </w:p>
          <w:p w:rsidR="00B04557" w:rsidRPr="00850E69" w:rsidRDefault="00B04557" w:rsidP="00A71EA7">
            <w:pPr>
              <w:jc w:val="both"/>
              <w:rPr>
                <w:rFonts w:eastAsia="Calibri"/>
                <w:sz w:val="20"/>
                <w:szCs w:val="20"/>
              </w:rPr>
            </w:pPr>
            <w:r w:rsidRPr="00850E69">
              <w:rPr>
                <w:rFonts w:eastAsia="Calibri"/>
                <w:sz w:val="20"/>
                <w:szCs w:val="20"/>
              </w:rPr>
              <w:t>(Dalphond, Dufresne and Wagner JJ.A.)</w:t>
            </w:r>
          </w:p>
          <w:p w:rsidR="00B04557" w:rsidRPr="00850E69" w:rsidRDefault="00B04557" w:rsidP="00A71EA7">
            <w:pPr>
              <w:jc w:val="both"/>
              <w:rPr>
                <w:rFonts w:eastAsia="Calibri"/>
                <w:sz w:val="20"/>
                <w:szCs w:val="20"/>
              </w:rPr>
            </w:pPr>
            <w:r w:rsidRPr="00850E69">
              <w:rPr>
                <w:rFonts w:eastAsia="Calibri"/>
                <w:sz w:val="20"/>
                <w:szCs w:val="20"/>
              </w:rPr>
              <w:t>2012 QCCA 569 ; 500</w:t>
            </w:r>
            <w:r w:rsidRPr="00850E69">
              <w:rPr>
                <w:rFonts w:eastAsia="Calibri"/>
                <w:sz w:val="20"/>
                <w:szCs w:val="20"/>
              </w:rPr>
              <w:noBreakHyphen/>
              <w:t>09</w:t>
            </w:r>
            <w:r w:rsidRPr="00850E69">
              <w:rPr>
                <w:rFonts w:eastAsia="Calibri"/>
                <w:sz w:val="20"/>
                <w:szCs w:val="20"/>
              </w:rPr>
              <w:noBreakHyphen/>
              <w:t>022484</w:t>
            </w:r>
            <w:r w:rsidRPr="00850E69">
              <w:rPr>
                <w:rFonts w:eastAsia="Calibri"/>
                <w:sz w:val="20"/>
                <w:szCs w:val="20"/>
              </w:rPr>
              <w:noBreakHyphen/>
              <w:t>125</w:t>
            </w:r>
          </w:p>
          <w:p w:rsidR="00B04557" w:rsidRPr="00850E69" w:rsidRDefault="00B04557" w:rsidP="00A71EA7">
            <w:pPr>
              <w:jc w:val="both"/>
              <w:rPr>
                <w:rFonts w:eastAsia="Calibri"/>
                <w:sz w:val="20"/>
                <w:szCs w:val="20"/>
              </w:rPr>
            </w:pPr>
          </w:p>
        </w:tc>
        <w:tc>
          <w:tcPr>
            <w:tcW w:w="243" w:type="pct"/>
          </w:tcPr>
          <w:p w:rsidR="00B04557" w:rsidRPr="00850E69" w:rsidRDefault="00B04557" w:rsidP="00A71EA7">
            <w:pPr>
              <w:jc w:val="both"/>
              <w:rPr>
                <w:rFonts w:eastAsia="Calibri"/>
                <w:sz w:val="20"/>
                <w:szCs w:val="20"/>
              </w:rPr>
            </w:pPr>
          </w:p>
        </w:tc>
        <w:tc>
          <w:tcPr>
            <w:tcW w:w="2330" w:type="pct"/>
          </w:tcPr>
          <w:p w:rsidR="00B04557" w:rsidRPr="00850E69" w:rsidRDefault="00B04557" w:rsidP="00A71EA7">
            <w:pPr>
              <w:jc w:val="both"/>
              <w:rPr>
                <w:rFonts w:eastAsia="Calibri"/>
                <w:sz w:val="20"/>
                <w:szCs w:val="20"/>
              </w:rPr>
            </w:pPr>
            <w:r w:rsidRPr="00850E69">
              <w:rPr>
                <w:rFonts w:eastAsia="Calibri"/>
                <w:sz w:val="20"/>
                <w:szCs w:val="20"/>
              </w:rPr>
              <w:t>Appeal allowed; appeals from Bureau’s decision dismissed</w:t>
            </w:r>
          </w:p>
          <w:p w:rsidR="00B04557" w:rsidRPr="00850E69" w:rsidRDefault="00B04557" w:rsidP="00A71EA7">
            <w:pPr>
              <w:jc w:val="both"/>
              <w:rPr>
                <w:rFonts w:eastAsia="Calibri"/>
                <w:sz w:val="20"/>
                <w:szCs w:val="20"/>
              </w:rPr>
            </w:pPr>
          </w:p>
        </w:tc>
      </w:tr>
      <w:tr w:rsidR="00B04557" w:rsidRPr="00850E69" w:rsidTr="00D027E3">
        <w:trPr>
          <w:cantSplit/>
        </w:trPr>
        <w:tc>
          <w:tcPr>
            <w:tcW w:w="2427" w:type="pct"/>
          </w:tcPr>
          <w:p w:rsidR="00B04557" w:rsidRPr="00850E69" w:rsidRDefault="00B04557" w:rsidP="00A71EA7">
            <w:pPr>
              <w:jc w:val="both"/>
              <w:rPr>
                <w:rFonts w:eastAsia="Calibri"/>
                <w:sz w:val="20"/>
                <w:szCs w:val="20"/>
              </w:rPr>
            </w:pPr>
            <w:r w:rsidRPr="00850E69">
              <w:rPr>
                <w:rFonts w:eastAsia="Calibri"/>
                <w:sz w:val="20"/>
                <w:szCs w:val="20"/>
              </w:rPr>
              <w:lastRenderedPageBreak/>
              <w:t>April 4 and 11, 2012</w:t>
            </w:r>
          </w:p>
          <w:p w:rsidR="00B04557" w:rsidRPr="00850E69" w:rsidRDefault="00B04557" w:rsidP="00B04557">
            <w:pPr>
              <w:jc w:val="both"/>
              <w:rPr>
                <w:rFonts w:eastAsia="Calibri"/>
                <w:sz w:val="20"/>
                <w:szCs w:val="20"/>
              </w:rPr>
            </w:pPr>
            <w:r w:rsidRPr="00850E69">
              <w:rPr>
                <w:rFonts w:eastAsia="Calibri"/>
                <w:sz w:val="20"/>
                <w:szCs w:val="20"/>
              </w:rPr>
              <w:t>Supreme Court of Canada</w:t>
            </w:r>
          </w:p>
        </w:tc>
        <w:tc>
          <w:tcPr>
            <w:tcW w:w="243" w:type="pct"/>
          </w:tcPr>
          <w:p w:rsidR="00B04557" w:rsidRPr="00850E69" w:rsidRDefault="00B04557" w:rsidP="00A71EA7">
            <w:pPr>
              <w:jc w:val="both"/>
              <w:rPr>
                <w:rFonts w:eastAsia="Calibri"/>
                <w:sz w:val="20"/>
                <w:szCs w:val="20"/>
              </w:rPr>
            </w:pPr>
          </w:p>
        </w:tc>
        <w:tc>
          <w:tcPr>
            <w:tcW w:w="2330" w:type="pct"/>
          </w:tcPr>
          <w:p w:rsidR="00B04557" w:rsidRPr="00850E69" w:rsidRDefault="00B04557" w:rsidP="00A71EA7">
            <w:pPr>
              <w:jc w:val="both"/>
              <w:rPr>
                <w:rFonts w:eastAsia="Calibri"/>
                <w:sz w:val="20"/>
                <w:szCs w:val="20"/>
              </w:rPr>
            </w:pPr>
            <w:r w:rsidRPr="00850E69">
              <w:rPr>
                <w:rFonts w:eastAsia="Calibri"/>
                <w:sz w:val="20"/>
                <w:szCs w:val="20"/>
              </w:rPr>
              <w:t>Applications for leave to appeal filed</w:t>
            </w:r>
          </w:p>
          <w:p w:rsidR="00B04557" w:rsidRPr="00850E69" w:rsidRDefault="00B04557" w:rsidP="00A71EA7">
            <w:pPr>
              <w:jc w:val="both"/>
              <w:rPr>
                <w:rFonts w:eastAsia="Calibri"/>
                <w:sz w:val="20"/>
                <w:szCs w:val="20"/>
              </w:rPr>
            </w:pPr>
          </w:p>
        </w:tc>
      </w:tr>
    </w:tbl>
    <w:p w:rsidR="00B04557" w:rsidRDefault="00B04557" w:rsidP="008D292F">
      <w:pPr>
        <w:rPr>
          <w:sz w:val="20"/>
          <w:szCs w:val="20"/>
        </w:rPr>
      </w:pPr>
    </w:p>
    <w:p w:rsidR="001E74A1" w:rsidRPr="00C50A5C" w:rsidRDefault="00A3677B" w:rsidP="001E74A1">
      <w:pPr>
        <w:rPr>
          <w:sz w:val="20"/>
          <w:szCs w:val="20"/>
        </w:rPr>
      </w:pPr>
      <w:r w:rsidRPr="00A3677B">
        <w:rPr>
          <w:sz w:val="20"/>
          <w:szCs w:val="20"/>
          <w:lang w:val="fr-CA"/>
        </w:rPr>
        <w:pict>
          <v:rect id="_x0000_i1035" style="width:2in;height:1pt" o:hrpct="0" o:hralign="center" o:hrstd="t" o:hrnoshade="t" o:hr="t" fillcolor="black [3213]" stroked="f"/>
        </w:pict>
      </w:r>
    </w:p>
    <w:p w:rsidR="001E74A1" w:rsidRDefault="001E74A1" w:rsidP="001E74A1">
      <w:pPr>
        <w:rPr>
          <w:sz w:val="20"/>
          <w:szCs w:val="20"/>
        </w:rPr>
      </w:pPr>
    </w:p>
    <w:p w:rsidR="001E74A1" w:rsidRPr="001B157C" w:rsidRDefault="001E74A1" w:rsidP="001E74A1">
      <w:pPr>
        <w:rPr>
          <w:sz w:val="20"/>
          <w:szCs w:val="20"/>
          <w:u w:val="single"/>
          <w:lang w:val="fr-CA"/>
        </w:rPr>
      </w:pPr>
      <w:r w:rsidRPr="001B157C">
        <w:rPr>
          <w:sz w:val="20"/>
          <w:szCs w:val="20"/>
          <w:u w:val="single"/>
          <w:lang w:val="fr-CA"/>
        </w:rPr>
        <w:t>RÉSUMÉ DE L’AFFAIRE</w:t>
      </w:r>
    </w:p>
    <w:p w:rsidR="001E74A1" w:rsidRDefault="001E74A1"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04557" w:rsidRPr="006B3AEE" w:rsidTr="00A71EA7">
        <w:tc>
          <w:tcPr>
            <w:tcW w:w="5000" w:type="pct"/>
            <w:gridSpan w:val="3"/>
          </w:tcPr>
          <w:p w:rsidR="00B04557" w:rsidRPr="00850E69" w:rsidRDefault="00B04557" w:rsidP="00A71EA7">
            <w:pPr>
              <w:jc w:val="both"/>
              <w:rPr>
                <w:rFonts w:eastAsia="Calibri"/>
                <w:sz w:val="20"/>
                <w:szCs w:val="20"/>
                <w:lang w:val="fr-CA"/>
              </w:rPr>
            </w:pPr>
            <w:r w:rsidRPr="00850E69">
              <w:rPr>
                <w:rFonts w:eastAsia="Calibri"/>
                <w:sz w:val="20"/>
                <w:szCs w:val="20"/>
                <w:lang w:val="fr-CA"/>
              </w:rPr>
              <w:t>Droit commercial – Sociétés par actions – Convention de blocage négociée avant l’émission d’une offre publique d’achat par la société offrante et certains actionnaires de la société visée par l’offre – Mesures prises par le conseil d’administration de la société visée pour susciter des offres supérieures interdites par le Bureau de décision et de révision en matière de valeurs mobilières parce que jugées abusives des marchés et comme portant atteinte aux conventions de blocage et au droit de la majorité des actionnaires de décider du sort de la société visée – Quelle est la nature du lien entre les devoirs fiduciaires des dirigeants de la société visée et le cadre qui régit les moyens de défense aux offres publiques d’achat?</w:t>
            </w:r>
          </w:p>
        </w:tc>
      </w:tr>
      <w:tr w:rsidR="00B04557" w:rsidRPr="006B3AEE" w:rsidTr="00A71EA7">
        <w:tc>
          <w:tcPr>
            <w:tcW w:w="5000" w:type="pct"/>
            <w:gridSpan w:val="3"/>
          </w:tcPr>
          <w:p w:rsidR="00B04557" w:rsidRPr="00850E69" w:rsidRDefault="00B04557" w:rsidP="00A71EA7">
            <w:pPr>
              <w:jc w:val="both"/>
              <w:rPr>
                <w:rFonts w:eastAsia="Calibri"/>
                <w:sz w:val="20"/>
                <w:szCs w:val="20"/>
                <w:lang w:val="fr-CA"/>
              </w:rPr>
            </w:pPr>
          </w:p>
        </w:tc>
      </w:tr>
      <w:tr w:rsidR="00B04557" w:rsidRPr="006B3AEE" w:rsidTr="00A71EA7">
        <w:tc>
          <w:tcPr>
            <w:tcW w:w="5000" w:type="pct"/>
            <w:gridSpan w:val="3"/>
          </w:tcPr>
          <w:p w:rsidR="00B04557" w:rsidRPr="00850E69" w:rsidRDefault="00B04557" w:rsidP="00A71EA7">
            <w:pPr>
              <w:jc w:val="both"/>
              <w:rPr>
                <w:rFonts w:eastAsia="Calibri"/>
                <w:sz w:val="20"/>
                <w:szCs w:val="20"/>
                <w:lang w:val="fr-CA"/>
              </w:rPr>
            </w:pPr>
            <w:r w:rsidRPr="00850E69">
              <w:rPr>
                <w:rFonts w:eastAsia="Calibri"/>
                <w:sz w:val="20"/>
                <w:szCs w:val="20"/>
                <w:lang w:val="fr-CA"/>
              </w:rPr>
              <w:t>En novembre 2011, l’intimée Abitibi annonce son intention de lancer une offre publique d’achat (OPA) afin d’acquérir la totalité des actions émises et en circulation de la demanderesse Fibrek. À ce moment, Abitibi compte déjà sur le support indéfectible des trois actionnaires les plus importants. Le conseil d’administration de Fibrek estime toutefois que l’offre est insuffisante et adopte des mesures pour la décourager et pour susciter des offres supérieures. Entre</w:t>
            </w:r>
            <w:r w:rsidRPr="00850E69">
              <w:rPr>
                <w:rFonts w:eastAsia="Calibri"/>
                <w:sz w:val="20"/>
                <w:szCs w:val="20"/>
                <w:lang w:val="fr-CA"/>
              </w:rPr>
              <w:noBreakHyphen/>
              <w:t>temps, la demanderesse Mercer se montre intéressée et lance, elle aussi, une OPA concernant Fibrek. Auparavant, elle signe une convention de soutien où la direction de Fibrek s’engage à soutenir l’offre et qui prévoit une indemnité de résiliation. Mercer exige aussi l’option d’acquérir des bons convertibles en autant d’actions de Fibrek. Advenant conversion, Mercer détiendra alors 19,9% du capital émis de Fibrek et aura le droit d’exiger la nomination de deux administrateurs au sein du conseil d’administration de Fibrek.</w:t>
            </w:r>
          </w:p>
          <w:p w:rsidR="00B04557" w:rsidRPr="00850E69" w:rsidRDefault="00B04557" w:rsidP="00A71EA7">
            <w:pPr>
              <w:jc w:val="both"/>
              <w:rPr>
                <w:rFonts w:eastAsia="Calibri"/>
                <w:sz w:val="20"/>
                <w:szCs w:val="20"/>
                <w:lang w:val="fr-CA"/>
              </w:rPr>
            </w:pPr>
          </w:p>
          <w:p w:rsidR="00B04557" w:rsidRPr="00850E69" w:rsidRDefault="00B04557" w:rsidP="00A71EA7">
            <w:pPr>
              <w:jc w:val="both"/>
              <w:rPr>
                <w:rFonts w:eastAsia="Calibri"/>
                <w:sz w:val="20"/>
                <w:szCs w:val="20"/>
                <w:lang w:val="fr-CA"/>
              </w:rPr>
            </w:pPr>
            <w:r w:rsidRPr="00850E69">
              <w:rPr>
                <w:rFonts w:eastAsia="Calibri"/>
                <w:sz w:val="20"/>
                <w:szCs w:val="20"/>
                <w:lang w:val="fr-CA"/>
              </w:rPr>
              <w:t xml:space="preserve">Abitibi s’adresse alors au Bureau de décision et de révision en matière de valeurs mobilières en vertu de la </w:t>
            </w:r>
            <w:r w:rsidRPr="00850E69">
              <w:rPr>
                <w:rFonts w:eastAsia="Calibri"/>
                <w:i/>
                <w:sz w:val="20"/>
                <w:szCs w:val="20"/>
                <w:lang w:val="fr-CA"/>
              </w:rPr>
              <w:t>Loi sur l’autorité des marchés financiers</w:t>
            </w:r>
            <w:r w:rsidRPr="00850E69">
              <w:rPr>
                <w:rFonts w:eastAsia="Calibri"/>
                <w:sz w:val="20"/>
                <w:szCs w:val="20"/>
                <w:lang w:val="fr-CA"/>
              </w:rPr>
              <w:t>, L.R.Q., ch. A</w:t>
            </w:r>
            <w:r w:rsidRPr="00850E69">
              <w:rPr>
                <w:rFonts w:eastAsia="Calibri"/>
                <w:sz w:val="20"/>
                <w:szCs w:val="20"/>
                <w:lang w:val="fr-CA"/>
              </w:rPr>
              <w:noBreakHyphen/>
              <w:t xml:space="preserve">33.2, et de la </w:t>
            </w:r>
            <w:r w:rsidRPr="00850E69">
              <w:rPr>
                <w:rFonts w:eastAsia="Calibri"/>
                <w:i/>
                <w:sz w:val="20"/>
                <w:szCs w:val="20"/>
                <w:lang w:val="fr-CA"/>
              </w:rPr>
              <w:t>Loi sur les valeurs mobilières</w:t>
            </w:r>
            <w:r w:rsidRPr="00850E69">
              <w:rPr>
                <w:rFonts w:eastAsia="Calibri"/>
                <w:sz w:val="20"/>
                <w:szCs w:val="20"/>
                <w:lang w:val="fr-CA"/>
              </w:rPr>
              <w:t>, L.R.Q., ch. V</w:t>
            </w:r>
            <w:r w:rsidRPr="00850E69">
              <w:rPr>
                <w:rFonts w:eastAsia="Calibri"/>
                <w:sz w:val="20"/>
                <w:szCs w:val="20"/>
                <w:lang w:val="fr-CA"/>
              </w:rPr>
              <w:noBreakHyphen/>
              <w:t>1.1, afin qu’il émette une interdiction à l’égard de l’OPA de Mercer et des bons. Abitibi estime que l’OPA et les ententes accessoires sont abusives envers les actionnaires et les marchés financiers. Le Bureau interdit l’émission des bons et leur conversion en actions.</w:t>
            </w:r>
          </w:p>
          <w:p w:rsidR="00B04557" w:rsidRPr="00850E69" w:rsidRDefault="00B04557" w:rsidP="00A71EA7">
            <w:pPr>
              <w:jc w:val="both"/>
              <w:rPr>
                <w:rFonts w:eastAsia="Calibri"/>
                <w:sz w:val="20"/>
                <w:szCs w:val="20"/>
                <w:lang w:val="fr-CA"/>
              </w:rPr>
            </w:pPr>
          </w:p>
        </w:tc>
      </w:tr>
      <w:tr w:rsidR="00B04557" w:rsidRPr="006B3AEE" w:rsidTr="00A71EA7">
        <w:tc>
          <w:tcPr>
            <w:tcW w:w="2427" w:type="pct"/>
          </w:tcPr>
          <w:p w:rsidR="00B04557" w:rsidRPr="00850E69" w:rsidRDefault="00B04557" w:rsidP="00A71EA7">
            <w:pPr>
              <w:jc w:val="both"/>
              <w:rPr>
                <w:rFonts w:eastAsia="Calibri"/>
                <w:sz w:val="20"/>
                <w:szCs w:val="20"/>
                <w:lang w:val="fr-CA"/>
              </w:rPr>
            </w:pPr>
            <w:r w:rsidRPr="00850E69">
              <w:rPr>
                <w:rFonts w:eastAsia="Calibri"/>
                <w:sz w:val="20"/>
                <w:szCs w:val="20"/>
                <w:lang w:val="fr-CA"/>
              </w:rPr>
              <w:t>Le 9 mars 2012</w:t>
            </w:r>
          </w:p>
          <w:p w:rsidR="00B04557" w:rsidRPr="00850E69" w:rsidRDefault="00B04557" w:rsidP="00A71EA7">
            <w:pPr>
              <w:jc w:val="both"/>
              <w:rPr>
                <w:rFonts w:eastAsia="Calibri"/>
                <w:sz w:val="20"/>
                <w:szCs w:val="20"/>
                <w:lang w:val="fr-CA"/>
              </w:rPr>
            </w:pPr>
            <w:r w:rsidRPr="00850E69">
              <w:rPr>
                <w:rFonts w:eastAsia="Calibri"/>
                <w:sz w:val="20"/>
                <w:szCs w:val="20"/>
                <w:lang w:val="fr-CA"/>
              </w:rPr>
              <w:t>Cour du Québec</w:t>
            </w:r>
          </w:p>
          <w:p w:rsidR="00B04557" w:rsidRPr="00850E69" w:rsidRDefault="00B04557" w:rsidP="00A71EA7">
            <w:pPr>
              <w:jc w:val="both"/>
              <w:rPr>
                <w:rFonts w:eastAsia="Calibri"/>
                <w:sz w:val="20"/>
                <w:szCs w:val="20"/>
                <w:lang w:val="fr-CA"/>
              </w:rPr>
            </w:pPr>
            <w:r w:rsidRPr="00850E69">
              <w:rPr>
                <w:rFonts w:eastAsia="Calibri"/>
                <w:sz w:val="20"/>
                <w:szCs w:val="20"/>
                <w:lang w:val="fr-CA"/>
              </w:rPr>
              <w:t>(La juge Quenneville)</w:t>
            </w:r>
          </w:p>
          <w:p w:rsidR="00B04557" w:rsidRPr="00850E69" w:rsidRDefault="00B04557" w:rsidP="00A71EA7">
            <w:pPr>
              <w:jc w:val="both"/>
              <w:rPr>
                <w:rFonts w:eastAsia="Calibri"/>
                <w:sz w:val="20"/>
                <w:szCs w:val="20"/>
                <w:lang w:val="fr-CA"/>
              </w:rPr>
            </w:pPr>
            <w:r w:rsidRPr="00850E69">
              <w:rPr>
                <w:rFonts w:eastAsia="Calibri"/>
                <w:sz w:val="20"/>
                <w:szCs w:val="20"/>
                <w:lang w:val="fr-CA"/>
              </w:rPr>
              <w:t xml:space="preserve">2012 QCCQ 1745 </w:t>
            </w:r>
          </w:p>
          <w:p w:rsidR="00B04557" w:rsidRPr="00850E69" w:rsidRDefault="00B04557" w:rsidP="00A71EA7">
            <w:pPr>
              <w:jc w:val="both"/>
              <w:rPr>
                <w:rFonts w:eastAsia="Calibri"/>
                <w:sz w:val="20"/>
                <w:szCs w:val="20"/>
                <w:lang w:val="fr-CA"/>
              </w:rPr>
            </w:pPr>
          </w:p>
        </w:tc>
        <w:tc>
          <w:tcPr>
            <w:tcW w:w="243" w:type="pct"/>
          </w:tcPr>
          <w:p w:rsidR="00B04557" w:rsidRPr="00850E69" w:rsidRDefault="00B04557" w:rsidP="00A71EA7">
            <w:pPr>
              <w:jc w:val="both"/>
              <w:rPr>
                <w:rFonts w:eastAsia="Calibri"/>
                <w:sz w:val="20"/>
                <w:szCs w:val="20"/>
                <w:lang w:val="fr-CA"/>
              </w:rPr>
            </w:pPr>
          </w:p>
        </w:tc>
        <w:tc>
          <w:tcPr>
            <w:tcW w:w="2330" w:type="pct"/>
          </w:tcPr>
          <w:p w:rsidR="00B04557" w:rsidRPr="00850E69" w:rsidRDefault="00B04557" w:rsidP="00A71EA7">
            <w:pPr>
              <w:jc w:val="both"/>
              <w:rPr>
                <w:rFonts w:eastAsia="Calibri"/>
                <w:sz w:val="20"/>
                <w:szCs w:val="20"/>
                <w:lang w:val="fr-CA"/>
              </w:rPr>
            </w:pPr>
            <w:r w:rsidRPr="00850E69">
              <w:rPr>
                <w:rFonts w:eastAsia="Calibri"/>
                <w:sz w:val="20"/>
                <w:szCs w:val="20"/>
                <w:lang w:val="fr-CA"/>
              </w:rPr>
              <w:t>Appels d’une décision du Bureau de décision et de révision en matière de valeurs mobilières accueilli; demande d’émission d’une ordonnance d’interdiction rejetée</w:t>
            </w:r>
          </w:p>
          <w:p w:rsidR="00B04557" w:rsidRPr="00850E69" w:rsidRDefault="00B04557" w:rsidP="00A71EA7">
            <w:pPr>
              <w:jc w:val="both"/>
              <w:rPr>
                <w:rFonts w:eastAsia="Calibri"/>
                <w:sz w:val="20"/>
                <w:szCs w:val="20"/>
                <w:lang w:val="fr-CA"/>
              </w:rPr>
            </w:pPr>
          </w:p>
        </w:tc>
      </w:tr>
      <w:tr w:rsidR="00B04557" w:rsidRPr="006B3AEE" w:rsidTr="00A71EA7">
        <w:tc>
          <w:tcPr>
            <w:tcW w:w="2427" w:type="pct"/>
          </w:tcPr>
          <w:p w:rsidR="00B04557" w:rsidRPr="00850E69" w:rsidRDefault="00B04557" w:rsidP="00A71EA7">
            <w:pPr>
              <w:jc w:val="both"/>
              <w:rPr>
                <w:rFonts w:eastAsia="Calibri"/>
                <w:sz w:val="20"/>
                <w:szCs w:val="20"/>
                <w:lang w:val="fr-CA"/>
              </w:rPr>
            </w:pPr>
            <w:r w:rsidRPr="00850E69">
              <w:rPr>
                <w:rFonts w:eastAsia="Calibri"/>
                <w:sz w:val="20"/>
                <w:szCs w:val="20"/>
                <w:lang w:val="fr-CA"/>
              </w:rPr>
              <w:t>Le 27 mars 2012</w:t>
            </w:r>
          </w:p>
          <w:p w:rsidR="00B04557" w:rsidRPr="00850E69" w:rsidRDefault="00B04557" w:rsidP="00A71EA7">
            <w:pPr>
              <w:jc w:val="both"/>
              <w:rPr>
                <w:rFonts w:eastAsia="Calibri"/>
                <w:sz w:val="20"/>
                <w:szCs w:val="20"/>
                <w:lang w:val="fr-CA"/>
              </w:rPr>
            </w:pPr>
            <w:r w:rsidRPr="00850E69">
              <w:rPr>
                <w:rFonts w:eastAsia="Calibri"/>
                <w:sz w:val="20"/>
                <w:szCs w:val="20"/>
                <w:lang w:val="fr-CA"/>
              </w:rPr>
              <w:t>Cour d’appel du Québec (Montréal)</w:t>
            </w:r>
          </w:p>
          <w:p w:rsidR="00B04557" w:rsidRPr="00850E69" w:rsidRDefault="00B04557" w:rsidP="00A71EA7">
            <w:pPr>
              <w:jc w:val="both"/>
              <w:rPr>
                <w:rFonts w:eastAsia="Calibri"/>
                <w:sz w:val="20"/>
                <w:szCs w:val="20"/>
                <w:lang w:val="fr-CA"/>
              </w:rPr>
            </w:pPr>
            <w:r w:rsidRPr="00850E69">
              <w:rPr>
                <w:rFonts w:eastAsia="Calibri"/>
                <w:sz w:val="20"/>
                <w:szCs w:val="20"/>
                <w:lang w:val="fr-CA"/>
              </w:rPr>
              <w:t>(Les juges Dalphond, Dufresne et Wagner)</w:t>
            </w:r>
          </w:p>
          <w:p w:rsidR="00B04557" w:rsidRPr="00850E69" w:rsidRDefault="00B04557" w:rsidP="00A71EA7">
            <w:pPr>
              <w:jc w:val="both"/>
              <w:rPr>
                <w:rFonts w:eastAsia="Calibri"/>
                <w:sz w:val="20"/>
                <w:szCs w:val="20"/>
                <w:lang w:val="fr-CA"/>
              </w:rPr>
            </w:pPr>
            <w:r w:rsidRPr="00850E69">
              <w:rPr>
                <w:rFonts w:eastAsia="Calibri"/>
                <w:sz w:val="20"/>
                <w:szCs w:val="20"/>
                <w:lang w:val="fr-CA"/>
              </w:rPr>
              <w:t>2012 QCCA 569 ; 500</w:t>
            </w:r>
            <w:r w:rsidRPr="00850E69">
              <w:rPr>
                <w:rFonts w:eastAsia="Calibri"/>
                <w:sz w:val="20"/>
                <w:szCs w:val="20"/>
                <w:lang w:val="fr-CA"/>
              </w:rPr>
              <w:noBreakHyphen/>
              <w:t>09</w:t>
            </w:r>
            <w:r w:rsidRPr="00850E69">
              <w:rPr>
                <w:rFonts w:eastAsia="Calibri"/>
                <w:sz w:val="20"/>
                <w:szCs w:val="20"/>
                <w:lang w:val="fr-CA"/>
              </w:rPr>
              <w:noBreakHyphen/>
              <w:t>022484</w:t>
            </w:r>
            <w:r w:rsidRPr="00850E69">
              <w:rPr>
                <w:rFonts w:eastAsia="Calibri"/>
                <w:sz w:val="20"/>
                <w:szCs w:val="20"/>
                <w:lang w:val="fr-CA"/>
              </w:rPr>
              <w:noBreakHyphen/>
              <w:t>125</w:t>
            </w:r>
          </w:p>
          <w:p w:rsidR="00B04557" w:rsidRPr="00850E69" w:rsidRDefault="00B04557" w:rsidP="00A71EA7">
            <w:pPr>
              <w:jc w:val="both"/>
              <w:rPr>
                <w:rFonts w:eastAsia="Calibri"/>
                <w:sz w:val="20"/>
                <w:szCs w:val="20"/>
                <w:lang w:val="fr-CA"/>
              </w:rPr>
            </w:pPr>
          </w:p>
        </w:tc>
        <w:tc>
          <w:tcPr>
            <w:tcW w:w="243" w:type="pct"/>
          </w:tcPr>
          <w:p w:rsidR="00B04557" w:rsidRPr="00850E69" w:rsidRDefault="00B04557" w:rsidP="00A71EA7">
            <w:pPr>
              <w:jc w:val="both"/>
              <w:rPr>
                <w:rFonts w:eastAsia="Calibri"/>
                <w:sz w:val="20"/>
                <w:szCs w:val="20"/>
                <w:lang w:val="fr-CA"/>
              </w:rPr>
            </w:pPr>
          </w:p>
        </w:tc>
        <w:tc>
          <w:tcPr>
            <w:tcW w:w="2330" w:type="pct"/>
          </w:tcPr>
          <w:p w:rsidR="00B04557" w:rsidRPr="00850E69" w:rsidRDefault="00B04557" w:rsidP="00A71EA7">
            <w:pPr>
              <w:jc w:val="both"/>
              <w:rPr>
                <w:rFonts w:eastAsia="Calibri"/>
                <w:sz w:val="20"/>
                <w:szCs w:val="20"/>
                <w:lang w:val="fr-CA"/>
              </w:rPr>
            </w:pPr>
            <w:r w:rsidRPr="00850E69">
              <w:rPr>
                <w:rFonts w:eastAsia="Calibri"/>
                <w:sz w:val="20"/>
                <w:szCs w:val="20"/>
                <w:lang w:val="fr-CA"/>
              </w:rPr>
              <w:t>Appel accueilli; appels de la décision du Bureau rejetés</w:t>
            </w:r>
          </w:p>
          <w:p w:rsidR="00B04557" w:rsidRPr="00850E69" w:rsidRDefault="00B04557" w:rsidP="00A71EA7">
            <w:pPr>
              <w:jc w:val="both"/>
              <w:rPr>
                <w:rFonts w:eastAsia="Calibri"/>
                <w:sz w:val="20"/>
                <w:szCs w:val="20"/>
                <w:lang w:val="fr-CA"/>
              </w:rPr>
            </w:pPr>
          </w:p>
        </w:tc>
      </w:tr>
      <w:tr w:rsidR="00B04557" w:rsidRPr="00850E69" w:rsidTr="00A71EA7">
        <w:tc>
          <w:tcPr>
            <w:tcW w:w="2427" w:type="pct"/>
          </w:tcPr>
          <w:p w:rsidR="00B04557" w:rsidRPr="00850E69" w:rsidRDefault="00B04557" w:rsidP="00A71EA7">
            <w:pPr>
              <w:jc w:val="both"/>
              <w:rPr>
                <w:rFonts w:eastAsia="Calibri"/>
                <w:sz w:val="20"/>
                <w:szCs w:val="20"/>
                <w:lang w:val="fr-CA"/>
              </w:rPr>
            </w:pPr>
            <w:r w:rsidRPr="00850E69">
              <w:rPr>
                <w:rFonts w:eastAsia="Calibri"/>
                <w:sz w:val="20"/>
                <w:szCs w:val="20"/>
                <w:lang w:val="fr-CA"/>
              </w:rPr>
              <w:t>Les 4 et 11 avril 2012</w:t>
            </w:r>
          </w:p>
          <w:p w:rsidR="00B04557" w:rsidRPr="00850E69" w:rsidRDefault="00B04557" w:rsidP="00A71EA7">
            <w:pPr>
              <w:jc w:val="both"/>
              <w:rPr>
                <w:rFonts w:eastAsia="Calibri"/>
                <w:sz w:val="20"/>
                <w:szCs w:val="20"/>
                <w:lang w:val="fr-CA"/>
              </w:rPr>
            </w:pPr>
            <w:r w:rsidRPr="00850E69">
              <w:rPr>
                <w:rFonts w:eastAsia="Calibri"/>
                <w:sz w:val="20"/>
                <w:szCs w:val="20"/>
                <w:lang w:val="fr-CA"/>
              </w:rPr>
              <w:t>Cour suprême du Canada</w:t>
            </w:r>
          </w:p>
        </w:tc>
        <w:tc>
          <w:tcPr>
            <w:tcW w:w="243" w:type="pct"/>
          </w:tcPr>
          <w:p w:rsidR="00B04557" w:rsidRPr="00850E69" w:rsidRDefault="00B04557" w:rsidP="00A71EA7">
            <w:pPr>
              <w:jc w:val="both"/>
              <w:rPr>
                <w:rFonts w:eastAsia="Calibri"/>
                <w:sz w:val="20"/>
                <w:szCs w:val="20"/>
                <w:lang w:val="fr-CA"/>
              </w:rPr>
            </w:pPr>
          </w:p>
        </w:tc>
        <w:tc>
          <w:tcPr>
            <w:tcW w:w="2330" w:type="pct"/>
          </w:tcPr>
          <w:p w:rsidR="00B04557" w:rsidRPr="00850E69" w:rsidRDefault="00B04557" w:rsidP="00A71EA7">
            <w:pPr>
              <w:jc w:val="both"/>
              <w:rPr>
                <w:rFonts w:eastAsia="Calibri"/>
                <w:sz w:val="20"/>
                <w:szCs w:val="20"/>
                <w:lang w:val="fr-CA"/>
              </w:rPr>
            </w:pPr>
            <w:r w:rsidRPr="00850E69">
              <w:rPr>
                <w:rFonts w:eastAsia="Calibri"/>
                <w:sz w:val="20"/>
                <w:szCs w:val="20"/>
                <w:lang w:val="fr-CA"/>
              </w:rPr>
              <w:t>Demandes d'autorisation d'appel déposées</w:t>
            </w:r>
          </w:p>
          <w:p w:rsidR="00B04557" w:rsidRPr="00850E69" w:rsidRDefault="00B04557" w:rsidP="00A71EA7">
            <w:pPr>
              <w:jc w:val="both"/>
              <w:rPr>
                <w:rFonts w:eastAsia="Calibri"/>
                <w:sz w:val="20"/>
                <w:szCs w:val="20"/>
                <w:lang w:val="fr-CA"/>
              </w:rPr>
            </w:pPr>
          </w:p>
        </w:tc>
      </w:tr>
    </w:tbl>
    <w:p w:rsidR="00B04557" w:rsidRDefault="00B04557" w:rsidP="008D292F">
      <w:pPr>
        <w:rPr>
          <w:sz w:val="20"/>
          <w:szCs w:val="20"/>
        </w:rPr>
      </w:pPr>
    </w:p>
    <w:p w:rsidR="001E74A1" w:rsidRDefault="00A3677B" w:rsidP="008D292F">
      <w:pPr>
        <w:rPr>
          <w:sz w:val="20"/>
          <w:szCs w:val="20"/>
        </w:rPr>
      </w:pPr>
      <w:r w:rsidRPr="00A3677B">
        <w:rPr>
          <w:sz w:val="20"/>
          <w:szCs w:val="20"/>
          <w:lang w:val="fr-CA"/>
        </w:rPr>
        <w:pict>
          <v:rect id="_x0000_i1036" style="width:2in;height:1pt" o:hrpct="0" o:hralign="center" o:hrstd="t" o:hrnoshade="t" o:hr="t" fillcolor="black [3213]" stroked="f"/>
        </w:pict>
      </w:r>
    </w:p>
    <w:p w:rsidR="008D292F" w:rsidRPr="00D027E3" w:rsidRDefault="008D292F" w:rsidP="008D292F">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D621AC" w:rsidRPr="00B677D2" w:rsidRDefault="00D621AC" w:rsidP="00D621AC">
      <w:pPr>
        <w:tabs>
          <w:tab w:val="left" w:pos="-1440"/>
          <w:tab w:val="left" w:pos="-720"/>
        </w:tabs>
        <w:jc w:val="both"/>
        <w:rPr>
          <w:sz w:val="20"/>
          <w:szCs w:val="20"/>
        </w:rPr>
      </w:pPr>
      <w:r w:rsidRPr="00B677D2">
        <w:rPr>
          <w:sz w:val="20"/>
          <w:szCs w:val="20"/>
        </w:rPr>
        <w:t>04.04.2012</w:t>
      </w:r>
    </w:p>
    <w:p w:rsidR="00D621AC" w:rsidRPr="00B677D2" w:rsidRDefault="00D621AC" w:rsidP="00D621AC">
      <w:pPr>
        <w:tabs>
          <w:tab w:val="left" w:pos="-1440"/>
          <w:tab w:val="left" w:pos="-720"/>
        </w:tabs>
        <w:jc w:val="both"/>
        <w:rPr>
          <w:sz w:val="20"/>
          <w:szCs w:val="20"/>
        </w:rPr>
      </w:pPr>
    </w:p>
    <w:p w:rsidR="00D621AC" w:rsidRPr="00B677D2" w:rsidRDefault="00D621AC" w:rsidP="00D621AC">
      <w:pPr>
        <w:tabs>
          <w:tab w:val="left" w:pos="-1440"/>
          <w:tab w:val="left" w:pos="-720"/>
        </w:tabs>
        <w:jc w:val="both"/>
        <w:rPr>
          <w:sz w:val="20"/>
          <w:szCs w:val="20"/>
        </w:rPr>
      </w:pPr>
      <w:r w:rsidRPr="00B677D2">
        <w:rPr>
          <w:sz w:val="20"/>
          <w:szCs w:val="20"/>
        </w:rPr>
        <w:t xml:space="preserve">Before / Devant :   </w:t>
      </w:r>
      <w:r w:rsidRPr="00B677D2">
        <w:rPr>
          <w:sz w:val="20"/>
          <w:szCs w:val="20"/>
          <w:lang w:val="fr-CA"/>
        </w:rPr>
        <w:t>THE REGISTRAR / LE REGISTRAIRE</w:t>
      </w:r>
    </w:p>
    <w:p w:rsidR="00D621AC" w:rsidRPr="00B677D2" w:rsidRDefault="00D621AC" w:rsidP="00D621AC">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621AC" w:rsidRPr="006B3AEE" w:rsidTr="00027A88">
        <w:tc>
          <w:tcPr>
            <w:tcW w:w="4338" w:type="dxa"/>
          </w:tcPr>
          <w:p w:rsidR="00D621AC" w:rsidRPr="00B677D2" w:rsidRDefault="00A3677B" w:rsidP="00027A88">
            <w:pPr>
              <w:tabs>
                <w:tab w:val="left" w:pos="-1440"/>
                <w:tab w:val="left" w:pos="-720"/>
              </w:tabs>
              <w:jc w:val="both"/>
              <w:rPr>
                <w:sz w:val="20"/>
                <w:szCs w:val="20"/>
              </w:rPr>
            </w:pPr>
            <w:r w:rsidRPr="00B677D2">
              <w:rPr>
                <w:sz w:val="20"/>
                <w:szCs w:val="20"/>
              </w:rPr>
              <w:fldChar w:fldCharType="begin"/>
            </w:r>
            <w:r w:rsidR="00D621AC" w:rsidRPr="00B677D2">
              <w:rPr>
                <w:sz w:val="20"/>
                <w:szCs w:val="20"/>
              </w:rPr>
              <w:instrText xml:space="preserve"> SEQ CHAPTER \h \r 1</w:instrText>
            </w:r>
            <w:r w:rsidRPr="00B677D2">
              <w:rPr>
                <w:sz w:val="20"/>
                <w:szCs w:val="20"/>
              </w:rPr>
              <w:fldChar w:fldCharType="end"/>
            </w:r>
            <w:r w:rsidR="00D621AC" w:rsidRPr="00B677D2">
              <w:rPr>
                <w:b/>
                <w:bCs/>
                <w:sz w:val="20"/>
                <w:szCs w:val="20"/>
              </w:rPr>
              <w:t xml:space="preserve">Motion to seal documents </w:t>
            </w:r>
          </w:p>
        </w:tc>
        <w:tc>
          <w:tcPr>
            <w:tcW w:w="1170" w:type="dxa"/>
          </w:tcPr>
          <w:p w:rsidR="00D621AC" w:rsidRPr="00B677D2" w:rsidRDefault="00D621AC" w:rsidP="00027A88">
            <w:pPr>
              <w:tabs>
                <w:tab w:val="left" w:pos="-1440"/>
                <w:tab w:val="left" w:pos="-720"/>
              </w:tabs>
              <w:jc w:val="both"/>
              <w:rPr>
                <w:sz w:val="20"/>
                <w:szCs w:val="20"/>
              </w:rPr>
            </w:pPr>
          </w:p>
          <w:p w:rsidR="00D621AC" w:rsidRPr="00B677D2" w:rsidRDefault="00D621AC" w:rsidP="00027A88">
            <w:pPr>
              <w:tabs>
                <w:tab w:val="left" w:pos="-1440"/>
                <w:tab w:val="left" w:pos="-720"/>
              </w:tabs>
              <w:jc w:val="both"/>
              <w:rPr>
                <w:sz w:val="20"/>
                <w:szCs w:val="20"/>
              </w:rPr>
            </w:pPr>
          </w:p>
          <w:p w:rsidR="00D621AC" w:rsidRPr="00B677D2" w:rsidRDefault="00D621AC" w:rsidP="00027A88">
            <w:pPr>
              <w:tabs>
                <w:tab w:val="left" w:pos="-1440"/>
                <w:tab w:val="left" w:pos="-720"/>
              </w:tabs>
              <w:jc w:val="both"/>
              <w:rPr>
                <w:sz w:val="20"/>
                <w:szCs w:val="20"/>
              </w:rPr>
            </w:pPr>
          </w:p>
        </w:tc>
        <w:tc>
          <w:tcPr>
            <w:tcW w:w="4327" w:type="dxa"/>
          </w:tcPr>
          <w:p w:rsidR="00D621AC" w:rsidRPr="00B677D2" w:rsidRDefault="00A3677B" w:rsidP="00027A88">
            <w:pPr>
              <w:tabs>
                <w:tab w:val="left" w:pos="-1440"/>
                <w:tab w:val="left" w:pos="-720"/>
              </w:tabs>
              <w:jc w:val="both"/>
              <w:rPr>
                <w:sz w:val="20"/>
                <w:szCs w:val="20"/>
                <w:lang w:val="fr-CA"/>
              </w:rPr>
            </w:pPr>
            <w:r w:rsidRPr="00B677D2">
              <w:rPr>
                <w:sz w:val="20"/>
                <w:szCs w:val="20"/>
              </w:rPr>
              <w:fldChar w:fldCharType="begin"/>
            </w:r>
            <w:r w:rsidR="00D621AC" w:rsidRPr="00B677D2">
              <w:rPr>
                <w:sz w:val="20"/>
                <w:szCs w:val="20"/>
                <w:lang w:val="fr-CA"/>
              </w:rPr>
              <w:instrText xml:space="preserve"> SEQ CHAPTER \h \r 1</w:instrText>
            </w:r>
            <w:r w:rsidRPr="00B677D2">
              <w:rPr>
                <w:sz w:val="20"/>
                <w:szCs w:val="20"/>
              </w:rPr>
              <w:fldChar w:fldCharType="end"/>
            </w:r>
            <w:r w:rsidR="00D621AC" w:rsidRPr="00B677D2">
              <w:rPr>
                <w:b/>
                <w:bCs/>
                <w:sz w:val="20"/>
                <w:szCs w:val="20"/>
                <w:lang w:val="fr-CA"/>
              </w:rPr>
              <w:t>Requête visant la mise sous scellés de documents</w:t>
            </w:r>
          </w:p>
        </w:tc>
      </w:tr>
      <w:tr w:rsidR="00D621AC" w:rsidRPr="006B3AEE" w:rsidTr="00027A88">
        <w:tc>
          <w:tcPr>
            <w:tcW w:w="4338" w:type="dxa"/>
          </w:tcPr>
          <w:p w:rsidR="00D621AC" w:rsidRPr="00B677D2" w:rsidRDefault="00D621AC" w:rsidP="00027A88">
            <w:pPr>
              <w:tabs>
                <w:tab w:val="left" w:pos="-1440"/>
                <w:tab w:val="left" w:pos="-720"/>
              </w:tabs>
              <w:jc w:val="both"/>
              <w:rPr>
                <w:sz w:val="20"/>
                <w:szCs w:val="20"/>
                <w:lang w:val="fr-CA"/>
              </w:rPr>
            </w:pPr>
            <w:r w:rsidRPr="00B677D2">
              <w:rPr>
                <w:sz w:val="20"/>
                <w:szCs w:val="20"/>
                <w:lang w:val="fr-CA"/>
              </w:rPr>
              <w:t>B et C</w:t>
            </w:r>
          </w:p>
          <w:p w:rsidR="00D621AC" w:rsidRPr="00B677D2" w:rsidRDefault="00D621AC" w:rsidP="00027A88">
            <w:pPr>
              <w:tabs>
                <w:tab w:val="left" w:pos="-1440"/>
                <w:tab w:val="left" w:pos="-720"/>
              </w:tabs>
              <w:jc w:val="both"/>
              <w:rPr>
                <w:sz w:val="20"/>
                <w:szCs w:val="20"/>
                <w:lang w:val="fr-CA"/>
              </w:rPr>
            </w:pPr>
          </w:p>
          <w:p w:rsidR="00D621AC" w:rsidRPr="00B677D2" w:rsidRDefault="00D621AC" w:rsidP="00027A88">
            <w:pPr>
              <w:tabs>
                <w:tab w:val="left" w:pos="-1440"/>
                <w:tab w:val="left" w:pos="-720"/>
              </w:tabs>
              <w:jc w:val="both"/>
              <w:rPr>
                <w:sz w:val="20"/>
                <w:szCs w:val="20"/>
                <w:lang w:val="fr-CA"/>
              </w:rPr>
            </w:pPr>
            <w:r w:rsidRPr="00B677D2">
              <w:rPr>
                <w:sz w:val="20"/>
                <w:szCs w:val="20"/>
                <w:lang w:val="fr-CA"/>
              </w:rPr>
              <w:tab/>
              <w:t>c. (34715)</w:t>
            </w:r>
          </w:p>
          <w:p w:rsidR="00D621AC" w:rsidRPr="00B677D2" w:rsidRDefault="00D621AC" w:rsidP="00027A88">
            <w:pPr>
              <w:tabs>
                <w:tab w:val="left" w:pos="-1440"/>
                <w:tab w:val="left" w:pos="-720"/>
              </w:tabs>
              <w:jc w:val="both"/>
              <w:rPr>
                <w:sz w:val="20"/>
                <w:szCs w:val="20"/>
                <w:lang w:val="fr-CA"/>
              </w:rPr>
            </w:pPr>
          </w:p>
          <w:p w:rsidR="00D621AC" w:rsidRPr="00B677D2" w:rsidRDefault="00D621AC" w:rsidP="00027A88">
            <w:pPr>
              <w:tabs>
                <w:tab w:val="left" w:pos="-1440"/>
                <w:tab w:val="left" w:pos="-720"/>
              </w:tabs>
              <w:jc w:val="both"/>
              <w:rPr>
                <w:sz w:val="20"/>
                <w:szCs w:val="20"/>
                <w:lang w:val="fr-CA"/>
              </w:rPr>
            </w:pPr>
            <w:r w:rsidRPr="00B677D2">
              <w:rPr>
                <w:sz w:val="20"/>
                <w:szCs w:val="20"/>
                <w:lang w:val="fr-CA"/>
              </w:rPr>
              <w:t>[Intervenant 1] et [Intervenant 2] (Qc)</w:t>
            </w:r>
          </w:p>
        </w:tc>
        <w:tc>
          <w:tcPr>
            <w:tcW w:w="1170" w:type="dxa"/>
          </w:tcPr>
          <w:p w:rsidR="00D621AC" w:rsidRPr="00B677D2" w:rsidRDefault="00D621AC" w:rsidP="00027A88">
            <w:pPr>
              <w:tabs>
                <w:tab w:val="left" w:pos="-1440"/>
                <w:tab w:val="left" w:pos="-720"/>
              </w:tabs>
              <w:jc w:val="both"/>
              <w:rPr>
                <w:sz w:val="20"/>
                <w:szCs w:val="20"/>
                <w:lang w:val="fr-CA"/>
              </w:rPr>
            </w:pPr>
          </w:p>
        </w:tc>
        <w:tc>
          <w:tcPr>
            <w:tcW w:w="4327" w:type="dxa"/>
          </w:tcPr>
          <w:p w:rsidR="00D621AC" w:rsidRPr="00B677D2" w:rsidRDefault="00D621AC" w:rsidP="00027A88">
            <w:pPr>
              <w:tabs>
                <w:tab w:val="left" w:pos="-1440"/>
                <w:tab w:val="left" w:pos="-720"/>
              </w:tabs>
              <w:jc w:val="both"/>
              <w:rPr>
                <w:sz w:val="20"/>
                <w:szCs w:val="20"/>
                <w:lang w:val="fr-CA"/>
              </w:rPr>
            </w:pPr>
          </w:p>
        </w:tc>
      </w:tr>
    </w:tbl>
    <w:p w:rsidR="00D621AC" w:rsidRPr="00B677D2" w:rsidRDefault="00D621AC" w:rsidP="00D621AC">
      <w:pPr>
        <w:tabs>
          <w:tab w:val="left" w:pos="-1440"/>
          <w:tab w:val="left" w:pos="-720"/>
        </w:tabs>
        <w:jc w:val="both"/>
        <w:rPr>
          <w:b/>
          <w:sz w:val="20"/>
          <w:szCs w:val="20"/>
          <w:lang w:val="fr-CA"/>
        </w:rPr>
      </w:pPr>
    </w:p>
    <w:p w:rsidR="00D621AC" w:rsidRPr="00B677D2" w:rsidRDefault="00D621AC" w:rsidP="00D621AC">
      <w:pPr>
        <w:tabs>
          <w:tab w:val="left" w:pos="-1440"/>
          <w:tab w:val="left" w:pos="-720"/>
        </w:tabs>
        <w:jc w:val="both"/>
        <w:rPr>
          <w:sz w:val="20"/>
          <w:szCs w:val="20"/>
        </w:rPr>
      </w:pPr>
      <w:r w:rsidRPr="00B677D2">
        <w:rPr>
          <w:b/>
          <w:sz w:val="20"/>
          <w:szCs w:val="20"/>
        </w:rPr>
        <w:t>GRANTED / ACCORDÉE</w:t>
      </w:r>
    </w:p>
    <w:p w:rsidR="00D621AC" w:rsidRPr="00B677D2" w:rsidRDefault="00D621AC" w:rsidP="00D621AC">
      <w:pPr>
        <w:tabs>
          <w:tab w:val="left" w:pos="-1440"/>
          <w:tab w:val="left" w:pos="-720"/>
        </w:tabs>
        <w:jc w:val="both"/>
        <w:rPr>
          <w:sz w:val="20"/>
          <w:szCs w:val="20"/>
        </w:rPr>
      </w:pPr>
    </w:p>
    <w:p w:rsidR="00D621AC" w:rsidRPr="00B677D2" w:rsidRDefault="00D621AC" w:rsidP="00D621AC">
      <w:pPr>
        <w:jc w:val="both"/>
        <w:rPr>
          <w:sz w:val="20"/>
          <w:szCs w:val="20"/>
        </w:rPr>
      </w:pPr>
      <w:r w:rsidRPr="00B677D2">
        <w:rPr>
          <w:b/>
          <w:sz w:val="20"/>
          <w:szCs w:val="20"/>
        </w:rPr>
        <w:t>THIS MOTION</w:t>
      </w:r>
      <w:r w:rsidRPr="00B677D2">
        <w:rPr>
          <w:sz w:val="20"/>
          <w:szCs w:val="20"/>
        </w:rPr>
        <w:t xml:space="preserve"> by the applicants, B and C, for an order to seal additional documents on which the applicants intend to rely.</w:t>
      </w:r>
    </w:p>
    <w:p w:rsidR="00D621AC" w:rsidRPr="00B677D2" w:rsidRDefault="00D621AC" w:rsidP="00D621AC">
      <w:pPr>
        <w:jc w:val="both"/>
        <w:rPr>
          <w:sz w:val="20"/>
          <w:szCs w:val="20"/>
        </w:rPr>
      </w:pPr>
    </w:p>
    <w:p w:rsidR="00D621AC" w:rsidRPr="00B677D2" w:rsidRDefault="00D621AC" w:rsidP="00D621AC">
      <w:pPr>
        <w:jc w:val="both"/>
        <w:rPr>
          <w:sz w:val="20"/>
          <w:szCs w:val="20"/>
        </w:rPr>
      </w:pPr>
      <w:r w:rsidRPr="00B677D2">
        <w:rPr>
          <w:b/>
          <w:sz w:val="20"/>
          <w:szCs w:val="20"/>
        </w:rPr>
        <w:t>HAVING READ</w:t>
      </w:r>
      <w:r w:rsidRPr="00B677D2">
        <w:rPr>
          <w:sz w:val="20"/>
          <w:szCs w:val="20"/>
        </w:rPr>
        <w:t xml:space="preserve"> the motion to seal dated March 6, 2012,</w:t>
      </w:r>
    </w:p>
    <w:p w:rsidR="00D621AC" w:rsidRPr="00B677D2" w:rsidRDefault="00D621AC" w:rsidP="00D621AC">
      <w:pPr>
        <w:jc w:val="both"/>
        <w:rPr>
          <w:sz w:val="20"/>
          <w:szCs w:val="20"/>
        </w:rPr>
      </w:pPr>
    </w:p>
    <w:p w:rsidR="00D621AC" w:rsidRPr="00B677D2" w:rsidRDefault="00D621AC" w:rsidP="00D621AC">
      <w:pPr>
        <w:jc w:val="both"/>
        <w:rPr>
          <w:b/>
          <w:sz w:val="20"/>
          <w:szCs w:val="20"/>
        </w:rPr>
      </w:pPr>
      <w:r w:rsidRPr="00B677D2">
        <w:rPr>
          <w:b/>
          <w:sz w:val="20"/>
          <w:szCs w:val="20"/>
        </w:rPr>
        <w:t>THIS COURT ORDERS AND DECLARES:</w:t>
      </w:r>
    </w:p>
    <w:p w:rsidR="00D621AC" w:rsidRPr="00B677D2" w:rsidRDefault="00D621AC" w:rsidP="00D621AC">
      <w:pPr>
        <w:jc w:val="both"/>
        <w:rPr>
          <w:sz w:val="20"/>
          <w:szCs w:val="20"/>
        </w:rPr>
      </w:pPr>
    </w:p>
    <w:p w:rsidR="00D621AC" w:rsidRPr="00B677D2" w:rsidRDefault="00D621AC" w:rsidP="00D621AC">
      <w:pPr>
        <w:ind w:left="360" w:hanging="360"/>
        <w:jc w:val="both"/>
        <w:rPr>
          <w:sz w:val="20"/>
          <w:szCs w:val="20"/>
        </w:rPr>
      </w:pPr>
      <w:r w:rsidRPr="00B677D2">
        <w:rPr>
          <w:sz w:val="20"/>
          <w:szCs w:val="20"/>
        </w:rPr>
        <w:t>1.</w:t>
      </w:r>
      <w:r w:rsidRPr="00B677D2">
        <w:rPr>
          <w:sz w:val="20"/>
          <w:szCs w:val="20"/>
        </w:rPr>
        <w:tab/>
        <w:t>That Tab “F” of the applicants’ application for leave to appeal be sealed, because it contains confidential medical information;</w:t>
      </w:r>
    </w:p>
    <w:p w:rsidR="00D621AC" w:rsidRPr="00B677D2" w:rsidRDefault="00D621AC" w:rsidP="00D621AC">
      <w:pPr>
        <w:ind w:left="720" w:hanging="720"/>
        <w:jc w:val="both"/>
        <w:rPr>
          <w:sz w:val="20"/>
          <w:szCs w:val="20"/>
        </w:rPr>
      </w:pPr>
    </w:p>
    <w:p w:rsidR="00D621AC" w:rsidRPr="00B677D2" w:rsidRDefault="00D621AC" w:rsidP="00D621AC">
      <w:pPr>
        <w:ind w:left="360" w:hanging="360"/>
        <w:jc w:val="both"/>
        <w:rPr>
          <w:sz w:val="20"/>
          <w:szCs w:val="20"/>
        </w:rPr>
      </w:pPr>
      <w:r w:rsidRPr="00B677D2">
        <w:rPr>
          <w:sz w:val="20"/>
          <w:szCs w:val="20"/>
        </w:rPr>
        <w:t>2.</w:t>
      </w:r>
      <w:r w:rsidRPr="00B677D2">
        <w:rPr>
          <w:sz w:val="20"/>
          <w:szCs w:val="20"/>
        </w:rPr>
        <w:tab/>
        <w:t>That the sealed information be made available only to counsel for the applicants, respondents and interveners in this case, their Ottawa agents, members of this Court, Court staff and such other persons as the parties may agree in writing or as this Court may further order;</w:t>
      </w:r>
    </w:p>
    <w:p w:rsidR="00D621AC" w:rsidRPr="00B677D2" w:rsidRDefault="00D621AC" w:rsidP="00D621AC">
      <w:pPr>
        <w:ind w:left="720" w:hanging="720"/>
        <w:jc w:val="both"/>
        <w:rPr>
          <w:sz w:val="20"/>
          <w:szCs w:val="20"/>
        </w:rPr>
      </w:pPr>
    </w:p>
    <w:p w:rsidR="00D621AC" w:rsidRPr="00B677D2" w:rsidRDefault="00D621AC" w:rsidP="00D621AC">
      <w:pPr>
        <w:ind w:left="360" w:hanging="360"/>
        <w:jc w:val="both"/>
        <w:rPr>
          <w:sz w:val="20"/>
          <w:szCs w:val="20"/>
        </w:rPr>
      </w:pPr>
      <w:r w:rsidRPr="00B677D2">
        <w:rPr>
          <w:sz w:val="20"/>
          <w:szCs w:val="20"/>
        </w:rPr>
        <w:t>3.</w:t>
      </w:r>
      <w:r w:rsidRPr="00B677D2">
        <w:rPr>
          <w:sz w:val="20"/>
          <w:szCs w:val="20"/>
        </w:rPr>
        <w:tab/>
        <w:t>That there will be no order as to the costs of this motion;</w:t>
      </w:r>
    </w:p>
    <w:p w:rsidR="00D621AC" w:rsidRPr="00B677D2" w:rsidRDefault="00D621AC" w:rsidP="00D621AC">
      <w:pPr>
        <w:ind w:left="720" w:hanging="720"/>
        <w:jc w:val="both"/>
        <w:rPr>
          <w:sz w:val="20"/>
          <w:szCs w:val="20"/>
        </w:rPr>
      </w:pPr>
    </w:p>
    <w:p w:rsidR="00D621AC" w:rsidRPr="00B677D2" w:rsidRDefault="00D621AC" w:rsidP="00D621AC">
      <w:pPr>
        <w:ind w:left="360" w:hanging="360"/>
        <w:jc w:val="both"/>
        <w:rPr>
          <w:sz w:val="20"/>
          <w:szCs w:val="20"/>
        </w:rPr>
      </w:pPr>
      <w:r w:rsidRPr="00B677D2">
        <w:rPr>
          <w:sz w:val="20"/>
          <w:szCs w:val="20"/>
        </w:rPr>
        <w:t>4.</w:t>
      </w:r>
      <w:r w:rsidRPr="00B677D2">
        <w:rPr>
          <w:sz w:val="20"/>
          <w:szCs w:val="20"/>
        </w:rPr>
        <w:tab/>
        <w:t>That this order is without prejudice to the right of the parties to this case, should the application for leave be granted, to apply for a supplementary sealing order.</w:t>
      </w:r>
    </w:p>
    <w:p w:rsidR="00D621AC" w:rsidRPr="00B677D2" w:rsidRDefault="00D621AC" w:rsidP="00D621AC">
      <w:pPr>
        <w:tabs>
          <w:tab w:val="left" w:pos="-1440"/>
          <w:tab w:val="left" w:pos="-720"/>
        </w:tabs>
        <w:jc w:val="both"/>
        <w:rPr>
          <w:sz w:val="20"/>
          <w:szCs w:val="20"/>
        </w:rPr>
      </w:pPr>
    </w:p>
    <w:p w:rsidR="00D621AC" w:rsidRPr="00B677D2" w:rsidRDefault="00D621AC" w:rsidP="00D621AC">
      <w:pPr>
        <w:tabs>
          <w:tab w:val="left" w:pos="-1440"/>
          <w:tab w:val="left" w:pos="-720"/>
        </w:tabs>
        <w:jc w:val="both"/>
        <w:rPr>
          <w:sz w:val="20"/>
          <w:szCs w:val="20"/>
        </w:rPr>
      </w:pPr>
    </w:p>
    <w:p w:rsidR="00D621AC" w:rsidRPr="00B677D2" w:rsidRDefault="00D621AC" w:rsidP="00D621AC">
      <w:pPr>
        <w:tabs>
          <w:tab w:val="left" w:pos="-1440"/>
          <w:tab w:val="left" w:pos="-720"/>
        </w:tabs>
        <w:jc w:val="both"/>
        <w:rPr>
          <w:sz w:val="20"/>
          <w:szCs w:val="20"/>
          <w:lang w:val="fr-CA"/>
        </w:rPr>
      </w:pPr>
      <w:r w:rsidRPr="00B677D2">
        <w:rPr>
          <w:b/>
          <w:sz w:val="20"/>
          <w:szCs w:val="20"/>
          <w:lang w:val="fr-CA"/>
        </w:rPr>
        <w:t>LA PRÉSENTE REQUÊTE</w:t>
      </w:r>
      <w:r w:rsidRPr="00B677D2">
        <w:rPr>
          <w:sz w:val="20"/>
          <w:szCs w:val="20"/>
          <w:lang w:val="fr-CA"/>
        </w:rPr>
        <w:t>, effectuée par les demandeurs, B et C, pour obtenir une ordonnance de mise sous scellé des documents additionnels sur lesquels les demandeurs entendent se fonder.</w: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sz w:val="20"/>
          <w:szCs w:val="20"/>
          <w:lang w:val="fr-CA"/>
        </w:rPr>
      </w:pPr>
      <w:r w:rsidRPr="00B677D2">
        <w:rPr>
          <w:b/>
          <w:sz w:val="20"/>
          <w:szCs w:val="20"/>
          <w:lang w:val="fr-CA"/>
        </w:rPr>
        <w:t>APRÈS AVOIR LU</w:t>
      </w:r>
      <w:r w:rsidRPr="00B677D2">
        <w:rPr>
          <w:sz w:val="20"/>
          <w:szCs w:val="20"/>
          <w:lang w:val="fr-CA"/>
        </w:rPr>
        <w:t xml:space="preserve"> la requête pour mise sous scellé en date du 6 mars, 2012,</w: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sz w:val="20"/>
          <w:szCs w:val="20"/>
          <w:lang w:val="fr-CA"/>
        </w:rPr>
      </w:pPr>
      <w:r w:rsidRPr="00B677D2">
        <w:rPr>
          <w:b/>
          <w:sz w:val="20"/>
          <w:szCs w:val="20"/>
          <w:lang w:val="fr-CA"/>
        </w:rPr>
        <w:t>CETTE COUR ORDONNE ET DÉCLARE :</w: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pStyle w:val="ListParagraph"/>
        <w:numPr>
          <w:ilvl w:val="0"/>
          <w:numId w:val="2"/>
        </w:numPr>
        <w:tabs>
          <w:tab w:val="left" w:pos="-1440"/>
          <w:tab w:val="left" w:pos="-720"/>
        </w:tabs>
        <w:ind w:left="360"/>
        <w:jc w:val="both"/>
        <w:rPr>
          <w:sz w:val="20"/>
          <w:szCs w:val="20"/>
          <w:lang w:val="fr-CA"/>
        </w:rPr>
      </w:pPr>
      <w:r w:rsidRPr="00B677D2">
        <w:rPr>
          <w:sz w:val="20"/>
          <w:szCs w:val="20"/>
          <w:lang w:val="fr-CA"/>
        </w:rPr>
        <w:t>Que l’onglet « F » de la demande d’autorisation d’appel des demandeurs soit mise sous scellé puisqu’il contient des informations médicales confidentielles;</w:t>
      </w:r>
    </w:p>
    <w:p w:rsidR="00D621AC" w:rsidRPr="00B677D2" w:rsidRDefault="00D621AC" w:rsidP="00D621AC">
      <w:pPr>
        <w:pStyle w:val="ListParagraph"/>
        <w:tabs>
          <w:tab w:val="left" w:pos="-1440"/>
          <w:tab w:val="left" w:pos="-720"/>
        </w:tabs>
        <w:ind w:left="0"/>
        <w:jc w:val="both"/>
        <w:rPr>
          <w:sz w:val="20"/>
          <w:szCs w:val="20"/>
          <w:lang w:val="fr-CA"/>
        </w:rPr>
      </w:pPr>
    </w:p>
    <w:p w:rsidR="00D621AC" w:rsidRPr="00B677D2" w:rsidRDefault="00D621AC" w:rsidP="00D621AC">
      <w:pPr>
        <w:pStyle w:val="ListParagraph"/>
        <w:numPr>
          <w:ilvl w:val="0"/>
          <w:numId w:val="2"/>
        </w:numPr>
        <w:tabs>
          <w:tab w:val="left" w:pos="-1440"/>
          <w:tab w:val="left" w:pos="-720"/>
        </w:tabs>
        <w:ind w:left="360"/>
        <w:jc w:val="both"/>
        <w:rPr>
          <w:sz w:val="20"/>
          <w:szCs w:val="20"/>
          <w:lang w:val="fr-CA"/>
        </w:rPr>
      </w:pPr>
      <w:r w:rsidRPr="00B677D2">
        <w:rPr>
          <w:sz w:val="20"/>
          <w:szCs w:val="20"/>
          <w:lang w:val="fr-CA"/>
        </w:rPr>
        <w:t>Que l’information mise sous scellé sera uniquement à la disposition des avocats des demandeurs, des intimés et des mis en cause de la présente affaire, de leurs agents respectifs à Ottawa, aux membres de cette Cour, personnel judiciaire et les autres personnes sur lesquels les parties peuvent, par écrit, être d’accord ou comme cette Cour peut en outre ordonner;</w:t>
      </w:r>
    </w:p>
    <w:p w:rsidR="00D621AC" w:rsidRPr="00B677D2" w:rsidRDefault="00D621AC" w:rsidP="00D621AC">
      <w:pPr>
        <w:pStyle w:val="ListParagraph"/>
        <w:tabs>
          <w:tab w:val="left" w:pos="-1440"/>
          <w:tab w:val="left" w:pos="-720"/>
        </w:tabs>
        <w:ind w:left="0"/>
        <w:jc w:val="both"/>
        <w:rPr>
          <w:sz w:val="20"/>
          <w:szCs w:val="20"/>
          <w:lang w:val="fr-CA"/>
        </w:rPr>
      </w:pPr>
    </w:p>
    <w:p w:rsidR="00D621AC" w:rsidRPr="00B677D2" w:rsidRDefault="00D621AC" w:rsidP="00D621AC">
      <w:pPr>
        <w:pStyle w:val="ListParagraph"/>
        <w:numPr>
          <w:ilvl w:val="0"/>
          <w:numId w:val="2"/>
        </w:numPr>
        <w:tabs>
          <w:tab w:val="left" w:pos="-1440"/>
          <w:tab w:val="left" w:pos="-720"/>
        </w:tabs>
        <w:ind w:left="360"/>
        <w:jc w:val="both"/>
        <w:rPr>
          <w:sz w:val="20"/>
          <w:szCs w:val="20"/>
          <w:lang w:val="fr-CA"/>
        </w:rPr>
      </w:pPr>
      <w:r w:rsidRPr="00B677D2">
        <w:rPr>
          <w:sz w:val="20"/>
          <w:szCs w:val="20"/>
          <w:lang w:val="fr-CA"/>
        </w:rPr>
        <w:t>Qu’il n’y aura aucune ordonnance quant aux dépens de la présente motion;</w:t>
      </w:r>
    </w:p>
    <w:p w:rsidR="00D621AC" w:rsidRPr="00B677D2" w:rsidRDefault="00D621AC" w:rsidP="00D621AC">
      <w:pPr>
        <w:pStyle w:val="ListParagraph"/>
        <w:tabs>
          <w:tab w:val="left" w:pos="-1440"/>
          <w:tab w:val="left" w:pos="-720"/>
        </w:tabs>
        <w:ind w:left="0"/>
        <w:jc w:val="both"/>
        <w:rPr>
          <w:sz w:val="20"/>
          <w:szCs w:val="20"/>
          <w:lang w:val="fr-CA"/>
        </w:rPr>
      </w:pPr>
    </w:p>
    <w:p w:rsidR="00D621AC" w:rsidRPr="00B677D2" w:rsidRDefault="00D621AC" w:rsidP="00D621AC">
      <w:pPr>
        <w:pStyle w:val="ListParagraph"/>
        <w:numPr>
          <w:ilvl w:val="0"/>
          <w:numId w:val="2"/>
        </w:numPr>
        <w:tabs>
          <w:tab w:val="left" w:pos="-1440"/>
          <w:tab w:val="left" w:pos="-720"/>
        </w:tabs>
        <w:ind w:left="360"/>
        <w:jc w:val="both"/>
        <w:rPr>
          <w:sz w:val="20"/>
          <w:szCs w:val="20"/>
          <w:lang w:val="fr-CA"/>
        </w:rPr>
      </w:pPr>
      <w:r w:rsidRPr="00B677D2">
        <w:rPr>
          <w:sz w:val="20"/>
          <w:szCs w:val="20"/>
          <w:lang w:val="fr-CA"/>
        </w:rPr>
        <w:lastRenderedPageBreak/>
        <w:t>Que cette ordonnance est effectuée sans préjudice au droit des parties à la présente affaire de faire présenter, dans le cas où la demande d’autorisation est accordée, une demande pour une ordonnance de mise sous scellé supplémentaire.</w: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spacing w:line="-19" w:lineRule="auto"/>
        <w:jc w:val="both"/>
        <w:rPr>
          <w:sz w:val="20"/>
          <w:szCs w:val="20"/>
          <w:lang w:val="fr-CA"/>
        </w:rPr>
      </w:pPr>
    </w:p>
    <w:p w:rsidR="00D621AC" w:rsidRPr="00B677D2" w:rsidRDefault="00A3677B" w:rsidP="00D621AC">
      <w:pPr>
        <w:tabs>
          <w:tab w:val="left" w:pos="-1440"/>
          <w:tab w:val="left" w:pos="-720"/>
        </w:tabs>
        <w:jc w:val="both"/>
        <w:rPr>
          <w:sz w:val="20"/>
          <w:szCs w:val="20"/>
        </w:rPr>
      </w:pPr>
      <w:r w:rsidRPr="00A3677B">
        <w:rPr>
          <w:sz w:val="20"/>
          <w:szCs w:val="20"/>
          <w:lang w:val="fr-CA"/>
        </w:rPr>
        <w:pict>
          <v:rect id="_x0000_i1039" style="width:2in;height:1pt" o:hrpct="0" o:hralign="center" o:hrstd="t" o:hrnoshade="t" o:hr="t" fillcolor="black [3213]" stroked="f"/>
        </w:pic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sz w:val="20"/>
          <w:szCs w:val="20"/>
          <w:lang w:val="fr-CA"/>
        </w:rPr>
      </w:pPr>
      <w:r w:rsidRPr="00B677D2">
        <w:rPr>
          <w:sz w:val="20"/>
          <w:szCs w:val="20"/>
          <w:lang w:val="fr-CA"/>
        </w:rPr>
        <w:t>05.04.2012</w: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sz w:val="20"/>
          <w:szCs w:val="20"/>
          <w:lang w:val="fr-CA"/>
        </w:rPr>
      </w:pPr>
      <w:r w:rsidRPr="00B677D2">
        <w:rPr>
          <w:sz w:val="20"/>
          <w:szCs w:val="20"/>
          <w:lang w:val="fr-CA"/>
        </w:rPr>
        <w:t>Before / Devant :   THE REGISTRAR / LE REGISTRAIRE</w:t>
      </w:r>
    </w:p>
    <w:p w:rsidR="00D621AC" w:rsidRPr="00B677D2" w:rsidRDefault="00D621AC" w:rsidP="00D621A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621AC" w:rsidRPr="006B3AEE" w:rsidTr="00027A88">
        <w:tc>
          <w:tcPr>
            <w:tcW w:w="4338" w:type="dxa"/>
          </w:tcPr>
          <w:p w:rsidR="00D621AC" w:rsidRPr="00B677D2" w:rsidRDefault="00A3677B" w:rsidP="00027A88">
            <w:pPr>
              <w:tabs>
                <w:tab w:val="left" w:pos="-1440"/>
                <w:tab w:val="left" w:pos="-720"/>
              </w:tabs>
              <w:jc w:val="both"/>
              <w:rPr>
                <w:b/>
                <w:bCs/>
                <w:sz w:val="20"/>
                <w:szCs w:val="20"/>
              </w:rPr>
            </w:pPr>
            <w:r w:rsidRPr="00B677D2">
              <w:rPr>
                <w:sz w:val="20"/>
                <w:szCs w:val="20"/>
              </w:rPr>
              <w:fldChar w:fldCharType="begin"/>
            </w:r>
            <w:r w:rsidR="00D621AC" w:rsidRPr="00B677D2">
              <w:rPr>
                <w:sz w:val="20"/>
                <w:szCs w:val="20"/>
              </w:rPr>
              <w:instrText xml:space="preserve"> SEQ CHAPTER \h \r 1</w:instrText>
            </w:r>
            <w:r w:rsidRPr="00B677D2">
              <w:rPr>
                <w:sz w:val="20"/>
                <w:szCs w:val="20"/>
              </w:rPr>
              <w:fldChar w:fldCharType="end"/>
            </w:r>
            <w:r w:rsidR="00D621AC" w:rsidRPr="00B677D2">
              <w:rPr>
                <w:b/>
                <w:bCs/>
                <w:sz w:val="20"/>
                <w:szCs w:val="20"/>
              </w:rPr>
              <w:t>Motion to extend the time to serve and file the respondent's record, factum and book of authorities to May 25, 2012</w:t>
            </w:r>
          </w:p>
          <w:p w:rsidR="00D621AC" w:rsidRPr="00B677D2" w:rsidRDefault="00D621AC" w:rsidP="00027A88">
            <w:pPr>
              <w:tabs>
                <w:tab w:val="left" w:pos="-1440"/>
                <w:tab w:val="left" w:pos="-720"/>
              </w:tabs>
              <w:jc w:val="both"/>
              <w:rPr>
                <w:b/>
                <w:sz w:val="20"/>
                <w:szCs w:val="20"/>
              </w:rPr>
            </w:pPr>
          </w:p>
        </w:tc>
        <w:tc>
          <w:tcPr>
            <w:tcW w:w="1170" w:type="dxa"/>
          </w:tcPr>
          <w:p w:rsidR="00D621AC" w:rsidRPr="00B677D2" w:rsidRDefault="00D621AC" w:rsidP="00027A88">
            <w:pPr>
              <w:tabs>
                <w:tab w:val="left" w:pos="-1440"/>
                <w:tab w:val="left" w:pos="-720"/>
              </w:tabs>
              <w:jc w:val="both"/>
              <w:rPr>
                <w:sz w:val="20"/>
                <w:szCs w:val="20"/>
              </w:rPr>
            </w:pPr>
          </w:p>
          <w:p w:rsidR="00D621AC" w:rsidRPr="00B677D2" w:rsidRDefault="00D621AC" w:rsidP="00027A88">
            <w:pPr>
              <w:tabs>
                <w:tab w:val="left" w:pos="-1440"/>
                <w:tab w:val="left" w:pos="-720"/>
              </w:tabs>
              <w:jc w:val="both"/>
              <w:rPr>
                <w:sz w:val="20"/>
                <w:szCs w:val="20"/>
              </w:rPr>
            </w:pPr>
          </w:p>
          <w:p w:rsidR="00D621AC" w:rsidRPr="00B677D2" w:rsidRDefault="00D621AC" w:rsidP="00027A88">
            <w:pPr>
              <w:tabs>
                <w:tab w:val="left" w:pos="-1440"/>
                <w:tab w:val="left" w:pos="-720"/>
              </w:tabs>
              <w:jc w:val="both"/>
              <w:rPr>
                <w:sz w:val="20"/>
                <w:szCs w:val="20"/>
              </w:rPr>
            </w:pPr>
          </w:p>
          <w:p w:rsidR="00D621AC" w:rsidRPr="00B677D2" w:rsidRDefault="00D621AC" w:rsidP="00027A88">
            <w:pPr>
              <w:tabs>
                <w:tab w:val="left" w:pos="-1440"/>
                <w:tab w:val="left" w:pos="-720"/>
              </w:tabs>
              <w:jc w:val="both"/>
              <w:rPr>
                <w:sz w:val="20"/>
                <w:szCs w:val="20"/>
              </w:rPr>
            </w:pPr>
          </w:p>
        </w:tc>
        <w:tc>
          <w:tcPr>
            <w:tcW w:w="4327" w:type="dxa"/>
          </w:tcPr>
          <w:p w:rsidR="00D621AC" w:rsidRPr="00B677D2" w:rsidRDefault="00A3677B" w:rsidP="00027A88">
            <w:pPr>
              <w:tabs>
                <w:tab w:val="left" w:pos="-1440"/>
                <w:tab w:val="left" w:pos="-720"/>
              </w:tabs>
              <w:jc w:val="both"/>
              <w:rPr>
                <w:sz w:val="20"/>
                <w:szCs w:val="20"/>
                <w:lang w:val="fr-CA"/>
              </w:rPr>
            </w:pPr>
            <w:r w:rsidRPr="00B677D2">
              <w:rPr>
                <w:sz w:val="20"/>
                <w:szCs w:val="20"/>
              </w:rPr>
              <w:fldChar w:fldCharType="begin"/>
            </w:r>
            <w:r w:rsidR="00D621AC" w:rsidRPr="00B677D2">
              <w:rPr>
                <w:sz w:val="20"/>
                <w:szCs w:val="20"/>
                <w:lang w:val="fr-CA"/>
              </w:rPr>
              <w:instrText xml:space="preserve"> SEQ CHAPTER \h \r 1</w:instrText>
            </w:r>
            <w:r w:rsidRPr="00B677D2">
              <w:rPr>
                <w:sz w:val="20"/>
                <w:szCs w:val="20"/>
              </w:rPr>
              <w:fldChar w:fldCharType="end"/>
            </w:r>
            <w:r w:rsidRPr="00B677D2">
              <w:rPr>
                <w:sz w:val="20"/>
                <w:szCs w:val="20"/>
              </w:rPr>
              <w:fldChar w:fldCharType="begin"/>
            </w:r>
            <w:r w:rsidR="00D621AC" w:rsidRPr="00B677D2">
              <w:rPr>
                <w:sz w:val="20"/>
                <w:szCs w:val="20"/>
                <w:lang w:val="fr-CA"/>
              </w:rPr>
              <w:instrText xml:space="preserve"> SEQ CHAPTER \h \r 1</w:instrText>
            </w:r>
            <w:r w:rsidRPr="00B677D2">
              <w:rPr>
                <w:sz w:val="20"/>
                <w:szCs w:val="20"/>
              </w:rPr>
              <w:fldChar w:fldCharType="end"/>
            </w:r>
            <w:r w:rsidRPr="00B677D2">
              <w:rPr>
                <w:sz w:val="20"/>
                <w:szCs w:val="20"/>
              </w:rPr>
              <w:fldChar w:fldCharType="begin"/>
            </w:r>
            <w:r w:rsidR="00D621AC" w:rsidRPr="00B677D2">
              <w:rPr>
                <w:sz w:val="20"/>
                <w:szCs w:val="20"/>
                <w:lang w:val="fr-CA"/>
              </w:rPr>
              <w:instrText xml:space="preserve"> SEQ CHAPTER \h \r 1</w:instrText>
            </w:r>
            <w:r w:rsidRPr="00B677D2">
              <w:rPr>
                <w:sz w:val="20"/>
                <w:szCs w:val="20"/>
              </w:rPr>
              <w:fldChar w:fldCharType="end"/>
            </w:r>
            <w:r w:rsidR="00D621AC" w:rsidRPr="00B677D2">
              <w:rPr>
                <w:b/>
                <w:bCs/>
                <w:sz w:val="20"/>
                <w:szCs w:val="20"/>
                <w:lang w:val="fr-CA"/>
              </w:rPr>
              <w:t xml:space="preserve">Requête de l'intimé en prorogation du délai de signification et de dépôt de ses dossier, mémoire et recueil de sources jusqu'au 25 mai 2012 </w:t>
            </w:r>
            <w:r w:rsidRPr="00B677D2">
              <w:rPr>
                <w:sz w:val="20"/>
                <w:szCs w:val="20"/>
              </w:rPr>
              <w:fldChar w:fldCharType="begin"/>
            </w:r>
            <w:r w:rsidR="00D621AC" w:rsidRPr="00B677D2">
              <w:rPr>
                <w:sz w:val="20"/>
                <w:szCs w:val="20"/>
                <w:lang w:val="fr-CA"/>
              </w:rPr>
              <w:instrText xml:space="preserve"> SEQ CHAPTER \h \r 1</w:instrText>
            </w:r>
            <w:r w:rsidRPr="00B677D2">
              <w:rPr>
                <w:sz w:val="20"/>
                <w:szCs w:val="20"/>
              </w:rPr>
              <w:fldChar w:fldCharType="end"/>
            </w:r>
          </w:p>
        </w:tc>
      </w:tr>
      <w:tr w:rsidR="00D621AC" w:rsidRPr="00B677D2" w:rsidTr="00027A88">
        <w:tc>
          <w:tcPr>
            <w:tcW w:w="4338" w:type="dxa"/>
          </w:tcPr>
          <w:p w:rsidR="00D621AC" w:rsidRPr="00B677D2" w:rsidRDefault="00D621AC" w:rsidP="00027A88">
            <w:pPr>
              <w:tabs>
                <w:tab w:val="left" w:pos="-1440"/>
                <w:tab w:val="left" w:pos="-720"/>
              </w:tabs>
              <w:jc w:val="both"/>
              <w:rPr>
                <w:sz w:val="20"/>
                <w:szCs w:val="20"/>
                <w:lang w:val="fr-CA"/>
              </w:rPr>
            </w:pPr>
            <w:r w:rsidRPr="00B677D2">
              <w:rPr>
                <w:sz w:val="20"/>
                <w:szCs w:val="20"/>
                <w:lang w:val="fr-CA"/>
              </w:rPr>
              <w:t>Sa Majesté la Reine</w:t>
            </w:r>
          </w:p>
          <w:p w:rsidR="00D621AC" w:rsidRPr="00B677D2" w:rsidRDefault="00D621AC" w:rsidP="00027A88">
            <w:pPr>
              <w:tabs>
                <w:tab w:val="left" w:pos="-1440"/>
                <w:tab w:val="left" w:pos="-720"/>
              </w:tabs>
              <w:jc w:val="both"/>
              <w:rPr>
                <w:sz w:val="20"/>
                <w:szCs w:val="20"/>
                <w:lang w:val="fr-CA"/>
              </w:rPr>
            </w:pPr>
          </w:p>
          <w:p w:rsidR="00D621AC" w:rsidRPr="00B677D2" w:rsidRDefault="00D621AC" w:rsidP="00027A88">
            <w:pPr>
              <w:tabs>
                <w:tab w:val="left" w:pos="-1440"/>
                <w:tab w:val="left" w:pos="-720"/>
              </w:tabs>
              <w:jc w:val="both"/>
              <w:rPr>
                <w:sz w:val="20"/>
                <w:szCs w:val="20"/>
                <w:lang w:val="fr-CA"/>
              </w:rPr>
            </w:pPr>
            <w:r w:rsidRPr="00B677D2">
              <w:rPr>
                <w:sz w:val="20"/>
                <w:szCs w:val="20"/>
                <w:lang w:val="fr-CA"/>
              </w:rPr>
              <w:tab/>
              <w:t>c. (34557)</w:t>
            </w:r>
          </w:p>
          <w:p w:rsidR="00D621AC" w:rsidRPr="00B677D2" w:rsidRDefault="00D621AC" w:rsidP="00027A88">
            <w:pPr>
              <w:tabs>
                <w:tab w:val="left" w:pos="-1440"/>
                <w:tab w:val="left" w:pos="-720"/>
              </w:tabs>
              <w:jc w:val="both"/>
              <w:rPr>
                <w:sz w:val="20"/>
                <w:szCs w:val="20"/>
                <w:lang w:val="fr-CA"/>
              </w:rPr>
            </w:pPr>
          </w:p>
          <w:p w:rsidR="00D621AC" w:rsidRPr="00B677D2" w:rsidRDefault="00D621AC" w:rsidP="00027A88">
            <w:pPr>
              <w:tabs>
                <w:tab w:val="left" w:pos="-1440"/>
                <w:tab w:val="left" w:pos="-720"/>
              </w:tabs>
              <w:jc w:val="both"/>
              <w:rPr>
                <w:sz w:val="20"/>
                <w:szCs w:val="20"/>
                <w:lang w:val="fr-CA"/>
              </w:rPr>
            </w:pPr>
            <w:r w:rsidRPr="00B677D2">
              <w:rPr>
                <w:sz w:val="20"/>
                <w:szCs w:val="20"/>
                <w:lang w:val="fr-CA"/>
              </w:rPr>
              <w:t>Nicole Rochon (Crim.) (Qc)</w:t>
            </w:r>
          </w:p>
        </w:tc>
        <w:tc>
          <w:tcPr>
            <w:tcW w:w="1170" w:type="dxa"/>
          </w:tcPr>
          <w:p w:rsidR="00D621AC" w:rsidRPr="00B677D2" w:rsidRDefault="00D621AC" w:rsidP="00027A88">
            <w:pPr>
              <w:tabs>
                <w:tab w:val="left" w:pos="-1440"/>
                <w:tab w:val="left" w:pos="-720"/>
              </w:tabs>
              <w:jc w:val="both"/>
              <w:rPr>
                <w:sz w:val="20"/>
                <w:szCs w:val="20"/>
                <w:lang w:val="fr-CA"/>
              </w:rPr>
            </w:pPr>
          </w:p>
        </w:tc>
        <w:tc>
          <w:tcPr>
            <w:tcW w:w="4327" w:type="dxa"/>
          </w:tcPr>
          <w:p w:rsidR="00D621AC" w:rsidRPr="00B677D2" w:rsidRDefault="00D621AC" w:rsidP="00027A88">
            <w:pPr>
              <w:tabs>
                <w:tab w:val="left" w:pos="-1440"/>
                <w:tab w:val="left" w:pos="-720"/>
              </w:tabs>
              <w:jc w:val="both"/>
              <w:rPr>
                <w:sz w:val="20"/>
                <w:szCs w:val="20"/>
                <w:lang w:val="fr-CA"/>
              </w:rPr>
            </w:pPr>
          </w:p>
        </w:tc>
      </w:tr>
    </w:tbl>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b/>
          <w:sz w:val="20"/>
          <w:szCs w:val="20"/>
          <w:lang w:val="fr-CA"/>
        </w:rPr>
      </w:pPr>
      <w:r w:rsidRPr="00B677D2">
        <w:rPr>
          <w:b/>
          <w:sz w:val="20"/>
          <w:szCs w:val="20"/>
          <w:lang w:val="fr-CA"/>
        </w:rPr>
        <w:t>GRANTED / ACCORDÉE</w:t>
      </w:r>
    </w:p>
    <w:p w:rsidR="00D621AC" w:rsidRPr="00B677D2" w:rsidRDefault="00D621AC" w:rsidP="00D621AC">
      <w:pPr>
        <w:tabs>
          <w:tab w:val="left" w:pos="-1440"/>
          <w:tab w:val="left" w:pos="-720"/>
        </w:tabs>
        <w:jc w:val="both"/>
        <w:rPr>
          <w:sz w:val="20"/>
          <w:szCs w:val="20"/>
          <w:lang w:val="fr-CA"/>
        </w:rPr>
      </w:pPr>
    </w:p>
    <w:p w:rsidR="00D621AC" w:rsidRPr="00B677D2" w:rsidRDefault="00A3677B" w:rsidP="00D621AC">
      <w:pPr>
        <w:tabs>
          <w:tab w:val="left" w:pos="-1440"/>
          <w:tab w:val="left" w:pos="-720"/>
        </w:tabs>
        <w:jc w:val="both"/>
        <w:rPr>
          <w:sz w:val="20"/>
          <w:szCs w:val="20"/>
          <w:lang w:val="fr-CA"/>
        </w:rPr>
      </w:pPr>
      <w:r w:rsidRPr="00A3677B">
        <w:rPr>
          <w:sz w:val="20"/>
          <w:szCs w:val="20"/>
          <w:lang w:val="fr-CA"/>
        </w:rPr>
        <w:pict>
          <v:rect id="_x0000_i1040" style="width:2in;height:1pt" o:hrpct="0" o:hralign="center" o:hrstd="t" o:hrnoshade="t" o:hr="t" fillcolor="black [3213]" stroked="f"/>
        </w:pic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sz w:val="20"/>
          <w:szCs w:val="20"/>
          <w:lang w:val="fr-CA"/>
        </w:rPr>
      </w:pPr>
      <w:r w:rsidRPr="00B677D2">
        <w:rPr>
          <w:sz w:val="20"/>
          <w:szCs w:val="20"/>
          <w:lang w:val="fr-CA"/>
        </w:rPr>
        <w:t>10.04.2012</w: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sz w:val="20"/>
          <w:szCs w:val="20"/>
          <w:lang w:val="fr-CA"/>
        </w:rPr>
      </w:pPr>
      <w:r w:rsidRPr="00B677D2">
        <w:rPr>
          <w:sz w:val="20"/>
          <w:szCs w:val="20"/>
          <w:lang w:val="fr-CA"/>
        </w:rPr>
        <w:t>Before / Devant :   McLachlin C.J. and LeBel and Deschamps JJ. / La juge en chef McLachlin et les juges LeBel et Deschamps</w:t>
      </w:r>
    </w:p>
    <w:p w:rsidR="00D621AC" w:rsidRPr="00B677D2" w:rsidRDefault="00D621AC" w:rsidP="00D621A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621AC" w:rsidRPr="006B3AEE" w:rsidTr="00027A88">
        <w:tc>
          <w:tcPr>
            <w:tcW w:w="4338" w:type="dxa"/>
          </w:tcPr>
          <w:p w:rsidR="00D621AC" w:rsidRPr="00B677D2" w:rsidRDefault="00A3677B" w:rsidP="00027A88">
            <w:pPr>
              <w:tabs>
                <w:tab w:val="left" w:pos="-1440"/>
                <w:tab w:val="left" w:pos="-720"/>
              </w:tabs>
              <w:jc w:val="both"/>
              <w:rPr>
                <w:b/>
                <w:sz w:val="20"/>
                <w:szCs w:val="20"/>
              </w:rPr>
            </w:pPr>
            <w:r w:rsidRPr="00B677D2">
              <w:rPr>
                <w:b/>
                <w:sz w:val="20"/>
                <w:szCs w:val="20"/>
              </w:rPr>
              <w:fldChar w:fldCharType="begin"/>
            </w:r>
            <w:r w:rsidR="00D621AC" w:rsidRPr="00B677D2">
              <w:rPr>
                <w:b/>
                <w:sz w:val="20"/>
                <w:szCs w:val="20"/>
              </w:rPr>
              <w:instrText xml:space="preserve"> SEQ CHAPTER \h \r 1</w:instrText>
            </w:r>
            <w:r w:rsidRPr="00B677D2">
              <w:rPr>
                <w:b/>
                <w:sz w:val="20"/>
                <w:szCs w:val="20"/>
              </w:rPr>
              <w:fldChar w:fldCharType="end"/>
            </w:r>
            <w:r w:rsidRPr="00B677D2">
              <w:rPr>
                <w:b/>
                <w:sz w:val="20"/>
                <w:szCs w:val="20"/>
              </w:rPr>
              <w:fldChar w:fldCharType="begin"/>
            </w:r>
            <w:r w:rsidR="00D621AC" w:rsidRPr="00B677D2">
              <w:rPr>
                <w:b/>
                <w:sz w:val="20"/>
                <w:szCs w:val="20"/>
              </w:rPr>
              <w:instrText xml:space="preserve"> SEQ CHAPTER \h \r 1</w:instrText>
            </w:r>
            <w:r w:rsidRPr="00B677D2">
              <w:rPr>
                <w:b/>
                <w:sz w:val="20"/>
                <w:szCs w:val="20"/>
              </w:rPr>
              <w:fldChar w:fldCharType="end"/>
            </w:r>
            <w:r w:rsidR="00D621AC" w:rsidRPr="00B677D2">
              <w:rPr>
                <w:b/>
                <w:bCs/>
                <w:sz w:val="20"/>
                <w:szCs w:val="20"/>
              </w:rPr>
              <w:t xml:space="preserve">Motion </w:t>
            </w:r>
            <w:r w:rsidR="00D621AC" w:rsidRPr="00B677D2">
              <w:rPr>
                <w:b/>
                <w:sz w:val="20"/>
                <w:szCs w:val="20"/>
              </w:rPr>
              <w:t>for an order for directions and expediting the process</w:t>
            </w:r>
          </w:p>
        </w:tc>
        <w:tc>
          <w:tcPr>
            <w:tcW w:w="1170" w:type="dxa"/>
          </w:tcPr>
          <w:p w:rsidR="00D621AC" w:rsidRPr="00B677D2" w:rsidRDefault="00D621AC" w:rsidP="00027A88">
            <w:pPr>
              <w:tabs>
                <w:tab w:val="left" w:pos="-1440"/>
                <w:tab w:val="left" w:pos="-720"/>
              </w:tabs>
              <w:jc w:val="both"/>
              <w:rPr>
                <w:sz w:val="20"/>
                <w:szCs w:val="20"/>
              </w:rPr>
            </w:pPr>
          </w:p>
          <w:p w:rsidR="00D621AC" w:rsidRPr="00B677D2" w:rsidRDefault="00D621AC" w:rsidP="00027A88">
            <w:pPr>
              <w:tabs>
                <w:tab w:val="left" w:pos="-1440"/>
                <w:tab w:val="left" w:pos="-720"/>
              </w:tabs>
              <w:jc w:val="both"/>
              <w:rPr>
                <w:sz w:val="20"/>
                <w:szCs w:val="20"/>
              </w:rPr>
            </w:pPr>
          </w:p>
          <w:p w:rsidR="00D621AC" w:rsidRPr="00B677D2" w:rsidRDefault="00D621AC" w:rsidP="00027A88">
            <w:pPr>
              <w:tabs>
                <w:tab w:val="left" w:pos="-1440"/>
                <w:tab w:val="left" w:pos="-720"/>
              </w:tabs>
              <w:jc w:val="both"/>
              <w:rPr>
                <w:sz w:val="20"/>
                <w:szCs w:val="20"/>
              </w:rPr>
            </w:pPr>
          </w:p>
        </w:tc>
        <w:tc>
          <w:tcPr>
            <w:tcW w:w="4327" w:type="dxa"/>
          </w:tcPr>
          <w:p w:rsidR="00D621AC" w:rsidRPr="00B677D2" w:rsidRDefault="00A3677B" w:rsidP="00027A88">
            <w:pPr>
              <w:tabs>
                <w:tab w:val="left" w:pos="-1440"/>
                <w:tab w:val="left" w:pos="-720"/>
              </w:tabs>
              <w:jc w:val="both"/>
              <w:rPr>
                <w:sz w:val="20"/>
                <w:szCs w:val="20"/>
                <w:lang w:val="fr-CA"/>
              </w:rPr>
            </w:pPr>
            <w:r w:rsidRPr="00B677D2">
              <w:rPr>
                <w:sz w:val="20"/>
                <w:szCs w:val="20"/>
              </w:rPr>
              <w:fldChar w:fldCharType="begin"/>
            </w:r>
            <w:r w:rsidR="00D621AC" w:rsidRPr="00B677D2">
              <w:rPr>
                <w:sz w:val="20"/>
                <w:szCs w:val="20"/>
                <w:lang w:val="fr-CA"/>
              </w:rPr>
              <w:instrText xml:space="preserve"> SEQ CHAPTER \h \r 1</w:instrText>
            </w:r>
            <w:r w:rsidRPr="00B677D2">
              <w:rPr>
                <w:sz w:val="20"/>
                <w:szCs w:val="20"/>
              </w:rPr>
              <w:fldChar w:fldCharType="end"/>
            </w:r>
            <w:r w:rsidR="00D621AC" w:rsidRPr="00B677D2">
              <w:rPr>
                <w:b/>
                <w:bCs/>
                <w:sz w:val="20"/>
                <w:szCs w:val="20"/>
                <w:lang w:val="fr-CA"/>
              </w:rPr>
              <w:t>Requête sollicitant des directives et l’accélération de la procédure</w:t>
            </w:r>
            <w:r w:rsidRPr="00B677D2">
              <w:rPr>
                <w:sz w:val="20"/>
                <w:szCs w:val="20"/>
              </w:rPr>
              <w:fldChar w:fldCharType="begin"/>
            </w:r>
            <w:r w:rsidR="00D621AC" w:rsidRPr="00B677D2">
              <w:rPr>
                <w:sz w:val="20"/>
                <w:szCs w:val="20"/>
                <w:lang w:val="fr-CA"/>
              </w:rPr>
              <w:instrText xml:space="preserve"> SEQ CHAPTER \h \r 1</w:instrText>
            </w:r>
            <w:r w:rsidRPr="00B677D2">
              <w:rPr>
                <w:sz w:val="20"/>
                <w:szCs w:val="20"/>
              </w:rPr>
              <w:fldChar w:fldCharType="end"/>
            </w:r>
            <w:r w:rsidRPr="00B677D2">
              <w:rPr>
                <w:sz w:val="20"/>
                <w:szCs w:val="20"/>
              </w:rPr>
              <w:fldChar w:fldCharType="begin"/>
            </w:r>
            <w:r w:rsidR="00D621AC" w:rsidRPr="00B677D2">
              <w:rPr>
                <w:sz w:val="20"/>
                <w:szCs w:val="20"/>
                <w:lang w:val="fr-CA"/>
              </w:rPr>
              <w:instrText xml:space="preserve"> SEQ CHAPTER \h \r 1</w:instrText>
            </w:r>
            <w:r w:rsidRPr="00B677D2">
              <w:rPr>
                <w:sz w:val="20"/>
                <w:szCs w:val="20"/>
              </w:rPr>
              <w:fldChar w:fldCharType="end"/>
            </w:r>
          </w:p>
        </w:tc>
      </w:tr>
      <w:tr w:rsidR="00D621AC" w:rsidRPr="00B677D2" w:rsidTr="00027A88">
        <w:tc>
          <w:tcPr>
            <w:tcW w:w="4338" w:type="dxa"/>
          </w:tcPr>
          <w:p w:rsidR="00D621AC" w:rsidRPr="00B677D2" w:rsidRDefault="00D621AC" w:rsidP="00027A88">
            <w:pPr>
              <w:tabs>
                <w:tab w:val="left" w:pos="-1440"/>
                <w:tab w:val="left" w:pos="-720"/>
              </w:tabs>
              <w:jc w:val="both"/>
              <w:rPr>
                <w:sz w:val="20"/>
                <w:szCs w:val="20"/>
                <w:lang w:val="fr-CA"/>
              </w:rPr>
            </w:pPr>
            <w:r w:rsidRPr="00B677D2">
              <w:rPr>
                <w:sz w:val="20"/>
                <w:szCs w:val="20"/>
                <w:lang w:val="fr-CA"/>
              </w:rPr>
              <w:t>Fibrek Inc. et al.</w:t>
            </w:r>
          </w:p>
          <w:p w:rsidR="00D621AC" w:rsidRPr="00B677D2" w:rsidRDefault="00D621AC" w:rsidP="00027A88">
            <w:pPr>
              <w:tabs>
                <w:tab w:val="left" w:pos="-1440"/>
                <w:tab w:val="left" w:pos="-720"/>
              </w:tabs>
              <w:jc w:val="both"/>
              <w:rPr>
                <w:sz w:val="20"/>
                <w:szCs w:val="20"/>
                <w:lang w:val="fr-CA"/>
              </w:rPr>
            </w:pPr>
          </w:p>
          <w:p w:rsidR="00D621AC" w:rsidRPr="00B677D2" w:rsidRDefault="00D621AC" w:rsidP="00027A88">
            <w:pPr>
              <w:tabs>
                <w:tab w:val="left" w:pos="-1440"/>
                <w:tab w:val="left" w:pos="-720"/>
              </w:tabs>
              <w:jc w:val="both"/>
              <w:rPr>
                <w:sz w:val="20"/>
                <w:szCs w:val="20"/>
                <w:lang w:val="fr-CA"/>
              </w:rPr>
            </w:pPr>
            <w:r w:rsidRPr="00B677D2">
              <w:rPr>
                <w:sz w:val="20"/>
                <w:szCs w:val="20"/>
                <w:lang w:val="fr-CA"/>
              </w:rPr>
              <w:tab/>
              <w:t>v. (34757)</w:t>
            </w:r>
          </w:p>
          <w:p w:rsidR="00D621AC" w:rsidRPr="00B677D2" w:rsidRDefault="00D621AC" w:rsidP="00027A88">
            <w:pPr>
              <w:tabs>
                <w:tab w:val="left" w:pos="-1440"/>
                <w:tab w:val="left" w:pos="-720"/>
              </w:tabs>
              <w:jc w:val="both"/>
              <w:rPr>
                <w:sz w:val="20"/>
                <w:szCs w:val="20"/>
                <w:lang w:val="fr-CA"/>
              </w:rPr>
            </w:pPr>
          </w:p>
          <w:p w:rsidR="00D621AC" w:rsidRPr="00B677D2" w:rsidRDefault="00D621AC" w:rsidP="00027A88">
            <w:pPr>
              <w:tabs>
                <w:tab w:val="left" w:pos="-1440"/>
                <w:tab w:val="left" w:pos="-720"/>
              </w:tabs>
              <w:jc w:val="both"/>
              <w:rPr>
                <w:sz w:val="20"/>
                <w:szCs w:val="20"/>
                <w:lang w:val="fr-CA"/>
              </w:rPr>
            </w:pPr>
            <w:r w:rsidRPr="00B677D2">
              <w:rPr>
                <w:sz w:val="20"/>
                <w:szCs w:val="20"/>
              </w:rPr>
              <w:t xml:space="preserve">AbitibiBowater Inc., doing business as Resolute Forest Products and RFP Acquisition Inc. </w:t>
            </w:r>
            <w:r w:rsidRPr="00B677D2">
              <w:rPr>
                <w:sz w:val="20"/>
                <w:szCs w:val="20"/>
                <w:lang w:val="fr-CA"/>
              </w:rPr>
              <w:t>(Que.)</w:t>
            </w:r>
          </w:p>
        </w:tc>
        <w:tc>
          <w:tcPr>
            <w:tcW w:w="1170" w:type="dxa"/>
          </w:tcPr>
          <w:p w:rsidR="00D621AC" w:rsidRPr="00B677D2" w:rsidRDefault="00D621AC" w:rsidP="00027A88">
            <w:pPr>
              <w:tabs>
                <w:tab w:val="left" w:pos="-1440"/>
                <w:tab w:val="left" w:pos="-720"/>
              </w:tabs>
              <w:jc w:val="both"/>
              <w:rPr>
                <w:sz w:val="20"/>
                <w:szCs w:val="20"/>
                <w:lang w:val="fr-CA"/>
              </w:rPr>
            </w:pPr>
          </w:p>
        </w:tc>
        <w:tc>
          <w:tcPr>
            <w:tcW w:w="4327" w:type="dxa"/>
          </w:tcPr>
          <w:p w:rsidR="00D621AC" w:rsidRPr="00B677D2" w:rsidRDefault="00D621AC" w:rsidP="00027A88">
            <w:pPr>
              <w:tabs>
                <w:tab w:val="left" w:pos="-1440"/>
                <w:tab w:val="left" w:pos="-720"/>
              </w:tabs>
              <w:jc w:val="both"/>
              <w:rPr>
                <w:sz w:val="20"/>
                <w:szCs w:val="20"/>
                <w:lang w:val="fr-CA"/>
              </w:rPr>
            </w:pPr>
          </w:p>
        </w:tc>
      </w:tr>
    </w:tbl>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b/>
          <w:sz w:val="20"/>
          <w:szCs w:val="20"/>
          <w:lang w:val="fr-CA"/>
        </w:rPr>
      </w:pPr>
      <w:r w:rsidRPr="00B677D2">
        <w:rPr>
          <w:b/>
          <w:sz w:val="20"/>
          <w:szCs w:val="20"/>
          <w:lang w:val="fr-CA"/>
        </w:rPr>
        <w:t>GRANTED / ACCORDÉE</w: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ind w:right="-23"/>
        <w:jc w:val="both"/>
        <w:rPr>
          <w:sz w:val="20"/>
          <w:szCs w:val="20"/>
        </w:rPr>
      </w:pPr>
      <w:r w:rsidRPr="00B677D2">
        <w:rPr>
          <w:b/>
          <w:bCs/>
          <w:sz w:val="20"/>
          <w:szCs w:val="20"/>
        </w:rPr>
        <w:t>UPON APPLICATION</w:t>
      </w:r>
      <w:r w:rsidRPr="00B677D2">
        <w:rPr>
          <w:sz w:val="20"/>
          <w:szCs w:val="20"/>
        </w:rPr>
        <w:t xml:space="preserve"> by the applicant [Fibrek Inc.] for an order for directions and expediting the process;</w:t>
      </w:r>
    </w:p>
    <w:p w:rsidR="00D621AC" w:rsidRPr="00B677D2" w:rsidRDefault="00D621AC" w:rsidP="00D621AC">
      <w:pPr>
        <w:ind w:right="-23"/>
        <w:jc w:val="both"/>
        <w:rPr>
          <w:sz w:val="20"/>
          <w:szCs w:val="20"/>
        </w:rPr>
      </w:pPr>
    </w:p>
    <w:p w:rsidR="00D621AC" w:rsidRPr="00B677D2" w:rsidRDefault="00D621AC" w:rsidP="00D621AC">
      <w:pPr>
        <w:ind w:right="-23"/>
        <w:jc w:val="both"/>
        <w:rPr>
          <w:b/>
          <w:bCs/>
          <w:sz w:val="20"/>
          <w:szCs w:val="20"/>
        </w:rPr>
      </w:pPr>
      <w:r w:rsidRPr="00B677D2">
        <w:rPr>
          <w:b/>
          <w:bCs/>
          <w:sz w:val="20"/>
          <w:szCs w:val="20"/>
        </w:rPr>
        <w:t>IT IS HEREBY ORDERED THAT:</w:t>
      </w:r>
    </w:p>
    <w:p w:rsidR="00D621AC" w:rsidRPr="00B677D2" w:rsidRDefault="00D621AC" w:rsidP="00D621AC">
      <w:pPr>
        <w:ind w:right="-23" w:firstLine="1440"/>
        <w:jc w:val="both"/>
        <w:rPr>
          <w:sz w:val="20"/>
          <w:szCs w:val="20"/>
        </w:rPr>
      </w:pPr>
    </w:p>
    <w:p w:rsidR="00D621AC" w:rsidRPr="00B677D2" w:rsidRDefault="00D621AC" w:rsidP="00D621AC">
      <w:pPr>
        <w:widowControl w:val="0"/>
        <w:numPr>
          <w:ilvl w:val="0"/>
          <w:numId w:val="3"/>
        </w:numPr>
        <w:autoSpaceDE w:val="0"/>
        <w:autoSpaceDN w:val="0"/>
        <w:adjustRightInd w:val="0"/>
        <w:ind w:left="360" w:right="-23"/>
        <w:jc w:val="both"/>
        <w:rPr>
          <w:sz w:val="20"/>
          <w:szCs w:val="20"/>
        </w:rPr>
      </w:pPr>
      <w:r w:rsidRPr="00B677D2">
        <w:rPr>
          <w:sz w:val="20"/>
          <w:szCs w:val="20"/>
        </w:rPr>
        <w:t>The request to expedite the application for leave to appeal is granted.  The respondent and interveners will have until 4 p.m. on April 12, 2012, to serve and file their responses to the application for leave to appeal and the applicant will have until noon on April 13, 2012, to serve and file its reply.</w:t>
      </w:r>
    </w:p>
    <w:p w:rsidR="00D621AC" w:rsidRPr="00B677D2" w:rsidRDefault="00D621AC" w:rsidP="00D621AC">
      <w:pPr>
        <w:ind w:left="1440" w:right="-23"/>
        <w:jc w:val="both"/>
        <w:rPr>
          <w:sz w:val="20"/>
          <w:szCs w:val="20"/>
        </w:rPr>
      </w:pPr>
    </w:p>
    <w:p w:rsidR="00D621AC" w:rsidRPr="00B677D2" w:rsidRDefault="00D621AC" w:rsidP="00D621AC">
      <w:pPr>
        <w:widowControl w:val="0"/>
        <w:numPr>
          <w:ilvl w:val="0"/>
          <w:numId w:val="3"/>
        </w:numPr>
        <w:autoSpaceDE w:val="0"/>
        <w:autoSpaceDN w:val="0"/>
        <w:adjustRightInd w:val="0"/>
        <w:ind w:left="360" w:right="-23"/>
        <w:jc w:val="both"/>
        <w:rPr>
          <w:rFonts w:cs="Shruti"/>
          <w:sz w:val="20"/>
          <w:szCs w:val="20"/>
        </w:rPr>
      </w:pPr>
      <w:r w:rsidRPr="00B677D2">
        <w:rPr>
          <w:sz w:val="20"/>
          <w:szCs w:val="20"/>
        </w:rPr>
        <w:t>The request to expedite the appeal, should leave be granted, is deferred to the panel on the application for leave to appeal.</w:t>
      </w:r>
      <w:r w:rsidRPr="00B677D2">
        <w:rPr>
          <w:rFonts w:cs="Shruti"/>
          <w:sz w:val="20"/>
          <w:szCs w:val="20"/>
        </w:rPr>
        <w:t xml:space="preserve"> </w:t>
      </w:r>
    </w:p>
    <w:p w:rsidR="00D621AC" w:rsidRPr="00B677D2" w:rsidRDefault="00D621AC" w:rsidP="00D621AC">
      <w:pPr>
        <w:tabs>
          <w:tab w:val="left" w:pos="-1440"/>
          <w:tab w:val="left" w:pos="-720"/>
        </w:tabs>
        <w:jc w:val="both"/>
        <w:rPr>
          <w:sz w:val="20"/>
          <w:szCs w:val="20"/>
        </w:rPr>
      </w:pPr>
    </w:p>
    <w:p w:rsidR="00D621AC" w:rsidRPr="00B677D2" w:rsidRDefault="00D621AC" w:rsidP="00D621AC">
      <w:pPr>
        <w:tabs>
          <w:tab w:val="left" w:pos="-1440"/>
          <w:tab w:val="left" w:pos="-720"/>
        </w:tabs>
        <w:jc w:val="both"/>
        <w:rPr>
          <w:sz w:val="20"/>
          <w:szCs w:val="20"/>
        </w:rPr>
      </w:pPr>
    </w:p>
    <w:p w:rsidR="00D621AC" w:rsidRPr="00B677D2" w:rsidRDefault="00D621AC" w:rsidP="00D621AC">
      <w:pPr>
        <w:tabs>
          <w:tab w:val="left" w:pos="-1440"/>
          <w:tab w:val="left" w:pos="-720"/>
        </w:tabs>
        <w:jc w:val="both"/>
        <w:rPr>
          <w:sz w:val="20"/>
          <w:szCs w:val="20"/>
        </w:rPr>
      </w:pPr>
    </w:p>
    <w:p w:rsidR="00D621AC" w:rsidRPr="00B677D2" w:rsidRDefault="00D621AC" w:rsidP="00D621AC">
      <w:pPr>
        <w:ind w:right="-23"/>
        <w:jc w:val="both"/>
        <w:rPr>
          <w:sz w:val="20"/>
          <w:szCs w:val="20"/>
          <w:lang w:val="fr-FR"/>
        </w:rPr>
      </w:pPr>
      <w:r w:rsidRPr="00B677D2">
        <w:rPr>
          <w:b/>
          <w:sz w:val="20"/>
          <w:szCs w:val="20"/>
          <w:lang w:val="fr-FR"/>
        </w:rPr>
        <w:t>À LA SUITE DE LA DEMANDE</w:t>
      </w:r>
      <w:r w:rsidRPr="00B677D2">
        <w:rPr>
          <w:sz w:val="20"/>
          <w:szCs w:val="20"/>
          <w:lang w:val="fr-FR"/>
        </w:rPr>
        <w:t xml:space="preserve"> de la demanderesse sollicitant des directives et l'accélération de la procédure ;</w:t>
      </w:r>
    </w:p>
    <w:p w:rsidR="00D621AC" w:rsidRPr="00B677D2" w:rsidRDefault="00D621AC" w:rsidP="00D621AC">
      <w:pPr>
        <w:ind w:right="-23"/>
        <w:jc w:val="both"/>
        <w:rPr>
          <w:sz w:val="20"/>
          <w:szCs w:val="20"/>
          <w:lang w:val="fr-FR"/>
        </w:rPr>
      </w:pPr>
    </w:p>
    <w:p w:rsidR="00D621AC" w:rsidRPr="00B677D2" w:rsidRDefault="00D621AC" w:rsidP="00D621AC">
      <w:pPr>
        <w:ind w:right="-23"/>
        <w:jc w:val="both"/>
        <w:rPr>
          <w:b/>
          <w:sz w:val="20"/>
          <w:szCs w:val="20"/>
          <w:lang w:val="fr-FR"/>
        </w:rPr>
      </w:pPr>
      <w:r w:rsidRPr="00B677D2">
        <w:rPr>
          <w:b/>
          <w:sz w:val="20"/>
          <w:szCs w:val="20"/>
          <w:lang w:val="fr-FR"/>
        </w:rPr>
        <w:t xml:space="preserve">IL EST ORDONNÉ CE QUI SUIT : </w:t>
      </w:r>
    </w:p>
    <w:p w:rsidR="00D621AC" w:rsidRPr="00B677D2" w:rsidRDefault="00D621AC" w:rsidP="00D621AC">
      <w:pPr>
        <w:ind w:right="-23"/>
        <w:jc w:val="both"/>
        <w:rPr>
          <w:sz w:val="20"/>
          <w:szCs w:val="20"/>
          <w:lang w:val="fr-FR"/>
        </w:rPr>
      </w:pPr>
    </w:p>
    <w:p w:rsidR="00D621AC" w:rsidRPr="00B677D2" w:rsidRDefault="00D621AC" w:rsidP="00D621AC">
      <w:pPr>
        <w:pStyle w:val="ListParagraph"/>
        <w:widowControl w:val="0"/>
        <w:numPr>
          <w:ilvl w:val="0"/>
          <w:numId w:val="4"/>
        </w:numPr>
        <w:autoSpaceDE w:val="0"/>
        <w:autoSpaceDN w:val="0"/>
        <w:adjustRightInd w:val="0"/>
        <w:ind w:left="360" w:right="-23"/>
        <w:jc w:val="both"/>
        <w:rPr>
          <w:rFonts w:cs="Times New Roman"/>
          <w:sz w:val="20"/>
          <w:szCs w:val="20"/>
          <w:lang w:val="fr-FR"/>
        </w:rPr>
      </w:pPr>
      <w:r w:rsidRPr="00B677D2">
        <w:rPr>
          <w:rFonts w:cs="Times New Roman"/>
          <w:sz w:val="20"/>
          <w:szCs w:val="20"/>
          <w:lang w:val="fr-FR"/>
        </w:rPr>
        <w:t>La demande visant le traitement accéléré de la demande d'autorisation d'appel est accordée.  Les intimées et les intervenantes signifieront et déposeront leur réponse à la demande d'autorisation au plus tard à 16 h le 12 avril 2012 et la demanderesse signifiera et déposera sa réplique au plus tard à midi le 13 avril 2012.</w:t>
      </w:r>
    </w:p>
    <w:p w:rsidR="00D621AC" w:rsidRPr="00B677D2" w:rsidRDefault="00D621AC" w:rsidP="00D621AC">
      <w:pPr>
        <w:pStyle w:val="ListParagraph"/>
        <w:ind w:left="1080" w:right="-23"/>
        <w:jc w:val="both"/>
        <w:rPr>
          <w:rFonts w:cs="Times New Roman"/>
          <w:sz w:val="20"/>
          <w:szCs w:val="20"/>
          <w:lang w:val="fr-FR"/>
        </w:rPr>
      </w:pPr>
    </w:p>
    <w:p w:rsidR="00D621AC" w:rsidRPr="00B677D2" w:rsidRDefault="00D621AC" w:rsidP="00D621AC">
      <w:pPr>
        <w:pStyle w:val="ListParagraph"/>
        <w:widowControl w:val="0"/>
        <w:numPr>
          <w:ilvl w:val="0"/>
          <w:numId w:val="4"/>
        </w:numPr>
        <w:autoSpaceDE w:val="0"/>
        <w:autoSpaceDN w:val="0"/>
        <w:adjustRightInd w:val="0"/>
        <w:ind w:left="360" w:right="-23"/>
        <w:jc w:val="both"/>
        <w:rPr>
          <w:rFonts w:cs="Times New Roman"/>
          <w:sz w:val="20"/>
          <w:szCs w:val="20"/>
          <w:lang w:val="fr-FR"/>
        </w:rPr>
      </w:pPr>
      <w:r w:rsidRPr="00B677D2">
        <w:rPr>
          <w:rFonts w:cs="Times New Roman"/>
          <w:sz w:val="20"/>
          <w:szCs w:val="20"/>
          <w:lang w:val="fr-FR"/>
        </w:rPr>
        <w:t>La demande d'accélération de la procédure d'appel, si l'appel est autorisé, est renvoyée à la formation qui se prononcera sur la demande d'autorisation.</w:t>
      </w:r>
    </w:p>
    <w:p w:rsidR="00D621AC" w:rsidRPr="00B677D2" w:rsidRDefault="00D621AC" w:rsidP="00D621AC">
      <w:pPr>
        <w:tabs>
          <w:tab w:val="left" w:pos="-1440"/>
          <w:tab w:val="left" w:pos="-720"/>
        </w:tabs>
        <w:jc w:val="both"/>
        <w:rPr>
          <w:sz w:val="20"/>
          <w:szCs w:val="20"/>
          <w:lang w:val="fr-FR"/>
        </w:rPr>
      </w:pPr>
    </w:p>
    <w:p w:rsidR="00D621AC" w:rsidRPr="00B677D2" w:rsidRDefault="00A3677B" w:rsidP="00D621AC">
      <w:pPr>
        <w:tabs>
          <w:tab w:val="left" w:pos="-1440"/>
          <w:tab w:val="left" w:pos="-720"/>
        </w:tabs>
        <w:jc w:val="both"/>
        <w:rPr>
          <w:sz w:val="20"/>
          <w:szCs w:val="20"/>
          <w:lang w:val="fr-CA"/>
        </w:rPr>
      </w:pPr>
      <w:r w:rsidRPr="00A3677B">
        <w:rPr>
          <w:sz w:val="20"/>
          <w:szCs w:val="20"/>
          <w:lang w:val="fr-CA"/>
        </w:rPr>
        <w:pict>
          <v:rect id="_x0000_i1041" style="width:2in;height:1pt" o:hrpct="0" o:hralign="center" o:hrstd="t" o:hrnoshade="t" o:hr="t" fillcolor="black [3213]" stroked="f"/>
        </w:pic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sz w:val="20"/>
          <w:szCs w:val="20"/>
          <w:lang w:val="fr-CA"/>
        </w:rPr>
      </w:pPr>
      <w:r w:rsidRPr="00B677D2">
        <w:rPr>
          <w:sz w:val="20"/>
          <w:szCs w:val="20"/>
          <w:lang w:val="fr-CA"/>
        </w:rPr>
        <w:t>11.04.2012</w:t>
      </w:r>
    </w:p>
    <w:p w:rsidR="00D621AC" w:rsidRPr="00B677D2" w:rsidRDefault="00D621AC" w:rsidP="00D621AC">
      <w:pPr>
        <w:tabs>
          <w:tab w:val="left" w:pos="-1440"/>
          <w:tab w:val="left" w:pos="-720"/>
        </w:tabs>
        <w:jc w:val="both"/>
        <w:rPr>
          <w:sz w:val="20"/>
          <w:szCs w:val="20"/>
          <w:lang w:val="fr-CA"/>
        </w:rPr>
      </w:pPr>
    </w:p>
    <w:p w:rsidR="00D621AC" w:rsidRPr="00B677D2" w:rsidRDefault="00D621AC" w:rsidP="00D621AC">
      <w:pPr>
        <w:tabs>
          <w:tab w:val="left" w:pos="-1440"/>
          <w:tab w:val="left" w:pos="-720"/>
        </w:tabs>
        <w:jc w:val="both"/>
        <w:rPr>
          <w:sz w:val="20"/>
          <w:szCs w:val="20"/>
          <w:lang w:val="fr-CA"/>
        </w:rPr>
      </w:pPr>
      <w:r w:rsidRPr="00B677D2">
        <w:rPr>
          <w:sz w:val="20"/>
          <w:szCs w:val="20"/>
          <w:lang w:val="fr-CA"/>
        </w:rPr>
        <w:t>Before / Devant :   MOLDAVER J. / LE JUGE MOLDAVER</w:t>
      </w:r>
    </w:p>
    <w:p w:rsidR="00D621AC" w:rsidRPr="00B677D2" w:rsidRDefault="00D621AC" w:rsidP="00D621A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621AC" w:rsidRPr="00B677D2" w:rsidTr="00027A88">
        <w:tc>
          <w:tcPr>
            <w:tcW w:w="4338" w:type="dxa"/>
            <w:gridSpan w:val="2"/>
          </w:tcPr>
          <w:p w:rsidR="00D621AC" w:rsidRPr="00B677D2" w:rsidRDefault="00D621AC" w:rsidP="00027A88">
            <w:pPr>
              <w:rPr>
                <w:b/>
                <w:sz w:val="20"/>
                <w:szCs w:val="20"/>
              </w:rPr>
            </w:pPr>
            <w:r w:rsidRPr="00B677D2">
              <w:rPr>
                <w:b/>
                <w:sz w:val="20"/>
                <w:szCs w:val="20"/>
              </w:rPr>
              <w:t>Motions for leave to intervene</w:t>
            </w:r>
            <w:r w:rsidRPr="00B677D2">
              <w:rPr>
                <w:sz w:val="20"/>
                <w:szCs w:val="20"/>
              </w:rPr>
              <w:t xml:space="preserve"> </w:t>
            </w:r>
            <w:r w:rsidR="00A3677B" w:rsidRPr="00B677D2">
              <w:rPr>
                <w:sz w:val="20"/>
                <w:szCs w:val="20"/>
              </w:rPr>
              <w:fldChar w:fldCharType="begin"/>
            </w:r>
            <w:r w:rsidRPr="00B677D2">
              <w:rPr>
                <w:sz w:val="20"/>
                <w:szCs w:val="20"/>
              </w:rPr>
              <w:instrText xml:space="preserve"> SEQ CHAPTER \h \r 1</w:instrText>
            </w:r>
            <w:r w:rsidR="00A3677B" w:rsidRPr="00B677D2">
              <w:rPr>
                <w:sz w:val="20"/>
                <w:szCs w:val="20"/>
              </w:rPr>
              <w:fldChar w:fldCharType="end"/>
            </w:r>
          </w:p>
        </w:tc>
        <w:tc>
          <w:tcPr>
            <w:tcW w:w="1170" w:type="dxa"/>
          </w:tcPr>
          <w:p w:rsidR="00D621AC" w:rsidRPr="00B677D2" w:rsidRDefault="00D621AC" w:rsidP="00027A88">
            <w:pPr>
              <w:rPr>
                <w:sz w:val="20"/>
                <w:szCs w:val="20"/>
              </w:rPr>
            </w:pPr>
          </w:p>
          <w:p w:rsidR="00D621AC" w:rsidRPr="00B677D2" w:rsidRDefault="00D621AC" w:rsidP="00027A88">
            <w:pPr>
              <w:rPr>
                <w:sz w:val="20"/>
                <w:szCs w:val="20"/>
              </w:rPr>
            </w:pPr>
          </w:p>
        </w:tc>
        <w:tc>
          <w:tcPr>
            <w:tcW w:w="4327" w:type="dxa"/>
          </w:tcPr>
          <w:p w:rsidR="00D621AC" w:rsidRPr="00B677D2" w:rsidRDefault="00D621AC" w:rsidP="00027A88">
            <w:pPr>
              <w:rPr>
                <w:b/>
                <w:sz w:val="20"/>
                <w:szCs w:val="20"/>
              </w:rPr>
            </w:pPr>
            <w:r w:rsidRPr="00B677D2">
              <w:rPr>
                <w:b/>
                <w:bCs/>
                <w:sz w:val="20"/>
                <w:szCs w:val="20"/>
                <w:lang w:val="fr-CA"/>
              </w:rPr>
              <w:t>Requêtes en autorisation d’intervenir</w:t>
            </w:r>
            <w:r w:rsidRPr="00B677D2">
              <w:rPr>
                <w:sz w:val="20"/>
                <w:szCs w:val="20"/>
              </w:rPr>
              <w:t xml:space="preserve"> </w:t>
            </w:r>
            <w:r w:rsidR="00A3677B" w:rsidRPr="00B677D2">
              <w:rPr>
                <w:sz w:val="20"/>
                <w:szCs w:val="20"/>
              </w:rPr>
              <w:fldChar w:fldCharType="begin"/>
            </w:r>
            <w:r w:rsidRPr="00B677D2">
              <w:rPr>
                <w:sz w:val="20"/>
                <w:szCs w:val="20"/>
              </w:rPr>
              <w:instrText xml:space="preserve"> SEQ CHAPTER \h \r 1</w:instrText>
            </w:r>
            <w:r w:rsidR="00A3677B" w:rsidRPr="00B677D2">
              <w:rPr>
                <w:sz w:val="20"/>
                <w:szCs w:val="20"/>
              </w:rPr>
              <w:fldChar w:fldCharType="end"/>
            </w:r>
          </w:p>
        </w:tc>
      </w:tr>
      <w:tr w:rsidR="00D621AC" w:rsidRPr="00B677D2" w:rsidTr="00027A88">
        <w:tc>
          <w:tcPr>
            <w:tcW w:w="1368" w:type="dxa"/>
          </w:tcPr>
          <w:p w:rsidR="00D621AC" w:rsidRPr="00B677D2" w:rsidRDefault="00D621AC" w:rsidP="00027A88">
            <w:pPr>
              <w:rPr>
                <w:sz w:val="20"/>
                <w:szCs w:val="20"/>
              </w:rPr>
            </w:pPr>
            <w:r w:rsidRPr="00B677D2">
              <w:rPr>
                <w:sz w:val="20"/>
                <w:szCs w:val="20"/>
              </w:rPr>
              <w:t>BY / PAR</w:t>
            </w:r>
          </w:p>
        </w:tc>
        <w:tc>
          <w:tcPr>
            <w:tcW w:w="2970" w:type="dxa"/>
          </w:tcPr>
          <w:p w:rsidR="00D621AC" w:rsidRPr="00B677D2" w:rsidRDefault="00D621AC" w:rsidP="00027A88">
            <w:pPr>
              <w:rPr>
                <w:sz w:val="20"/>
                <w:szCs w:val="20"/>
              </w:rPr>
            </w:pPr>
            <w:r w:rsidRPr="00B677D2">
              <w:rPr>
                <w:sz w:val="20"/>
                <w:szCs w:val="20"/>
              </w:rPr>
              <w:t>Director of Public Prosecutions;</w:t>
            </w: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r w:rsidR="00D621AC" w:rsidRPr="00B677D2" w:rsidTr="00027A88">
        <w:tc>
          <w:tcPr>
            <w:tcW w:w="1368" w:type="dxa"/>
          </w:tcPr>
          <w:p w:rsidR="00D621AC" w:rsidRPr="00B677D2" w:rsidRDefault="00D621AC" w:rsidP="00027A88">
            <w:pPr>
              <w:rPr>
                <w:sz w:val="20"/>
                <w:szCs w:val="20"/>
              </w:rPr>
            </w:pPr>
          </w:p>
        </w:tc>
        <w:tc>
          <w:tcPr>
            <w:tcW w:w="2970" w:type="dxa"/>
          </w:tcPr>
          <w:p w:rsidR="00D621AC" w:rsidRPr="00B677D2" w:rsidRDefault="00D621AC" w:rsidP="00027A88">
            <w:pPr>
              <w:rPr>
                <w:sz w:val="20"/>
                <w:szCs w:val="20"/>
              </w:rPr>
            </w:pPr>
            <w:r w:rsidRPr="00B677D2">
              <w:rPr>
                <w:sz w:val="20"/>
                <w:szCs w:val="20"/>
              </w:rPr>
              <w:t>Attorney General of Quebec;</w:t>
            </w: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r w:rsidR="00D621AC" w:rsidRPr="00B677D2" w:rsidTr="00027A88">
        <w:tc>
          <w:tcPr>
            <w:tcW w:w="1368" w:type="dxa"/>
          </w:tcPr>
          <w:p w:rsidR="00D621AC" w:rsidRPr="00B677D2" w:rsidRDefault="00D621AC" w:rsidP="00027A88">
            <w:pPr>
              <w:rPr>
                <w:sz w:val="20"/>
                <w:szCs w:val="20"/>
              </w:rPr>
            </w:pPr>
          </w:p>
        </w:tc>
        <w:tc>
          <w:tcPr>
            <w:tcW w:w="2970" w:type="dxa"/>
          </w:tcPr>
          <w:p w:rsidR="00D621AC" w:rsidRPr="00B677D2" w:rsidRDefault="00D621AC" w:rsidP="00027A88">
            <w:pPr>
              <w:rPr>
                <w:sz w:val="20"/>
                <w:szCs w:val="20"/>
              </w:rPr>
            </w:pPr>
            <w:r w:rsidRPr="00B677D2">
              <w:rPr>
                <w:sz w:val="20"/>
                <w:szCs w:val="20"/>
              </w:rPr>
              <w:t>Criminal Lawyers' Association (Ontario);</w:t>
            </w: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r w:rsidR="00D621AC" w:rsidRPr="00B677D2" w:rsidTr="00027A88">
        <w:tc>
          <w:tcPr>
            <w:tcW w:w="1368" w:type="dxa"/>
          </w:tcPr>
          <w:p w:rsidR="00D621AC" w:rsidRPr="00B677D2" w:rsidRDefault="00D621AC" w:rsidP="00027A88">
            <w:pPr>
              <w:rPr>
                <w:sz w:val="20"/>
                <w:szCs w:val="20"/>
              </w:rPr>
            </w:pPr>
          </w:p>
        </w:tc>
        <w:tc>
          <w:tcPr>
            <w:tcW w:w="2970" w:type="dxa"/>
          </w:tcPr>
          <w:p w:rsidR="00D621AC" w:rsidRPr="00B677D2" w:rsidRDefault="00D621AC" w:rsidP="00027A88">
            <w:pPr>
              <w:rPr>
                <w:sz w:val="20"/>
                <w:szCs w:val="20"/>
              </w:rPr>
            </w:pPr>
            <w:r w:rsidRPr="00B677D2">
              <w:rPr>
                <w:sz w:val="20"/>
                <w:szCs w:val="20"/>
              </w:rPr>
              <w:t>Canadian Civil Liberties Association;</w:t>
            </w: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r w:rsidR="00D621AC" w:rsidRPr="00B677D2" w:rsidTr="00027A88">
        <w:tc>
          <w:tcPr>
            <w:tcW w:w="1368" w:type="dxa"/>
          </w:tcPr>
          <w:p w:rsidR="00D621AC" w:rsidRPr="00B677D2" w:rsidRDefault="00D621AC" w:rsidP="00027A88">
            <w:pPr>
              <w:rPr>
                <w:sz w:val="20"/>
                <w:szCs w:val="20"/>
              </w:rPr>
            </w:pPr>
          </w:p>
        </w:tc>
        <w:tc>
          <w:tcPr>
            <w:tcW w:w="2970" w:type="dxa"/>
          </w:tcPr>
          <w:p w:rsidR="00D621AC" w:rsidRPr="00B677D2" w:rsidRDefault="00D621AC" w:rsidP="00027A88">
            <w:pPr>
              <w:rPr>
                <w:sz w:val="20"/>
                <w:szCs w:val="20"/>
              </w:rPr>
            </w:pPr>
            <w:r w:rsidRPr="00B677D2">
              <w:rPr>
                <w:sz w:val="20"/>
                <w:szCs w:val="20"/>
              </w:rPr>
              <w:t>Canadian Association of Counsel to Employers</w:t>
            </w: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r w:rsidR="00D621AC" w:rsidRPr="00B677D2" w:rsidTr="00027A88">
        <w:tc>
          <w:tcPr>
            <w:tcW w:w="1368" w:type="dxa"/>
          </w:tcPr>
          <w:p w:rsidR="00D621AC" w:rsidRPr="00B677D2" w:rsidRDefault="00D621AC" w:rsidP="00027A88">
            <w:pPr>
              <w:rPr>
                <w:sz w:val="20"/>
                <w:szCs w:val="20"/>
              </w:rPr>
            </w:pPr>
          </w:p>
        </w:tc>
        <w:tc>
          <w:tcPr>
            <w:tcW w:w="2970" w:type="dxa"/>
          </w:tcPr>
          <w:p w:rsidR="00D621AC" w:rsidRPr="00B677D2" w:rsidRDefault="00D621AC" w:rsidP="00027A88">
            <w:pPr>
              <w:rPr>
                <w:sz w:val="20"/>
                <w:szCs w:val="20"/>
              </w:rPr>
            </w:pP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r w:rsidR="00D621AC" w:rsidRPr="00B677D2" w:rsidTr="00027A88">
        <w:tc>
          <w:tcPr>
            <w:tcW w:w="1368" w:type="dxa"/>
          </w:tcPr>
          <w:p w:rsidR="00D621AC" w:rsidRPr="00B677D2" w:rsidRDefault="00D621AC" w:rsidP="00027A88">
            <w:pPr>
              <w:rPr>
                <w:sz w:val="20"/>
                <w:szCs w:val="20"/>
              </w:rPr>
            </w:pPr>
            <w:r w:rsidRPr="00B677D2">
              <w:rPr>
                <w:sz w:val="20"/>
                <w:szCs w:val="20"/>
              </w:rPr>
              <w:t>IN / DANS :</w:t>
            </w:r>
          </w:p>
        </w:tc>
        <w:tc>
          <w:tcPr>
            <w:tcW w:w="2970" w:type="dxa"/>
          </w:tcPr>
          <w:p w:rsidR="00D621AC" w:rsidRPr="00B677D2" w:rsidRDefault="00D621AC" w:rsidP="00027A88">
            <w:pPr>
              <w:rPr>
                <w:sz w:val="20"/>
                <w:szCs w:val="20"/>
              </w:rPr>
            </w:pPr>
            <w:r w:rsidRPr="00B677D2">
              <w:rPr>
                <w:sz w:val="20"/>
                <w:szCs w:val="20"/>
              </w:rPr>
              <w:t>Her Majesty the Queen</w:t>
            </w:r>
          </w:p>
          <w:p w:rsidR="00D621AC" w:rsidRPr="00B677D2" w:rsidRDefault="00D621AC" w:rsidP="00027A88">
            <w:pPr>
              <w:rPr>
                <w:sz w:val="20"/>
                <w:szCs w:val="20"/>
              </w:rPr>
            </w:pP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r w:rsidR="00D621AC" w:rsidRPr="00B677D2" w:rsidTr="00027A88">
        <w:tc>
          <w:tcPr>
            <w:tcW w:w="1368" w:type="dxa"/>
          </w:tcPr>
          <w:p w:rsidR="00D621AC" w:rsidRPr="00B677D2" w:rsidRDefault="00D621AC" w:rsidP="00027A88">
            <w:pPr>
              <w:rPr>
                <w:sz w:val="20"/>
                <w:szCs w:val="20"/>
              </w:rPr>
            </w:pPr>
          </w:p>
        </w:tc>
        <w:tc>
          <w:tcPr>
            <w:tcW w:w="2970" w:type="dxa"/>
          </w:tcPr>
          <w:p w:rsidR="00D621AC" w:rsidRPr="00B677D2" w:rsidRDefault="00D621AC" w:rsidP="00027A88">
            <w:pPr>
              <w:rPr>
                <w:sz w:val="20"/>
                <w:szCs w:val="20"/>
              </w:rPr>
            </w:pPr>
            <w:r w:rsidRPr="00B677D2">
              <w:rPr>
                <w:sz w:val="20"/>
                <w:szCs w:val="20"/>
              </w:rPr>
              <w:tab/>
              <w:t>v. (34268)</w:t>
            </w:r>
          </w:p>
          <w:p w:rsidR="00D621AC" w:rsidRPr="00B677D2" w:rsidRDefault="00D621AC" w:rsidP="00027A88">
            <w:pPr>
              <w:rPr>
                <w:sz w:val="20"/>
                <w:szCs w:val="20"/>
              </w:rPr>
            </w:pP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r w:rsidR="00D621AC" w:rsidRPr="00B677D2" w:rsidTr="00027A88">
        <w:tc>
          <w:tcPr>
            <w:tcW w:w="1368" w:type="dxa"/>
          </w:tcPr>
          <w:p w:rsidR="00D621AC" w:rsidRPr="00B677D2" w:rsidRDefault="00D621AC" w:rsidP="00027A88">
            <w:pPr>
              <w:rPr>
                <w:sz w:val="20"/>
                <w:szCs w:val="20"/>
              </w:rPr>
            </w:pPr>
          </w:p>
        </w:tc>
        <w:tc>
          <w:tcPr>
            <w:tcW w:w="2970" w:type="dxa"/>
          </w:tcPr>
          <w:p w:rsidR="00D621AC" w:rsidRPr="00B677D2" w:rsidRDefault="00D621AC" w:rsidP="00027A88">
            <w:pPr>
              <w:jc w:val="both"/>
              <w:rPr>
                <w:sz w:val="20"/>
                <w:szCs w:val="20"/>
              </w:rPr>
            </w:pPr>
            <w:r w:rsidRPr="00B677D2">
              <w:rPr>
                <w:sz w:val="20"/>
                <w:szCs w:val="20"/>
                <w:lang w:val="fr-CA"/>
              </w:rPr>
              <w:t xml:space="preserve">Richard Cole </w:t>
            </w:r>
            <w:r w:rsidRPr="00B677D2">
              <w:rPr>
                <w:sz w:val="20"/>
                <w:szCs w:val="20"/>
              </w:rPr>
              <w:t>(Ont.)</w:t>
            </w:r>
          </w:p>
        </w:tc>
        <w:tc>
          <w:tcPr>
            <w:tcW w:w="1170" w:type="dxa"/>
          </w:tcPr>
          <w:p w:rsidR="00D621AC" w:rsidRPr="00B677D2" w:rsidRDefault="00D621AC" w:rsidP="00027A88">
            <w:pPr>
              <w:rPr>
                <w:sz w:val="20"/>
                <w:szCs w:val="20"/>
              </w:rPr>
            </w:pPr>
          </w:p>
        </w:tc>
        <w:tc>
          <w:tcPr>
            <w:tcW w:w="4327" w:type="dxa"/>
          </w:tcPr>
          <w:p w:rsidR="00D621AC" w:rsidRPr="00B677D2" w:rsidRDefault="00D621AC" w:rsidP="00027A88">
            <w:pPr>
              <w:rPr>
                <w:sz w:val="20"/>
                <w:szCs w:val="20"/>
              </w:rPr>
            </w:pPr>
          </w:p>
        </w:tc>
      </w:tr>
    </w:tbl>
    <w:p w:rsidR="00D621AC" w:rsidRPr="00B677D2" w:rsidRDefault="00D621AC" w:rsidP="00D621AC">
      <w:pPr>
        <w:tabs>
          <w:tab w:val="left" w:pos="-1440"/>
          <w:tab w:val="left" w:pos="-720"/>
        </w:tabs>
        <w:jc w:val="both"/>
        <w:rPr>
          <w:sz w:val="20"/>
          <w:szCs w:val="20"/>
        </w:rPr>
      </w:pPr>
    </w:p>
    <w:p w:rsidR="00D621AC" w:rsidRPr="00B677D2" w:rsidRDefault="00D621AC" w:rsidP="00D621AC">
      <w:pPr>
        <w:tabs>
          <w:tab w:val="left" w:pos="-1440"/>
          <w:tab w:val="left" w:pos="-720"/>
        </w:tabs>
        <w:jc w:val="both"/>
        <w:rPr>
          <w:sz w:val="20"/>
          <w:szCs w:val="20"/>
        </w:rPr>
      </w:pPr>
      <w:r w:rsidRPr="00B677D2">
        <w:rPr>
          <w:b/>
          <w:sz w:val="20"/>
          <w:szCs w:val="20"/>
        </w:rPr>
        <w:t>GRANTED / ACCORDÉES</w:t>
      </w:r>
    </w:p>
    <w:p w:rsidR="00D621AC" w:rsidRPr="00B677D2" w:rsidRDefault="00D621AC" w:rsidP="00D621AC">
      <w:pPr>
        <w:tabs>
          <w:tab w:val="left" w:pos="-1440"/>
          <w:tab w:val="left" w:pos="-720"/>
        </w:tabs>
        <w:jc w:val="both"/>
        <w:rPr>
          <w:sz w:val="20"/>
          <w:szCs w:val="20"/>
        </w:rPr>
      </w:pPr>
    </w:p>
    <w:p w:rsidR="00D621AC" w:rsidRPr="00B677D2" w:rsidRDefault="00D621AC" w:rsidP="00D621AC">
      <w:pPr>
        <w:spacing w:line="233" w:lineRule="auto"/>
        <w:jc w:val="both"/>
        <w:rPr>
          <w:sz w:val="20"/>
          <w:szCs w:val="20"/>
        </w:rPr>
      </w:pPr>
      <w:r w:rsidRPr="00B677D2">
        <w:rPr>
          <w:b/>
          <w:bCs/>
          <w:sz w:val="20"/>
          <w:szCs w:val="20"/>
        </w:rPr>
        <w:t xml:space="preserve">UPON APPLICATIONS </w:t>
      </w:r>
      <w:r w:rsidRPr="00B677D2">
        <w:rPr>
          <w:sz w:val="20"/>
          <w:szCs w:val="20"/>
        </w:rPr>
        <w:t>by the Director of Public Prosecutions, the Attorney General of Quebec, the Criminal Lawyers' Association (Ontario), the Canadian Civil Liberties Association and the Canadian Association of Counsel to Employers for leave to intervene in the above appeal;</w:t>
      </w:r>
    </w:p>
    <w:p w:rsidR="00D621AC" w:rsidRPr="00B677D2" w:rsidRDefault="00D621AC" w:rsidP="00D621AC">
      <w:pPr>
        <w:spacing w:line="233" w:lineRule="auto"/>
        <w:jc w:val="both"/>
        <w:rPr>
          <w:sz w:val="20"/>
          <w:szCs w:val="20"/>
        </w:rPr>
      </w:pPr>
    </w:p>
    <w:p w:rsidR="00D621AC" w:rsidRPr="00B677D2" w:rsidRDefault="00D621AC" w:rsidP="00D621AC">
      <w:pPr>
        <w:spacing w:line="233" w:lineRule="auto"/>
        <w:jc w:val="both"/>
        <w:rPr>
          <w:sz w:val="20"/>
          <w:szCs w:val="20"/>
        </w:rPr>
      </w:pPr>
      <w:r w:rsidRPr="00B677D2">
        <w:rPr>
          <w:b/>
          <w:bCs/>
          <w:sz w:val="20"/>
          <w:szCs w:val="20"/>
        </w:rPr>
        <w:t>AND THE MATERIAL FILED</w:t>
      </w:r>
      <w:r w:rsidRPr="00B677D2">
        <w:rPr>
          <w:sz w:val="20"/>
          <w:szCs w:val="20"/>
        </w:rPr>
        <w:t xml:space="preserve"> having been read;</w:t>
      </w:r>
    </w:p>
    <w:p w:rsidR="00D621AC" w:rsidRPr="00B677D2" w:rsidRDefault="00D621AC" w:rsidP="00D621AC">
      <w:pPr>
        <w:spacing w:line="233" w:lineRule="auto"/>
        <w:jc w:val="both"/>
        <w:rPr>
          <w:sz w:val="20"/>
          <w:szCs w:val="20"/>
        </w:rPr>
      </w:pPr>
    </w:p>
    <w:p w:rsidR="00D621AC" w:rsidRPr="00B677D2" w:rsidRDefault="00D621AC" w:rsidP="00D621AC">
      <w:pPr>
        <w:spacing w:line="233" w:lineRule="auto"/>
        <w:jc w:val="both"/>
        <w:rPr>
          <w:sz w:val="20"/>
          <w:szCs w:val="20"/>
        </w:rPr>
      </w:pPr>
      <w:r w:rsidRPr="00B677D2">
        <w:rPr>
          <w:b/>
          <w:bCs/>
          <w:sz w:val="20"/>
          <w:szCs w:val="20"/>
        </w:rPr>
        <w:t>IT IS HEREBY ORDERED THAT:</w:t>
      </w:r>
    </w:p>
    <w:p w:rsidR="00D621AC" w:rsidRPr="00B677D2" w:rsidRDefault="00D621AC" w:rsidP="00D621AC">
      <w:pPr>
        <w:spacing w:line="233" w:lineRule="auto"/>
        <w:jc w:val="both"/>
        <w:rPr>
          <w:sz w:val="20"/>
          <w:szCs w:val="20"/>
        </w:rPr>
      </w:pPr>
    </w:p>
    <w:p w:rsidR="00D621AC" w:rsidRPr="00B677D2" w:rsidRDefault="00D621AC" w:rsidP="00D621AC">
      <w:pPr>
        <w:spacing w:line="233" w:lineRule="auto"/>
        <w:jc w:val="both"/>
        <w:rPr>
          <w:sz w:val="20"/>
          <w:szCs w:val="20"/>
        </w:rPr>
      </w:pPr>
      <w:r w:rsidRPr="00B677D2">
        <w:rPr>
          <w:sz w:val="20"/>
          <w:szCs w:val="20"/>
        </w:rPr>
        <w:t>The motions for leave to intervene by the Director of Public Prosecutions, the Attorney General of Quebec, the Criminal Lawyers' Association (Ontario), the Canadian Civil Liberties Association and the Canadian Association of Counsel to Employers are granted and the said interveners shall each be entitled to serve and file a factum not to exceed 10 pages in length on or before May 1, 2012.</w:t>
      </w:r>
    </w:p>
    <w:p w:rsidR="00D621AC" w:rsidRPr="00B677D2" w:rsidRDefault="00D621AC" w:rsidP="00D621AC">
      <w:pPr>
        <w:spacing w:line="233" w:lineRule="auto"/>
        <w:jc w:val="both"/>
        <w:rPr>
          <w:sz w:val="20"/>
          <w:szCs w:val="20"/>
        </w:rPr>
      </w:pPr>
    </w:p>
    <w:p w:rsidR="00D621AC" w:rsidRPr="00B677D2" w:rsidRDefault="00D621AC" w:rsidP="00D621AC">
      <w:pPr>
        <w:spacing w:line="233" w:lineRule="auto"/>
        <w:jc w:val="both"/>
        <w:rPr>
          <w:sz w:val="20"/>
          <w:szCs w:val="20"/>
        </w:rPr>
      </w:pPr>
      <w:r w:rsidRPr="00B677D2">
        <w:rPr>
          <w:sz w:val="20"/>
          <w:szCs w:val="20"/>
        </w:rPr>
        <w:t>The requests to present oral argument are deferred to a date following receipt and consideration of the written arguments of the parties and the interveners.</w:t>
      </w:r>
    </w:p>
    <w:p w:rsidR="00D621AC" w:rsidRPr="00B677D2" w:rsidRDefault="00D621AC" w:rsidP="00D621AC">
      <w:pPr>
        <w:spacing w:line="233" w:lineRule="auto"/>
        <w:jc w:val="both"/>
        <w:rPr>
          <w:sz w:val="20"/>
          <w:szCs w:val="20"/>
        </w:rPr>
      </w:pPr>
    </w:p>
    <w:p w:rsidR="00D621AC" w:rsidRPr="00B677D2" w:rsidRDefault="00D621AC" w:rsidP="00D621AC">
      <w:pPr>
        <w:spacing w:line="233" w:lineRule="auto"/>
        <w:jc w:val="both"/>
        <w:rPr>
          <w:b/>
          <w:sz w:val="20"/>
          <w:szCs w:val="20"/>
        </w:rPr>
      </w:pPr>
      <w:r w:rsidRPr="00B677D2">
        <w:rPr>
          <w:b/>
          <w:sz w:val="20"/>
          <w:szCs w:val="20"/>
        </w:rPr>
        <w:t>The interveners are not entitled to raise new issues or to adduce further evidence or otherwise to supplement the record of the parties.</w:t>
      </w:r>
    </w:p>
    <w:p w:rsidR="00D621AC" w:rsidRPr="00B677D2" w:rsidRDefault="00D621AC" w:rsidP="00D621AC">
      <w:pPr>
        <w:spacing w:line="233" w:lineRule="auto"/>
        <w:jc w:val="both"/>
        <w:rPr>
          <w:sz w:val="20"/>
          <w:szCs w:val="20"/>
        </w:rPr>
      </w:pPr>
    </w:p>
    <w:p w:rsidR="00D621AC" w:rsidRDefault="00D621AC">
      <w:pPr>
        <w:rPr>
          <w:sz w:val="20"/>
          <w:szCs w:val="20"/>
        </w:rPr>
      </w:pPr>
      <w:r>
        <w:rPr>
          <w:sz w:val="20"/>
          <w:szCs w:val="20"/>
        </w:rPr>
        <w:br w:type="page"/>
      </w:r>
    </w:p>
    <w:p w:rsidR="00D621AC" w:rsidRPr="00B677D2" w:rsidRDefault="00D621AC" w:rsidP="00D621AC">
      <w:pPr>
        <w:spacing w:line="233" w:lineRule="auto"/>
        <w:jc w:val="both"/>
        <w:rPr>
          <w:sz w:val="20"/>
          <w:szCs w:val="20"/>
        </w:rPr>
      </w:pPr>
      <w:r w:rsidRPr="00B677D2">
        <w:rPr>
          <w:sz w:val="20"/>
          <w:szCs w:val="20"/>
        </w:rPr>
        <w:lastRenderedPageBreak/>
        <w:t>Pursuant to Rule 59(1)(</w:t>
      </w:r>
      <w:r w:rsidRPr="00B677D2">
        <w:rPr>
          <w:i/>
          <w:iCs/>
          <w:sz w:val="20"/>
          <w:szCs w:val="20"/>
        </w:rPr>
        <w:t>a</w:t>
      </w:r>
      <w:r w:rsidRPr="00B677D2">
        <w:rPr>
          <w:sz w:val="20"/>
          <w:szCs w:val="20"/>
        </w:rPr>
        <w:t xml:space="preserve">) of the </w:t>
      </w:r>
      <w:r w:rsidRPr="00B677D2">
        <w:rPr>
          <w:i/>
          <w:iCs/>
          <w:sz w:val="20"/>
          <w:szCs w:val="20"/>
        </w:rPr>
        <w:t>Rules of the Supreme Court of Canada</w:t>
      </w:r>
      <w:r w:rsidRPr="00B677D2">
        <w:rPr>
          <w:sz w:val="20"/>
          <w:szCs w:val="20"/>
        </w:rPr>
        <w:t xml:space="preserve">, the interveners shall pay to the appellant and respondent any additional disbursements occasioned to the appellant and respondent by their interventions. </w:t>
      </w:r>
    </w:p>
    <w:p w:rsidR="00D621AC" w:rsidRPr="00B677D2" w:rsidRDefault="00D621AC" w:rsidP="00D621AC">
      <w:pPr>
        <w:spacing w:line="233" w:lineRule="auto"/>
        <w:jc w:val="both"/>
        <w:rPr>
          <w:sz w:val="20"/>
          <w:szCs w:val="20"/>
        </w:rPr>
      </w:pPr>
    </w:p>
    <w:p w:rsidR="00D621AC" w:rsidRPr="00B677D2" w:rsidRDefault="00D621AC" w:rsidP="00D621AC">
      <w:pPr>
        <w:spacing w:line="233" w:lineRule="auto"/>
        <w:jc w:val="both"/>
        <w:rPr>
          <w:sz w:val="20"/>
          <w:szCs w:val="20"/>
        </w:rPr>
      </w:pPr>
    </w:p>
    <w:p w:rsidR="00D621AC" w:rsidRPr="00B677D2" w:rsidRDefault="00D621AC" w:rsidP="00D621AC">
      <w:pPr>
        <w:spacing w:line="233" w:lineRule="auto"/>
        <w:jc w:val="both"/>
        <w:rPr>
          <w:sz w:val="20"/>
          <w:szCs w:val="20"/>
        </w:rPr>
      </w:pPr>
    </w:p>
    <w:p w:rsidR="00D621AC" w:rsidRPr="00B677D2" w:rsidRDefault="00D621AC" w:rsidP="00D621AC">
      <w:pPr>
        <w:spacing w:line="225" w:lineRule="auto"/>
        <w:jc w:val="both"/>
        <w:rPr>
          <w:sz w:val="20"/>
          <w:szCs w:val="20"/>
          <w:lang w:val="fr-FR"/>
        </w:rPr>
      </w:pPr>
      <w:r w:rsidRPr="00B677D2">
        <w:rPr>
          <w:b/>
          <w:sz w:val="20"/>
          <w:szCs w:val="20"/>
          <w:lang w:val="fr-CA"/>
        </w:rPr>
        <w:t>À LA SUITE DES REQUÊTES</w:t>
      </w:r>
      <w:r w:rsidRPr="00B677D2">
        <w:rPr>
          <w:sz w:val="20"/>
          <w:szCs w:val="20"/>
          <w:lang w:val="fr-CA"/>
        </w:rPr>
        <w:t xml:space="preserve"> du </w:t>
      </w:r>
      <w:r w:rsidRPr="00B677D2">
        <w:rPr>
          <w:bCs/>
          <w:sz w:val="20"/>
          <w:szCs w:val="20"/>
          <w:lang w:val="fr-FR"/>
        </w:rPr>
        <w:t>Directeur des poursuites pénales</w:t>
      </w:r>
      <w:r w:rsidRPr="00B677D2">
        <w:rPr>
          <w:sz w:val="20"/>
          <w:szCs w:val="20"/>
          <w:lang w:val="fr-CA"/>
        </w:rPr>
        <w:t xml:space="preserve">, du Procureur général du Québec, de la </w:t>
      </w:r>
      <w:r w:rsidRPr="00B677D2">
        <w:rPr>
          <w:sz w:val="20"/>
          <w:szCs w:val="20"/>
          <w:lang w:val="fr-FR"/>
        </w:rPr>
        <w:t>Criminal Lawyers' Association (Ontario), de l’Association canadienne des libertés civiles et de la Canadian Association of Counsel to Employers</w:t>
      </w:r>
      <w:r w:rsidRPr="00B677D2">
        <w:rPr>
          <w:sz w:val="20"/>
          <w:szCs w:val="20"/>
          <w:lang w:val="fr-CA"/>
        </w:rPr>
        <w:t xml:space="preserve"> pour obtenir l’autorisation d’intervenir dans le présent appel;</w:t>
      </w:r>
    </w:p>
    <w:p w:rsidR="00D621AC" w:rsidRPr="00B677D2" w:rsidRDefault="00D621AC" w:rsidP="00D621AC">
      <w:pPr>
        <w:spacing w:line="225" w:lineRule="auto"/>
        <w:jc w:val="both"/>
        <w:rPr>
          <w:sz w:val="20"/>
          <w:szCs w:val="20"/>
          <w:lang w:val="fr-CA"/>
        </w:rPr>
      </w:pPr>
    </w:p>
    <w:p w:rsidR="00D621AC" w:rsidRPr="00B677D2" w:rsidRDefault="00D621AC" w:rsidP="00D621AC">
      <w:pPr>
        <w:spacing w:line="225" w:lineRule="auto"/>
        <w:jc w:val="both"/>
        <w:rPr>
          <w:sz w:val="20"/>
          <w:szCs w:val="20"/>
          <w:lang w:val="fr-CA"/>
        </w:rPr>
      </w:pPr>
      <w:r w:rsidRPr="00B677D2">
        <w:rPr>
          <w:b/>
          <w:sz w:val="20"/>
          <w:szCs w:val="20"/>
          <w:lang w:val="fr-CA"/>
        </w:rPr>
        <w:t>ET APRÈS EXAMEN</w:t>
      </w:r>
      <w:r w:rsidRPr="00B677D2">
        <w:rPr>
          <w:sz w:val="20"/>
          <w:szCs w:val="20"/>
          <w:lang w:val="fr-CA"/>
        </w:rPr>
        <w:t xml:space="preserve"> des documents déposés;</w:t>
      </w:r>
    </w:p>
    <w:p w:rsidR="00D621AC" w:rsidRPr="00B677D2" w:rsidRDefault="00D621AC" w:rsidP="00D621AC">
      <w:pPr>
        <w:spacing w:line="225" w:lineRule="auto"/>
        <w:jc w:val="both"/>
        <w:rPr>
          <w:b/>
          <w:sz w:val="20"/>
          <w:szCs w:val="20"/>
          <w:lang w:val="fr-CA"/>
        </w:rPr>
      </w:pPr>
    </w:p>
    <w:p w:rsidR="00D621AC" w:rsidRPr="00B677D2" w:rsidRDefault="00D621AC" w:rsidP="00D621AC">
      <w:pPr>
        <w:spacing w:line="225" w:lineRule="auto"/>
        <w:jc w:val="both"/>
        <w:rPr>
          <w:b/>
          <w:sz w:val="20"/>
          <w:szCs w:val="20"/>
          <w:lang w:val="fr-FR"/>
        </w:rPr>
      </w:pPr>
      <w:r w:rsidRPr="00B677D2">
        <w:rPr>
          <w:b/>
          <w:sz w:val="20"/>
          <w:szCs w:val="20"/>
          <w:lang w:val="fr-FR"/>
        </w:rPr>
        <w:t>IL EST PAR LA PRÉSENTE ORDONNÉ CE QUI SUIT :</w:t>
      </w:r>
    </w:p>
    <w:p w:rsidR="00D621AC" w:rsidRPr="00B677D2" w:rsidRDefault="00D621AC" w:rsidP="00D621AC">
      <w:pPr>
        <w:spacing w:line="225" w:lineRule="auto"/>
        <w:jc w:val="both"/>
        <w:rPr>
          <w:b/>
          <w:sz w:val="20"/>
          <w:szCs w:val="20"/>
          <w:lang w:val="fr-CA"/>
        </w:rPr>
      </w:pPr>
    </w:p>
    <w:p w:rsidR="00D621AC" w:rsidRPr="00B677D2" w:rsidRDefault="00D621AC" w:rsidP="00D621AC">
      <w:pPr>
        <w:spacing w:line="225" w:lineRule="auto"/>
        <w:jc w:val="both"/>
        <w:rPr>
          <w:sz w:val="20"/>
          <w:szCs w:val="20"/>
          <w:lang w:val="fr-FR"/>
        </w:rPr>
      </w:pPr>
      <w:r w:rsidRPr="00B677D2">
        <w:rPr>
          <w:sz w:val="20"/>
          <w:szCs w:val="20"/>
          <w:lang w:val="fr-CA"/>
        </w:rPr>
        <w:t xml:space="preserve">Les requêtes en intervention du </w:t>
      </w:r>
      <w:r w:rsidRPr="00B677D2">
        <w:rPr>
          <w:bCs/>
          <w:sz w:val="20"/>
          <w:szCs w:val="20"/>
          <w:lang w:val="fr-FR"/>
        </w:rPr>
        <w:t>Directeur des poursuites pénales</w:t>
      </w:r>
      <w:r w:rsidRPr="00B677D2">
        <w:rPr>
          <w:sz w:val="20"/>
          <w:szCs w:val="20"/>
          <w:lang w:val="fr-CA"/>
        </w:rPr>
        <w:t xml:space="preserve">, du Procureur général du Québec, de la </w:t>
      </w:r>
      <w:r w:rsidRPr="00B677D2">
        <w:rPr>
          <w:sz w:val="20"/>
          <w:szCs w:val="20"/>
          <w:lang w:val="fr-FR"/>
        </w:rPr>
        <w:t>Criminal Lawyers' Association (Ontario), de l’Association canadienne des libertés civiles et la Canadian Association of Counsel to Employers</w:t>
      </w:r>
      <w:r w:rsidRPr="00B677D2">
        <w:rPr>
          <w:sz w:val="20"/>
          <w:szCs w:val="20"/>
          <w:lang w:val="fr-CA"/>
        </w:rPr>
        <w:t xml:space="preserve"> sont accordées et les intervenants sont autorisés à signifier et à déposer un mémoire n’excédant pas 10 pages le ou avant le 1</w:t>
      </w:r>
      <w:r w:rsidRPr="00B677D2">
        <w:rPr>
          <w:sz w:val="20"/>
          <w:szCs w:val="20"/>
          <w:vertAlign w:val="superscript"/>
          <w:lang w:val="fr-CA"/>
        </w:rPr>
        <w:t>er</w:t>
      </w:r>
      <w:r w:rsidRPr="00B677D2">
        <w:rPr>
          <w:sz w:val="20"/>
          <w:szCs w:val="20"/>
          <w:lang w:val="fr-CA"/>
        </w:rPr>
        <w:t xml:space="preserve"> mai 2012. </w:t>
      </w:r>
    </w:p>
    <w:p w:rsidR="00D621AC" w:rsidRPr="00B677D2" w:rsidRDefault="00D621AC" w:rsidP="00D621AC">
      <w:pPr>
        <w:spacing w:line="233" w:lineRule="auto"/>
        <w:jc w:val="both"/>
        <w:rPr>
          <w:sz w:val="20"/>
          <w:szCs w:val="20"/>
          <w:lang w:val="fr-FR"/>
        </w:rPr>
      </w:pPr>
    </w:p>
    <w:p w:rsidR="00D621AC" w:rsidRPr="00B677D2" w:rsidRDefault="00D621AC" w:rsidP="00D621AC">
      <w:pPr>
        <w:spacing w:line="225" w:lineRule="auto"/>
        <w:jc w:val="both"/>
        <w:rPr>
          <w:sz w:val="20"/>
          <w:szCs w:val="20"/>
          <w:lang w:val="fr-CA"/>
        </w:rPr>
      </w:pPr>
      <w:r w:rsidRPr="00B677D2">
        <w:rPr>
          <w:sz w:val="20"/>
          <w:szCs w:val="20"/>
          <w:lang w:val="fr-CA"/>
        </w:rPr>
        <w:t xml:space="preserve">La décision sur les demandes en vue de présenter une plaidoirie orale sera rendue après réception et examen des arguments écrits des parties et des intervenants. </w:t>
      </w:r>
    </w:p>
    <w:p w:rsidR="00D621AC" w:rsidRPr="00B677D2" w:rsidRDefault="00D621AC" w:rsidP="00D621AC">
      <w:pPr>
        <w:spacing w:line="225" w:lineRule="auto"/>
        <w:jc w:val="both"/>
        <w:rPr>
          <w:sz w:val="20"/>
          <w:szCs w:val="20"/>
          <w:lang w:val="fr-CA"/>
        </w:rPr>
      </w:pPr>
    </w:p>
    <w:p w:rsidR="00D621AC" w:rsidRPr="00B677D2" w:rsidRDefault="00D621AC" w:rsidP="00D621AC">
      <w:pPr>
        <w:spacing w:line="233" w:lineRule="auto"/>
        <w:jc w:val="both"/>
        <w:rPr>
          <w:b/>
          <w:sz w:val="20"/>
          <w:szCs w:val="20"/>
          <w:lang w:val="fr-FR"/>
        </w:rPr>
      </w:pPr>
      <w:r w:rsidRPr="00B677D2">
        <w:rPr>
          <w:b/>
          <w:sz w:val="20"/>
          <w:szCs w:val="20"/>
          <w:lang w:val="fr-FR"/>
        </w:rPr>
        <w:t>Les intervenants n'ont pas le droit de soulever de nouvelles questions, de produire d'autres éléments de preuve ni de compléter de quelque autre façon le dossier des parties.</w:t>
      </w:r>
    </w:p>
    <w:p w:rsidR="00D621AC" w:rsidRPr="00B677D2" w:rsidRDefault="00D621AC" w:rsidP="00D621AC">
      <w:pPr>
        <w:spacing w:line="225" w:lineRule="auto"/>
        <w:jc w:val="both"/>
        <w:rPr>
          <w:sz w:val="20"/>
          <w:szCs w:val="20"/>
          <w:lang w:val="fr-FR"/>
        </w:rPr>
      </w:pPr>
    </w:p>
    <w:p w:rsidR="00D621AC" w:rsidRPr="00B677D2" w:rsidRDefault="00D621AC" w:rsidP="00D621AC">
      <w:pPr>
        <w:spacing w:line="233" w:lineRule="auto"/>
        <w:jc w:val="both"/>
        <w:rPr>
          <w:sz w:val="20"/>
          <w:szCs w:val="20"/>
          <w:lang w:val="fr-FR"/>
        </w:rPr>
      </w:pPr>
      <w:r w:rsidRPr="00B677D2">
        <w:rPr>
          <w:sz w:val="20"/>
          <w:szCs w:val="20"/>
          <w:lang w:val="fr-CA"/>
        </w:rPr>
        <w:t>Conformément à l'alinéa 59(1)(</w:t>
      </w:r>
      <w:r w:rsidRPr="00B677D2">
        <w:rPr>
          <w:i/>
          <w:sz w:val="20"/>
          <w:szCs w:val="20"/>
          <w:lang w:val="fr-CA"/>
        </w:rPr>
        <w:t>a</w:t>
      </w:r>
      <w:r w:rsidRPr="00B677D2">
        <w:rPr>
          <w:sz w:val="20"/>
          <w:szCs w:val="20"/>
          <w:lang w:val="fr-CA"/>
        </w:rPr>
        <w:t xml:space="preserve">) des </w:t>
      </w:r>
      <w:r w:rsidRPr="00B677D2">
        <w:rPr>
          <w:i/>
          <w:sz w:val="20"/>
          <w:szCs w:val="20"/>
          <w:lang w:val="fr-CA"/>
        </w:rPr>
        <w:t>Règles de la Cour suprême du Canada</w:t>
      </w:r>
      <w:r w:rsidRPr="00B677D2">
        <w:rPr>
          <w:sz w:val="20"/>
          <w:szCs w:val="20"/>
          <w:lang w:val="fr-CA"/>
        </w:rPr>
        <w:t>, les intervenants paieront à l’appelante et à l’intimé tous débours supplémentaires résultant de leur intervention.</w:t>
      </w:r>
    </w:p>
    <w:p w:rsidR="00D621AC" w:rsidRPr="00B677D2" w:rsidRDefault="00D621AC" w:rsidP="00D621AC">
      <w:pPr>
        <w:tabs>
          <w:tab w:val="left" w:pos="-1440"/>
          <w:tab w:val="left" w:pos="-720"/>
        </w:tabs>
        <w:jc w:val="both"/>
        <w:rPr>
          <w:sz w:val="20"/>
          <w:szCs w:val="20"/>
          <w:lang w:val="fr-FR"/>
        </w:rPr>
      </w:pPr>
    </w:p>
    <w:p w:rsidR="00D621AC" w:rsidRPr="00B677D2" w:rsidRDefault="00A3677B" w:rsidP="00D621AC">
      <w:pPr>
        <w:tabs>
          <w:tab w:val="left" w:pos="-1440"/>
          <w:tab w:val="left" w:pos="-720"/>
        </w:tabs>
        <w:jc w:val="both"/>
        <w:rPr>
          <w:sz w:val="20"/>
          <w:szCs w:val="20"/>
          <w:lang w:val="fr-CA"/>
        </w:rPr>
      </w:pPr>
      <w:r w:rsidRPr="00A3677B">
        <w:rPr>
          <w:sz w:val="20"/>
          <w:szCs w:val="20"/>
          <w:lang w:val="fr-CA"/>
        </w:rPr>
        <w:pict>
          <v:rect id="_x0000_i1042" style="width:2in;height:1pt" o:hrpct="0" o:hralign="center" o:hrstd="t" o:hrnoshade="t" o:hr="t" fillcolor="black [3213]" stroked="f"/>
        </w:pict>
      </w:r>
    </w:p>
    <w:p w:rsidR="00D621AC" w:rsidRPr="00B677D2" w:rsidRDefault="00D621AC" w:rsidP="00D621AC">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6B3AE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B233A0">
              <w:rPr>
                <w:sz w:val="20"/>
                <w:szCs w:val="20"/>
              </w:rPr>
              <w:t>2</w:t>
            </w:r>
            <w:r w:rsidRPr="003B3977">
              <w:rPr>
                <w:sz w:val="20"/>
                <w:szCs w:val="20"/>
              </w:rPr>
              <w:t>.0</w:t>
            </w:r>
            <w:r w:rsidR="00B233A0">
              <w:rPr>
                <w:sz w:val="20"/>
                <w:szCs w:val="20"/>
              </w:rPr>
              <w:t>4</w:t>
            </w:r>
            <w:r w:rsidRPr="003B3977">
              <w:rPr>
                <w:sz w:val="20"/>
                <w:szCs w:val="20"/>
              </w:rPr>
              <w:t>.201</w:t>
            </w:r>
            <w:r w:rsidR="00B233A0">
              <w:rPr>
                <w:sz w:val="20"/>
                <w:szCs w:val="20"/>
              </w:rPr>
              <w:t>2</w:t>
            </w:r>
          </w:p>
          <w:p w:rsidR="0010587F" w:rsidRPr="003B3977" w:rsidRDefault="0010587F" w:rsidP="003B3977">
            <w:pPr>
              <w:rPr>
                <w:sz w:val="20"/>
                <w:szCs w:val="20"/>
              </w:rPr>
            </w:pPr>
          </w:p>
          <w:p w:rsidR="0010587F" w:rsidRDefault="00B233A0" w:rsidP="003B3977">
            <w:pPr>
              <w:rPr>
                <w:b/>
                <w:sz w:val="20"/>
                <w:szCs w:val="20"/>
              </w:rPr>
            </w:pPr>
            <w:r w:rsidRPr="003B3977">
              <w:rPr>
                <w:b/>
                <w:sz w:val="20"/>
                <w:szCs w:val="20"/>
              </w:rPr>
              <w:t xml:space="preserve">Her Majesty the Queen </w:t>
            </w:r>
          </w:p>
          <w:p w:rsidR="00B233A0" w:rsidRPr="003B3977" w:rsidRDefault="00B233A0" w:rsidP="003B3977">
            <w:pPr>
              <w:rPr>
                <w:b/>
                <w:sz w:val="20"/>
                <w:szCs w:val="20"/>
              </w:rPr>
            </w:pPr>
          </w:p>
          <w:p w:rsidR="0010587F" w:rsidRPr="003B3977" w:rsidRDefault="0010587F" w:rsidP="003B3977">
            <w:pPr>
              <w:rPr>
                <w:b/>
                <w:sz w:val="20"/>
                <w:szCs w:val="20"/>
              </w:rPr>
            </w:pPr>
            <w:r w:rsidRPr="003B3977">
              <w:rPr>
                <w:b/>
                <w:sz w:val="20"/>
                <w:szCs w:val="20"/>
              </w:rPr>
              <w:tab/>
              <w:t>v. (34</w:t>
            </w:r>
            <w:r w:rsidR="00B233A0">
              <w:rPr>
                <w:b/>
                <w:sz w:val="20"/>
                <w:szCs w:val="20"/>
              </w:rPr>
              <w:t>754</w:t>
            </w:r>
            <w:r w:rsidRPr="003B3977">
              <w:rPr>
                <w:b/>
                <w:sz w:val="20"/>
                <w:szCs w:val="20"/>
              </w:rPr>
              <w:t>)</w:t>
            </w:r>
          </w:p>
          <w:p w:rsidR="0010587F" w:rsidRPr="003B3977" w:rsidRDefault="0010587F" w:rsidP="003B3977">
            <w:pPr>
              <w:rPr>
                <w:b/>
                <w:sz w:val="20"/>
                <w:szCs w:val="20"/>
              </w:rPr>
            </w:pPr>
          </w:p>
          <w:p w:rsidR="0010587F" w:rsidRPr="003B3977" w:rsidRDefault="00B233A0" w:rsidP="003B3977">
            <w:pPr>
              <w:rPr>
                <w:b/>
                <w:sz w:val="20"/>
                <w:szCs w:val="20"/>
              </w:rPr>
            </w:pPr>
            <w:r>
              <w:rPr>
                <w:b/>
                <w:sz w:val="20"/>
                <w:szCs w:val="20"/>
              </w:rPr>
              <w:t>Christopher Baldree</w:t>
            </w:r>
            <w:r w:rsidR="0010587F" w:rsidRPr="003B3977">
              <w:rPr>
                <w:b/>
                <w:sz w:val="20"/>
                <w:szCs w:val="20"/>
              </w:rPr>
              <w:t xml:space="preserve"> (</w:t>
            </w:r>
            <w:r>
              <w:rPr>
                <w:b/>
                <w:sz w:val="20"/>
                <w:szCs w:val="20"/>
              </w:rPr>
              <w:t>On</w:t>
            </w:r>
            <w:r w:rsidR="0010587F"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A3677B" w:rsidP="003B3977">
            <w:pPr>
              <w:rPr>
                <w:sz w:val="20"/>
                <w:szCs w:val="20"/>
                <w:lang w:val="fr-CA"/>
              </w:rPr>
            </w:pPr>
            <w:r w:rsidRPr="00A3677B">
              <w:rPr>
                <w:sz w:val="20"/>
                <w:szCs w:val="20"/>
                <w:lang w:val="fr-CA"/>
              </w:rPr>
              <w:pict>
                <v:rect id="_x0000_i104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96BD9" w:rsidRPr="006B3AEE" w:rsidTr="00BA6468">
        <w:tc>
          <w:tcPr>
            <w:tcW w:w="4200" w:type="dxa"/>
            <w:shd w:val="clear" w:color="auto" w:fill="auto"/>
            <w:tcMar>
              <w:left w:w="0" w:type="dxa"/>
              <w:right w:w="0" w:type="dxa"/>
            </w:tcMar>
          </w:tcPr>
          <w:p w:rsidR="00096BD9" w:rsidRPr="00C1697B" w:rsidRDefault="00096BD9" w:rsidP="00096BD9">
            <w:pPr>
              <w:rPr>
                <w:b/>
                <w:szCs w:val="24"/>
              </w:rPr>
            </w:pPr>
            <w:r w:rsidRPr="00C1697B">
              <w:rPr>
                <w:b/>
                <w:szCs w:val="24"/>
              </w:rPr>
              <w:lastRenderedPageBreak/>
              <w:t>NOTICES OF WITHDRAWAL OF INTERVENTION FILED SINCE LAST ISSUE</w:t>
            </w:r>
          </w:p>
        </w:tc>
        <w:tc>
          <w:tcPr>
            <w:tcW w:w="1200" w:type="dxa"/>
            <w:shd w:val="clear" w:color="auto" w:fill="auto"/>
            <w:tcMar>
              <w:left w:w="0" w:type="dxa"/>
              <w:right w:w="0" w:type="dxa"/>
            </w:tcMar>
          </w:tcPr>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tc>
        <w:tc>
          <w:tcPr>
            <w:tcW w:w="4080" w:type="dxa"/>
            <w:shd w:val="clear" w:color="auto" w:fill="auto"/>
            <w:tcMar>
              <w:left w:w="0" w:type="dxa"/>
              <w:right w:w="0" w:type="dxa"/>
            </w:tcMar>
          </w:tcPr>
          <w:p w:rsidR="00096BD9" w:rsidRPr="00C1697B" w:rsidRDefault="00BA6468" w:rsidP="00096BD9">
            <w:pPr>
              <w:rPr>
                <w:b/>
                <w:szCs w:val="24"/>
                <w:lang w:val="fr-CA"/>
              </w:rPr>
            </w:pPr>
            <w:r>
              <w:rPr>
                <w:b/>
                <w:szCs w:val="24"/>
                <w:lang w:val="fr-CA"/>
              </w:rPr>
              <w:t>AVIS DE RETRAIT</w:t>
            </w:r>
            <w:r w:rsidR="00096BD9" w:rsidRPr="00C1697B">
              <w:rPr>
                <w:b/>
                <w:szCs w:val="24"/>
                <w:lang w:val="fr-CA"/>
              </w:rPr>
              <w:t xml:space="preserve"> D’INTERVENTION DÉPOSÉS DEPUIS LA DERNIÈRE PARUTION</w:t>
            </w:r>
          </w:p>
        </w:tc>
      </w:tr>
    </w:tbl>
    <w:p w:rsidR="00096BD9" w:rsidRPr="00C50A5C" w:rsidRDefault="00096BD9" w:rsidP="00096BD9">
      <w:pPr>
        <w:rPr>
          <w:sz w:val="20"/>
          <w:szCs w:val="20"/>
          <w:lang w:val="fr-CA"/>
        </w:rPr>
      </w:pPr>
    </w:p>
    <w:p w:rsidR="00096BD9" w:rsidRPr="00C50A5C" w:rsidRDefault="00FB170A" w:rsidP="00096BD9">
      <w:pPr>
        <w:rPr>
          <w:sz w:val="20"/>
          <w:szCs w:val="20"/>
        </w:rPr>
      </w:pPr>
      <w:r>
        <w:rPr>
          <w:sz w:val="20"/>
          <w:szCs w:val="20"/>
        </w:rPr>
        <w:t>04</w:t>
      </w:r>
      <w:r w:rsidR="00096BD9" w:rsidRPr="00C50A5C">
        <w:rPr>
          <w:sz w:val="20"/>
          <w:szCs w:val="20"/>
        </w:rPr>
        <w:t>.0</w:t>
      </w:r>
      <w:r>
        <w:rPr>
          <w:sz w:val="20"/>
          <w:szCs w:val="20"/>
        </w:rPr>
        <w:t>4</w:t>
      </w:r>
      <w:r w:rsidR="00096BD9" w:rsidRPr="00C50A5C">
        <w:rPr>
          <w:sz w:val="20"/>
          <w:szCs w:val="20"/>
        </w:rPr>
        <w:t>.20</w:t>
      </w:r>
      <w:r>
        <w:rPr>
          <w:sz w:val="20"/>
          <w:szCs w:val="20"/>
        </w:rPr>
        <w:t>12</w:t>
      </w:r>
    </w:p>
    <w:p w:rsidR="00096BD9" w:rsidRPr="00C50A5C" w:rsidRDefault="00096BD9" w:rsidP="00096BD9">
      <w:pPr>
        <w:rPr>
          <w:sz w:val="20"/>
          <w:szCs w:val="20"/>
        </w:rPr>
      </w:pPr>
    </w:p>
    <w:p w:rsidR="00096BD9" w:rsidRPr="00C50A5C" w:rsidRDefault="00096BD9" w:rsidP="00096BD9">
      <w:pPr>
        <w:rPr>
          <w:sz w:val="20"/>
          <w:szCs w:val="20"/>
        </w:rPr>
      </w:pPr>
      <w:r w:rsidRPr="00C50A5C">
        <w:rPr>
          <w:sz w:val="20"/>
          <w:szCs w:val="20"/>
        </w:rPr>
        <w:t>BY / PAR:</w:t>
      </w:r>
      <w:r w:rsidRPr="00C50A5C">
        <w:rPr>
          <w:sz w:val="20"/>
          <w:szCs w:val="20"/>
        </w:rPr>
        <w:tab/>
      </w:r>
      <w:r w:rsidR="00FB170A">
        <w:rPr>
          <w:sz w:val="20"/>
          <w:szCs w:val="20"/>
        </w:rPr>
        <w:t>Mandeep Kumar Ranga</w:t>
      </w:r>
    </w:p>
    <w:p w:rsidR="00096BD9" w:rsidRPr="00C50A5C" w:rsidRDefault="00096BD9" w:rsidP="00096BD9">
      <w:pPr>
        <w:rPr>
          <w:sz w:val="20"/>
          <w:szCs w:val="20"/>
        </w:rPr>
      </w:pPr>
    </w:p>
    <w:p w:rsidR="00096BD9" w:rsidRPr="00FB170A" w:rsidRDefault="00096BD9" w:rsidP="00096BD9">
      <w:pPr>
        <w:rPr>
          <w:b/>
          <w:sz w:val="20"/>
          <w:szCs w:val="20"/>
        </w:rPr>
      </w:pPr>
      <w:r w:rsidRPr="00FB170A">
        <w:rPr>
          <w:sz w:val="20"/>
          <w:szCs w:val="20"/>
        </w:rPr>
        <w:t>IN / DANS:</w:t>
      </w:r>
      <w:r w:rsidRPr="00FB170A">
        <w:rPr>
          <w:sz w:val="20"/>
          <w:szCs w:val="20"/>
        </w:rPr>
        <w:tab/>
      </w:r>
      <w:r w:rsidR="00FB170A" w:rsidRPr="00FB170A">
        <w:rPr>
          <w:b/>
          <w:sz w:val="20"/>
          <w:szCs w:val="20"/>
        </w:rPr>
        <w:t>M</w:t>
      </w:r>
      <w:r w:rsidRPr="00FB170A">
        <w:rPr>
          <w:b/>
          <w:sz w:val="20"/>
          <w:szCs w:val="20"/>
        </w:rPr>
        <w:t>an</w:t>
      </w:r>
      <w:r w:rsidR="00FB170A" w:rsidRPr="00FB170A">
        <w:rPr>
          <w:b/>
          <w:sz w:val="20"/>
          <w:szCs w:val="20"/>
        </w:rPr>
        <w:t>deep Kumar Ranga</w:t>
      </w:r>
    </w:p>
    <w:p w:rsidR="00096BD9" w:rsidRPr="00FB170A" w:rsidRDefault="00096BD9" w:rsidP="00096BD9">
      <w:pPr>
        <w:rPr>
          <w:b/>
          <w:sz w:val="20"/>
          <w:szCs w:val="20"/>
        </w:rPr>
      </w:pPr>
    </w:p>
    <w:p w:rsidR="00096BD9" w:rsidRPr="00C50A5C" w:rsidRDefault="00096BD9" w:rsidP="00096BD9">
      <w:pPr>
        <w:rPr>
          <w:b/>
          <w:sz w:val="20"/>
          <w:szCs w:val="20"/>
        </w:rPr>
      </w:pPr>
      <w:r w:rsidRPr="00FB170A">
        <w:rPr>
          <w:b/>
          <w:sz w:val="20"/>
          <w:szCs w:val="20"/>
        </w:rPr>
        <w:tab/>
      </w:r>
      <w:r w:rsidRPr="00FB170A">
        <w:rPr>
          <w:b/>
          <w:sz w:val="20"/>
          <w:szCs w:val="20"/>
        </w:rPr>
        <w:tab/>
      </w:r>
      <w:r w:rsidRPr="00FB170A">
        <w:rPr>
          <w:b/>
          <w:sz w:val="20"/>
          <w:szCs w:val="20"/>
        </w:rPr>
        <w:tab/>
      </w:r>
      <w:r w:rsidRPr="00C50A5C">
        <w:rPr>
          <w:b/>
          <w:sz w:val="20"/>
          <w:szCs w:val="20"/>
        </w:rPr>
        <w:t>v. (3</w:t>
      </w:r>
      <w:r w:rsidR="00FB170A">
        <w:rPr>
          <w:b/>
          <w:sz w:val="20"/>
          <w:szCs w:val="20"/>
        </w:rPr>
        <w:t>4</w:t>
      </w:r>
      <w:r w:rsidRPr="00C50A5C">
        <w:rPr>
          <w:b/>
          <w:sz w:val="20"/>
          <w:szCs w:val="20"/>
        </w:rPr>
        <w:t>6</w:t>
      </w:r>
      <w:r w:rsidR="00FB170A">
        <w:rPr>
          <w:b/>
          <w:sz w:val="20"/>
          <w:szCs w:val="20"/>
        </w:rPr>
        <w:t>9</w:t>
      </w:r>
      <w:r w:rsidRPr="00C50A5C">
        <w:rPr>
          <w:b/>
          <w:sz w:val="20"/>
          <w:szCs w:val="20"/>
        </w:rPr>
        <w:t>1)</w:t>
      </w:r>
    </w:p>
    <w:p w:rsidR="00096BD9" w:rsidRPr="00C50A5C" w:rsidRDefault="00096BD9" w:rsidP="00096BD9">
      <w:pPr>
        <w:rPr>
          <w:b/>
          <w:sz w:val="20"/>
          <w:szCs w:val="20"/>
        </w:rPr>
      </w:pPr>
    </w:p>
    <w:p w:rsidR="00096BD9" w:rsidRDefault="00096BD9" w:rsidP="00096BD9">
      <w:pPr>
        <w:rPr>
          <w:b/>
          <w:sz w:val="20"/>
          <w:szCs w:val="20"/>
        </w:rPr>
      </w:pPr>
      <w:r w:rsidRPr="00C50A5C">
        <w:rPr>
          <w:b/>
          <w:sz w:val="20"/>
          <w:szCs w:val="20"/>
        </w:rPr>
        <w:tab/>
      </w:r>
      <w:r w:rsidRPr="00C50A5C">
        <w:rPr>
          <w:b/>
          <w:sz w:val="20"/>
          <w:szCs w:val="20"/>
        </w:rPr>
        <w:tab/>
      </w:r>
      <w:r w:rsidR="00FB170A">
        <w:rPr>
          <w:b/>
          <w:sz w:val="20"/>
          <w:szCs w:val="20"/>
        </w:rPr>
        <w:t>Atto</w:t>
      </w:r>
      <w:r w:rsidRPr="00C50A5C">
        <w:rPr>
          <w:b/>
          <w:sz w:val="20"/>
          <w:szCs w:val="20"/>
        </w:rPr>
        <w:t>r</w:t>
      </w:r>
      <w:r w:rsidR="00FB170A">
        <w:rPr>
          <w:b/>
          <w:sz w:val="20"/>
          <w:szCs w:val="20"/>
        </w:rPr>
        <w:t>n</w:t>
      </w:r>
      <w:r w:rsidRPr="00C50A5C">
        <w:rPr>
          <w:b/>
          <w:sz w:val="20"/>
          <w:szCs w:val="20"/>
        </w:rPr>
        <w:t>ey</w:t>
      </w:r>
      <w:r w:rsidR="00FB170A">
        <w:rPr>
          <w:b/>
          <w:sz w:val="20"/>
          <w:szCs w:val="20"/>
        </w:rPr>
        <w:t xml:space="preserve"> General of Canada on B</w:t>
      </w:r>
      <w:r w:rsidRPr="00C50A5C">
        <w:rPr>
          <w:b/>
          <w:sz w:val="20"/>
          <w:szCs w:val="20"/>
        </w:rPr>
        <w:t>e</w:t>
      </w:r>
      <w:r w:rsidR="00FB170A">
        <w:rPr>
          <w:b/>
          <w:sz w:val="20"/>
          <w:szCs w:val="20"/>
        </w:rPr>
        <w:t>half of the U</w:t>
      </w:r>
      <w:r w:rsidRPr="00C50A5C">
        <w:rPr>
          <w:b/>
          <w:sz w:val="20"/>
          <w:szCs w:val="20"/>
        </w:rPr>
        <w:t>n</w:t>
      </w:r>
      <w:r w:rsidR="00FB170A">
        <w:rPr>
          <w:b/>
          <w:sz w:val="20"/>
          <w:szCs w:val="20"/>
        </w:rPr>
        <w:t>ited States of America</w:t>
      </w:r>
      <w:r w:rsidRPr="00C50A5C">
        <w:rPr>
          <w:b/>
          <w:sz w:val="20"/>
          <w:szCs w:val="20"/>
        </w:rPr>
        <w:t xml:space="preserve"> (</w:t>
      </w:r>
      <w:r w:rsidR="00FB170A">
        <w:rPr>
          <w:b/>
          <w:sz w:val="20"/>
          <w:szCs w:val="20"/>
        </w:rPr>
        <w:t>B</w:t>
      </w:r>
      <w:r w:rsidRPr="00C50A5C">
        <w:rPr>
          <w:b/>
          <w:sz w:val="20"/>
          <w:szCs w:val="20"/>
        </w:rPr>
        <w:t>.</w:t>
      </w:r>
      <w:r w:rsidR="00FB170A">
        <w:rPr>
          <w:b/>
          <w:sz w:val="20"/>
          <w:szCs w:val="20"/>
        </w:rPr>
        <w:t>C.</w:t>
      </w:r>
      <w:r w:rsidRPr="00C50A5C">
        <w:rPr>
          <w:b/>
          <w:sz w:val="20"/>
          <w:szCs w:val="20"/>
        </w:rPr>
        <w:t xml:space="preserve">) </w:t>
      </w:r>
    </w:p>
    <w:p w:rsidR="003B3977" w:rsidRPr="003B3977" w:rsidRDefault="003B3977" w:rsidP="00096BD9">
      <w:pPr>
        <w:rPr>
          <w:sz w:val="20"/>
          <w:szCs w:val="20"/>
        </w:rPr>
      </w:pPr>
    </w:p>
    <w:p w:rsidR="00096BD9" w:rsidRPr="00C50A5C" w:rsidRDefault="00A3677B" w:rsidP="00096BD9">
      <w:pPr>
        <w:rPr>
          <w:b/>
          <w:sz w:val="20"/>
          <w:szCs w:val="20"/>
        </w:rPr>
      </w:pPr>
      <w:r w:rsidRPr="00A3677B">
        <w:rPr>
          <w:b/>
          <w:sz w:val="20"/>
          <w:szCs w:val="20"/>
        </w:rPr>
        <w:pict>
          <v:rect id="_x0000_i1048" style="width:2in;height:1pt" o:hrpct="0" o:hralign="center" o:hrstd="t" o:hrnoshade="t" o:hr="t" fillcolor="black [3213]" stroked="f"/>
        </w:pict>
      </w:r>
    </w:p>
    <w:p w:rsidR="00096BD9" w:rsidRPr="00C50A5C" w:rsidRDefault="00096BD9" w:rsidP="00096BD9">
      <w:pPr>
        <w:rPr>
          <w:b/>
          <w:sz w:val="20"/>
          <w:szCs w:val="20"/>
        </w:rPr>
      </w:pPr>
    </w:p>
    <w:p w:rsidR="00802863" w:rsidRPr="00C50A5C" w:rsidRDefault="00802863" w:rsidP="00831CA9">
      <w:pPr>
        <w:jc w:val="both"/>
        <w:rPr>
          <w:sz w:val="20"/>
          <w:szCs w:val="20"/>
        </w:rPr>
        <w:sectPr w:rsidR="00802863" w:rsidRPr="00C50A5C" w:rsidSect="00096BD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6B3AEE"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027A88" w:rsidRDefault="00027A88" w:rsidP="00C1697B">
            <w:pPr>
              <w:rPr>
                <w:sz w:val="20"/>
                <w:szCs w:val="20"/>
                <w:lang w:val="fr-CA"/>
              </w:rPr>
            </w:pPr>
            <w:r w:rsidRPr="00027A88">
              <w:rPr>
                <w:sz w:val="20"/>
                <w:szCs w:val="20"/>
                <w:lang w:val="fr-CA"/>
              </w:rPr>
              <w:t>2</w:t>
            </w:r>
            <w:r w:rsidR="00C1697B" w:rsidRPr="00027A88">
              <w:rPr>
                <w:sz w:val="20"/>
                <w:szCs w:val="20"/>
                <w:lang w:val="fr-CA"/>
              </w:rPr>
              <w:t>7.0</w:t>
            </w:r>
            <w:r w:rsidRPr="00027A88">
              <w:rPr>
                <w:sz w:val="20"/>
                <w:szCs w:val="20"/>
                <w:lang w:val="fr-CA"/>
              </w:rPr>
              <w:t>3</w:t>
            </w:r>
            <w:r w:rsidR="00C1697B" w:rsidRPr="00027A88">
              <w:rPr>
                <w:sz w:val="20"/>
                <w:szCs w:val="20"/>
                <w:lang w:val="fr-CA"/>
              </w:rPr>
              <w:t>.201</w:t>
            </w:r>
            <w:r w:rsidRPr="00027A88">
              <w:rPr>
                <w:sz w:val="20"/>
                <w:szCs w:val="20"/>
                <w:lang w:val="fr-CA"/>
              </w:rPr>
              <w:t>2</w:t>
            </w:r>
          </w:p>
          <w:p w:rsidR="00C1697B" w:rsidRPr="00027A88" w:rsidRDefault="00C1697B" w:rsidP="00C1697B">
            <w:pPr>
              <w:rPr>
                <w:sz w:val="20"/>
                <w:szCs w:val="20"/>
                <w:lang w:val="fr-CA"/>
              </w:rPr>
            </w:pPr>
          </w:p>
          <w:p w:rsidR="00C1697B" w:rsidRPr="00027A88" w:rsidRDefault="00027A88" w:rsidP="00C1697B">
            <w:pPr>
              <w:rPr>
                <w:b/>
                <w:sz w:val="20"/>
                <w:szCs w:val="20"/>
                <w:lang w:val="fr-CA"/>
              </w:rPr>
            </w:pPr>
            <w:r w:rsidRPr="00027A88">
              <w:rPr>
                <w:b/>
                <w:sz w:val="20"/>
                <w:szCs w:val="20"/>
                <w:lang w:val="fr-CA"/>
              </w:rPr>
              <w:t xml:space="preserve">Jean </w:t>
            </w:r>
            <w:r w:rsidR="00C1697B" w:rsidRPr="00027A88">
              <w:rPr>
                <w:b/>
                <w:sz w:val="20"/>
                <w:szCs w:val="20"/>
                <w:lang w:val="fr-CA"/>
              </w:rPr>
              <w:t>V</w:t>
            </w:r>
            <w:r w:rsidRPr="00027A88">
              <w:rPr>
                <w:b/>
                <w:sz w:val="20"/>
                <w:szCs w:val="20"/>
                <w:lang w:val="fr-CA"/>
              </w:rPr>
              <w:t>a</w:t>
            </w:r>
            <w:r w:rsidR="00C1697B" w:rsidRPr="00027A88">
              <w:rPr>
                <w:b/>
                <w:sz w:val="20"/>
                <w:szCs w:val="20"/>
                <w:lang w:val="fr-CA"/>
              </w:rPr>
              <w:t>n</w:t>
            </w:r>
            <w:r w:rsidRPr="00027A88">
              <w:rPr>
                <w:b/>
                <w:sz w:val="20"/>
                <w:szCs w:val="20"/>
                <w:lang w:val="fr-CA"/>
              </w:rPr>
              <w:t>dal</w:t>
            </w:r>
          </w:p>
          <w:p w:rsidR="00C1697B" w:rsidRPr="00027A88" w:rsidRDefault="00C1697B" w:rsidP="00C1697B">
            <w:pPr>
              <w:rPr>
                <w:b/>
                <w:sz w:val="20"/>
                <w:szCs w:val="20"/>
                <w:lang w:val="fr-CA"/>
              </w:rPr>
            </w:pPr>
          </w:p>
          <w:p w:rsidR="00C1697B" w:rsidRPr="00027A88" w:rsidRDefault="00C1697B" w:rsidP="00C1697B">
            <w:pPr>
              <w:rPr>
                <w:b/>
                <w:sz w:val="20"/>
                <w:szCs w:val="20"/>
                <w:lang w:val="fr-CA"/>
              </w:rPr>
            </w:pPr>
            <w:r w:rsidRPr="00027A88">
              <w:rPr>
                <w:b/>
                <w:sz w:val="20"/>
                <w:szCs w:val="20"/>
                <w:lang w:val="fr-CA"/>
              </w:rPr>
              <w:tab/>
            </w:r>
            <w:r w:rsidR="00027A88" w:rsidRPr="00027A88">
              <w:rPr>
                <w:b/>
                <w:sz w:val="20"/>
                <w:szCs w:val="20"/>
                <w:lang w:val="fr-CA"/>
              </w:rPr>
              <w:t>c</w:t>
            </w:r>
            <w:r w:rsidRPr="00027A88">
              <w:rPr>
                <w:b/>
                <w:sz w:val="20"/>
                <w:szCs w:val="20"/>
                <w:lang w:val="fr-CA"/>
              </w:rPr>
              <w:t>. (</w:t>
            </w:r>
            <w:r w:rsidR="00027A88" w:rsidRPr="00027A88">
              <w:rPr>
                <w:b/>
                <w:sz w:val="20"/>
                <w:szCs w:val="20"/>
                <w:lang w:val="fr-CA"/>
              </w:rPr>
              <w:t>34588</w:t>
            </w:r>
            <w:r w:rsidRPr="00027A88">
              <w:rPr>
                <w:b/>
                <w:sz w:val="20"/>
                <w:szCs w:val="20"/>
                <w:lang w:val="fr-CA"/>
              </w:rPr>
              <w:t>)</w:t>
            </w:r>
          </w:p>
          <w:p w:rsidR="00C1697B" w:rsidRPr="00027A88" w:rsidRDefault="00C1697B" w:rsidP="00C1697B">
            <w:pPr>
              <w:rPr>
                <w:b/>
                <w:sz w:val="20"/>
                <w:szCs w:val="20"/>
                <w:lang w:val="fr-CA"/>
              </w:rPr>
            </w:pPr>
          </w:p>
          <w:p w:rsidR="00C1697B" w:rsidRPr="00027A88" w:rsidRDefault="00027A88" w:rsidP="00C1697B">
            <w:pPr>
              <w:rPr>
                <w:b/>
                <w:sz w:val="20"/>
                <w:szCs w:val="20"/>
                <w:lang w:val="fr-CA"/>
              </w:rPr>
            </w:pPr>
            <w:r w:rsidRPr="00027A88">
              <w:rPr>
                <w:b/>
                <w:sz w:val="20"/>
                <w:szCs w:val="20"/>
                <w:lang w:val="fr-CA"/>
              </w:rPr>
              <w:t xml:space="preserve">Emilie Pigeon et autres </w:t>
            </w:r>
            <w:r w:rsidR="00C1697B" w:rsidRPr="00027A88">
              <w:rPr>
                <w:b/>
                <w:sz w:val="20"/>
                <w:szCs w:val="20"/>
                <w:lang w:val="fr-CA"/>
              </w:rPr>
              <w:t>(</w:t>
            </w:r>
            <w:r w:rsidRPr="00027A88">
              <w:rPr>
                <w:b/>
                <w:sz w:val="20"/>
                <w:szCs w:val="20"/>
                <w:lang w:val="fr-CA"/>
              </w:rPr>
              <w:t>Qc</w:t>
            </w:r>
            <w:r w:rsidR="00C1697B" w:rsidRPr="00027A88">
              <w:rPr>
                <w:b/>
                <w:sz w:val="20"/>
                <w:szCs w:val="20"/>
                <w:lang w:val="fr-CA"/>
              </w:rPr>
              <w:t xml:space="preserve">) </w:t>
            </w:r>
          </w:p>
          <w:p w:rsidR="00C1697B" w:rsidRPr="00027A88" w:rsidRDefault="00C1697B" w:rsidP="00C1697B">
            <w:pPr>
              <w:rPr>
                <w:sz w:val="20"/>
                <w:szCs w:val="20"/>
                <w:lang w:val="fr-CA"/>
              </w:rPr>
            </w:pPr>
          </w:p>
          <w:p w:rsidR="00C1697B" w:rsidRPr="00C50A5C" w:rsidRDefault="00C1697B" w:rsidP="00C1697B">
            <w:pPr>
              <w:rPr>
                <w:sz w:val="20"/>
                <w:szCs w:val="20"/>
              </w:rPr>
            </w:pPr>
            <w:r w:rsidRPr="00C50A5C">
              <w:rPr>
                <w:sz w:val="20"/>
                <w:szCs w:val="20"/>
              </w:rPr>
              <w:t>(</w:t>
            </w:r>
            <w:r w:rsidR="00027A88">
              <w:rPr>
                <w:sz w:val="20"/>
                <w:szCs w:val="20"/>
              </w:rPr>
              <w:t>Autorisation</w:t>
            </w:r>
            <w:r w:rsidRPr="00C50A5C">
              <w:rPr>
                <w:sz w:val="20"/>
                <w:szCs w:val="20"/>
              </w:rPr>
              <w:t>)</w:t>
            </w:r>
          </w:p>
          <w:p w:rsidR="00802863" w:rsidRPr="00C50A5C" w:rsidRDefault="00802863" w:rsidP="00697C62">
            <w:pPr>
              <w:rPr>
                <w:sz w:val="20"/>
                <w:szCs w:val="20"/>
              </w:rPr>
            </w:pPr>
          </w:p>
          <w:p w:rsidR="00802863" w:rsidRPr="00C50A5C" w:rsidRDefault="00A3677B" w:rsidP="00697C62">
            <w:pPr>
              <w:rPr>
                <w:sz w:val="20"/>
                <w:szCs w:val="20"/>
                <w:lang w:val="fr-CA"/>
              </w:rPr>
            </w:pPr>
            <w:r w:rsidRPr="00A3677B">
              <w:rPr>
                <w:sz w:val="20"/>
                <w:szCs w:val="20"/>
                <w:lang w:val="fr-CA"/>
              </w:rPr>
              <w:pict>
                <v:rect id="_x0000_i1051"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027A88" w:rsidRDefault="00027A88" w:rsidP="00802863">
            <w:pPr>
              <w:jc w:val="center"/>
              <w:rPr>
                <w:sz w:val="20"/>
                <w:szCs w:val="20"/>
                <w:lang w:val="fr-CA"/>
              </w:rPr>
            </w:pPr>
          </w:p>
          <w:p w:rsidR="00027A88" w:rsidRDefault="00027A88" w:rsidP="00802863">
            <w:pPr>
              <w:jc w:val="center"/>
              <w:rPr>
                <w:sz w:val="20"/>
                <w:szCs w:val="20"/>
                <w:lang w:val="fr-CA"/>
              </w:rPr>
            </w:pPr>
          </w:p>
          <w:p w:rsidR="00027A88" w:rsidRDefault="00027A88" w:rsidP="00802863">
            <w:pPr>
              <w:jc w:val="center"/>
              <w:rPr>
                <w:sz w:val="20"/>
                <w:szCs w:val="20"/>
                <w:lang w:val="fr-CA"/>
              </w:rPr>
            </w:pPr>
          </w:p>
          <w:p w:rsidR="00027A88" w:rsidRDefault="00027A88"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C1697B" w:rsidRPr="00C50A5C" w:rsidRDefault="00027A88" w:rsidP="00C1697B">
            <w:pPr>
              <w:rPr>
                <w:sz w:val="20"/>
                <w:szCs w:val="20"/>
              </w:rPr>
            </w:pPr>
            <w:r>
              <w:rPr>
                <w:sz w:val="20"/>
                <w:szCs w:val="20"/>
              </w:rPr>
              <w:t>05</w:t>
            </w:r>
            <w:r w:rsidR="00C1697B" w:rsidRPr="00C50A5C">
              <w:rPr>
                <w:sz w:val="20"/>
                <w:szCs w:val="20"/>
              </w:rPr>
              <w:t>.0</w:t>
            </w:r>
            <w:r w:rsidR="00DB6088">
              <w:rPr>
                <w:sz w:val="20"/>
                <w:szCs w:val="20"/>
              </w:rPr>
              <w:t>4</w:t>
            </w:r>
            <w:r w:rsidR="00C1697B" w:rsidRPr="00C50A5C">
              <w:rPr>
                <w:sz w:val="20"/>
                <w:szCs w:val="20"/>
              </w:rPr>
              <w:t>.201</w:t>
            </w:r>
            <w:r>
              <w:rPr>
                <w:sz w:val="20"/>
                <w:szCs w:val="20"/>
              </w:rPr>
              <w:t>2</w:t>
            </w:r>
          </w:p>
          <w:p w:rsidR="00C1697B" w:rsidRPr="00C50A5C" w:rsidRDefault="00C1697B" w:rsidP="00C1697B">
            <w:pPr>
              <w:rPr>
                <w:sz w:val="20"/>
                <w:szCs w:val="20"/>
              </w:rPr>
            </w:pPr>
          </w:p>
          <w:p w:rsidR="00C1697B" w:rsidRPr="00C1697B" w:rsidRDefault="00027A88" w:rsidP="00C1697B">
            <w:pPr>
              <w:rPr>
                <w:b/>
                <w:sz w:val="20"/>
                <w:szCs w:val="20"/>
              </w:rPr>
            </w:pPr>
            <w:r>
              <w:rPr>
                <w:b/>
                <w:sz w:val="20"/>
                <w:szCs w:val="20"/>
              </w:rPr>
              <w:t>In the Matter of a Reference to the Court of Appeal of Alberta by the Lieutenant Governor in Council pursuant to O.C. 20/2010 dated January 26, 2010 and O.C. 181/2101 dated June 9, 2010</w:t>
            </w:r>
          </w:p>
          <w:p w:rsidR="00C1697B" w:rsidRDefault="00C1697B" w:rsidP="00C1697B">
            <w:pPr>
              <w:rPr>
                <w:b/>
                <w:sz w:val="20"/>
                <w:szCs w:val="20"/>
              </w:rPr>
            </w:pPr>
          </w:p>
          <w:p w:rsidR="00C1697B" w:rsidRPr="00C1697B" w:rsidRDefault="00027A88" w:rsidP="00C1697B">
            <w:pPr>
              <w:rPr>
                <w:b/>
                <w:sz w:val="20"/>
                <w:szCs w:val="20"/>
              </w:rPr>
            </w:pPr>
            <w:r>
              <w:rPr>
                <w:b/>
                <w:sz w:val="20"/>
                <w:szCs w:val="20"/>
              </w:rPr>
              <w:t xml:space="preserve">And in the Matter of sections 295, 296 and 297 of the </w:t>
            </w:r>
            <w:r w:rsidRPr="00027A88">
              <w:rPr>
                <w:b/>
                <w:i/>
                <w:sz w:val="20"/>
                <w:szCs w:val="20"/>
              </w:rPr>
              <w:t>Budget Implementation Act</w:t>
            </w:r>
            <w:r>
              <w:rPr>
                <w:b/>
                <w:sz w:val="20"/>
                <w:szCs w:val="20"/>
              </w:rPr>
              <w:t xml:space="preserve">, 2009, S.C. 2009, c. 2, and the Final Report and Recommendations of the Expert Panel on Securities Regulation (Alta.) </w:t>
            </w:r>
            <w:r w:rsidR="00C1697B" w:rsidRPr="00C1697B">
              <w:rPr>
                <w:b/>
                <w:sz w:val="20"/>
                <w:szCs w:val="20"/>
              </w:rPr>
              <w:t>(3</w:t>
            </w:r>
            <w:r>
              <w:rPr>
                <w:b/>
                <w:sz w:val="20"/>
                <w:szCs w:val="20"/>
              </w:rPr>
              <w:t>41</w:t>
            </w:r>
            <w:r w:rsidR="00C1697B" w:rsidRPr="00C1697B">
              <w:rPr>
                <w:b/>
                <w:sz w:val="20"/>
                <w:szCs w:val="20"/>
              </w:rPr>
              <w:t>9</w:t>
            </w:r>
            <w:r>
              <w:rPr>
                <w:b/>
                <w:sz w:val="20"/>
                <w:szCs w:val="20"/>
              </w:rPr>
              <w:t>2</w:t>
            </w:r>
            <w:r w:rsidR="00C1697B" w:rsidRPr="00C1697B">
              <w:rPr>
                <w:b/>
                <w:sz w:val="20"/>
                <w:szCs w:val="20"/>
              </w:rPr>
              <w:t>)</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w:t>
            </w:r>
            <w:r w:rsidR="00027A88">
              <w:rPr>
                <w:sz w:val="20"/>
                <w:szCs w:val="20"/>
              </w:rPr>
              <w:t xml:space="preserve">As of Right/S. 36 </w:t>
            </w:r>
            <w:r w:rsidR="00027A88" w:rsidRPr="00027A88">
              <w:rPr>
                <w:i/>
                <w:sz w:val="20"/>
                <w:szCs w:val="20"/>
              </w:rPr>
              <w:t>Supreme Court Act</w:t>
            </w:r>
            <w:r w:rsidRPr="00C50A5C">
              <w:rPr>
                <w:sz w:val="20"/>
                <w:szCs w:val="20"/>
              </w:rPr>
              <w:t>)</w:t>
            </w:r>
          </w:p>
          <w:p w:rsidR="00802863" w:rsidRPr="00C50A5C" w:rsidRDefault="00802863" w:rsidP="00802863">
            <w:pPr>
              <w:rPr>
                <w:sz w:val="20"/>
                <w:szCs w:val="20"/>
              </w:rPr>
            </w:pPr>
          </w:p>
          <w:p w:rsidR="00802863" w:rsidRPr="00027A88" w:rsidRDefault="00A3677B" w:rsidP="00802863">
            <w:pPr>
              <w:rPr>
                <w:sz w:val="20"/>
                <w:szCs w:val="20"/>
              </w:rPr>
            </w:pPr>
            <w:r w:rsidRPr="00A3677B">
              <w:rPr>
                <w:sz w:val="20"/>
                <w:szCs w:val="20"/>
                <w:lang w:val="fr-CA"/>
              </w:rPr>
              <w:pict>
                <v:rect id="_x0000_i1052" style="width:108pt;height:1pt" o:hrpct="0" o:hralign="center" o:hrstd="t" o:hrnoshade="t" o:hr="t" fillcolor="black [3213]" stroked="f"/>
              </w:pict>
            </w:r>
          </w:p>
        </w:tc>
      </w:tr>
    </w:tbl>
    <w:p w:rsidR="00802863" w:rsidRPr="00027A88" w:rsidRDefault="00802863" w:rsidP="00802863">
      <w:pPr>
        <w:rPr>
          <w:sz w:val="20"/>
          <w:szCs w:val="20"/>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6B3AE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5F3456" w:rsidP="00732DB7">
      <w:pPr>
        <w:widowControl w:val="0"/>
        <w:rPr>
          <w:sz w:val="20"/>
          <w:szCs w:val="20"/>
        </w:rPr>
      </w:pPr>
      <w:r>
        <w:rPr>
          <w:sz w:val="20"/>
          <w:szCs w:val="20"/>
        </w:rPr>
        <w:t>13</w:t>
      </w:r>
      <w:r w:rsidR="00732DB7" w:rsidRPr="00C50A5C">
        <w:rPr>
          <w:sz w:val="20"/>
          <w:szCs w:val="20"/>
        </w:rPr>
        <w:t>.0</w:t>
      </w:r>
      <w:r>
        <w:rPr>
          <w:sz w:val="20"/>
          <w:szCs w:val="20"/>
        </w:rPr>
        <w:t>4</w:t>
      </w:r>
      <w:r w:rsidR="00732DB7" w:rsidRPr="00C50A5C">
        <w:rPr>
          <w:sz w:val="20"/>
          <w:szCs w:val="20"/>
        </w:rPr>
        <w:t>.201</w:t>
      </w:r>
      <w:r>
        <w:rPr>
          <w:sz w:val="20"/>
          <w:szCs w:val="20"/>
        </w:rPr>
        <w:t>2</w:t>
      </w:r>
    </w:p>
    <w:p w:rsidR="00732DB7" w:rsidRDefault="00732DB7" w:rsidP="00732DB7">
      <w:pPr>
        <w:widowControl w:val="0"/>
        <w:rPr>
          <w:sz w:val="20"/>
          <w:szCs w:val="20"/>
        </w:rPr>
      </w:pPr>
    </w:p>
    <w:p w:rsidR="002A1D6D" w:rsidRPr="0007283E" w:rsidRDefault="002A1D6D" w:rsidP="002A1D6D">
      <w:pPr>
        <w:widowControl w:val="0"/>
        <w:ind w:left="720" w:hanging="720"/>
        <w:rPr>
          <w:rFonts w:eastAsia="Calibri" w:cs="Times New Roman"/>
          <w:sz w:val="20"/>
          <w:szCs w:val="20"/>
          <w:u w:val="single"/>
        </w:rPr>
      </w:pPr>
      <w:r w:rsidRPr="0007283E">
        <w:rPr>
          <w:rFonts w:eastAsia="Calibri" w:cs="Times New Roman"/>
          <w:sz w:val="20"/>
          <w:szCs w:val="20"/>
        </w:rPr>
        <w:t xml:space="preserve">Coram: </w:t>
      </w:r>
      <w:r w:rsidRPr="0007283E">
        <w:rPr>
          <w:rFonts w:eastAsia="Calibri" w:cs="Times New Roman"/>
          <w:sz w:val="20"/>
          <w:szCs w:val="20"/>
        </w:rPr>
        <w:tab/>
      </w:r>
      <w:r w:rsidRPr="0007283E">
        <w:rPr>
          <w:rFonts w:eastAsia="Calibri" w:cs="Times New Roman"/>
          <w:sz w:val="20"/>
          <w:szCs w:val="20"/>
          <w:u w:val="single"/>
        </w:rPr>
        <w:t>McLachlin C.J. and Deschamps, Fish, Rothstein, Cromwell, Moldaver and Karakatsanis JJ.</w:t>
      </w:r>
    </w:p>
    <w:p w:rsidR="005F3456" w:rsidRDefault="005F3456"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2A1D6D" w:rsidRDefault="002A1D6D" w:rsidP="002A1D6D">
            <w:pPr>
              <w:jc w:val="both"/>
              <w:rPr>
                <w:rStyle w:val="SCCSsocChar"/>
                <w:b/>
                <w:i w:val="0"/>
              </w:rPr>
            </w:pPr>
            <w:r w:rsidRPr="0007283E">
              <w:rPr>
                <w:rStyle w:val="SCCSsocChar"/>
                <w:b/>
                <w:i w:val="0"/>
              </w:rPr>
              <w:t xml:space="preserve">Adrian John Walle </w:t>
            </w:r>
          </w:p>
          <w:p w:rsidR="002A1D6D" w:rsidRDefault="002A1D6D" w:rsidP="002A1D6D">
            <w:pPr>
              <w:jc w:val="both"/>
              <w:rPr>
                <w:rStyle w:val="SCCSsocChar"/>
                <w:b/>
                <w:i w:val="0"/>
              </w:rPr>
            </w:pPr>
          </w:p>
          <w:p w:rsidR="002A1D6D" w:rsidRDefault="002A1D6D" w:rsidP="002A1D6D">
            <w:pPr>
              <w:jc w:val="both"/>
              <w:rPr>
                <w:rStyle w:val="SCCSsocChar"/>
                <w:b/>
                <w:i w:val="0"/>
              </w:rPr>
            </w:pPr>
            <w:r>
              <w:rPr>
                <w:rStyle w:val="SCCSsocChar"/>
                <w:b/>
                <w:i w:val="0"/>
              </w:rPr>
              <w:tab/>
            </w:r>
            <w:r w:rsidRPr="0007283E">
              <w:rPr>
                <w:rStyle w:val="SCCSsocChar"/>
                <w:b/>
                <w:i w:val="0"/>
              </w:rPr>
              <w:t xml:space="preserve">v. </w:t>
            </w:r>
            <w:r w:rsidRPr="0007283E">
              <w:rPr>
                <w:rFonts w:eastAsia="Calibri" w:cs="Times New Roman"/>
                <w:b/>
                <w:sz w:val="20"/>
                <w:szCs w:val="20"/>
              </w:rPr>
              <w:t>(34080)</w:t>
            </w:r>
          </w:p>
          <w:p w:rsidR="002A1D6D" w:rsidRDefault="002A1D6D" w:rsidP="002A1D6D">
            <w:pPr>
              <w:jc w:val="both"/>
              <w:rPr>
                <w:rStyle w:val="SCCSsocChar"/>
                <w:b/>
                <w:i w:val="0"/>
              </w:rPr>
            </w:pPr>
          </w:p>
          <w:p w:rsidR="00732DB7" w:rsidRPr="00C50A5C" w:rsidRDefault="002A1D6D" w:rsidP="002A1D6D">
            <w:pPr>
              <w:jc w:val="both"/>
              <w:rPr>
                <w:sz w:val="20"/>
                <w:szCs w:val="20"/>
                <w:lang w:val="fr-CA"/>
              </w:rPr>
            </w:pPr>
            <w:r w:rsidRPr="0007283E">
              <w:rPr>
                <w:rStyle w:val="SCCSsocChar"/>
                <w:b/>
                <w:i w:val="0"/>
              </w:rPr>
              <w:t>Her Majesty the Queen</w:t>
            </w:r>
            <w:r w:rsidRPr="0007283E">
              <w:rPr>
                <w:rFonts w:eastAsia="Calibri" w:cs="Times New Roman"/>
                <w:b/>
                <w:sz w:val="20"/>
                <w:szCs w:val="20"/>
              </w:rPr>
              <w:t xml:space="preserve"> (Alta.) (Criminal) (By Leave) </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C71624" w:rsidRPr="002C0D1D" w:rsidRDefault="00C71624" w:rsidP="00C71624">
            <w:pPr>
              <w:jc w:val="both"/>
              <w:rPr>
                <w:sz w:val="20"/>
                <w:szCs w:val="20"/>
              </w:rPr>
            </w:pPr>
            <w:r w:rsidRPr="002C0D1D">
              <w:rPr>
                <w:sz w:val="20"/>
                <w:szCs w:val="20"/>
              </w:rPr>
              <w:t>Karen Molle</w:t>
            </w:r>
            <w:r>
              <w:rPr>
                <w:sz w:val="20"/>
                <w:szCs w:val="20"/>
              </w:rPr>
              <w:t xml:space="preserve"> and </w:t>
            </w:r>
            <w:r w:rsidRPr="002C0D1D">
              <w:rPr>
                <w:sz w:val="20"/>
                <w:szCs w:val="20"/>
              </w:rPr>
              <w:t>Jennifer Ruttan</w:t>
            </w:r>
            <w:r>
              <w:rPr>
                <w:sz w:val="20"/>
                <w:szCs w:val="20"/>
              </w:rPr>
              <w:t xml:space="preserve"> f</w:t>
            </w:r>
            <w:r w:rsidRPr="002C0D1D">
              <w:rPr>
                <w:sz w:val="20"/>
                <w:szCs w:val="20"/>
              </w:rPr>
              <w:t xml:space="preserve">or the </w:t>
            </w:r>
            <w:r>
              <w:rPr>
                <w:sz w:val="20"/>
                <w:szCs w:val="20"/>
              </w:rPr>
              <w:t>a</w:t>
            </w:r>
            <w:r w:rsidRPr="002C0D1D">
              <w:rPr>
                <w:sz w:val="20"/>
                <w:szCs w:val="20"/>
              </w:rPr>
              <w:t>ppellant.</w:t>
            </w:r>
          </w:p>
          <w:p w:rsidR="00C71624" w:rsidRPr="002C0D1D" w:rsidRDefault="00C71624" w:rsidP="00C71624">
            <w:pPr>
              <w:jc w:val="both"/>
              <w:rPr>
                <w:sz w:val="20"/>
                <w:szCs w:val="20"/>
              </w:rPr>
            </w:pPr>
          </w:p>
          <w:p w:rsidR="00C71624" w:rsidRPr="002C0D1D" w:rsidRDefault="00C71624" w:rsidP="00C71624">
            <w:pPr>
              <w:jc w:val="both"/>
              <w:rPr>
                <w:sz w:val="20"/>
                <w:szCs w:val="20"/>
              </w:rPr>
            </w:pPr>
            <w:r w:rsidRPr="002C0D1D">
              <w:rPr>
                <w:sz w:val="20"/>
                <w:szCs w:val="20"/>
              </w:rPr>
              <w:t>Michael W. Lacy</w:t>
            </w:r>
            <w:r>
              <w:rPr>
                <w:sz w:val="20"/>
                <w:szCs w:val="20"/>
              </w:rPr>
              <w:t xml:space="preserve"> and </w:t>
            </w:r>
            <w:r w:rsidRPr="002C0D1D">
              <w:rPr>
                <w:sz w:val="20"/>
                <w:szCs w:val="20"/>
              </w:rPr>
              <w:t>Bradley Greenshields</w:t>
            </w:r>
            <w:r>
              <w:rPr>
                <w:sz w:val="20"/>
                <w:szCs w:val="20"/>
              </w:rPr>
              <w:t xml:space="preserve"> f</w:t>
            </w:r>
            <w:r w:rsidRPr="002C0D1D">
              <w:rPr>
                <w:sz w:val="20"/>
                <w:szCs w:val="20"/>
              </w:rPr>
              <w:t xml:space="preserve">or the </w:t>
            </w:r>
            <w:r>
              <w:rPr>
                <w:sz w:val="20"/>
                <w:szCs w:val="20"/>
              </w:rPr>
              <w:t>i</w:t>
            </w:r>
            <w:r w:rsidRPr="002C0D1D">
              <w:rPr>
                <w:sz w:val="20"/>
                <w:szCs w:val="20"/>
              </w:rPr>
              <w:t>ntervener</w:t>
            </w:r>
            <w:r>
              <w:rPr>
                <w:sz w:val="20"/>
                <w:szCs w:val="20"/>
              </w:rPr>
              <w:t xml:space="preserve"> </w:t>
            </w:r>
            <w:r w:rsidRPr="002C0D1D">
              <w:rPr>
                <w:sz w:val="20"/>
                <w:szCs w:val="20"/>
              </w:rPr>
              <w:t>Criminal Lawyers’ Association of Ontario</w:t>
            </w:r>
            <w:r>
              <w:rPr>
                <w:sz w:val="20"/>
                <w:szCs w:val="20"/>
              </w:rPr>
              <w:t>.</w:t>
            </w:r>
          </w:p>
          <w:p w:rsidR="00C71624" w:rsidRPr="002C0D1D" w:rsidRDefault="00C71624" w:rsidP="00C71624">
            <w:pPr>
              <w:jc w:val="both"/>
              <w:rPr>
                <w:sz w:val="20"/>
                <w:szCs w:val="20"/>
              </w:rPr>
            </w:pPr>
          </w:p>
          <w:p w:rsidR="00732DB7" w:rsidRPr="00C50A5C" w:rsidRDefault="00C71624" w:rsidP="00C71624">
            <w:pPr>
              <w:jc w:val="both"/>
              <w:rPr>
                <w:sz w:val="20"/>
                <w:szCs w:val="20"/>
              </w:rPr>
            </w:pPr>
            <w:r w:rsidRPr="002C0D1D">
              <w:rPr>
                <w:sz w:val="20"/>
                <w:szCs w:val="20"/>
              </w:rPr>
              <w:t>Jolaine Antonio</w:t>
            </w:r>
            <w:r>
              <w:rPr>
                <w:sz w:val="20"/>
                <w:szCs w:val="20"/>
              </w:rPr>
              <w:t xml:space="preserve"> and </w:t>
            </w:r>
            <w:r w:rsidRPr="002C0D1D">
              <w:rPr>
                <w:sz w:val="20"/>
                <w:szCs w:val="20"/>
              </w:rPr>
              <w:t>Kyra M. Kondro</w:t>
            </w:r>
            <w:r>
              <w:rPr>
                <w:sz w:val="20"/>
                <w:szCs w:val="20"/>
              </w:rPr>
              <w:t xml:space="preserve"> f</w:t>
            </w:r>
            <w:r w:rsidRPr="002C0D1D">
              <w:rPr>
                <w:sz w:val="20"/>
                <w:szCs w:val="20"/>
              </w:rPr>
              <w:t xml:space="preserve">or the </w:t>
            </w:r>
            <w:r>
              <w:rPr>
                <w:sz w:val="20"/>
                <w:szCs w:val="20"/>
              </w:rPr>
              <w:t>r</w:t>
            </w:r>
            <w:r w:rsidRPr="002C0D1D">
              <w:rPr>
                <w:sz w:val="20"/>
                <w:szCs w:val="20"/>
              </w:rPr>
              <w:t>espondent</w:t>
            </w:r>
            <w:r>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6B3AEE"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220143" w:rsidP="00C1697B">
            <w:pPr>
              <w:widowControl w:val="0"/>
              <w:jc w:val="both"/>
              <w:rPr>
                <w:b/>
                <w:sz w:val="20"/>
                <w:szCs w:val="20"/>
              </w:rPr>
            </w:pPr>
            <w:r w:rsidRPr="00B57E30">
              <w:rPr>
                <w:sz w:val="20"/>
                <w:szCs w:val="20"/>
              </w:rPr>
              <w:t xml:space="preserve">Criminal law </w:t>
            </w:r>
            <w:r w:rsidRPr="00B57E30">
              <w:rPr>
                <w:sz w:val="20"/>
                <w:szCs w:val="20"/>
              </w:rPr>
              <w:noBreakHyphen/>
              <w:t xml:space="preserve"> Defences </w:t>
            </w:r>
            <w:r w:rsidRPr="00B57E30">
              <w:rPr>
                <w:sz w:val="20"/>
                <w:szCs w:val="20"/>
              </w:rPr>
              <w:noBreakHyphen/>
              <w:t xml:space="preserve"> Common sense inference </w:t>
            </w:r>
            <w:r w:rsidRPr="00B57E30">
              <w:rPr>
                <w:sz w:val="20"/>
                <w:szCs w:val="20"/>
              </w:rPr>
              <w:noBreakHyphen/>
              <w:t xml:space="preserve"> Whether the Court of Appeal erred in failing to find that the appellant’s developmental deficits and alcohol consumption must be considered before relying on the common sense inference that a sane and sober person intends the natural and probable consequence of his actions as proof beyond a reasonable doubt of intent for second degree murder.</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220143" w:rsidP="00C1697B">
            <w:pPr>
              <w:widowControl w:val="0"/>
              <w:jc w:val="both"/>
              <w:rPr>
                <w:sz w:val="20"/>
                <w:szCs w:val="20"/>
                <w:lang w:val="fr-CA"/>
              </w:rPr>
            </w:pPr>
            <w:r w:rsidRPr="007B0E42">
              <w:rPr>
                <w:rFonts w:eastAsia="Calibri" w:cs="Times New Roman"/>
                <w:sz w:val="20"/>
                <w:szCs w:val="20"/>
                <w:lang w:val="fr-CA"/>
              </w:rPr>
              <w:t xml:space="preserve">Droit criminel </w:t>
            </w:r>
            <w:r w:rsidRPr="007B0E42">
              <w:rPr>
                <w:rFonts w:eastAsia="Calibri" w:cs="Times New Roman"/>
                <w:sz w:val="20"/>
                <w:szCs w:val="20"/>
                <w:lang w:val="fr-CA"/>
              </w:rPr>
              <w:noBreakHyphen/>
              <w:t xml:space="preserve"> Moyens de défense </w:t>
            </w:r>
            <w:r w:rsidRPr="007B0E42">
              <w:rPr>
                <w:rFonts w:eastAsia="Calibri" w:cs="Times New Roman"/>
                <w:sz w:val="20"/>
                <w:szCs w:val="20"/>
                <w:lang w:val="fr-CA"/>
              </w:rPr>
              <w:noBreakHyphen/>
              <w:t xml:space="preserve"> Déduction conforme au bon sens </w:t>
            </w:r>
            <w:r w:rsidRPr="007B0E42">
              <w:rPr>
                <w:rFonts w:eastAsia="Calibri" w:cs="Times New Roman"/>
                <w:sz w:val="20"/>
                <w:szCs w:val="20"/>
                <w:lang w:val="fr-CA"/>
              </w:rPr>
              <w:noBreakHyphen/>
              <w:t xml:space="preserve"> La Cour d’appel a</w:t>
            </w:r>
            <w:r w:rsidRPr="007B0E42">
              <w:rPr>
                <w:rFonts w:eastAsia="Calibri" w:cs="Times New Roman"/>
                <w:sz w:val="20"/>
                <w:szCs w:val="20"/>
                <w:lang w:val="fr-CA"/>
              </w:rPr>
              <w:noBreakHyphen/>
              <w:t>t</w:t>
            </w:r>
            <w:r w:rsidRPr="007B0E42">
              <w:rPr>
                <w:rFonts w:eastAsia="Calibri" w:cs="Times New Roman"/>
                <w:sz w:val="20"/>
                <w:szCs w:val="20"/>
                <w:lang w:val="fr-CA"/>
              </w:rPr>
              <w:noBreakHyphen/>
              <w:t>elle eu tort de conclure que les troubles de développement de l’appelant et sa consommation d’alcool doivent être pris en considération avant de se fonder sur une déduction conforme au bon sens qu’une personne saine et sobre veut les conséquences naturelles et probables de ses actes comme preuve hors de tout doute de l’intention de commettre un meurtre au deuxième degré.</w:t>
            </w:r>
          </w:p>
        </w:tc>
      </w:tr>
    </w:tbl>
    <w:p w:rsidR="00732DB7" w:rsidRDefault="00732DB7" w:rsidP="00732DB7">
      <w:pPr>
        <w:widowControl w:val="0"/>
        <w:rPr>
          <w:sz w:val="20"/>
          <w:szCs w:val="20"/>
          <w:lang w:val="fr-CA"/>
        </w:rPr>
      </w:pPr>
    </w:p>
    <w:p w:rsidR="002A27D1" w:rsidRDefault="00A3677B" w:rsidP="002A27D1">
      <w:pPr>
        <w:widowControl w:val="0"/>
        <w:rPr>
          <w:sz w:val="20"/>
          <w:szCs w:val="20"/>
        </w:rPr>
      </w:pPr>
      <w:r w:rsidRPr="00A3677B">
        <w:rPr>
          <w:sz w:val="20"/>
          <w:szCs w:val="20"/>
          <w:lang w:val="fr-CA"/>
        </w:rPr>
        <w:pict>
          <v:rect id="_x0000_i1055" style="width:2in;height:1pt" o:hrpct="0" o:hralign="center" o:hrstd="t" o:hrnoshade="t" o:hr="t" fillcolor="black [3213]" stroked="f"/>
        </w:pict>
      </w:r>
    </w:p>
    <w:p w:rsidR="002A27D1" w:rsidRDefault="002A27D1" w:rsidP="002A27D1">
      <w:pPr>
        <w:widowControl w:val="0"/>
        <w:rPr>
          <w:sz w:val="20"/>
          <w:szCs w:val="20"/>
        </w:rPr>
      </w:pPr>
    </w:p>
    <w:p w:rsidR="005F3456" w:rsidRPr="001E74A1" w:rsidRDefault="005F3456" w:rsidP="005F3456">
      <w:pPr>
        <w:widowControl w:val="0"/>
        <w:rPr>
          <w:sz w:val="20"/>
          <w:szCs w:val="20"/>
          <w:lang w:val="fr-CA"/>
        </w:rPr>
      </w:pPr>
      <w:r w:rsidRPr="001E74A1">
        <w:rPr>
          <w:sz w:val="20"/>
          <w:szCs w:val="20"/>
          <w:lang w:val="fr-CA"/>
        </w:rPr>
        <w:t>16.04.2012</w:t>
      </w:r>
    </w:p>
    <w:p w:rsidR="005F3456" w:rsidRPr="001E74A1" w:rsidRDefault="005F3456" w:rsidP="005F3456">
      <w:pPr>
        <w:widowControl w:val="0"/>
        <w:rPr>
          <w:sz w:val="20"/>
          <w:szCs w:val="20"/>
          <w:lang w:val="fr-CA"/>
        </w:rPr>
      </w:pPr>
    </w:p>
    <w:p w:rsidR="00953ADB" w:rsidRPr="00712249" w:rsidRDefault="00953ADB" w:rsidP="00953ADB">
      <w:pPr>
        <w:widowControl w:val="0"/>
        <w:ind w:left="720" w:hanging="720"/>
        <w:rPr>
          <w:rFonts w:eastAsia="Calibri" w:cs="Times New Roman"/>
          <w:sz w:val="20"/>
          <w:szCs w:val="20"/>
          <w:u w:val="single"/>
          <w:lang w:val="fr-CA"/>
        </w:rPr>
      </w:pPr>
      <w:r w:rsidRPr="00712249">
        <w:rPr>
          <w:rFonts w:eastAsia="Calibri" w:cs="Times New Roman"/>
          <w:sz w:val="20"/>
          <w:szCs w:val="20"/>
          <w:lang w:val="fr-CA"/>
        </w:rPr>
        <w:t xml:space="preserve">Coram: </w:t>
      </w:r>
      <w:r w:rsidRPr="00712249">
        <w:rPr>
          <w:rFonts w:eastAsia="Calibri" w:cs="Times New Roman"/>
          <w:sz w:val="20"/>
          <w:szCs w:val="20"/>
          <w:lang w:val="fr-CA"/>
        </w:rPr>
        <w:tab/>
      </w:r>
      <w:r w:rsidRPr="00712249">
        <w:rPr>
          <w:rFonts w:eastAsia="Calibri" w:cs="Times New Roman"/>
          <w:sz w:val="20"/>
          <w:szCs w:val="20"/>
          <w:u w:val="single"/>
          <w:lang w:val="fr-CA"/>
        </w:rPr>
        <w:t>La juge en chef McLachlin et les juges LeBel, Deschamps, Fish, Rothstein, Cromwell et Moldaver</w:t>
      </w:r>
    </w:p>
    <w:p w:rsidR="005F3456" w:rsidRPr="00953ADB" w:rsidRDefault="005F3456" w:rsidP="005F3456">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5F3456" w:rsidRPr="006B3AEE" w:rsidTr="00027A88">
        <w:tc>
          <w:tcPr>
            <w:tcW w:w="4380" w:type="dxa"/>
            <w:tcMar>
              <w:left w:w="0" w:type="dxa"/>
              <w:right w:w="0" w:type="dxa"/>
            </w:tcMar>
          </w:tcPr>
          <w:p w:rsidR="00953ADB" w:rsidRDefault="00953ADB" w:rsidP="00027A88">
            <w:pPr>
              <w:widowControl w:val="0"/>
              <w:jc w:val="both"/>
              <w:rPr>
                <w:rStyle w:val="SCCSsocChar"/>
                <w:b/>
                <w:i w:val="0"/>
                <w:lang w:val="fr-CA"/>
              </w:rPr>
            </w:pPr>
            <w:r w:rsidRPr="00712249">
              <w:rPr>
                <w:rStyle w:val="SCCSsocChar"/>
                <w:b/>
                <w:i w:val="0"/>
                <w:lang w:val="fr-CA"/>
              </w:rPr>
              <w:t xml:space="preserve">Sa Majesté la Reine </w:t>
            </w:r>
          </w:p>
          <w:p w:rsidR="00953ADB" w:rsidRDefault="00953ADB" w:rsidP="00027A88">
            <w:pPr>
              <w:widowControl w:val="0"/>
              <w:jc w:val="both"/>
              <w:rPr>
                <w:rStyle w:val="SCCSsocChar"/>
                <w:b/>
                <w:i w:val="0"/>
                <w:lang w:val="fr-CA"/>
              </w:rPr>
            </w:pPr>
          </w:p>
          <w:p w:rsidR="00953ADB" w:rsidRDefault="00953ADB" w:rsidP="00027A88">
            <w:pPr>
              <w:widowControl w:val="0"/>
              <w:jc w:val="both"/>
              <w:rPr>
                <w:rStyle w:val="SCCSsocChar"/>
                <w:b/>
                <w:i w:val="0"/>
                <w:lang w:val="fr-CA"/>
              </w:rPr>
            </w:pPr>
            <w:r>
              <w:rPr>
                <w:rStyle w:val="SCCSsocChar"/>
                <w:b/>
                <w:i w:val="0"/>
                <w:lang w:val="fr-CA"/>
              </w:rPr>
              <w:tab/>
            </w:r>
            <w:r w:rsidRPr="00712249">
              <w:rPr>
                <w:rStyle w:val="SCCSsocChar"/>
                <w:b/>
                <w:i w:val="0"/>
                <w:lang w:val="fr-CA"/>
              </w:rPr>
              <w:t xml:space="preserve">c. </w:t>
            </w:r>
            <w:r w:rsidRPr="00712249">
              <w:rPr>
                <w:rFonts w:eastAsia="Calibri" w:cs="Times New Roman"/>
                <w:b/>
                <w:sz w:val="20"/>
                <w:szCs w:val="20"/>
                <w:lang w:val="fr-CA"/>
              </w:rPr>
              <w:t>(34523)</w:t>
            </w:r>
          </w:p>
          <w:p w:rsidR="00953ADB" w:rsidRDefault="00953ADB" w:rsidP="00027A88">
            <w:pPr>
              <w:widowControl w:val="0"/>
              <w:jc w:val="both"/>
              <w:rPr>
                <w:rStyle w:val="SCCSsocChar"/>
                <w:b/>
                <w:i w:val="0"/>
                <w:lang w:val="fr-CA"/>
              </w:rPr>
            </w:pPr>
          </w:p>
          <w:p w:rsidR="005F3456" w:rsidRPr="00C50A5C" w:rsidRDefault="00953ADB" w:rsidP="00953ADB">
            <w:pPr>
              <w:widowControl w:val="0"/>
              <w:jc w:val="both"/>
              <w:rPr>
                <w:sz w:val="20"/>
                <w:szCs w:val="20"/>
                <w:lang w:val="fr-CA"/>
              </w:rPr>
            </w:pPr>
            <w:r w:rsidRPr="00712249">
              <w:rPr>
                <w:rStyle w:val="SCCSsocChar"/>
                <w:b/>
                <w:i w:val="0"/>
                <w:lang w:val="fr-CA"/>
              </w:rPr>
              <w:t>Carmelo Venneri</w:t>
            </w:r>
            <w:r w:rsidRPr="00712249">
              <w:rPr>
                <w:rFonts w:eastAsia="Calibri" w:cs="Times New Roman"/>
                <w:b/>
                <w:sz w:val="20"/>
                <w:szCs w:val="20"/>
                <w:lang w:val="fr-CA"/>
              </w:rPr>
              <w:t xml:space="preserve"> (Qc) (Criminelle) (De plein droit) </w:t>
            </w:r>
          </w:p>
        </w:tc>
        <w:tc>
          <w:tcPr>
            <w:tcW w:w="720" w:type="dxa"/>
            <w:tcMar>
              <w:left w:w="0" w:type="dxa"/>
              <w:right w:w="0" w:type="dxa"/>
            </w:tcMar>
          </w:tcPr>
          <w:p w:rsidR="005F3456" w:rsidRPr="00C50A5C" w:rsidRDefault="005F3456" w:rsidP="00027A88">
            <w:pPr>
              <w:widowControl w:val="0"/>
              <w:jc w:val="center"/>
              <w:rPr>
                <w:sz w:val="20"/>
                <w:szCs w:val="20"/>
                <w:lang w:val="fr-CA"/>
              </w:rPr>
            </w:pPr>
          </w:p>
        </w:tc>
        <w:tc>
          <w:tcPr>
            <w:tcW w:w="4380" w:type="dxa"/>
            <w:tcMar>
              <w:left w:w="0" w:type="dxa"/>
              <w:right w:w="0" w:type="dxa"/>
            </w:tcMar>
          </w:tcPr>
          <w:p w:rsidR="00874A38" w:rsidRPr="006F6878" w:rsidRDefault="00874A38" w:rsidP="00874A38">
            <w:pPr>
              <w:tabs>
                <w:tab w:val="left" w:pos="-2970"/>
              </w:tabs>
              <w:jc w:val="both"/>
              <w:rPr>
                <w:sz w:val="20"/>
                <w:szCs w:val="20"/>
                <w:lang w:val="fr-CA"/>
              </w:rPr>
            </w:pPr>
            <w:r w:rsidRPr="006F6878">
              <w:rPr>
                <w:sz w:val="20"/>
                <w:szCs w:val="20"/>
                <w:lang w:val="fr-CA"/>
              </w:rPr>
              <w:t>Marc Cigana</w:t>
            </w:r>
            <w:r>
              <w:rPr>
                <w:sz w:val="20"/>
                <w:szCs w:val="20"/>
                <w:lang w:val="fr-CA"/>
              </w:rPr>
              <w:t xml:space="preserve"> et </w:t>
            </w:r>
            <w:r w:rsidRPr="006F6878">
              <w:rPr>
                <w:sz w:val="20"/>
                <w:szCs w:val="20"/>
                <w:lang w:val="fr-CA"/>
              </w:rPr>
              <w:t>Gaston Paul Langevin</w:t>
            </w:r>
            <w:r>
              <w:rPr>
                <w:sz w:val="20"/>
                <w:szCs w:val="20"/>
                <w:lang w:val="fr-CA"/>
              </w:rPr>
              <w:t xml:space="preserve"> p</w:t>
            </w:r>
            <w:r w:rsidRPr="006F6878">
              <w:rPr>
                <w:sz w:val="20"/>
                <w:szCs w:val="20"/>
                <w:lang w:val="fr-CA"/>
              </w:rPr>
              <w:t>our l’appelante.</w:t>
            </w:r>
          </w:p>
          <w:p w:rsidR="00874A38" w:rsidRPr="006F6878" w:rsidRDefault="00874A38" w:rsidP="00874A38">
            <w:pPr>
              <w:tabs>
                <w:tab w:val="left" w:pos="-2970"/>
              </w:tabs>
              <w:jc w:val="both"/>
              <w:rPr>
                <w:sz w:val="20"/>
                <w:szCs w:val="20"/>
                <w:lang w:val="fr-CA"/>
              </w:rPr>
            </w:pPr>
          </w:p>
          <w:p w:rsidR="005F3456" w:rsidRPr="00953ADB" w:rsidRDefault="00874A38" w:rsidP="00874A38">
            <w:pPr>
              <w:tabs>
                <w:tab w:val="left" w:pos="-2970"/>
              </w:tabs>
              <w:jc w:val="both"/>
              <w:rPr>
                <w:sz w:val="20"/>
                <w:szCs w:val="20"/>
                <w:lang w:val="fr-CA"/>
              </w:rPr>
            </w:pPr>
            <w:r w:rsidRPr="006F6878">
              <w:rPr>
                <w:sz w:val="20"/>
                <w:szCs w:val="20"/>
                <w:lang w:val="fr-CA"/>
              </w:rPr>
              <w:t>Marie-Hélène Giroux</w:t>
            </w:r>
            <w:r>
              <w:rPr>
                <w:sz w:val="20"/>
                <w:szCs w:val="20"/>
                <w:lang w:val="fr-CA"/>
              </w:rPr>
              <w:t xml:space="preserve">, </w:t>
            </w:r>
            <w:r w:rsidRPr="006F6878">
              <w:rPr>
                <w:sz w:val="20"/>
                <w:szCs w:val="20"/>
                <w:lang w:val="fr-CA"/>
              </w:rPr>
              <w:t>Clément Monterosso</w:t>
            </w:r>
            <w:r>
              <w:rPr>
                <w:sz w:val="20"/>
                <w:szCs w:val="20"/>
                <w:lang w:val="fr-CA"/>
              </w:rPr>
              <w:t xml:space="preserve"> et </w:t>
            </w:r>
            <w:r w:rsidRPr="006F6878">
              <w:rPr>
                <w:sz w:val="20"/>
                <w:szCs w:val="20"/>
                <w:lang w:val="fr-CA"/>
              </w:rPr>
              <w:t>Vincent Desbiens</w:t>
            </w:r>
            <w:r>
              <w:rPr>
                <w:sz w:val="20"/>
                <w:szCs w:val="20"/>
                <w:lang w:val="fr-CA"/>
              </w:rPr>
              <w:t xml:space="preserve"> p</w:t>
            </w:r>
            <w:r w:rsidRPr="006F6878">
              <w:rPr>
                <w:sz w:val="20"/>
                <w:szCs w:val="20"/>
                <w:lang w:val="fr-CA"/>
              </w:rPr>
              <w:t>our l’intimé</w:t>
            </w:r>
            <w:r>
              <w:rPr>
                <w:sz w:val="20"/>
                <w:szCs w:val="20"/>
                <w:lang w:val="fr-CA"/>
              </w:rPr>
              <w:t>.</w:t>
            </w:r>
          </w:p>
        </w:tc>
      </w:tr>
    </w:tbl>
    <w:p w:rsidR="005F3456" w:rsidRPr="00953ADB" w:rsidRDefault="005F3456" w:rsidP="005F3456">
      <w:pPr>
        <w:widowControl w:val="0"/>
        <w:rPr>
          <w:lang w:val="fr-CA"/>
        </w:rPr>
      </w:pPr>
    </w:p>
    <w:p w:rsidR="005F3456" w:rsidRPr="0085476B" w:rsidRDefault="005F3456" w:rsidP="005F3456">
      <w:pPr>
        <w:widowControl w:val="0"/>
        <w:rPr>
          <w:sz w:val="20"/>
          <w:szCs w:val="20"/>
        </w:rPr>
      </w:pPr>
      <w:r w:rsidRPr="0085476B">
        <w:rPr>
          <w:b/>
          <w:sz w:val="20"/>
          <w:szCs w:val="20"/>
        </w:rPr>
        <w:t xml:space="preserve">RESERVED / </w:t>
      </w:r>
      <w:r w:rsidRPr="0085476B">
        <w:rPr>
          <w:b/>
          <w:sz w:val="20"/>
          <w:szCs w:val="20"/>
          <w:lang w:val="fr-CA"/>
        </w:rPr>
        <w:t>EN DÉLIBÉRÉ</w:t>
      </w:r>
    </w:p>
    <w:p w:rsidR="005F3456" w:rsidRDefault="005F3456" w:rsidP="005F3456"/>
    <w:tbl>
      <w:tblPr>
        <w:tblW w:w="0" w:type="auto"/>
        <w:tblLayout w:type="fixed"/>
        <w:tblCellMar>
          <w:left w:w="0" w:type="dxa"/>
          <w:right w:w="0" w:type="dxa"/>
        </w:tblCellMar>
        <w:tblLook w:val="0000"/>
      </w:tblPr>
      <w:tblGrid>
        <w:gridCol w:w="4380"/>
        <w:gridCol w:w="720"/>
        <w:gridCol w:w="4380"/>
      </w:tblGrid>
      <w:tr w:rsidR="005F3456" w:rsidRPr="006B3AEE" w:rsidTr="00027A88">
        <w:tc>
          <w:tcPr>
            <w:tcW w:w="4380" w:type="dxa"/>
            <w:tcMar>
              <w:left w:w="0" w:type="dxa"/>
              <w:right w:w="0" w:type="dxa"/>
            </w:tcMar>
          </w:tcPr>
          <w:p w:rsidR="005F3456" w:rsidRPr="00CC4D84" w:rsidRDefault="005F3456" w:rsidP="00027A88">
            <w:pPr>
              <w:widowControl w:val="0"/>
              <w:jc w:val="both"/>
              <w:rPr>
                <w:b/>
                <w:sz w:val="20"/>
                <w:szCs w:val="20"/>
                <w:u w:val="single"/>
              </w:rPr>
            </w:pPr>
            <w:r w:rsidRPr="00CC4D84">
              <w:rPr>
                <w:b/>
                <w:sz w:val="20"/>
                <w:szCs w:val="20"/>
                <w:u w:val="single"/>
              </w:rPr>
              <w:t>Nature of the case:</w:t>
            </w:r>
          </w:p>
          <w:p w:rsidR="005F3456" w:rsidRPr="00C1697B" w:rsidRDefault="005F3456" w:rsidP="00027A88">
            <w:pPr>
              <w:widowControl w:val="0"/>
              <w:jc w:val="both"/>
              <w:rPr>
                <w:b/>
                <w:sz w:val="20"/>
                <w:szCs w:val="20"/>
              </w:rPr>
            </w:pPr>
          </w:p>
          <w:p w:rsidR="005F3456" w:rsidRPr="00C1697B" w:rsidRDefault="00814735" w:rsidP="00027A88">
            <w:pPr>
              <w:widowControl w:val="0"/>
              <w:jc w:val="both"/>
              <w:rPr>
                <w:b/>
                <w:sz w:val="20"/>
                <w:szCs w:val="20"/>
              </w:rPr>
            </w:pPr>
            <w:r w:rsidRPr="007C2BCA">
              <w:rPr>
                <w:sz w:val="20"/>
                <w:szCs w:val="20"/>
              </w:rPr>
              <w:t xml:space="preserve">Criminal law - Reasonable verdict - Offences - Elements of offence - Offence for benefit of criminal organization - Interpretation of expression “criminal organization” used in s. 467.1 of </w:t>
            </w:r>
            <w:r w:rsidRPr="007C2BCA">
              <w:rPr>
                <w:i/>
                <w:sz w:val="20"/>
                <w:szCs w:val="20"/>
              </w:rPr>
              <w:t xml:space="preserve">Criminal Code </w:t>
            </w:r>
            <w:r w:rsidRPr="007C2BCA">
              <w:rPr>
                <w:sz w:val="20"/>
                <w:szCs w:val="20"/>
              </w:rPr>
              <w:t>- Whether verdicts reached by trial judge were unreasonable.</w:t>
            </w:r>
          </w:p>
        </w:tc>
        <w:tc>
          <w:tcPr>
            <w:tcW w:w="720" w:type="dxa"/>
            <w:tcMar>
              <w:left w:w="0" w:type="dxa"/>
              <w:right w:w="0" w:type="dxa"/>
            </w:tcMar>
          </w:tcPr>
          <w:p w:rsidR="005F3456" w:rsidRPr="00C1697B" w:rsidRDefault="005F3456" w:rsidP="00027A88">
            <w:pPr>
              <w:widowControl w:val="0"/>
              <w:jc w:val="center"/>
              <w:rPr>
                <w:sz w:val="20"/>
                <w:szCs w:val="20"/>
              </w:rPr>
            </w:pPr>
          </w:p>
        </w:tc>
        <w:tc>
          <w:tcPr>
            <w:tcW w:w="4380" w:type="dxa"/>
            <w:tcMar>
              <w:left w:w="0" w:type="dxa"/>
              <w:right w:w="0" w:type="dxa"/>
            </w:tcMar>
          </w:tcPr>
          <w:p w:rsidR="005F3456" w:rsidRPr="00CC4D84" w:rsidRDefault="005F3456" w:rsidP="00027A88">
            <w:pPr>
              <w:widowControl w:val="0"/>
              <w:jc w:val="both"/>
              <w:rPr>
                <w:b/>
                <w:sz w:val="20"/>
                <w:szCs w:val="20"/>
                <w:u w:val="single"/>
                <w:lang w:val="fr-CA"/>
              </w:rPr>
            </w:pPr>
            <w:r w:rsidRPr="00CC4D84">
              <w:rPr>
                <w:b/>
                <w:sz w:val="20"/>
                <w:szCs w:val="20"/>
                <w:u w:val="single"/>
                <w:lang w:val="fr-CA"/>
              </w:rPr>
              <w:t>Nature de la cause :</w:t>
            </w:r>
          </w:p>
          <w:p w:rsidR="005F3456" w:rsidRPr="00C1697B" w:rsidRDefault="005F3456" w:rsidP="00027A88">
            <w:pPr>
              <w:widowControl w:val="0"/>
              <w:jc w:val="both"/>
              <w:rPr>
                <w:sz w:val="20"/>
                <w:szCs w:val="20"/>
                <w:lang w:val="fr-CA"/>
              </w:rPr>
            </w:pPr>
          </w:p>
          <w:p w:rsidR="005F3456" w:rsidRPr="00C1697B" w:rsidRDefault="004D0CA2" w:rsidP="00027A88">
            <w:pPr>
              <w:widowControl w:val="0"/>
              <w:jc w:val="both"/>
              <w:rPr>
                <w:sz w:val="20"/>
                <w:szCs w:val="20"/>
                <w:lang w:val="fr-CA"/>
              </w:rPr>
            </w:pPr>
            <w:r w:rsidRPr="00725FCD">
              <w:rPr>
                <w:sz w:val="20"/>
                <w:szCs w:val="20"/>
                <w:lang w:val="fr-CA"/>
              </w:rPr>
              <w:t xml:space="preserve">Droit criminel </w:t>
            </w:r>
            <w:r w:rsidRPr="00725FCD">
              <w:rPr>
                <w:sz w:val="20"/>
                <w:szCs w:val="20"/>
                <w:lang w:val="fr-CA"/>
              </w:rPr>
              <w:noBreakHyphen/>
              <w:t xml:space="preserve"> Verdict raisonnable </w:t>
            </w:r>
            <w:r w:rsidRPr="00725FCD">
              <w:rPr>
                <w:sz w:val="20"/>
                <w:szCs w:val="20"/>
                <w:lang w:val="fr-CA"/>
              </w:rPr>
              <w:noBreakHyphen/>
              <w:t xml:space="preserve"> Infractions </w:t>
            </w:r>
            <w:r w:rsidRPr="00725FCD">
              <w:rPr>
                <w:sz w:val="20"/>
                <w:szCs w:val="20"/>
                <w:lang w:val="fr-CA"/>
              </w:rPr>
              <w:noBreakHyphen/>
              <w:t xml:space="preserve"> Éléments de l’infraction </w:t>
            </w:r>
            <w:r w:rsidRPr="00725FCD">
              <w:rPr>
                <w:sz w:val="20"/>
                <w:szCs w:val="20"/>
                <w:lang w:val="fr-CA"/>
              </w:rPr>
              <w:noBreakHyphen/>
              <w:t xml:space="preserve"> Infraction au profit d’une organisation criminelle </w:t>
            </w:r>
            <w:r w:rsidRPr="00725FCD">
              <w:rPr>
                <w:sz w:val="20"/>
                <w:szCs w:val="20"/>
                <w:lang w:val="fr-CA"/>
              </w:rPr>
              <w:noBreakHyphen/>
              <w:t xml:space="preserve"> Quelle est l’interprétation à donner à l’expression « organisation criminelle » au sens de l’art. 467.1 du </w:t>
            </w:r>
            <w:r w:rsidRPr="00725FCD">
              <w:rPr>
                <w:i/>
                <w:sz w:val="20"/>
                <w:szCs w:val="20"/>
                <w:lang w:val="fr-CA"/>
              </w:rPr>
              <w:t>Code criminel</w:t>
            </w:r>
            <w:r w:rsidRPr="00725FCD">
              <w:rPr>
                <w:sz w:val="20"/>
                <w:szCs w:val="20"/>
                <w:lang w:val="fr-CA"/>
              </w:rPr>
              <w:t xml:space="preserve">? </w:t>
            </w:r>
            <w:r w:rsidRPr="00725FCD">
              <w:rPr>
                <w:sz w:val="20"/>
                <w:szCs w:val="20"/>
                <w:lang w:val="fr-CA"/>
              </w:rPr>
              <w:noBreakHyphen/>
              <w:t xml:space="preserve"> Les verdicts rendus par le juge de première instance étaient</w:t>
            </w:r>
            <w:r w:rsidRPr="00725FCD">
              <w:rPr>
                <w:sz w:val="20"/>
                <w:szCs w:val="20"/>
                <w:lang w:val="fr-CA"/>
              </w:rPr>
              <w:noBreakHyphen/>
              <w:t>ils déraisonnables?</w:t>
            </w:r>
          </w:p>
        </w:tc>
      </w:tr>
    </w:tbl>
    <w:p w:rsidR="005F3456" w:rsidRDefault="005F3456" w:rsidP="005F3456">
      <w:pPr>
        <w:widowControl w:val="0"/>
        <w:rPr>
          <w:sz w:val="20"/>
          <w:szCs w:val="20"/>
          <w:lang w:val="fr-CA"/>
        </w:rPr>
      </w:pPr>
    </w:p>
    <w:p w:rsidR="005F3456" w:rsidRDefault="00A3677B" w:rsidP="005F3456">
      <w:pPr>
        <w:widowControl w:val="0"/>
        <w:rPr>
          <w:sz w:val="20"/>
          <w:szCs w:val="20"/>
        </w:rPr>
      </w:pPr>
      <w:r w:rsidRPr="00A3677B">
        <w:rPr>
          <w:sz w:val="20"/>
          <w:szCs w:val="20"/>
          <w:lang w:val="fr-CA"/>
        </w:rPr>
        <w:pict>
          <v:rect id="_x0000_i1056" style="width:2in;height:1pt" o:hrpct="0" o:hralign="center" o:hrstd="t" o:hrnoshade="t" o:hr="t" fillcolor="black [3213]" stroked="f"/>
        </w:pict>
      </w:r>
    </w:p>
    <w:p w:rsidR="005F3456" w:rsidRDefault="005F3456" w:rsidP="005F3456">
      <w:pPr>
        <w:widowControl w:val="0"/>
        <w:rPr>
          <w:sz w:val="20"/>
          <w:szCs w:val="20"/>
        </w:rPr>
      </w:pPr>
    </w:p>
    <w:p w:rsidR="005F3456" w:rsidRPr="00C50A5C" w:rsidRDefault="005F3456" w:rsidP="005F3456">
      <w:pPr>
        <w:widowControl w:val="0"/>
        <w:rPr>
          <w:sz w:val="20"/>
          <w:szCs w:val="20"/>
        </w:rPr>
      </w:pPr>
      <w:r>
        <w:rPr>
          <w:sz w:val="20"/>
          <w:szCs w:val="20"/>
        </w:rPr>
        <w:t>17</w:t>
      </w:r>
      <w:r w:rsidRPr="00C50A5C">
        <w:rPr>
          <w:sz w:val="20"/>
          <w:szCs w:val="20"/>
        </w:rPr>
        <w:t>.0</w:t>
      </w:r>
      <w:r>
        <w:rPr>
          <w:sz w:val="20"/>
          <w:szCs w:val="20"/>
        </w:rPr>
        <w:t>4</w:t>
      </w:r>
      <w:r w:rsidRPr="00C50A5C">
        <w:rPr>
          <w:sz w:val="20"/>
          <w:szCs w:val="20"/>
        </w:rPr>
        <w:t>.201</w:t>
      </w:r>
      <w:r>
        <w:rPr>
          <w:sz w:val="20"/>
          <w:szCs w:val="20"/>
        </w:rPr>
        <w:t>2</w:t>
      </w:r>
    </w:p>
    <w:p w:rsidR="005F3456" w:rsidRDefault="005F3456" w:rsidP="005F3456">
      <w:pPr>
        <w:widowControl w:val="0"/>
        <w:rPr>
          <w:sz w:val="20"/>
          <w:szCs w:val="20"/>
        </w:rPr>
      </w:pPr>
    </w:p>
    <w:p w:rsidR="00A5479D" w:rsidRPr="000B54E3" w:rsidRDefault="00A5479D" w:rsidP="00A5479D">
      <w:pPr>
        <w:widowControl w:val="0"/>
        <w:ind w:left="720" w:hanging="720"/>
        <w:rPr>
          <w:rFonts w:eastAsia="Calibri" w:cs="Times New Roman"/>
          <w:sz w:val="20"/>
          <w:szCs w:val="20"/>
          <w:u w:val="single"/>
        </w:rPr>
      </w:pPr>
      <w:r w:rsidRPr="000B54E3">
        <w:rPr>
          <w:rFonts w:eastAsia="Calibri" w:cs="Times New Roman"/>
          <w:sz w:val="20"/>
          <w:szCs w:val="20"/>
        </w:rPr>
        <w:t xml:space="preserve">Coram: </w:t>
      </w:r>
      <w:r w:rsidRPr="000B54E3">
        <w:rPr>
          <w:rFonts w:eastAsia="Calibri" w:cs="Times New Roman"/>
          <w:sz w:val="20"/>
          <w:szCs w:val="20"/>
        </w:rPr>
        <w:tab/>
      </w:r>
      <w:r w:rsidRPr="000B54E3">
        <w:rPr>
          <w:rFonts w:eastAsia="Calibri" w:cs="Times New Roman"/>
          <w:sz w:val="20"/>
          <w:szCs w:val="20"/>
          <w:u w:val="single"/>
        </w:rPr>
        <w:t>McLachlin C.J. and LeBel, Deschamps, Fish, Abella, Rothstein, Cromwell, Moldaver and Karakatsanis JJ.</w:t>
      </w:r>
    </w:p>
    <w:p w:rsidR="005F3456" w:rsidRDefault="005F3456" w:rsidP="005F3456">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5F3456" w:rsidRPr="00C50A5C" w:rsidTr="00027A88">
        <w:tc>
          <w:tcPr>
            <w:tcW w:w="4380" w:type="dxa"/>
            <w:tcMar>
              <w:left w:w="0" w:type="dxa"/>
              <w:right w:w="0" w:type="dxa"/>
            </w:tcMar>
          </w:tcPr>
          <w:p w:rsidR="00A5479D" w:rsidRPr="001E74A1" w:rsidRDefault="00A5479D" w:rsidP="00A5479D">
            <w:pPr>
              <w:jc w:val="both"/>
              <w:rPr>
                <w:rStyle w:val="SCCSsocChar"/>
                <w:b/>
                <w:i w:val="0"/>
                <w:lang w:val="fr-CA"/>
              </w:rPr>
            </w:pPr>
            <w:r w:rsidRPr="001E74A1">
              <w:rPr>
                <w:rStyle w:val="SCCSsocChar"/>
                <w:b/>
                <w:i w:val="0"/>
                <w:lang w:val="fr-CA"/>
              </w:rPr>
              <w:t xml:space="preserve">Cogeco Cable Inc. et al. </w:t>
            </w:r>
          </w:p>
          <w:p w:rsidR="00A5479D" w:rsidRPr="001E74A1" w:rsidRDefault="00A5479D" w:rsidP="00A5479D">
            <w:pPr>
              <w:jc w:val="both"/>
              <w:rPr>
                <w:rStyle w:val="SCCSsocChar"/>
                <w:b/>
                <w:i w:val="0"/>
                <w:lang w:val="fr-CA"/>
              </w:rPr>
            </w:pPr>
          </w:p>
          <w:p w:rsidR="00A5479D" w:rsidRDefault="00A5479D" w:rsidP="00A5479D">
            <w:pPr>
              <w:jc w:val="both"/>
              <w:rPr>
                <w:b/>
                <w:sz w:val="20"/>
                <w:szCs w:val="20"/>
              </w:rPr>
            </w:pPr>
            <w:r w:rsidRPr="001E74A1">
              <w:rPr>
                <w:rStyle w:val="SCCSsocChar"/>
                <w:b/>
                <w:i w:val="0"/>
                <w:lang w:val="fr-CA"/>
              </w:rPr>
              <w:tab/>
            </w:r>
            <w:r w:rsidRPr="000B54E3">
              <w:rPr>
                <w:rStyle w:val="SCCSsocChar"/>
                <w:b/>
                <w:i w:val="0"/>
              </w:rPr>
              <w:t xml:space="preserve">v. </w:t>
            </w:r>
            <w:r w:rsidRPr="000B54E3">
              <w:rPr>
                <w:rFonts w:eastAsia="Calibri" w:cs="Times New Roman"/>
                <w:b/>
                <w:sz w:val="20"/>
                <w:szCs w:val="20"/>
              </w:rPr>
              <w:t>(34231)</w:t>
            </w:r>
          </w:p>
          <w:p w:rsidR="00A5479D" w:rsidRDefault="00A5479D" w:rsidP="00A5479D">
            <w:pPr>
              <w:jc w:val="both"/>
              <w:rPr>
                <w:rStyle w:val="SCCSsocChar"/>
                <w:b/>
                <w:i w:val="0"/>
              </w:rPr>
            </w:pPr>
          </w:p>
          <w:p w:rsidR="005F3456" w:rsidRPr="00A5479D" w:rsidRDefault="00A5479D" w:rsidP="00A5479D">
            <w:pPr>
              <w:jc w:val="both"/>
              <w:rPr>
                <w:sz w:val="20"/>
                <w:szCs w:val="20"/>
              </w:rPr>
            </w:pPr>
            <w:r w:rsidRPr="000B54E3">
              <w:rPr>
                <w:rStyle w:val="SCCSsocChar"/>
                <w:b/>
                <w:i w:val="0"/>
              </w:rPr>
              <w:t>Bell Media Inc. et al.</w:t>
            </w:r>
            <w:r w:rsidRPr="000B54E3">
              <w:rPr>
                <w:rFonts w:eastAsia="Calibri" w:cs="Times New Roman"/>
                <w:b/>
                <w:sz w:val="20"/>
                <w:szCs w:val="20"/>
              </w:rPr>
              <w:t xml:space="preserve"> (F.C.) (Civil) (By Leave) </w:t>
            </w:r>
          </w:p>
        </w:tc>
        <w:tc>
          <w:tcPr>
            <w:tcW w:w="720" w:type="dxa"/>
            <w:tcMar>
              <w:left w:w="0" w:type="dxa"/>
              <w:right w:w="0" w:type="dxa"/>
            </w:tcMar>
          </w:tcPr>
          <w:p w:rsidR="005F3456" w:rsidRPr="00A5479D" w:rsidRDefault="005F3456" w:rsidP="00027A88">
            <w:pPr>
              <w:widowControl w:val="0"/>
              <w:jc w:val="center"/>
              <w:rPr>
                <w:sz w:val="20"/>
                <w:szCs w:val="20"/>
              </w:rPr>
            </w:pPr>
          </w:p>
        </w:tc>
        <w:tc>
          <w:tcPr>
            <w:tcW w:w="4380" w:type="dxa"/>
            <w:tcMar>
              <w:left w:w="0" w:type="dxa"/>
              <w:right w:w="0" w:type="dxa"/>
            </w:tcMar>
          </w:tcPr>
          <w:p w:rsidR="00B72580" w:rsidRPr="007A3185" w:rsidRDefault="00B72580" w:rsidP="00B72580">
            <w:pPr>
              <w:jc w:val="both"/>
              <w:rPr>
                <w:sz w:val="20"/>
                <w:szCs w:val="20"/>
              </w:rPr>
            </w:pPr>
            <w:r w:rsidRPr="007A3185">
              <w:rPr>
                <w:sz w:val="20"/>
                <w:szCs w:val="20"/>
              </w:rPr>
              <w:t>Gerald L. Kerr-Wilson</w:t>
            </w:r>
            <w:r>
              <w:rPr>
                <w:sz w:val="20"/>
                <w:szCs w:val="20"/>
              </w:rPr>
              <w:t xml:space="preserve"> and </w:t>
            </w:r>
            <w:r w:rsidRPr="007A3185">
              <w:rPr>
                <w:sz w:val="20"/>
                <w:szCs w:val="20"/>
              </w:rPr>
              <w:t>Ariel Thomas</w:t>
            </w:r>
            <w:r>
              <w:rPr>
                <w:sz w:val="20"/>
                <w:szCs w:val="20"/>
              </w:rPr>
              <w:t xml:space="preserve"> f</w:t>
            </w:r>
            <w:r w:rsidRPr="007A3185">
              <w:rPr>
                <w:sz w:val="20"/>
                <w:szCs w:val="20"/>
              </w:rPr>
              <w:t xml:space="preserve">or the </w:t>
            </w:r>
            <w:r>
              <w:rPr>
                <w:sz w:val="20"/>
                <w:szCs w:val="20"/>
              </w:rPr>
              <w:t>a</w:t>
            </w:r>
            <w:r w:rsidRPr="007A3185">
              <w:rPr>
                <w:sz w:val="20"/>
                <w:szCs w:val="20"/>
              </w:rPr>
              <w:t>ppellants</w:t>
            </w:r>
            <w:r>
              <w:rPr>
                <w:sz w:val="20"/>
                <w:szCs w:val="20"/>
              </w:rPr>
              <w:t xml:space="preserve"> </w:t>
            </w:r>
            <w:r w:rsidRPr="007A3185">
              <w:rPr>
                <w:sz w:val="20"/>
                <w:szCs w:val="20"/>
              </w:rPr>
              <w:t>Rogers Communications Inc. et al.</w:t>
            </w:r>
          </w:p>
          <w:p w:rsidR="00B72580" w:rsidRPr="007A3185" w:rsidRDefault="00B72580" w:rsidP="00B72580">
            <w:pPr>
              <w:jc w:val="both"/>
              <w:rPr>
                <w:sz w:val="20"/>
                <w:szCs w:val="20"/>
              </w:rPr>
            </w:pPr>
          </w:p>
          <w:p w:rsidR="00B72580" w:rsidRPr="007A3185" w:rsidRDefault="00B72580" w:rsidP="00B72580">
            <w:pPr>
              <w:jc w:val="both"/>
              <w:rPr>
                <w:sz w:val="20"/>
                <w:szCs w:val="20"/>
                <w:lang w:val="en-US"/>
              </w:rPr>
            </w:pPr>
            <w:r w:rsidRPr="007A3185">
              <w:rPr>
                <w:sz w:val="20"/>
                <w:szCs w:val="20"/>
                <w:lang w:val="en-US"/>
              </w:rPr>
              <w:t>Neil Finkelstein</w:t>
            </w:r>
            <w:r>
              <w:rPr>
                <w:sz w:val="20"/>
                <w:szCs w:val="20"/>
                <w:lang w:val="en-US"/>
              </w:rPr>
              <w:t xml:space="preserve">, </w:t>
            </w:r>
            <w:r w:rsidRPr="007A3185">
              <w:rPr>
                <w:sz w:val="20"/>
                <w:szCs w:val="20"/>
                <w:lang w:val="en-US"/>
              </w:rPr>
              <w:t>Steven G. Mason</w:t>
            </w:r>
            <w:r>
              <w:rPr>
                <w:sz w:val="20"/>
                <w:szCs w:val="20"/>
                <w:lang w:val="en-US"/>
              </w:rPr>
              <w:t xml:space="preserve"> and </w:t>
            </w:r>
            <w:r w:rsidRPr="007A3185">
              <w:rPr>
                <w:sz w:val="20"/>
                <w:szCs w:val="20"/>
                <w:lang w:val="en-US"/>
              </w:rPr>
              <w:t>Daniel G.C. Glover</w:t>
            </w:r>
            <w:r>
              <w:rPr>
                <w:sz w:val="20"/>
                <w:szCs w:val="20"/>
                <w:lang w:val="en-US"/>
              </w:rPr>
              <w:t xml:space="preserve"> f</w:t>
            </w:r>
            <w:r w:rsidRPr="007A3185">
              <w:rPr>
                <w:sz w:val="20"/>
                <w:szCs w:val="20"/>
                <w:lang w:val="en-US"/>
              </w:rPr>
              <w:t xml:space="preserve">or the </w:t>
            </w:r>
            <w:r>
              <w:rPr>
                <w:sz w:val="20"/>
                <w:szCs w:val="20"/>
                <w:lang w:val="en-US"/>
              </w:rPr>
              <w:t>a</w:t>
            </w:r>
            <w:r w:rsidRPr="007A3185">
              <w:rPr>
                <w:sz w:val="20"/>
                <w:szCs w:val="20"/>
                <w:lang w:val="en-US"/>
              </w:rPr>
              <w:t>ppellant</w:t>
            </w:r>
            <w:r>
              <w:rPr>
                <w:sz w:val="20"/>
                <w:szCs w:val="20"/>
                <w:lang w:val="en-US"/>
              </w:rPr>
              <w:t xml:space="preserve"> </w:t>
            </w:r>
            <w:r w:rsidRPr="007A3185">
              <w:rPr>
                <w:sz w:val="20"/>
                <w:szCs w:val="20"/>
                <w:lang w:val="en-US"/>
              </w:rPr>
              <w:t>Cogeco Cable Inc.</w:t>
            </w:r>
          </w:p>
          <w:p w:rsidR="00B72580" w:rsidRPr="007A3185" w:rsidRDefault="00B72580" w:rsidP="00B72580">
            <w:pPr>
              <w:jc w:val="both"/>
              <w:rPr>
                <w:sz w:val="20"/>
                <w:szCs w:val="20"/>
                <w:lang w:val="en-US"/>
              </w:rPr>
            </w:pPr>
          </w:p>
          <w:p w:rsidR="00B72580" w:rsidRPr="007A3185" w:rsidRDefault="00B72580" w:rsidP="00B72580">
            <w:pPr>
              <w:jc w:val="both"/>
              <w:rPr>
                <w:sz w:val="20"/>
                <w:szCs w:val="20"/>
              </w:rPr>
            </w:pPr>
            <w:r w:rsidRPr="007A3185">
              <w:rPr>
                <w:sz w:val="20"/>
                <w:szCs w:val="20"/>
                <w:lang w:val="en-US"/>
              </w:rPr>
              <w:t>Kent E. Thomson</w:t>
            </w:r>
            <w:r>
              <w:rPr>
                <w:sz w:val="20"/>
                <w:szCs w:val="20"/>
                <w:lang w:val="en-US"/>
              </w:rPr>
              <w:t xml:space="preserve">, </w:t>
            </w:r>
            <w:r w:rsidRPr="007A3185">
              <w:rPr>
                <w:sz w:val="20"/>
                <w:szCs w:val="20"/>
              </w:rPr>
              <w:t xml:space="preserve">James Doris and </w:t>
            </w:r>
            <w:r w:rsidRPr="007A3185">
              <w:rPr>
                <w:sz w:val="20"/>
                <w:szCs w:val="20"/>
                <w:lang w:val="en-US"/>
              </w:rPr>
              <w:t>Sarah Weingerten</w:t>
            </w:r>
            <w:r>
              <w:rPr>
                <w:sz w:val="20"/>
                <w:szCs w:val="20"/>
                <w:lang w:val="en-US"/>
              </w:rPr>
              <w:t xml:space="preserve"> f</w:t>
            </w:r>
            <w:r w:rsidRPr="007A3185">
              <w:rPr>
                <w:sz w:val="20"/>
                <w:szCs w:val="20"/>
                <w:lang w:val="en-US"/>
              </w:rPr>
              <w:t xml:space="preserve">or the </w:t>
            </w:r>
            <w:r>
              <w:rPr>
                <w:sz w:val="20"/>
                <w:szCs w:val="20"/>
                <w:lang w:val="en-US"/>
              </w:rPr>
              <w:t>a</w:t>
            </w:r>
            <w:r w:rsidRPr="007A3185">
              <w:rPr>
                <w:sz w:val="20"/>
                <w:szCs w:val="20"/>
                <w:lang w:val="en-US"/>
              </w:rPr>
              <w:t>ppellant</w:t>
            </w:r>
            <w:r>
              <w:rPr>
                <w:sz w:val="20"/>
                <w:szCs w:val="20"/>
                <w:lang w:val="en-US"/>
              </w:rPr>
              <w:t xml:space="preserve"> </w:t>
            </w:r>
            <w:r w:rsidRPr="007A3185">
              <w:rPr>
                <w:sz w:val="20"/>
                <w:szCs w:val="20"/>
              </w:rPr>
              <w:t>Shaw Communications Inc.</w:t>
            </w:r>
          </w:p>
          <w:p w:rsidR="00B72580" w:rsidRPr="007A3185" w:rsidRDefault="00B72580" w:rsidP="00B72580">
            <w:pPr>
              <w:jc w:val="both"/>
              <w:rPr>
                <w:sz w:val="20"/>
                <w:szCs w:val="20"/>
                <w:lang w:val="en-US"/>
              </w:rPr>
            </w:pPr>
          </w:p>
          <w:p w:rsidR="005F3456" w:rsidRPr="00B72580" w:rsidRDefault="00B72580" w:rsidP="00B72580">
            <w:pPr>
              <w:jc w:val="both"/>
              <w:rPr>
                <w:sz w:val="20"/>
                <w:szCs w:val="20"/>
                <w:lang w:val="en-US"/>
              </w:rPr>
            </w:pPr>
            <w:r w:rsidRPr="007A3185">
              <w:rPr>
                <w:sz w:val="20"/>
                <w:szCs w:val="20"/>
                <w:lang w:val="en-US"/>
              </w:rPr>
              <w:t>Benjamin Zarnett</w:t>
            </w:r>
            <w:r>
              <w:rPr>
                <w:sz w:val="20"/>
                <w:szCs w:val="20"/>
                <w:lang w:val="en-US"/>
              </w:rPr>
              <w:t xml:space="preserve">, </w:t>
            </w:r>
            <w:r w:rsidRPr="007A3185">
              <w:rPr>
                <w:sz w:val="20"/>
                <w:szCs w:val="20"/>
                <w:lang w:val="en-US"/>
              </w:rPr>
              <w:t>Robert Malcomson</w:t>
            </w:r>
            <w:r>
              <w:rPr>
                <w:sz w:val="20"/>
                <w:szCs w:val="20"/>
                <w:lang w:val="en-US"/>
              </w:rPr>
              <w:t xml:space="preserve">, </w:t>
            </w:r>
            <w:r w:rsidRPr="007A3185">
              <w:rPr>
                <w:sz w:val="20"/>
                <w:szCs w:val="20"/>
                <w:lang w:val="en-US"/>
              </w:rPr>
              <w:t>Peter Ruby</w:t>
            </w:r>
            <w:r>
              <w:rPr>
                <w:sz w:val="20"/>
                <w:szCs w:val="20"/>
                <w:lang w:val="en-US"/>
              </w:rPr>
              <w:t xml:space="preserve"> and </w:t>
            </w:r>
            <w:r w:rsidRPr="007A3185">
              <w:rPr>
                <w:sz w:val="20"/>
                <w:szCs w:val="20"/>
                <w:lang w:val="en-US"/>
              </w:rPr>
              <w:t>Julie Rosenthal</w:t>
            </w:r>
            <w:r>
              <w:rPr>
                <w:sz w:val="20"/>
                <w:szCs w:val="20"/>
                <w:lang w:val="en-US"/>
              </w:rPr>
              <w:t xml:space="preserve"> f</w:t>
            </w:r>
            <w:r w:rsidRPr="007A3185">
              <w:rPr>
                <w:sz w:val="20"/>
                <w:szCs w:val="20"/>
                <w:lang w:val="en-US"/>
              </w:rPr>
              <w:t xml:space="preserve">or the </w:t>
            </w:r>
            <w:r>
              <w:rPr>
                <w:sz w:val="20"/>
                <w:szCs w:val="20"/>
                <w:lang w:val="en-US"/>
              </w:rPr>
              <w:t>r</w:t>
            </w:r>
            <w:r w:rsidRPr="007A3185">
              <w:rPr>
                <w:sz w:val="20"/>
                <w:szCs w:val="20"/>
                <w:lang w:val="en-US"/>
              </w:rPr>
              <w:t>espondents</w:t>
            </w:r>
            <w:r>
              <w:rPr>
                <w:sz w:val="20"/>
                <w:szCs w:val="20"/>
                <w:lang w:val="en-US"/>
              </w:rPr>
              <w:t xml:space="preserve"> </w:t>
            </w:r>
            <w:r w:rsidRPr="007A3185">
              <w:rPr>
                <w:sz w:val="20"/>
                <w:szCs w:val="20"/>
                <w:lang w:val="en-US"/>
              </w:rPr>
              <w:t>Bell Media Inc. et al.</w:t>
            </w:r>
          </w:p>
        </w:tc>
      </w:tr>
    </w:tbl>
    <w:p w:rsidR="005F3456" w:rsidRDefault="005F3456" w:rsidP="005F3456">
      <w:pPr>
        <w:widowControl w:val="0"/>
      </w:pPr>
    </w:p>
    <w:p w:rsidR="005F3456" w:rsidRPr="0085476B" w:rsidRDefault="005F3456" w:rsidP="005F3456">
      <w:pPr>
        <w:widowControl w:val="0"/>
        <w:rPr>
          <w:sz w:val="20"/>
          <w:szCs w:val="20"/>
        </w:rPr>
      </w:pPr>
      <w:r w:rsidRPr="0085476B">
        <w:rPr>
          <w:b/>
          <w:sz w:val="20"/>
          <w:szCs w:val="20"/>
        </w:rPr>
        <w:t xml:space="preserve">RESERVED / </w:t>
      </w:r>
      <w:r w:rsidRPr="0085476B">
        <w:rPr>
          <w:b/>
          <w:sz w:val="20"/>
          <w:szCs w:val="20"/>
          <w:lang w:val="fr-CA"/>
        </w:rPr>
        <w:t>EN DÉLIBÉRÉ</w:t>
      </w:r>
    </w:p>
    <w:p w:rsidR="005F3456" w:rsidRDefault="005F3456" w:rsidP="005F3456"/>
    <w:tbl>
      <w:tblPr>
        <w:tblW w:w="0" w:type="auto"/>
        <w:tblLayout w:type="fixed"/>
        <w:tblCellMar>
          <w:left w:w="0" w:type="dxa"/>
          <w:right w:w="0" w:type="dxa"/>
        </w:tblCellMar>
        <w:tblLook w:val="0000"/>
      </w:tblPr>
      <w:tblGrid>
        <w:gridCol w:w="4380"/>
        <w:gridCol w:w="720"/>
        <w:gridCol w:w="4380"/>
      </w:tblGrid>
      <w:tr w:rsidR="005F3456" w:rsidRPr="006E4E0C" w:rsidTr="00027A88">
        <w:tc>
          <w:tcPr>
            <w:tcW w:w="4380" w:type="dxa"/>
            <w:tcMar>
              <w:left w:w="0" w:type="dxa"/>
              <w:right w:w="0" w:type="dxa"/>
            </w:tcMar>
          </w:tcPr>
          <w:p w:rsidR="005F3456" w:rsidRPr="00CC4D84" w:rsidRDefault="005F3456" w:rsidP="00027A88">
            <w:pPr>
              <w:widowControl w:val="0"/>
              <w:jc w:val="both"/>
              <w:rPr>
                <w:b/>
                <w:sz w:val="20"/>
                <w:szCs w:val="20"/>
                <w:u w:val="single"/>
              </w:rPr>
            </w:pPr>
            <w:r w:rsidRPr="00CC4D84">
              <w:rPr>
                <w:b/>
                <w:sz w:val="20"/>
                <w:szCs w:val="20"/>
                <w:u w:val="single"/>
              </w:rPr>
              <w:t>Nature of the case:</w:t>
            </w:r>
          </w:p>
          <w:p w:rsidR="005F3456" w:rsidRPr="00C1697B" w:rsidRDefault="005F3456" w:rsidP="00027A88">
            <w:pPr>
              <w:widowControl w:val="0"/>
              <w:jc w:val="both"/>
              <w:rPr>
                <w:b/>
                <w:sz w:val="20"/>
                <w:szCs w:val="20"/>
              </w:rPr>
            </w:pPr>
          </w:p>
          <w:p w:rsidR="005F3456" w:rsidRPr="00C1697B" w:rsidRDefault="00DC5F60" w:rsidP="00DC5F60">
            <w:pPr>
              <w:widowControl w:val="0"/>
              <w:jc w:val="both"/>
              <w:rPr>
                <w:b/>
                <w:sz w:val="20"/>
                <w:szCs w:val="20"/>
              </w:rPr>
            </w:pPr>
            <w:r w:rsidRPr="00B457A9">
              <w:rPr>
                <w:sz w:val="20"/>
                <w:szCs w:val="20"/>
              </w:rPr>
              <w:t xml:space="preserve">Communications law </w:t>
            </w:r>
            <w:r w:rsidRPr="00B457A9">
              <w:rPr>
                <w:sz w:val="20"/>
                <w:szCs w:val="20"/>
              </w:rPr>
              <w:noBreakHyphen/>
              <w:t xml:space="preserve"> Broadcasting </w:t>
            </w:r>
            <w:r w:rsidRPr="00B457A9">
              <w:rPr>
                <w:sz w:val="20"/>
                <w:szCs w:val="20"/>
              </w:rPr>
              <w:noBreakHyphen/>
              <w:t xml:space="preserve"> Broadcasting policy </w:t>
            </w:r>
            <w:r w:rsidRPr="00B457A9">
              <w:rPr>
                <w:sz w:val="20"/>
                <w:szCs w:val="20"/>
              </w:rPr>
              <w:noBreakHyphen/>
              <w:t xml:space="preserve"> Legislation </w:t>
            </w:r>
            <w:r w:rsidRPr="00B457A9">
              <w:rPr>
                <w:sz w:val="20"/>
                <w:szCs w:val="20"/>
              </w:rPr>
              <w:noBreakHyphen/>
              <w:t xml:space="preserve"> Interpretation </w:t>
            </w:r>
            <w:r w:rsidRPr="00B457A9">
              <w:rPr>
                <w:sz w:val="20"/>
                <w:szCs w:val="20"/>
              </w:rPr>
              <w:noBreakHyphen/>
              <w:t xml:space="preserve"> Conflicting legislation </w:t>
            </w:r>
            <w:r w:rsidRPr="00B457A9">
              <w:rPr>
                <w:sz w:val="20"/>
                <w:szCs w:val="20"/>
              </w:rPr>
              <w:noBreakHyphen/>
              <w:t xml:space="preserve"> Jurisdiction of Canadian Radio </w:t>
            </w:r>
            <w:r w:rsidRPr="00B457A9">
              <w:rPr>
                <w:sz w:val="20"/>
                <w:szCs w:val="20"/>
              </w:rPr>
              <w:noBreakHyphen/>
              <w:t xml:space="preserve"> Television and Telecommunications Commission (CRTC) </w:t>
            </w:r>
            <w:r w:rsidRPr="00B457A9">
              <w:rPr>
                <w:sz w:val="20"/>
                <w:szCs w:val="20"/>
              </w:rPr>
              <w:noBreakHyphen/>
              <w:t xml:space="preserve"> Whether CRTC empowered, pursuant to mandate under </w:t>
            </w:r>
            <w:r w:rsidRPr="00B457A9">
              <w:rPr>
                <w:i/>
                <w:sz w:val="20"/>
                <w:szCs w:val="20"/>
              </w:rPr>
              <w:t>Broadcasting Act</w:t>
            </w:r>
            <w:r w:rsidRPr="00B457A9">
              <w:rPr>
                <w:sz w:val="20"/>
                <w:szCs w:val="20"/>
              </w:rPr>
              <w:t xml:space="preserve">, to establish regime enabling private local television stations to negotiate with broadcasting distribution undertakings a fair value in exchange for distribution of programming services broadcast by local television stations </w:t>
            </w:r>
            <w:r w:rsidRPr="00B457A9">
              <w:rPr>
                <w:sz w:val="20"/>
                <w:szCs w:val="20"/>
              </w:rPr>
              <w:noBreakHyphen/>
              <w:t xml:space="preserve"> Whether value for signal regime proposed by CRTC necessarily conflicts with rights of broadcasting distribution undertakings under </w:t>
            </w:r>
            <w:r w:rsidRPr="00B457A9">
              <w:rPr>
                <w:i/>
                <w:sz w:val="20"/>
                <w:szCs w:val="20"/>
              </w:rPr>
              <w:t>Copyright Act</w:t>
            </w:r>
            <w:r w:rsidRPr="00B457A9">
              <w:rPr>
                <w:sz w:val="20"/>
                <w:szCs w:val="20"/>
              </w:rPr>
              <w:t xml:space="preserve"> </w:t>
            </w:r>
            <w:r w:rsidRPr="00B457A9">
              <w:rPr>
                <w:sz w:val="20"/>
                <w:szCs w:val="20"/>
              </w:rPr>
              <w:noBreakHyphen/>
              <w:t xml:space="preserve"> </w:t>
            </w:r>
            <w:r w:rsidRPr="00B457A9">
              <w:rPr>
                <w:i/>
                <w:sz w:val="20"/>
                <w:szCs w:val="20"/>
              </w:rPr>
              <w:t>Broadcasting Act</w:t>
            </w:r>
            <w:r w:rsidRPr="00B457A9">
              <w:rPr>
                <w:sz w:val="20"/>
                <w:szCs w:val="20"/>
              </w:rPr>
              <w:t xml:space="preserve">, S.C. 1991, c. 11, ss. 2(1), 3(1), 3(2), 5 </w:t>
            </w:r>
            <w:r w:rsidRPr="00B457A9">
              <w:rPr>
                <w:sz w:val="20"/>
                <w:szCs w:val="20"/>
              </w:rPr>
              <w:noBreakHyphen/>
              <w:t xml:space="preserve"> </w:t>
            </w:r>
            <w:r w:rsidRPr="00B457A9">
              <w:rPr>
                <w:i/>
                <w:sz w:val="20"/>
                <w:szCs w:val="20"/>
              </w:rPr>
              <w:t>Copyright Act</w:t>
            </w:r>
            <w:r w:rsidRPr="00B457A9">
              <w:rPr>
                <w:sz w:val="20"/>
                <w:szCs w:val="20"/>
              </w:rPr>
              <w:t>, R.S.C. 1985, c. C</w:t>
            </w:r>
            <w:r w:rsidRPr="00B457A9">
              <w:rPr>
                <w:sz w:val="20"/>
                <w:szCs w:val="20"/>
              </w:rPr>
              <w:noBreakHyphen/>
              <w:t>42, ss. 21, 31.</w:t>
            </w:r>
          </w:p>
        </w:tc>
        <w:tc>
          <w:tcPr>
            <w:tcW w:w="720" w:type="dxa"/>
            <w:tcMar>
              <w:left w:w="0" w:type="dxa"/>
              <w:right w:w="0" w:type="dxa"/>
            </w:tcMar>
          </w:tcPr>
          <w:p w:rsidR="005F3456" w:rsidRPr="00C1697B" w:rsidRDefault="005F3456" w:rsidP="00027A88">
            <w:pPr>
              <w:widowControl w:val="0"/>
              <w:jc w:val="center"/>
              <w:rPr>
                <w:sz w:val="20"/>
                <w:szCs w:val="20"/>
              </w:rPr>
            </w:pPr>
          </w:p>
        </w:tc>
        <w:tc>
          <w:tcPr>
            <w:tcW w:w="4380" w:type="dxa"/>
            <w:tcMar>
              <w:left w:w="0" w:type="dxa"/>
              <w:right w:w="0" w:type="dxa"/>
            </w:tcMar>
          </w:tcPr>
          <w:p w:rsidR="005F3456" w:rsidRPr="00CC4D84" w:rsidRDefault="005F3456" w:rsidP="00027A88">
            <w:pPr>
              <w:widowControl w:val="0"/>
              <w:jc w:val="both"/>
              <w:rPr>
                <w:b/>
                <w:sz w:val="20"/>
                <w:szCs w:val="20"/>
                <w:u w:val="single"/>
                <w:lang w:val="fr-CA"/>
              </w:rPr>
            </w:pPr>
            <w:r w:rsidRPr="00CC4D84">
              <w:rPr>
                <w:b/>
                <w:sz w:val="20"/>
                <w:szCs w:val="20"/>
                <w:u w:val="single"/>
                <w:lang w:val="fr-CA"/>
              </w:rPr>
              <w:t>Nature de la cause :</w:t>
            </w:r>
          </w:p>
          <w:p w:rsidR="005F3456" w:rsidRPr="00C1697B" w:rsidRDefault="005F3456" w:rsidP="00027A88">
            <w:pPr>
              <w:widowControl w:val="0"/>
              <w:jc w:val="both"/>
              <w:rPr>
                <w:sz w:val="20"/>
                <w:szCs w:val="20"/>
                <w:lang w:val="fr-CA"/>
              </w:rPr>
            </w:pPr>
          </w:p>
          <w:p w:rsidR="005F3456" w:rsidRPr="00C1697B" w:rsidRDefault="00DC5F60" w:rsidP="00027A88">
            <w:pPr>
              <w:widowControl w:val="0"/>
              <w:jc w:val="both"/>
              <w:rPr>
                <w:sz w:val="20"/>
                <w:szCs w:val="20"/>
                <w:lang w:val="fr-CA"/>
              </w:rPr>
            </w:pPr>
            <w:r w:rsidRPr="00550F1E">
              <w:rPr>
                <w:rFonts w:eastAsia="Calibri" w:cs="Times New Roman"/>
                <w:sz w:val="20"/>
                <w:szCs w:val="20"/>
                <w:lang w:val="fr-CA"/>
              </w:rPr>
              <w:t xml:space="preserve">Droit des communications </w:t>
            </w:r>
            <w:r w:rsidRPr="00550F1E">
              <w:rPr>
                <w:rFonts w:eastAsia="Calibri" w:cs="Times New Roman"/>
                <w:sz w:val="20"/>
                <w:szCs w:val="20"/>
                <w:lang w:val="fr-CA"/>
              </w:rPr>
              <w:noBreakHyphen/>
              <w:t xml:space="preserve"> Radiodiffusion </w:t>
            </w:r>
            <w:r w:rsidRPr="00550F1E">
              <w:rPr>
                <w:rFonts w:eastAsia="Calibri" w:cs="Times New Roman"/>
                <w:sz w:val="20"/>
                <w:szCs w:val="20"/>
                <w:lang w:val="fr-CA"/>
              </w:rPr>
              <w:noBreakHyphen/>
              <w:t xml:space="preserve"> Politique de radiodiffusion </w:t>
            </w:r>
            <w:r w:rsidRPr="00550F1E">
              <w:rPr>
                <w:rFonts w:eastAsia="Calibri" w:cs="Times New Roman"/>
                <w:sz w:val="20"/>
                <w:szCs w:val="20"/>
                <w:lang w:val="fr-CA"/>
              </w:rPr>
              <w:noBreakHyphen/>
              <w:t xml:space="preserve"> Législation </w:t>
            </w:r>
            <w:r w:rsidRPr="00550F1E">
              <w:rPr>
                <w:rFonts w:eastAsia="Calibri" w:cs="Times New Roman"/>
                <w:sz w:val="20"/>
                <w:szCs w:val="20"/>
                <w:lang w:val="fr-CA"/>
              </w:rPr>
              <w:noBreakHyphen/>
              <w:t xml:space="preserve"> Interprétation </w:t>
            </w:r>
            <w:r w:rsidRPr="00550F1E">
              <w:rPr>
                <w:rFonts w:eastAsia="Calibri" w:cs="Times New Roman"/>
                <w:sz w:val="20"/>
                <w:szCs w:val="20"/>
                <w:lang w:val="fr-CA"/>
              </w:rPr>
              <w:noBreakHyphen/>
              <w:t xml:space="preserve"> Loi incompatible </w:t>
            </w:r>
            <w:r w:rsidRPr="00550F1E">
              <w:rPr>
                <w:rFonts w:eastAsia="Calibri" w:cs="Times New Roman"/>
                <w:sz w:val="20"/>
                <w:szCs w:val="20"/>
                <w:lang w:val="fr-CA"/>
              </w:rPr>
              <w:noBreakHyphen/>
              <w:t xml:space="preserve"> Compétence du Conseil de la radiodiffusion et des télécommunications canadiennes (CRTC) </w:t>
            </w:r>
            <w:r w:rsidRPr="00550F1E">
              <w:rPr>
                <w:rFonts w:eastAsia="Calibri" w:cs="Times New Roman"/>
                <w:sz w:val="20"/>
                <w:szCs w:val="20"/>
                <w:lang w:val="fr-CA"/>
              </w:rPr>
              <w:noBreakHyphen/>
              <w:t xml:space="preserve"> Le CRTC a</w:t>
            </w:r>
            <w:r w:rsidRPr="00550F1E">
              <w:rPr>
                <w:rFonts w:eastAsia="Calibri" w:cs="Times New Roman"/>
                <w:sz w:val="20"/>
                <w:szCs w:val="20"/>
                <w:lang w:val="fr-CA"/>
              </w:rPr>
              <w:noBreakHyphen/>
              <w:t>t</w:t>
            </w:r>
            <w:r w:rsidRPr="00550F1E">
              <w:rPr>
                <w:rFonts w:eastAsia="Calibri" w:cs="Times New Roman"/>
                <w:sz w:val="20"/>
                <w:szCs w:val="20"/>
                <w:lang w:val="fr-CA"/>
              </w:rPr>
              <w:noBreakHyphen/>
              <w:t>il la compétence, en vertu du mandat que lui confère la </w:t>
            </w:r>
            <w:r w:rsidRPr="00550F1E">
              <w:rPr>
                <w:rFonts w:eastAsia="Calibri" w:cs="Times New Roman"/>
                <w:i/>
                <w:iCs/>
                <w:sz w:val="20"/>
                <w:szCs w:val="20"/>
                <w:lang w:val="fr-CA"/>
              </w:rPr>
              <w:t>Loi sur la radiodiffusion</w:t>
            </w:r>
            <w:r w:rsidRPr="00550F1E">
              <w:rPr>
                <w:rFonts w:eastAsia="Calibri" w:cs="Times New Roman"/>
                <w:sz w:val="20"/>
                <w:szCs w:val="20"/>
                <w:lang w:val="fr-CA"/>
              </w:rPr>
              <w:t xml:space="preserve">, pour établir un régime permettant aux stations privées de télévision locale de négocier avec les entreprises de distribution de radiodiffusion une juste valeur en échange de la distribution des services de programmation diffusée par ces stations de télévision locales? </w:t>
            </w:r>
            <w:r w:rsidRPr="00550F1E">
              <w:rPr>
                <w:rFonts w:eastAsia="Calibri" w:cs="Times New Roman"/>
                <w:sz w:val="20"/>
                <w:szCs w:val="20"/>
                <w:lang w:val="fr-CA"/>
              </w:rPr>
              <w:noBreakHyphen/>
              <w:t xml:space="preserve"> Le régime de compensation pour la valeur des signaux proposé par le CRTC entrerait</w:t>
            </w:r>
            <w:r w:rsidRPr="00550F1E">
              <w:rPr>
                <w:rFonts w:eastAsia="Calibri" w:cs="Times New Roman"/>
                <w:sz w:val="20"/>
                <w:szCs w:val="20"/>
                <w:lang w:val="fr-CA"/>
              </w:rPr>
              <w:noBreakHyphen/>
              <w:t>il nécessairement en conflit avec les droits conférés aux entreprises de distribution de radiodiffusion en vertu de la</w:t>
            </w:r>
            <w:r w:rsidRPr="00550F1E">
              <w:rPr>
                <w:rFonts w:eastAsia="Calibri" w:cs="Times New Roman"/>
                <w:i/>
                <w:sz w:val="20"/>
                <w:szCs w:val="20"/>
                <w:lang w:val="fr-CA"/>
              </w:rPr>
              <w:t xml:space="preserve"> Loi sur le droit d’auteur</w:t>
            </w:r>
            <w:r w:rsidRPr="00550F1E">
              <w:rPr>
                <w:rFonts w:eastAsia="Calibri" w:cs="Times New Roman"/>
                <w:sz w:val="20"/>
                <w:szCs w:val="20"/>
                <w:lang w:val="fr-CA"/>
              </w:rPr>
              <w:t>?</w:t>
            </w:r>
            <w:r w:rsidRPr="00550F1E">
              <w:rPr>
                <w:rFonts w:eastAsia="Calibri" w:cs="Times New Roman"/>
                <w:i/>
                <w:sz w:val="20"/>
                <w:szCs w:val="20"/>
                <w:lang w:val="fr-CA"/>
              </w:rPr>
              <w:t xml:space="preserve"> </w:t>
            </w:r>
            <w:r w:rsidRPr="00550F1E">
              <w:rPr>
                <w:rFonts w:eastAsia="Calibri" w:cs="Times New Roman"/>
                <w:sz w:val="20"/>
                <w:szCs w:val="20"/>
                <w:lang w:val="fr-CA"/>
              </w:rPr>
              <w:noBreakHyphen/>
            </w:r>
            <w:r w:rsidRPr="00550F1E">
              <w:rPr>
                <w:rFonts w:eastAsia="Calibri" w:cs="Times New Roman"/>
                <w:i/>
                <w:sz w:val="20"/>
                <w:szCs w:val="20"/>
                <w:lang w:val="fr-CA"/>
              </w:rPr>
              <w:t xml:space="preserve"> Loi sur la radiodiffusion</w:t>
            </w:r>
            <w:r w:rsidRPr="00550F1E">
              <w:rPr>
                <w:rFonts w:eastAsia="Calibri" w:cs="Times New Roman"/>
                <w:sz w:val="20"/>
                <w:szCs w:val="20"/>
                <w:lang w:val="fr-CA"/>
              </w:rPr>
              <w:t xml:space="preserve">, L.C. 1991, ch. 11, art. 2(1), 3(1), 3(2), 5 </w:t>
            </w:r>
            <w:r w:rsidRPr="00550F1E">
              <w:rPr>
                <w:rFonts w:eastAsia="Calibri" w:cs="Times New Roman"/>
                <w:sz w:val="20"/>
                <w:szCs w:val="20"/>
                <w:lang w:val="fr-CA"/>
              </w:rPr>
              <w:noBreakHyphen/>
            </w:r>
            <w:r w:rsidRPr="00550F1E">
              <w:rPr>
                <w:rFonts w:eastAsia="Calibri" w:cs="Times New Roman"/>
                <w:i/>
                <w:sz w:val="20"/>
                <w:szCs w:val="20"/>
                <w:lang w:val="fr-CA"/>
              </w:rPr>
              <w:t xml:space="preserve"> Loi sur le droit d’auteur</w:t>
            </w:r>
            <w:r w:rsidRPr="00550F1E">
              <w:rPr>
                <w:rFonts w:eastAsia="Calibri" w:cs="Times New Roman"/>
                <w:sz w:val="20"/>
                <w:szCs w:val="20"/>
                <w:lang w:val="fr-CA"/>
              </w:rPr>
              <w:t>, L.R.C. 1985, ch. C</w:t>
            </w:r>
            <w:r w:rsidRPr="00550F1E">
              <w:rPr>
                <w:rFonts w:eastAsia="Calibri" w:cs="Times New Roman"/>
                <w:sz w:val="20"/>
                <w:szCs w:val="20"/>
                <w:lang w:val="fr-CA"/>
              </w:rPr>
              <w:noBreakHyphen/>
              <w:t>42, art. 21, 31.</w:t>
            </w:r>
          </w:p>
        </w:tc>
      </w:tr>
    </w:tbl>
    <w:p w:rsidR="005F3456" w:rsidRDefault="005F3456" w:rsidP="005F3456">
      <w:pPr>
        <w:widowControl w:val="0"/>
        <w:rPr>
          <w:sz w:val="20"/>
          <w:szCs w:val="20"/>
          <w:lang w:val="fr-CA"/>
        </w:rPr>
      </w:pPr>
    </w:p>
    <w:p w:rsidR="005F3456" w:rsidRDefault="00A3677B" w:rsidP="005F3456">
      <w:pPr>
        <w:widowControl w:val="0"/>
        <w:rPr>
          <w:sz w:val="20"/>
          <w:szCs w:val="20"/>
        </w:rPr>
      </w:pPr>
      <w:r w:rsidRPr="00A3677B">
        <w:rPr>
          <w:sz w:val="20"/>
          <w:szCs w:val="20"/>
          <w:lang w:val="fr-CA"/>
        </w:rPr>
        <w:pict>
          <v:rect id="_x0000_i1057" style="width:2in;height:1pt" o:hrpct="0" o:hralign="center" o:hrstd="t" o:hrnoshade="t" o:hr="t" fillcolor="black [3213]" stroked="f"/>
        </w:pict>
      </w:r>
    </w:p>
    <w:p w:rsidR="005F3456" w:rsidRDefault="005F3456" w:rsidP="005F3456">
      <w:pPr>
        <w:widowControl w:val="0"/>
        <w:rPr>
          <w:sz w:val="20"/>
          <w:szCs w:val="20"/>
        </w:rPr>
      </w:pPr>
    </w:p>
    <w:p w:rsidR="005F3456" w:rsidRPr="00C50A5C" w:rsidRDefault="005F3456" w:rsidP="005F3456">
      <w:pPr>
        <w:widowControl w:val="0"/>
        <w:rPr>
          <w:sz w:val="20"/>
          <w:szCs w:val="20"/>
        </w:rPr>
      </w:pPr>
      <w:r>
        <w:rPr>
          <w:sz w:val="20"/>
          <w:szCs w:val="20"/>
        </w:rPr>
        <w:t>1</w:t>
      </w:r>
      <w:r w:rsidR="00220143">
        <w:rPr>
          <w:sz w:val="20"/>
          <w:szCs w:val="20"/>
        </w:rPr>
        <w:t>8</w:t>
      </w:r>
      <w:r w:rsidRPr="00C50A5C">
        <w:rPr>
          <w:sz w:val="20"/>
          <w:szCs w:val="20"/>
        </w:rPr>
        <w:t>.0</w:t>
      </w:r>
      <w:r>
        <w:rPr>
          <w:sz w:val="20"/>
          <w:szCs w:val="20"/>
        </w:rPr>
        <w:t>4</w:t>
      </w:r>
      <w:r w:rsidRPr="00C50A5C">
        <w:rPr>
          <w:sz w:val="20"/>
          <w:szCs w:val="20"/>
        </w:rPr>
        <w:t>.201</w:t>
      </w:r>
      <w:r>
        <w:rPr>
          <w:sz w:val="20"/>
          <w:szCs w:val="20"/>
        </w:rPr>
        <w:t>2</w:t>
      </w:r>
    </w:p>
    <w:p w:rsidR="005F3456" w:rsidRDefault="005F3456" w:rsidP="005F3456">
      <w:pPr>
        <w:widowControl w:val="0"/>
        <w:rPr>
          <w:sz w:val="20"/>
          <w:szCs w:val="20"/>
        </w:rPr>
      </w:pPr>
    </w:p>
    <w:p w:rsidR="00A5479D" w:rsidRPr="00DB66A1" w:rsidRDefault="00A5479D" w:rsidP="00A5479D">
      <w:pPr>
        <w:widowControl w:val="0"/>
        <w:ind w:left="720" w:right="-180" w:hanging="720"/>
        <w:rPr>
          <w:rFonts w:eastAsia="Calibri" w:cs="Times New Roman"/>
          <w:sz w:val="20"/>
          <w:szCs w:val="20"/>
          <w:u w:val="single"/>
        </w:rPr>
      </w:pPr>
      <w:r w:rsidRPr="00DB66A1">
        <w:rPr>
          <w:rFonts w:eastAsia="Calibri" w:cs="Times New Roman"/>
          <w:sz w:val="20"/>
          <w:szCs w:val="20"/>
        </w:rPr>
        <w:t xml:space="preserve">Coram: </w:t>
      </w:r>
      <w:r w:rsidRPr="00DB66A1">
        <w:rPr>
          <w:rFonts w:eastAsia="Calibri" w:cs="Times New Roman"/>
          <w:sz w:val="20"/>
          <w:szCs w:val="20"/>
        </w:rPr>
        <w:tab/>
      </w:r>
      <w:r w:rsidRPr="00DB66A1">
        <w:rPr>
          <w:rFonts w:eastAsia="Calibri" w:cs="Times New Roman"/>
          <w:sz w:val="20"/>
          <w:szCs w:val="20"/>
          <w:u w:val="single"/>
        </w:rPr>
        <w:t>McLachlin C.J. and LeBel, Deschamps, Abella, Rothstein, Cromwell and Moldaver JJ.</w:t>
      </w:r>
    </w:p>
    <w:p w:rsidR="005F3456" w:rsidRDefault="005F3456" w:rsidP="005F3456">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5F3456" w:rsidRPr="00C50A5C" w:rsidTr="00027A88">
        <w:tc>
          <w:tcPr>
            <w:tcW w:w="4380" w:type="dxa"/>
            <w:tcMar>
              <w:left w:w="0" w:type="dxa"/>
              <w:right w:w="0" w:type="dxa"/>
            </w:tcMar>
          </w:tcPr>
          <w:p w:rsidR="00A5479D" w:rsidRDefault="00A5479D" w:rsidP="00027A88">
            <w:pPr>
              <w:widowControl w:val="0"/>
              <w:jc w:val="both"/>
              <w:rPr>
                <w:rStyle w:val="SCCSsocChar"/>
                <w:b/>
                <w:i w:val="0"/>
              </w:rPr>
            </w:pPr>
            <w:r w:rsidRPr="00DB66A1">
              <w:rPr>
                <w:rStyle w:val="SCCSsocChar"/>
                <w:b/>
                <w:i w:val="0"/>
              </w:rPr>
              <w:t xml:space="preserve">Teva Canada Limited </w:t>
            </w:r>
          </w:p>
          <w:p w:rsidR="00A5479D" w:rsidRDefault="00A5479D" w:rsidP="00027A88">
            <w:pPr>
              <w:widowControl w:val="0"/>
              <w:jc w:val="both"/>
              <w:rPr>
                <w:rStyle w:val="SCCSsocChar"/>
                <w:b/>
                <w:i w:val="0"/>
              </w:rPr>
            </w:pPr>
          </w:p>
          <w:p w:rsidR="00A5479D" w:rsidRPr="001E74A1" w:rsidRDefault="00A5479D" w:rsidP="00027A88">
            <w:pPr>
              <w:widowControl w:val="0"/>
              <w:jc w:val="both"/>
              <w:rPr>
                <w:rStyle w:val="SCCSsocChar"/>
                <w:b/>
                <w:i w:val="0"/>
              </w:rPr>
            </w:pPr>
            <w:r w:rsidRPr="001E74A1">
              <w:rPr>
                <w:rStyle w:val="SCCSsocChar"/>
                <w:b/>
                <w:i w:val="0"/>
              </w:rPr>
              <w:tab/>
              <w:t xml:space="preserve">v. </w:t>
            </w:r>
            <w:r w:rsidRPr="00DB66A1">
              <w:rPr>
                <w:rFonts w:eastAsia="Calibri" w:cs="Times New Roman"/>
                <w:b/>
                <w:sz w:val="20"/>
                <w:szCs w:val="20"/>
              </w:rPr>
              <w:t>(33951)</w:t>
            </w:r>
          </w:p>
          <w:p w:rsidR="00A5479D" w:rsidRPr="001E74A1" w:rsidRDefault="00A5479D" w:rsidP="00027A88">
            <w:pPr>
              <w:widowControl w:val="0"/>
              <w:jc w:val="both"/>
              <w:rPr>
                <w:rStyle w:val="SCCSsocChar"/>
                <w:b/>
                <w:i w:val="0"/>
              </w:rPr>
            </w:pPr>
          </w:p>
          <w:p w:rsidR="005F3456" w:rsidRPr="00A5479D" w:rsidRDefault="00A5479D" w:rsidP="00A5479D">
            <w:pPr>
              <w:widowControl w:val="0"/>
              <w:jc w:val="both"/>
              <w:rPr>
                <w:sz w:val="20"/>
                <w:szCs w:val="20"/>
              </w:rPr>
            </w:pPr>
            <w:r w:rsidRPr="001E74A1">
              <w:rPr>
                <w:rStyle w:val="SCCSsocChar"/>
                <w:b/>
                <w:i w:val="0"/>
              </w:rPr>
              <w:t>Pfizer Canada Inc. et al.</w:t>
            </w:r>
            <w:r w:rsidRPr="001E74A1">
              <w:rPr>
                <w:rStyle w:val="SCCSsocChar"/>
                <w:b/>
              </w:rPr>
              <w:t xml:space="preserve"> </w:t>
            </w:r>
            <w:r w:rsidRPr="00DB66A1">
              <w:rPr>
                <w:rFonts w:eastAsia="Calibri" w:cs="Times New Roman"/>
                <w:b/>
                <w:sz w:val="20"/>
                <w:szCs w:val="20"/>
              </w:rPr>
              <w:t xml:space="preserve">(F.C.) (Civil) (By Leave) </w:t>
            </w:r>
          </w:p>
        </w:tc>
        <w:tc>
          <w:tcPr>
            <w:tcW w:w="720" w:type="dxa"/>
            <w:tcMar>
              <w:left w:w="0" w:type="dxa"/>
              <w:right w:w="0" w:type="dxa"/>
            </w:tcMar>
          </w:tcPr>
          <w:p w:rsidR="005F3456" w:rsidRPr="00A5479D" w:rsidRDefault="005F3456" w:rsidP="00027A88">
            <w:pPr>
              <w:widowControl w:val="0"/>
              <w:jc w:val="center"/>
              <w:rPr>
                <w:sz w:val="20"/>
                <w:szCs w:val="20"/>
              </w:rPr>
            </w:pPr>
          </w:p>
        </w:tc>
        <w:tc>
          <w:tcPr>
            <w:tcW w:w="4380" w:type="dxa"/>
            <w:tcMar>
              <w:left w:w="0" w:type="dxa"/>
              <w:right w:w="0" w:type="dxa"/>
            </w:tcMar>
          </w:tcPr>
          <w:p w:rsidR="000603AB" w:rsidRPr="00DE545F" w:rsidRDefault="000603AB" w:rsidP="000603AB">
            <w:pPr>
              <w:jc w:val="both"/>
              <w:rPr>
                <w:sz w:val="20"/>
                <w:szCs w:val="20"/>
              </w:rPr>
            </w:pPr>
            <w:r w:rsidRPr="00DE545F">
              <w:rPr>
                <w:sz w:val="20"/>
                <w:szCs w:val="20"/>
              </w:rPr>
              <w:t>David W. Aitken</w:t>
            </w:r>
            <w:r>
              <w:rPr>
                <w:sz w:val="20"/>
                <w:szCs w:val="20"/>
              </w:rPr>
              <w:t xml:space="preserve">, </w:t>
            </w:r>
            <w:r w:rsidRPr="00DE545F">
              <w:rPr>
                <w:sz w:val="20"/>
                <w:szCs w:val="20"/>
              </w:rPr>
              <w:t>Marcus Klee</w:t>
            </w:r>
            <w:r>
              <w:rPr>
                <w:sz w:val="20"/>
                <w:szCs w:val="20"/>
              </w:rPr>
              <w:t xml:space="preserve"> and </w:t>
            </w:r>
            <w:r w:rsidRPr="00DE545F">
              <w:rPr>
                <w:sz w:val="20"/>
                <w:szCs w:val="20"/>
              </w:rPr>
              <w:t>Ildiko Mehes</w:t>
            </w:r>
            <w:r>
              <w:rPr>
                <w:sz w:val="20"/>
                <w:szCs w:val="20"/>
              </w:rPr>
              <w:t xml:space="preserve"> f</w:t>
            </w:r>
            <w:r w:rsidRPr="00DE545F">
              <w:rPr>
                <w:sz w:val="20"/>
                <w:szCs w:val="20"/>
              </w:rPr>
              <w:t xml:space="preserve">or the </w:t>
            </w:r>
            <w:r>
              <w:rPr>
                <w:sz w:val="20"/>
                <w:szCs w:val="20"/>
              </w:rPr>
              <w:t>a</w:t>
            </w:r>
            <w:r w:rsidRPr="00DE545F">
              <w:rPr>
                <w:sz w:val="20"/>
                <w:szCs w:val="20"/>
              </w:rPr>
              <w:t>ppellant.</w:t>
            </w:r>
          </w:p>
          <w:p w:rsidR="000603AB" w:rsidRPr="00DE545F" w:rsidRDefault="000603AB" w:rsidP="000603AB">
            <w:pPr>
              <w:jc w:val="both"/>
              <w:rPr>
                <w:sz w:val="20"/>
                <w:szCs w:val="20"/>
              </w:rPr>
            </w:pPr>
          </w:p>
          <w:p w:rsidR="000603AB" w:rsidRPr="00DE545F" w:rsidRDefault="000603AB" w:rsidP="000603AB">
            <w:pPr>
              <w:jc w:val="both"/>
              <w:rPr>
                <w:sz w:val="20"/>
                <w:szCs w:val="20"/>
              </w:rPr>
            </w:pPr>
            <w:r w:rsidRPr="00DE545F">
              <w:rPr>
                <w:sz w:val="20"/>
                <w:szCs w:val="20"/>
              </w:rPr>
              <w:t>Jonathan Stainsby</w:t>
            </w:r>
            <w:r>
              <w:rPr>
                <w:sz w:val="20"/>
                <w:szCs w:val="20"/>
              </w:rPr>
              <w:t xml:space="preserve"> and </w:t>
            </w:r>
            <w:r w:rsidRPr="00DE545F">
              <w:rPr>
                <w:sz w:val="20"/>
                <w:szCs w:val="20"/>
              </w:rPr>
              <w:t>Andrew Skodyn</w:t>
            </w:r>
            <w:r>
              <w:rPr>
                <w:sz w:val="20"/>
                <w:szCs w:val="20"/>
              </w:rPr>
              <w:t xml:space="preserve"> f</w:t>
            </w:r>
            <w:r w:rsidRPr="00DE545F">
              <w:rPr>
                <w:sz w:val="20"/>
                <w:szCs w:val="20"/>
              </w:rPr>
              <w:t xml:space="preserve">or the </w:t>
            </w:r>
            <w:r>
              <w:rPr>
                <w:sz w:val="20"/>
                <w:szCs w:val="20"/>
              </w:rPr>
              <w:t>i</w:t>
            </w:r>
            <w:r w:rsidRPr="00DE545F">
              <w:rPr>
                <w:sz w:val="20"/>
                <w:szCs w:val="20"/>
              </w:rPr>
              <w:t>ntervener</w:t>
            </w:r>
            <w:r>
              <w:rPr>
                <w:sz w:val="20"/>
                <w:szCs w:val="20"/>
              </w:rPr>
              <w:t xml:space="preserve"> </w:t>
            </w:r>
            <w:r w:rsidRPr="00DE545F">
              <w:rPr>
                <w:sz w:val="20"/>
                <w:szCs w:val="20"/>
              </w:rPr>
              <w:t>Canadian Generic Pharmaceutical Association</w:t>
            </w:r>
            <w:r>
              <w:rPr>
                <w:sz w:val="20"/>
                <w:szCs w:val="20"/>
              </w:rPr>
              <w:t>.</w:t>
            </w:r>
          </w:p>
          <w:p w:rsidR="000603AB" w:rsidRPr="00DE545F" w:rsidRDefault="000603AB" w:rsidP="000603AB">
            <w:pPr>
              <w:jc w:val="both"/>
              <w:rPr>
                <w:sz w:val="20"/>
                <w:szCs w:val="20"/>
              </w:rPr>
            </w:pPr>
          </w:p>
          <w:p w:rsidR="000603AB" w:rsidRPr="00DE545F" w:rsidRDefault="000603AB" w:rsidP="000603AB">
            <w:pPr>
              <w:jc w:val="both"/>
              <w:rPr>
                <w:sz w:val="20"/>
                <w:szCs w:val="20"/>
              </w:rPr>
            </w:pPr>
            <w:r w:rsidRPr="00DE545F">
              <w:rPr>
                <w:sz w:val="20"/>
                <w:szCs w:val="20"/>
              </w:rPr>
              <w:t>Andrew Shaughnessy</w:t>
            </w:r>
            <w:r>
              <w:rPr>
                <w:sz w:val="20"/>
                <w:szCs w:val="20"/>
              </w:rPr>
              <w:t xml:space="preserve">, </w:t>
            </w:r>
            <w:r w:rsidRPr="00DE545F">
              <w:rPr>
                <w:sz w:val="20"/>
                <w:szCs w:val="20"/>
              </w:rPr>
              <w:t>Andrew Bernstein</w:t>
            </w:r>
            <w:r>
              <w:rPr>
                <w:sz w:val="20"/>
                <w:szCs w:val="20"/>
              </w:rPr>
              <w:t xml:space="preserve"> and </w:t>
            </w:r>
            <w:r w:rsidRPr="00DE545F">
              <w:rPr>
                <w:sz w:val="20"/>
                <w:szCs w:val="20"/>
              </w:rPr>
              <w:t>Yael Bienenstock</w:t>
            </w:r>
            <w:r>
              <w:rPr>
                <w:sz w:val="20"/>
                <w:szCs w:val="20"/>
              </w:rPr>
              <w:t xml:space="preserve"> f</w:t>
            </w:r>
            <w:r w:rsidRPr="00DE545F">
              <w:rPr>
                <w:sz w:val="20"/>
                <w:szCs w:val="20"/>
              </w:rPr>
              <w:t xml:space="preserve">or the </w:t>
            </w:r>
            <w:r>
              <w:rPr>
                <w:sz w:val="20"/>
                <w:szCs w:val="20"/>
              </w:rPr>
              <w:t>r</w:t>
            </w:r>
            <w:r w:rsidRPr="00DE545F">
              <w:rPr>
                <w:sz w:val="20"/>
                <w:szCs w:val="20"/>
              </w:rPr>
              <w:t>espondent.</w:t>
            </w:r>
          </w:p>
          <w:p w:rsidR="000603AB" w:rsidRPr="00DE545F" w:rsidRDefault="000603AB" w:rsidP="000603AB">
            <w:pPr>
              <w:jc w:val="both"/>
              <w:rPr>
                <w:sz w:val="20"/>
                <w:szCs w:val="20"/>
              </w:rPr>
            </w:pPr>
          </w:p>
          <w:p w:rsidR="005F3456" w:rsidRPr="00C50A5C" w:rsidRDefault="000603AB" w:rsidP="000603AB">
            <w:pPr>
              <w:widowControl w:val="0"/>
              <w:jc w:val="both"/>
              <w:rPr>
                <w:sz w:val="20"/>
                <w:szCs w:val="20"/>
              </w:rPr>
            </w:pPr>
            <w:r w:rsidRPr="00DE545F">
              <w:rPr>
                <w:sz w:val="20"/>
                <w:szCs w:val="20"/>
              </w:rPr>
              <w:t>Patrick S. Smith</w:t>
            </w:r>
            <w:r>
              <w:rPr>
                <w:sz w:val="20"/>
                <w:szCs w:val="20"/>
              </w:rPr>
              <w:t xml:space="preserve"> and </w:t>
            </w:r>
            <w:r w:rsidRPr="00DE545F">
              <w:rPr>
                <w:sz w:val="20"/>
                <w:szCs w:val="20"/>
              </w:rPr>
              <w:t>Jane E. Clark</w:t>
            </w:r>
            <w:r>
              <w:rPr>
                <w:sz w:val="20"/>
                <w:szCs w:val="20"/>
              </w:rPr>
              <w:t xml:space="preserve"> f</w:t>
            </w:r>
            <w:r w:rsidRPr="00DE545F">
              <w:rPr>
                <w:sz w:val="20"/>
                <w:szCs w:val="20"/>
              </w:rPr>
              <w:t xml:space="preserve">or the </w:t>
            </w:r>
            <w:r>
              <w:rPr>
                <w:sz w:val="20"/>
                <w:szCs w:val="20"/>
              </w:rPr>
              <w:t>i</w:t>
            </w:r>
            <w:r w:rsidRPr="00DE545F">
              <w:rPr>
                <w:sz w:val="20"/>
                <w:szCs w:val="20"/>
              </w:rPr>
              <w:t>ntervener</w:t>
            </w:r>
            <w:r>
              <w:rPr>
                <w:sz w:val="20"/>
                <w:szCs w:val="20"/>
              </w:rPr>
              <w:t xml:space="preserve"> </w:t>
            </w:r>
            <w:r w:rsidRPr="00DE545F">
              <w:rPr>
                <w:sz w:val="20"/>
                <w:szCs w:val="20"/>
              </w:rPr>
              <w:t>Canada’s Research-Based Pharmaceutical Companies</w:t>
            </w:r>
            <w:r>
              <w:rPr>
                <w:sz w:val="20"/>
                <w:szCs w:val="20"/>
              </w:rPr>
              <w:t>.</w:t>
            </w:r>
          </w:p>
        </w:tc>
      </w:tr>
    </w:tbl>
    <w:p w:rsidR="005F3456" w:rsidRDefault="005F3456" w:rsidP="005F3456">
      <w:pPr>
        <w:widowControl w:val="0"/>
      </w:pPr>
    </w:p>
    <w:p w:rsidR="005F3456" w:rsidRPr="0085476B" w:rsidRDefault="005F3456" w:rsidP="005F3456">
      <w:pPr>
        <w:widowControl w:val="0"/>
        <w:rPr>
          <w:sz w:val="20"/>
          <w:szCs w:val="20"/>
        </w:rPr>
      </w:pPr>
      <w:r w:rsidRPr="0085476B">
        <w:rPr>
          <w:b/>
          <w:sz w:val="20"/>
          <w:szCs w:val="20"/>
        </w:rPr>
        <w:t xml:space="preserve">RESERVED / </w:t>
      </w:r>
      <w:r w:rsidRPr="0085476B">
        <w:rPr>
          <w:b/>
          <w:sz w:val="20"/>
          <w:szCs w:val="20"/>
          <w:lang w:val="fr-CA"/>
        </w:rPr>
        <w:t>EN DÉLIBÉRÉ</w:t>
      </w:r>
    </w:p>
    <w:p w:rsidR="005F3456" w:rsidRDefault="005F3456" w:rsidP="005F3456"/>
    <w:tbl>
      <w:tblPr>
        <w:tblW w:w="0" w:type="auto"/>
        <w:tblLayout w:type="fixed"/>
        <w:tblCellMar>
          <w:left w:w="0" w:type="dxa"/>
          <w:right w:w="0" w:type="dxa"/>
        </w:tblCellMar>
        <w:tblLook w:val="0000"/>
      </w:tblPr>
      <w:tblGrid>
        <w:gridCol w:w="4380"/>
        <w:gridCol w:w="720"/>
        <w:gridCol w:w="4380"/>
      </w:tblGrid>
      <w:tr w:rsidR="005F3456" w:rsidRPr="006B3AEE" w:rsidTr="00027A88">
        <w:tc>
          <w:tcPr>
            <w:tcW w:w="4380" w:type="dxa"/>
            <w:tcMar>
              <w:left w:w="0" w:type="dxa"/>
              <w:right w:w="0" w:type="dxa"/>
            </w:tcMar>
          </w:tcPr>
          <w:p w:rsidR="005F3456" w:rsidRPr="00CC4D84" w:rsidRDefault="005F3456" w:rsidP="00027A88">
            <w:pPr>
              <w:widowControl w:val="0"/>
              <w:jc w:val="both"/>
              <w:rPr>
                <w:b/>
                <w:sz w:val="20"/>
                <w:szCs w:val="20"/>
                <w:u w:val="single"/>
              </w:rPr>
            </w:pPr>
            <w:r w:rsidRPr="00CC4D84">
              <w:rPr>
                <w:b/>
                <w:sz w:val="20"/>
                <w:szCs w:val="20"/>
                <w:u w:val="single"/>
              </w:rPr>
              <w:t>Nature of the case:</w:t>
            </w:r>
          </w:p>
          <w:p w:rsidR="005F3456" w:rsidRPr="00C1697B" w:rsidRDefault="005F3456" w:rsidP="00027A88">
            <w:pPr>
              <w:widowControl w:val="0"/>
              <w:jc w:val="both"/>
              <w:rPr>
                <w:b/>
                <w:sz w:val="20"/>
                <w:szCs w:val="20"/>
              </w:rPr>
            </w:pPr>
          </w:p>
          <w:p w:rsidR="005F3456" w:rsidRPr="00C1697B" w:rsidRDefault="0045318E" w:rsidP="00027A88">
            <w:pPr>
              <w:widowControl w:val="0"/>
              <w:jc w:val="both"/>
              <w:rPr>
                <w:b/>
                <w:sz w:val="20"/>
                <w:szCs w:val="20"/>
              </w:rPr>
            </w:pPr>
            <w:r w:rsidRPr="009223BB">
              <w:rPr>
                <w:sz w:val="20"/>
                <w:szCs w:val="20"/>
              </w:rPr>
              <w:t xml:space="preserve">Patents </w:t>
            </w:r>
            <w:r w:rsidRPr="009223BB">
              <w:rPr>
                <w:sz w:val="20"/>
                <w:szCs w:val="20"/>
              </w:rPr>
              <w:noBreakHyphen/>
              <w:t xml:space="preserve"> Medicines </w:t>
            </w:r>
            <w:r w:rsidRPr="009223BB">
              <w:rPr>
                <w:sz w:val="20"/>
                <w:szCs w:val="20"/>
              </w:rPr>
              <w:noBreakHyphen/>
              <w:t xml:space="preserve"> Construction of patents </w:t>
            </w:r>
            <w:r w:rsidRPr="009223BB">
              <w:rPr>
                <w:sz w:val="20"/>
                <w:szCs w:val="20"/>
              </w:rPr>
              <w:noBreakHyphen/>
              <w:t xml:space="preserve"> Disclosure </w:t>
            </w:r>
            <w:r w:rsidRPr="009223BB">
              <w:rPr>
                <w:sz w:val="20"/>
                <w:szCs w:val="20"/>
              </w:rPr>
              <w:noBreakHyphen/>
              <w:t xml:space="preserve"> Sufficiency of disclosure </w:t>
            </w:r>
            <w:r w:rsidRPr="009223BB">
              <w:rPr>
                <w:sz w:val="20"/>
                <w:szCs w:val="20"/>
              </w:rPr>
              <w:noBreakHyphen/>
              <w:t xml:space="preserve"> Whether the courts below erred by failing to hold the patent invalid for concealment and avoidable obscurity </w:t>
            </w:r>
            <w:r w:rsidRPr="009223BB">
              <w:rPr>
                <w:sz w:val="20"/>
                <w:szCs w:val="20"/>
              </w:rPr>
              <w:noBreakHyphen/>
              <w:t xml:space="preserve"> Whether the courts below erred by failing to hold claim 7 invalid for insufficient disclosure of sound prediction </w:t>
            </w:r>
            <w:r w:rsidRPr="009223BB">
              <w:rPr>
                <w:sz w:val="20"/>
                <w:szCs w:val="20"/>
              </w:rPr>
              <w:noBreakHyphen/>
              <w:t xml:space="preserve"> Whether the courts below erred by failing to hold claim 7 invalid for insufficient disclosure of demonstrated utility </w:t>
            </w:r>
            <w:r w:rsidRPr="009223BB">
              <w:rPr>
                <w:sz w:val="20"/>
                <w:szCs w:val="20"/>
              </w:rPr>
              <w:noBreakHyphen/>
              <w:t xml:space="preserve"> Whether the courts below erred by holding that </w:t>
            </w:r>
            <w:r w:rsidRPr="009223BB">
              <w:rPr>
                <w:bCs/>
                <w:i/>
                <w:sz w:val="20"/>
                <w:szCs w:val="20"/>
              </w:rPr>
              <w:t>Consolboard Inc. v. MacMillan Bloedel (Sask.) Ltd.</w:t>
            </w:r>
            <w:r w:rsidRPr="009223BB">
              <w:rPr>
                <w:bCs/>
                <w:sz w:val="20"/>
                <w:szCs w:val="20"/>
              </w:rPr>
              <w:t>, [1981] 1 S.C.R. 504</w:t>
            </w:r>
            <w:r w:rsidRPr="009223BB">
              <w:rPr>
                <w:sz w:val="20"/>
                <w:szCs w:val="20"/>
              </w:rPr>
              <w:t xml:space="preserve">, limits the sufficiency inquiry </w:t>
            </w:r>
            <w:r w:rsidRPr="009223BB">
              <w:rPr>
                <w:sz w:val="20"/>
                <w:szCs w:val="20"/>
              </w:rPr>
              <w:noBreakHyphen/>
              <w:t xml:space="preserve"> Whether the courts below erred by confining the sufficiency of disclosure analysis to claim 7.</w:t>
            </w:r>
          </w:p>
        </w:tc>
        <w:tc>
          <w:tcPr>
            <w:tcW w:w="720" w:type="dxa"/>
            <w:tcMar>
              <w:left w:w="0" w:type="dxa"/>
              <w:right w:w="0" w:type="dxa"/>
            </w:tcMar>
          </w:tcPr>
          <w:p w:rsidR="005F3456" w:rsidRPr="00C1697B" w:rsidRDefault="005F3456" w:rsidP="00027A88">
            <w:pPr>
              <w:widowControl w:val="0"/>
              <w:jc w:val="center"/>
              <w:rPr>
                <w:sz w:val="20"/>
                <w:szCs w:val="20"/>
              </w:rPr>
            </w:pPr>
          </w:p>
        </w:tc>
        <w:tc>
          <w:tcPr>
            <w:tcW w:w="4380" w:type="dxa"/>
            <w:tcMar>
              <w:left w:w="0" w:type="dxa"/>
              <w:right w:w="0" w:type="dxa"/>
            </w:tcMar>
          </w:tcPr>
          <w:p w:rsidR="005F3456" w:rsidRPr="00CC4D84" w:rsidRDefault="005F3456" w:rsidP="00027A88">
            <w:pPr>
              <w:widowControl w:val="0"/>
              <w:jc w:val="both"/>
              <w:rPr>
                <w:b/>
                <w:sz w:val="20"/>
                <w:szCs w:val="20"/>
                <w:u w:val="single"/>
                <w:lang w:val="fr-CA"/>
              </w:rPr>
            </w:pPr>
            <w:r w:rsidRPr="00CC4D84">
              <w:rPr>
                <w:b/>
                <w:sz w:val="20"/>
                <w:szCs w:val="20"/>
                <w:u w:val="single"/>
                <w:lang w:val="fr-CA"/>
              </w:rPr>
              <w:t>Nature de la cause :</w:t>
            </w:r>
          </w:p>
          <w:p w:rsidR="005F3456" w:rsidRPr="00C1697B" w:rsidRDefault="005F3456" w:rsidP="00027A88">
            <w:pPr>
              <w:widowControl w:val="0"/>
              <w:jc w:val="both"/>
              <w:rPr>
                <w:sz w:val="20"/>
                <w:szCs w:val="20"/>
                <w:lang w:val="fr-CA"/>
              </w:rPr>
            </w:pPr>
          </w:p>
          <w:p w:rsidR="005F3456" w:rsidRPr="00C1697B" w:rsidRDefault="0045318E" w:rsidP="00027A88">
            <w:pPr>
              <w:widowControl w:val="0"/>
              <w:jc w:val="both"/>
              <w:rPr>
                <w:sz w:val="20"/>
                <w:szCs w:val="20"/>
                <w:lang w:val="fr-CA"/>
              </w:rPr>
            </w:pPr>
            <w:r w:rsidRPr="00FA0E6F">
              <w:rPr>
                <w:sz w:val="20"/>
                <w:szCs w:val="20"/>
                <w:lang w:val="fr-CA"/>
              </w:rPr>
              <w:t xml:space="preserve">Brevets </w:t>
            </w:r>
            <w:r w:rsidRPr="00FA0E6F">
              <w:rPr>
                <w:sz w:val="20"/>
                <w:szCs w:val="20"/>
                <w:lang w:val="fr-CA"/>
              </w:rPr>
              <w:noBreakHyphen/>
              <w:t xml:space="preserve"> Médicaments </w:t>
            </w:r>
            <w:r w:rsidRPr="00FA0E6F">
              <w:rPr>
                <w:sz w:val="20"/>
                <w:szCs w:val="20"/>
                <w:lang w:val="fr-CA"/>
              </w:rPr>
              <w:noBreakHyphen/>
              <w:t xml:space="preserve"> Interprétation des brevets </w:t>
            </w:r>
            <w:r w:rsidRPr="00FA0E6F">
              <w:rPr>
                <w:sz w:val="20"/>
                <w:szCs w:val="20"/>
                <w:lang w:val="fr-CA"/>
              </w:rPr>
              <w:noBreakHyphen/>
              <w:t xml:space="preserve"> Divulgation </w:t>
            </w:r>
            <w:r w:rsidRPr="00FA0E6F">
              <w:rPr>
                <w:sz w:val="20"/>
                <w:szCs w:val="20"/>
                <w:lang w:val="fr-CA"/>
              </w:rPr>
              <w:noBreakHyphen/>
              <w:t xml:space="preserve"> Caractère suffisant de la divulgation </w:t>
            </w:r>
            <w:r w:rsidRPr="00FA0E6F">
              <w:rPr>
                <w:sz w:val="20"/>
                <w:szCs w:val="20"/>
                <w:lang w:val="fr-CA"/>
              </w:rPr>
              <w:noBreakHyphen/>
              <w:t xml:space="preserve"> Les juridictions inférieures ont</w:t>
            </w:r>
            <w:r w:rsidRPr="00FA0E6F">
              <w:rPr>
                <w:sz w:val="20"/>
                <w:szCs w:val="20"/>
                <w:lang w:val="fr-CA"/>
              </w:rPr>
              <w:noBreakHyphen/>
              <w:t xml:space="preserve">elles eu tort de ne pas invalider le brevet parce qu’il n’aurait pas fait l’objet d’une divulgation suffisante et n’aurait pas été dénué d’obscurité ? </w:t>
            </w:r>
            <w:r w:rsidRPr="00FA0E6F">
              <w:rPr>
                <w:sz w:val="20"/>
                <w:szCs w:val="20"/>
                <w:lang w:val="fr-CA"/>
              </w:rPr>
              <w:noBreakHyphen/>
              <w:t xml:space="preserve"> Les juridictions inférieures ont</w:t>
            </w:r>
            <w:r w:rsidRPr="00FA0E6F">
              <w:rPr>
                <w:sz w:val="20"/>
                <w:szCs w:val="20"/>
                <w:lang w:val="fr-CA"/>
              </w:rPr>
              <w:noBreakHyphen/>
              <w:t xml:space="preserve">elles eu tort de ne pas conclure à l’invalidité de la revendication 7 pour divulgation insuffisante de prédiction valable ? </w:t>
            </w:r>
            <w:r w:rsidRPr="00FA0E6F">
              <w:rPr>
                <w:sz w:val="20"/>
                <w:szCs w:val="20"/>
                <w:lang w:val="fr-CA"/>
              </w:rPr>
              <w:noBreakHyphen/>
              <w:t xml:space="preserve"> Les juridictions inférieures ont</w:t>
            </w:r>
            <w:r w:rsidRPr="00FA0E6F">
              <w:rPr>
                <w:sz w:val="20"/>
                <w:szCs w:val="20"/>
                <w:lang w:val="fr-CA"/>
              </w:rPr>
              <w:noBreakHyphen/>
              <w:t xml:space="preserve">elles eu tort de ne pas conclure à l’invalidité de la revendication 7 pour divulgation insuffisante d’une utilité démontrée ? </w:t>
            </w:r>
            <w:r w:rsidRPr="00FA0E6F">
              <w:rPr>
                <w:sz w:val="20"/>
                <w:szCs w:val="20"/>
                <w:lang w:val="fr-CA"/>
              </w:rPr>
              <w:noBreakHyphen/>
              <w:t xml:space="preserve"> Les juridictions inférieures ont</w:t>
            </w:r>
            <w:r w:rsidRPr="00FA0E6F">
              <w:rPr>
                <w:sz w:val="20"/>
                <w:szCs w:val="20"/>
                <w:lang w:val="fr-CA"/>
              </w:rPr>
              <w:noBreakHyphen/>
              <w:t xml:space="preserve">elles conclu à tort que </w:t>
            </w:r>
            <w:r w:rsidRPr="00FA0E6F">
              <w:rPr>
                <w:color w:val="000000"/>
                <w:sz w:val="20"/>
                <w:szCs w:val="20"/>
                <w:lang w:val="fr-FR"/>
              </w:rPr>
              <w:t xml:space="preserve">l’arrêt </w:t>
            </w:r>
            <w:r w:rsidRPr="00FA0E6F">
              <w:rPr>
                <w:i/>
                <w:iCs/>
                <w:color w:val="000000"/>
                <w:sz w:val="20"/>
                <w:szCs w:val="20"/>
                <w:lang w:val="fr-FR"/>
              </w:rPr>
              <w:t>Consolboard Inc.</w:t>
            </w:r>
            <w:r w:rsidRPr="00FA0E6F">
              <w:rPr>
                <w:color w:val="000000"/>
                <w:sz w:val="20"/>
                <w:szCs w:val="20"/>
                <w:lang w:val="fr-FR"/>
              </w:rPr>
              <w:t> </w:t>
            </w:r>
            <w:r w:rsidRPr="00FA0E6F">
              <w:rPr>
                <w:i/>
                <w:iCs/>
                <w:color w:val="000000"/>
                <w:sz w:val="20"/>
                <w:szCs w:val="20"/>
                <w:lang w:val="fr-FR"/>
              </w:rPr>
              <w:t>c.</w:t>
            </w:r>
            <w:r w:rsidRPr="00FA0E6F">
              <w:rPr>
                <w:color w:val="000000"/>
                <w:sz w:val="20"/>
                <w:szCs w:val="20"/>
                <w:lang w:val="fr-FR"/>
              </w:rPr>
              <w:t xml:space="preserve"> </w:t>
            </w:r>
            <w:r w:rsidRPr="00FA0E6F">
              <w:rPr>
                <w:i/>
                <w:iCs/>
                <w:color w:val="000000"/>
                <w:sz w:val="20"/>
                <w:szCs w:val="20"/>
                <w:lang w:val="fr-FR"/>
              </w:rPr>
              <w:t>MacMillan Bloedel (Saskatchewan Ltd.)</w:t>
            </w:r>
            <w:r w:rsidRPr="00FA0E6F">
              <w:rPr>
                <w:color w:val="000000"/>
                <w:sz w:val="20"/>
                <w:szCs w:val="20"/>
                <w:lang w:val="fr-FR"/>
              </w:rPr>
              <w:t xml:space="preserve">, [1981] 1 R.C.S. 504 limite l’examen du caractère suffisant ? </w:t>
            </w:r>
            <w:r w:rsidRPr="00FA0E6F">
              <w:rPr>
                <w:color w:val="000000"/>
                <w:sz w:val="20"/>
                <w:szCs w:val="20"/>
                <w:lang w:val="fr-FR"/>
              </w:rPr>
              <w:noBreakHyphen/>
              <w:t xml:space="preserve"> Les juridictions inférieures ont</w:t>
            </w:r>
            <w:r w:rsidRPr="00FA0E6F">
              <w:rPr>
                <w:color w:val="000000"/>
                <w:sz w:val="20"/>
                <w:szCs w:val="20"/>
                <w:lang w:val="fr-FR"/>
              </w:rPr>
              <w:noBreakHyphen/>
              <w:t>elles commis une erreur en limitant l’analyse de la suffisance de la divulgation à la revendication 7 ?</w:t>
            </w:r>
          </w:p>
        </w:tc>
      </w:tr>
    </w:tbl>
    <w:p w:rsidR="005F3456" w:rsidRDefault="005F3456" w:rsidP="005F3456">
      <w:pPr>
        <w:widowControl w:val="0"/>
        <w:rPr>
          <w:sz w:val="20"/>
          <w:szCs w:val="20"/>
          <w:lang w:val="fr-CA"/>
        </w:rPr>
      </w:pPr>
    </w:p>
    <w:p w:rsidR="005F3456" w:rsidRDefault="00A3677B" w:rsidP="005F3456">
      <w:pPr>
        <w:widowControl w:val="0"/>
        <w:rPr>
          <w:sz w:val="20"/>
          <w:szCs w:val="20"/>
        </w:rPr>
      </w:pPr>
      <w:r w:rsidRPr="00A3677B">
        <w:rPr>
          <w:sz w:val="20"/>
          <w:szCs w:val="20"/>
          <w:lang w:val="fr-CA"/>
        </w:rPr>
        <w:pict>
          <v:rect id="_x0000_i1058" style="width:2in;height:1pt" o:hrpct="0" o:hralign="center" o:hrstd="t" o:hrnoshade="t" o:hr="t" fillcolor="black [3213]" stroked="f"/>
        </w:pict>
      </w:r>
    </w:p>
    <w:p w:rsidR="005F3456" w:rsidRDefault="005F3456" w:rsidP="005F3456">
      <w:pPr>
        <w:widowControl w:val="0"/>
        <w:rPr>
          <w:sz w:val="20"/>
          <w:szCs w:val="20"/>
        </w:rPr>
      </w:pPr>
    </w:p>
    <w:p w:rsidR="005F3456" w:rsidRPr="008C7808" w:rsidRDefault="005F3456" w:rsidP="005F3456">
      <w:pPr>
        <w:widowControl w:val="0"/>
        <w:rPr>
          <w:sz w:val="20"/>
          <w:szCs w:val="20"/>
          <w:lang w:val="fr-CA"/>
        </w:rPr>
      </w:pPr>
      <w:r w:rsidRPr="008C7808">
        <w:rPr>
          <w:sz w:val="20"/>
          <w:szCs w:val="20"/>
          <w:lang w:val="fr-CA"/>
        </w:rPr>
        <w:t>1</w:t>
      </w:r>
      <w:r w:rsidR="0045318E" w:rsidRPr="008C7808">
        <w:rPr>
          <w:sz w:val="20"/>
          <w:szCs w:val="20"/>
          <w:lang w:val="fr-CA"/>
        </w:rPr>
        <w:t>9</w:t>
      </w:r>
      <w:r w:rsidRPr="008C7808">
        <w:rPr>
          <w:sz w:val="20"/>
          <w:szCs w:val="20"/>
          <w:lang w:val="fr-CA"/>
        </w:rPr>
        <w:t>.04.201</w:t>
      </w:r>
      <w:r w:rsidR="008C7808" w:rsidRPr="008C7808">
        <w:rPr>
          <w:sz w:val="20"/>
          <w:szCs w:val="20"/>
          <w:lang w:val="fr-CA"/>
        </w:rPr>
        <w:t>2</w:t>
      </w:r>
    </w:p>
    <w:p w:rsidR="005F3456" w:rsidRPr="008C7808" w:rsidRDefault="005F3456" w:rsidP="005F3456">
      <w:pPr>
        <w:widowControl w:val="0"/>
        <w:rPr>
          <w:sz w:val="20"/>
          <w:szCs w:val="20"/>
          <w:lang w:val="fr-CA"/>
        </w:rPr>
      </w:pPr>
    </w:p>
    <w:p w:rsidR="008C7808" w:rsidRPr="00DE0008" w:rsidRDefault="008C7808" w:rsidP="008C7808">
      <w:pPr>
        <w:widowControl w:val="0"/>
        <w:ind w:left="720" w:right="-180" w:hanging="720"/>
        <w:rPr>
          <w:rFonts w:eastAsia="Calibri" w:cs="Times New Roman"/>
          <w:sz w:val="20"/>
          <w:szCs w:val="20"/>
          <w:u w:val="single"/>
          <w:lang w:val="fr-CA"/>
        </w:rPr>
      </w:pPr>
      <w:r w:rsidRPr="00DE0008">
        <w:rPr>
          <w:rFonts w:eastAsia="Calibri" w:cs="Times New Roman"/>
          <w:sz w:val="20"/>
          <w:szCs w:val="20"/>
          <w:lang w:val="fr-CA"/>
        </w:rPr>
        <w:t xml:space="preserve">Coram: </w:t>
      </w:r>
      <w:r w:rsidRPr="00DE0008">
        <w:rPr>
          <w:rFonts w:eastAsia="Calibri" w:cs="Times New Roman"/>
          <w:sz w:val="20"/>
          <w:szCs w:val="20"/>
          <w:lang w:val="fr-CA"/>
        </w:rPr>
        <w:tab/>
      </w:r>
      <w:r w:rsidRPr="00DE0008">
        <w:rPr>
          <w:rFonts w:eastAsia="Calibri" w:cs="Times New Roman"/>
          <w:sz w:val="20"/>
          <w:szCs w:val="20"/>
          <w:u w:val="single"/>
          <w:lang w:val="fr-CA"/>
        </w:rPr>
        <w:t>Les juges LeBel, Deschamps, Fish, Abella, Cromwell, Moldaver et Karakatsanis</w:t>
      </w:r>
    </w:p>
    <w:p w:rsidR="005F3456" w:rsidRPr="008C7808" w:rsidRDefault="005F3456" w:rsidP="005F3456">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5F3456" w:rsidRPr="006B3AEE" w:rsidTr="00027A88">
        <w:tc>
          <w:tcPr>
            <w:tcW w:w="4380" w:type="dxa"/>
            <w:tcMar>
              <w:left w:w="0" w:type="dxa"/>
              <w:right w:w="0" w:type="dxa"/>
            </w:tcMar>
          </w:tcPr>
          <w:p w:rsidR="008C7808" w:rsidRDefault="008C7808" w:rsidP="00027A88">
            <w:pPr>
              <w:widowControl w:val="0"/>
              <w:jc w:val="both"/>
              <w:rPr>
                <w:rStyle w:val="SCCSsocChar"/>
                <w:b/>
                <w:i w:val="0"/>
                <w:lang w:val="fr-CA"/>
              </w:rPr>
            </w:pPr>
            <w:r w:rsidRPr="00DE0008">
              <w:rPr>
                <w:rStyle w:val="SCCSsocChar"/>
                <w:b/>
                <w:i w:val="0"/>
                <w:lang w:val="fr-CA"/>
              </w:rPr>
              <w:t xml:space="preserve">Sa Majesté la Reine </w:t>
            </w:r>
          </w:p>
          <w:p w:rsidR="008C7808" w:rsidRDefault="008C7808" w:rsidP="00027A88">
            <w:pPr>
              <w:widowControl w:val="0"/>
              <w:jc w:val="both"/>
              <w:rPr>
                <w:rStyle w:val="SCCSsocChar"/>
                <w:b/>
                <w:i w:val="0"/>
                <w:lang w:val="fr-CA"/>
              </w:rPr>
            </w:pPr>
          </w:p>
          <w:p w:rsidR="008C7808" w:rsidRDefault="008C7808" w:rsidP="00027A88">
            <w:pPr>
              <w:widowControl w:val="0"/>
              <w:jc w:val="both"/>
              <w:rPr>
                <w:rStyle w:val="SCCSsocChar"/>
                <w:b/>
                <w:i w:val="0"/>
                <w:lang w:val="fr-CA"/>
              </w:rPr>
            </w:pPr>
            <w:r>
              <w:rPr>
                <w:rStyle w:val="SCCSsocChar"/>
                <w:b/>
                <w:i w:val="0"/>
                <w:lang w:val="fr-CA"/>
              </w:rPr>
              <w:tab/>
            </w:r>
            <w:r w:rsidRPr="00DE0008">
              <w:rPr>
                <w:rStyle w:val="SCCSsocChar"/>
                <w:b/>
                <w:i w:val="0"/>
                <w:lang w:val="fr-CA"/>
              </w:rPr>
              <w:t xml:space="preserve">c. </w:t>
            </w:r>
            <w:r>
              <w:rPr>
                <w:rStyle w:val="SCCSsocChar"/>
                <w:b/>
                <w:i w:val="0"/>
                <w:lang w:val="fr-CA"/>
              </w:rPr>
              <w:t>(</w:t>
            </w:r>
            <w:r w:rsidRPr="00DE0008">
              <w:rPr>
                <w:rFonts w:eastAsia="Calibri" w:cs="Times New Roman"/>
                <w:b/>
                <w:sz w:val="20"/>
                <w:szCs w:val="20"/>
                <w:lang w:val="fr-CA"/>
              </w:rPr>
              <w:t>34526)</w:t>
            </w:r>
          </w:p>
          <w:p w:rsidR="008C7808" w:rsidRDefault="008C7808" w:rsidP="00027A88">
            <w:pPr>
              <w:widowControl w:val="0"/>
              <w:jc w:val="both"/>
              <w:rPr>
                <w:rStyle w:val="SCCSsocChar"/>
                <w:b/>
                <w:i w:val="0"/>
                <w:lang w:val="fr-CA"/>
              </w:rPr>
            </w:pPr>
          </w:p>
          <w:p w:rsidR="005F3456" w:rsidRPr="008C7808" w:rsidRDefault="008C7808" w:rsidP="008C7808">
            <w:pPr>
              <w:widowControl w:val="0"/>
              <w:jc w:val="both"/>
              <w:rPr>
                <w:sz w:val="20"/>
                <w:szCs w:val="20"/>
                <w:lang w:val="fr-CA"/>
              </w:rPr>
            </w:pPr>
            <w:r w:rsidRPr="00DE0008">
              <w:rPr>
                <w:rStyle w:val="SCCSsocChar"/>
                <w:b/>
                <w:i w:val="0"/>
                <w:lang w:val="fr-CA"/>
              </w:rPr>
              <w:t>Suganthini Mayuran</w:t>
            </w:r>
            <w:r w:rsidRPr="00DE0008">
              <w:rPr>
                <w:rFonts w:eastAsia="Calibri" w:cs="Times New Roman"/>
                <w:b/>
                <w:i/>
                <w:sz w:val="20"/>
                <w:szCs w:val="20"/>
                <w:lang w:val="fr-CA"/>
              </w:rPr>
              <w:t xml:space="preserve"> </w:t>
            </w:r>
            <w:r w:rsidRPr="00DE0008">
              <w:rPr>
                <w:rFonts w:eastAsia="Calibri" w:cs="Times New Roman"/>
                <w:b/>
                <w:sz w:val="20"/>
                <w:szCs w:val="20"/>
                <w:lang w:val="fr-CA"/>
              </w:rPr>
              <w:t xml:space="preserve">(Qc) (Criminelle) (De plein droit) </w:t>
            </w:r>
          </w:p>
        </w:tc>
        <w:tc>
          <w:tcPr>
            <w:tcW w:w="720" w:type="dxa"/>
            <w:tcMar>
              <w:left w:w="0" w:type="dxa"/>
              <w:right w:w="0" w:type="dxa"/>
            </w:tcMar>
          </w:tcPr>
          <w:p w:rsidR="005F3456" w:rsidRPr="008C7808" w:rsidRDefault="005F3456" w:rsidP="00027A88">
            <w:pPr>
              <w:widowControl w:val="0"/>
              <w:jc w:val="center"/>
              <w:rPr>
                <w:sz w:val="20"/>
                <w:szCs w:val="20"/>
                <w:lang w:val="fr-CA"/>
              </w:rPr>
            </w:pPr>
          </w:p>
        </w:tc>
        <w:tc>
          <w:tcPr>
            <w:tcW w:w="4380" w:type="dxa"/>
            <w:tcMar>
              <w:left w:w="0" w:type="dxa"/>
              <w:right w:w="0" w:type="dxa"/>
            </w:tcMar>
          </w:tcPr>
          <w:p w:rsidR="000867B6" w:rsidRPr="00120BBE" w:rsidRDefault="000867B6" w:rsidP="000867B6">
            <w:pPr>
              <w:tabs>
                <w:tab w:val="left" w:pos="-2970"/>
              </w:tabs>
              <w:jc w:val="both"/>
              <w:rPr>
                <w:sz w:val="20"/>
                <w:szCs w:val="20"/>
                <w:lang w:val="fr-CA"/>
              </w:rPr>
            </w:pPr>
            <w:r w:rsidRPr="00120BBE">
              <w:rPr>
                <w:sz w:val="20"/>
                <w:szCs w:val="20"/>
                <w:lang w:val="fr-CA"/>
              </w:rPr>
              <w:t>Louis Bouthillier</w:t>
            </w:r>
            <w:r>
              <w:rPr>
                <w:sz w:val="20"/>
                <w:szCs w:val="20"/>
                <w:lang w:val="fr-CA"/>
              </w:rPr>
              <w:t xml:space="preserve"> and </w:t>
            </w:r>
            <w:r w:rsidRPr="00120BBE">
              <w:rPr>
                <w:sz w:val="20"/>
                <w:szCs w:val="20"/>
                <w:lang w:val="fr-CA"/>
              </w:rPr>
              <w:t>Alexandre Boucher</w:t>
            </w:r>
            <w:r>
              <w:rPr>
                <w:sz w:val="20"/>
                <w:szCs w:val="20"/>
                <w:lang w:val="fr-CA"/>
              </w:rPr>
              <w:t xml:space="preserve"> p</w:t>
            </w:r>
            <w:r w:rsidRPr="00120BBE">
              <w:rPr>
                <w:sz w:val="20"/>
                <w:szCs w:val="20"/>
                <w:lang w:val="fr-CA"/>
              </w:rPr>
              <w:t>our l’appelante.</w:t>
            </w:r>
          </w:p>
          <w:p w:rsidR="000867B6" w:rsidRPr="00120BBE" w:rsidRDefault="000867B6" w:rsidP="000867B6">
            <w:pPr>
              <w:tabs>
                <w:tab w:val="left" w:pos="-2970"/>
              </w:tabs>
              <w:jc w:val="both"/>
              <w:rPr>
                <w:sz w:val="20"/>
                <w:szCs w:val="20"/>
                <w:lang w:val="fr-CA"/>
              </w:rPr>
            </w:pPr>
          </w:p>
          <w:p w:rsidR="005F3456" w:rsidRPr="008C7808" w:rsidRDefault="000867B6" w:rsidP="000867B6">
            <w:pPr>
              <w:widowControl w:val="0"/>
              <w:jc w:val="both"/>
              <w:rPr>
                <w:sz w:val="20"/>
                <w:szCs w:val="20"/>
                <w:lang w:val="fr-CA"/>
              </w:rPr>
            </w:pPr>
            <w:r w:rsidRPr="00120BBE">
              <w:rPr>
                <w:sz w:val="20"/>
                <w:szCs w:val="20"/>
                <w:lang w:val="fr-CA"/>
              </w:rPr>
              <w:t>Martin Latour</w:t>
            </w:r>
            <w:r>
              <w:rPr>
                <w:sz w:val="20"/>
                <w:szCs w:val="20"/>
                <w:lang w:val="fr-CA"/>
              </w:rPr>
              <w:t xml:space="preserve"> et </w:t>
            </w:r>
            <w:r w:rsidRPr="00120BBE">
              <w:rPr>
                <w:sz w:val="20"/>
                <w:szCs w:val="20"/>
                <w:lang w:val="fr-CA"/>
              </w:rPr>
              <w:t>Maude Pagé-Arpin</w:t>
            </w:r>
            <w:r>
              <w:rPr>
                <w:sz w:val="20"/>
                <w:szCs w:val="20"/>
                <w:lang w:val="fr-CA"/>
              </w:rPr>
              <w:t xml:space="preserve"> p</w:t>
            </w:r>
            <w:r w:rsidRPr="00120BBE">
              <w:rPr>
                <w:sz w:val="20"/>
                <w:szCs w:val="20"/>
                <w:lang w:val="fr-CA"/>
              </w:rPr>
              <w:t>our l’intimé.</w:t>
            </w:r>
          </w:p>
        </w:tc>
      </w:tr>
    </w:tbl>
    <w:p w:rsidR="005F3456" w:rsidRPr="008C7808" w:rsidRDefault="005F3456" w:rsidP="005F3456">
      <w:pPr>
        <w:widowControl w:val="0"/>
        <w:rPr>
          <w:lang w:val="fr-CA"/>
        </w:rPr>
      </w:pPr>
    </w:p>
    <w:p w:rsidR="005F3456" w:rsidRPr="0085476B" w:rsidRDefault="005F3456" w:rsidP="005F3456">
      <w:pPr>
        <w:widowControl w:val="0"/>
        <w:rPr>
          <w:sz w:val="20"/>
          <w:szCs w:val="20"/>
        </w:rPr>
      </w:pPr>
      <w:r w:rsidRPr="0085476B">
        <w:rPr>
          <w:b/>
          <w:sz w:val="20"/>
          <w:szCs w:val="20"/>
        </w:rPr>
        <w:t xml:space="preserve">RESERVED / </w:t>
      </w:r>
      <w:r w:rsidRPr="0085476B">
        <w:rPr>
          <w:b/>
          <w:sz w:val="20"/>
          <w:szCs w:val="20"/>
          <w:lang w:val="fr-CA"/>
        </w:rPr>
        <w:t>EN DÉLIBÉRÉ</w:t>
      </w:r>
    </w:p>
    <w:p w:rsidR="005F3456" w:rsidRDefault="005F3456" w:rsidP="005F3456"/>
    <w:tbl>
      <w:tblPr>
        <w:tblW w:w="0" w:type="auto"/>
        <w:tblLayout w:type="fixed"/>
        <w:tblCellMar>
          <w:left w:w="0" w:type="dxa"/>
          <w:right w:w="0" w:type="dxa"/>
        </w:tblCellMar>
        <w:tblLook w:val="0000"/>
      </w:tblPr>
      <w:tblGrid>
        <w:gridCol w:w="4380"/>
        <w:gridCol w:w="720"/>
        <w:gridCol w:w="4380"/>
      </w:tblGrid>
      <w:tr w:rsidR="005F3456" w:rsidRPr="006B3AEE" w:rsidTr="00027A88">
        <w:tc>
          <w:tcPr>
            <w:tcW w:w="4380" w:type="dxa"/>
            <w:tcMar>
              <w:left w:w="0" w:type="dxa"/>
              <w:right w:w="0" w:type="dxa"/>
            </w:tcMar>
          </w:tcPr>
          <w:p w:rsidR="005F3456" w:rsidRPr="00CC4D84" w:rsidRDefault="005F3456" w:rsidP="00027A88">
            <w:pPr>
              <w:widowControl w:val="0"/>
              <w:jc w:val="both"/>
              <w:rPr>
                <w:b/>
                <w:sz w:val="20"/>
                <w:szCs w:val="20"/>
                <w:u w:val="single"/>
              </w:rPr>
            </w:pPr>
            <w:r w:rsidRPr="00CC4D84">
              <w:rPr>
                <w:b/>
                <w:sz w:val="20"/>
                <w:szCs w:val="20"/>
                <w:u w:val="single"/>
              </w:rPr>
              <w:t>Nature of the case:</w:t>
            </w:r>
          </w:p>
          <w:p w:rsidR="005F3456" w:rsidRPr="00C1697B" w:rsidRDefault="005F3456" w:rsidP="00027A88">
            <w:pPr>
              <w:widowControl w:val="0"/>
              <w:jc w:val="both"/>
              <w:rPr>
                <w:b/>
                <w:sz w:val="20"/>
                <w:szCs w:val="20"/>
              </w:rPr>
            </w:pPr>
          </w:p>
          <w:p w:rsidR="005F3456" w:rsidRPr="00C1697B" w:rsidRDefault="0045318E" w:rsidP="00027A88">
            <w:pPr>
              <w:widowControl w:val="0"/>
              <w:jc w:val="both"/>
              <w:rPr>
                <w:b/>
                <w:sz w:val="20"/>
                <w:szCs w:val="20"/>
              </w:rPr>
            </w:pPr>
            <w:r w:rsidRPr="00461CD2">
              <w:rPr>
                <w:sz w:val="20"/>
                <w:szCs w:val="20"/>
              </w:rPr>
              <w:t xml:space="preserve">Criminal law </w:t>
            </w:r>
            <w:r w:rsidRPr="00461CD2">
              <w:rPr>
                <w:sz w:val="20"/>
                <w:szCs w:val="20"/>
              </w:rPr>
              <w:noBreakHyphen/>
              <w:t xml:space="preserve"> Defences </w:t>
            </w:r>
            <w:r w:rsidRPr="00461CD2">
              <w:rPr>
                <w:sz w:val="20"/>
                <w:szCs w:val="20"/>
              </w:rPr>
              <w:noBreakHyphen/>
              <w:t xml:space="preserve"> Provocation </w:t>
            </w:r>
            <w:r w:rsidRPr="00461CD2">
              <w:rPr>
                <w:sz w:val="20"/>
                <w:szCs w:val="20"/>
              </w:rPr>
              <w:noBreakHyphen/>
              <w:t xml:space="preserve"> Whether defence of provocation meets air of reality test.</w:t>
            </w:r>
          </w:p>
        </w:tc>
        <w:tc>
          <w:tcPr>
            <w:tcW w:w="720" w:type="dxa"/>
            <w:tcMar>
              <w:left w:w="0" w:type="dxa"/>
              <w:right w:w="0" w:type="dxa"/>
            </w:tcMar>
          </w:tcPr>
          <w:p w:rsidR="005F3456" w:rsidRPr="00C1697B" w:rsidRDefault="005F3456" w:rsidP="00027A88">
            <w:pPr>
              <w:widowControl w:val="0"/>
              <w:jc w:val="center"/>
              <w:rPr>
                <w:sz w:val="20"/>
                <w:szCs w:val="20"/>
              </w:rPr>
            </w:pPr>
          </w:p>
        </w:tc>
        <w:tc>
          <w:tcPr>
            <w:tcW w:w="4380" w:type="dxa"/>
            <w:tcMar>
              <w:left w:w="0" w:type="dxa"/>
              <w:right w:w="0" w:type="dxa"/>
            </w:tcMar>
          </w:tcPr>
          <w:p w:rsidR="005F3456" w:rsidRPr="00CC4D84" w:rsidRDefault="005F3456" w:rsidP="00027A88">
            <w:pPr>
              <w:widowControl w:val="0"/>
              <w:jc w:val="both"/>
              <w:rPr>
                <w:b/>
                <w:sz w:val="20"/>
                <w:szCs w:val="20"/>
                <w:u w:val="single"/>
                <w:lang w:val="fr-CA"/>
              </w:rPr>
            </w:pPr>
            <w:r w:rsidRPr="00CC4D84">
              <w:rPr>
                <w:b/>
                <w:sz w:val="20"/>
                <w:szCs w:val="20"/>
                <w:u w:val="single"/>
                <w:lang w:val="fr-CA"/>
              </w:rPr>
              <w:t>Nature de la cause :</w:t>
            </w:r>
          </w:p>
          <w:p w:rsidR="005F3456" w:rsidRPr="00C1697B" w:rsidRDefault="005F3456" w:rsidP="00027A88">
            <w:pPr>
              <w:widowControl w:val="0"/>
              <w:jc w:val="both"/>
              <w:rPr>
                <w:sz w:val="20"/>
                <w:szCs w:val="20"/>
                <w:lang w:val="fr-CA"/>
              </w:rPr>
            </w:pPr>
          </w:p>
          <w:p w:rsidR="005F3456" w:rsidRPr="00C1697B" w:rsidRDefault="0045318E" w:rsidP="00027A88">
            <w:pPr>
              <w:widowControl w:val="0"/>
              <w:jc w:val="both"/>
              <w:rPr>
                <w:sz w:val="20"/>
                <w:szCs w:val="20"/>
                <w:lang w:val="fr-CA"/>
              </w:rPr>
            </w:pPr>
            <w:r w:rsidRPr="00D81026">
              <w:rPr>
                <w:sz w:val="20"/>
                <w:szCs w:val="20"/>
                <w:lang w:val="fr-CA"/>
              </w:rPr>
              <w:t xml:space="preserve">Droit criminel </w:t>
            </w:r>
            <w:r w:rsidRPr="00D81026">
              <w:rPr>
                <w:sz w:val="20"/>
                <w:szCs w:val="20"/>
                <w:lang w:val="fr-CA"/>
              </w:rPr>
              <w:noBreakHyphen/>
              <w:t xml:space="preserve"> Moyens de défense </w:t>
            </w:r>
            <w:r w:rsidRPr="00D81026">
              <w:rPr>
                <w:sz w:val="20"/>
                <w:szCs w:val="20"/>
                <w:lang w:val="fr-CA"/>
              </w:rPr>
              <w:noBreakHyphen/>
              <w:t xml:space="preserve"> Provocation </w:t>
            </w:r>
            <w:r w:rsidRPr="00D81026">
              <w:rPr>
                <w:sz w:val="20"/>
                <w:szCs w:val="20"/>
                <w:lang w:val="fr-CA"/>
              </w:rPr>
              <w:noBreakHyphen/>
              <w:t xml:space="preserve"> Le moyen de défense fondé sur la provocation rencontre</w:t>
            </w:r>
            <w:r w:rsidRPr="00D81026">
              <w:rPr>
                <w:sz w:val="20"/>
                <w:szCs w:val="20"/>
                <w:lang w:val="fr-CA"/>
              </w:rPr>
              <w:noBreakHyphen/>
              <w:t>t</w:t>
            </w:r>
            <w:r w:rsidRPr="00D81026">
              <w:rPr>
                <w:sz w:val="20"/>
                <w:szCs w:val="20"/>
                <w:lang w:val="fr-CA"/>
              </w:rPr>
              <w:noBreakHyphen/>
              <w:t>il le critère de la vraisemblance?</w:t>
            </w:r>
          </w:p>
        </w:tc>
      </w:tr>
    </w:tbl>
    <w:p w:rsidR="005F3456" w:rsidRDefault="005F3456" w:rsidP="005F3456">
      <w:pPr>
        <w:widowControl w:val="0"/>
        <w:rPr>
          <w:sz w:val="20"/>
          <w:szCs w:val="20"/>
          <w:lang w:val="fr-CA"/>
        </w:rPr>
      </w:pPr>
    </w:p>
    <w:p w:rsidR="00E940EB" w:rsidRPr="00C1697B" w:rsidRDefault="00A3677B" w:rsidP="00732DB7">
      <w:pPr>
        <w:widowControl w:val="0"/>
        <w:rPr>
          <w:sz w:val="20"/>
          <w:szCs w:val="20"/>
          <w:lang w:val="fr-CA"/>
        </w:rPr>
      </w:pPr>
      <w:r w:rsidRPr="00A3677B">
        <w:rPr>
          <w:sz w:val="20"/>
          <w:szCs w:val="20"/>
          <w:lang w:val="fr-CA"/>
        </w:rPr>
        <w:pict>
          <v:rect id="_x0000_i1059"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6B3AE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5F3456" w:rsidP="00AF1715">
      <w:pPr>
        <w:rPr>
          <w:b/>
          <w:sz w:val="20"/>
          <w:szCs w:val="20"/>
        </w:rPr>
      </w:pPr>
      <w:r>
        <w:rPr>
          <w:b/>
          <w:sz w:val="20"/>
          <w:szCs w:val="20"/>
        </w:rPr>
        <w:t>APRIL 18</w:t>
      </w:r>
      <w:r w:rsidR="00AF1715" w:rsidRPr="003B3977">
        <w:rPr>
          <w:b/>
          <w:sz w:val="20"/>
          <w:szCs w:val="20"/>
        </w:rPr>
        <w:t>, 201</w:t>
      </w:r>
      <w:r>
        <w:rPr>
          <w:b/>
          <w:sz w:val="20"/>
          <w:szCs w:val="20"/>
        </w:rPr>
        <w:t>2</w:t>
      </w:r>
      <w:r w:rsidR="00AF1715" w:rsidRPr="003B3977">
        <w:rPr>
          <w:b/>
          <w:sz w:val="20"/>
          <w:szCs w:val="20"/>
        </w:rPr>
        <w:t xml:space="preserve"> / LE </w:t>
      </w:r>
      <w:r>
        <w:rPr>
          <w:b/>
          <w:sz w:val="20"/>
          <w:szCs w:val="20"/>
        </w:rPr>
        <w:t>18</w:t>
      </w:r>
      <w:r w:rsidR="00AF1715" w:rsidRPr="003B3977">
        <w:rPr>
          <w:b/>
          <w:sz w:val="20"/>
          <w:szCs w:val="20"/>
        </w:rPr>
        <w:t xml:space="preserve"> </w:t>
      </w:r>
      <w:r>
        <w:rPr>
          <w:b/>
          <w:sz w:val="20"/>
          <w:szCs w:val="20"/>
        </w:rPr>
        <w:t>A</w:t>
      </w:r>
      <w:r w:rsidR="00AF1715" w:rsidRPr="003B3977">
        <w:rPr>
          <w:b/>
          <w:sz w:val="20"/>
          <w:szCs w:val="20"/>
        </w:rPr>
        <w:t>VR</w:t>
      </w:r>
      <w:r>
        <w:rPr>
          <w:b/>
          <w:sz w:val="20"/>
          <w:szCs w:val="20"/>
        </w:rPr>
        <w:t>IL</w:t>
      </w:r>
      <w:r w:rsidR="002F09D7">
        <w:rPr>
          <w:b/>
          <w:sz w:val="20"/>
          <w:szCs w:val="20"/>
        </w:rPr>
        <w:t xml:space="preserve"> </w:t>
      </w:r>
      <w:r w:rsidR="00AF1715" w:rsidRPr="003B3977">
        <w:rPr>
          <w:b/>
          <w:sz w:val="20"/>
          <w:szCs w:val="20"/>
        </w:rPr>
        <w:t>201</w:t>
      </w:r>
      <w:r>
        <w:rPr>
          <w:b/>
          <w:sz w:val="20"/>
          <w:szCs w:val="20"/>
        </w:rPr>
        <w:t>2</w:t>
      </w:r>
    </w:p>
    <w:p w:rsidR="00AF1715" w:rsidRDefault="00AF1715" w:rsidP="00AF1715">
      <w:pPr>
        <w:rPr>
          <w:sz w:val="20"/>
          <w:szCs w:val="20"/>
        </w:rPr>
      </w:pPr>
    </w:p>
    <w:p w:rsidR="001E74A1" w:rsidRPr="0052330F" w:rsidRDefault="001E74A1" w:rsidP="001E74A1">
      <w:pPr>
        <w:ind w:left="1440" w:hanging="1440"/>
        <w:jc w:val="both"/>
        <w:rPr>
          <w:rFonts w:eastAsia="Calibri" w:cs="Times New Roman"/>
          <w:sz w:val="20"/>
        </w:rPr>
      </w:pPr>
      <w:r w:rsidRPr="00A16B4C">
        <w:rPr>
          <w:rFonts w:eastAsia="Calibri" w:cs="Times New Roman"/>
          <w:b/>
          <w:sz w:val="20"/>
        </w:rPr>
        <w:t>33</w:t>
      </w:r>
      <w:r>
        <w:rPr>
          <w:rFonts w:eastAsia="Calibri" w:cs="Times New Roman"/>
          <w:b/>
          <w:sz w:val="20"/>
        </w:rPr>
        <w:t xml:space="preserve">606 </w:t>
      </w:r>
      <w:r>
        <w:rPr>
          <w:rFonts w:eastAsia="Calibri" w:cs="Times New Roman"/>
          <w:b/>
          <w:sz w:val="20"/>
        </w:rPr>
        <w:tab/>
      </w:r>
      <w:r w:rsidRPr="0015139E">
        <w:rPr>
          <w:rFonts w:eastAsia="Calibri" w:cs="Times New Roman"/>
          <w:b/>
          <w:sz w:val="20"/>
          <w:u w:val="single"/>
        </w:rPr>
        <w:t>Club Resorts Ltd.</w:t>
      </w:r>
      <w:r>
        <w:rPr>
          <w:rFonts w:eastAsia="Calibri" w:cs="Times New Roman"/>
          <w:b/>
          <w:sz w:val="20"/>
          <w:u w:val="single"/>
        </w:rPr>
        <w:t xml:space="preserve"> v.</w:t>
      </w:r>
      <w:r w:rsidRPr="00414679">
        <w:rPr>
          <w:rFonts w:eastAsia="Calibri" w:cs="Times New Roman"/>
          <w:b/>
          <w:sz w:val="20"/>
          <w:u w:val="single"/>
        </w:rPr>
        <w:t xml:space="preserve"> </w:t>
      </w:r>
      <w:r w:rsidRPr="0015139E">
        <w:rPr>
          <w:rFonts w:eastAsia="Calibri" w:cs="Times New Roman"/>
          <w:b/>
          <w:sz w:val="20"/>
          <w:u w:val="single"/>
        </w:rPr>
        <w:t>Anna Charron, Estate Trustee of the Estate of Claude Charron, deceased, the said Anna Charron, personally, Jennifer Candace Charron, Stephanie Michelle Charron, Christopher Michael Charron, Bel Air Travel Group Ltd. and Hola Sun Holidays</w:t>
      </w:r>
      <w:r>
        <w:rPr>
          <w:rFonts w:eastAsia="Calibri" w:cs="Times New Roman"/>
          <w:b/>
          <w:sz w:val="20"/>
          <w:u w:val="single"/>
        </w:rPr>
        <w:t xml:space="preserve"> Limited</w:t>
      </w:r>
      <w:r w:rsidRPr="0015139E">
        <w:rPr>
          <w:rFonts w:eastAsia="Calibri" w:cs="Times New Roman"/>
          <w:b/>
          <w:sz w:val="20"/>
          <w:u w:val="single"/>
        </w:rPr>
        <w:t xml:space="preserve"> </w:t>
      </w:r>
      <w:r w:rsidRPr="00F41B2C">
        <w:rPr>
          <w:rFonts w:eastAsia="Calibri" w:cs="Times New Roman"/>
          <w:b/>
          <w:sz w:val="20"/>
          <w:u w:val="single"/>
        </w:rPr>
        <w:t xml:space="preserve">– and – </w:t>
      </w:r>
      <w:r w:rsidRPr="0015139E">
        <w:rPr>
          <w:rFonts w:eastAsia="Calibri" w:cs="Times New Roman"/>
          <w:b/>
          <w:sz w:val="20"/>
          <w:u w:val="single"/>
        </w:rPr>
        <w:t>Tourism Industry Association of Ontario, Amnesty International, Canadian Centre for International Justice, Canadian Lawyers for International Human Rights and Ontario Trial Lawyers Association</w:t>
      </w:r>
      <w:r w:rsidRPr="0015139E">
        <w:rPr>
          <w:rFonts w:eastAsia="Calibri" w:cs="Times New Roman"/>
          <w:b/>
          <w:sz w:val="20"/>
        </w:rPr>
        <w:t xml:space="preserve"> </w:t>
      </w:r>
      <w:r w:rsidRPr="00A16B4C">
        <w:rPr>
          <w:rFonts w:eastAsia="Calibri" w:cs="Times New Roman"/>
          <w:sz w:val="20"/>
        </w:rPr>
        <w:t>(</w:t>
      </w:r>
      <w:r>
        <w:rPr>
          <w:rFonts w:eastAsia="Calibri" w:cs="Times New Roman"/>
          <w:sz w:val="20"/>
        </w:rPr>
        <w:t>Ont.</w:t>
      </w:r>
      <w:r w:rsidRPr="00A16B4C">
        <w:rPr>
          <w:rFonts w:eastAsia="Calibri" w:cs="Times New Roman"/>
          <w:sz w:val="20"/>
        </w:rPr>
        <w:t xml:space="preserve">) </w:t>
      </w:r>
    </w:p>
    <w:p w:rsidR="001E74A1" w:rsidRPr="00273DAD" w:rsidRDefault="001E74A1" w:rsidP="001E74A1">
      <w:pPr>
        <w:ind w:left="1440" w:hanging="1440"/>
        <w:jc w:val="both"/>
        <w:rPr>
          <w:rFonts w:eastAsia="Calibri" w:cs="Times New Roman"/>
          <w:b/>
          <w:sz w:val="20"/>
        </w:rPr>
      </w:pPr>
      <w:r w:rsidRPr="00273DAD">
        <w:rPr>
          <w:rFonts w:eastAsia="Calibri" w:cs="Times New Roman"/>
          <w:b/>
          <w:sz w:val="20"/>
        </w:rPr>
        <w:tab/>
      </w:r>
      <w:r>
        <w:rPr>
          <w:rFonts w:eastAsia="Calibri" w:cs="Times New Roman"/>
          <w:b/>
          <w:sz w:val="20"/>
        </w:rPr>
        <w:t>2012</w:t>
      </w:r>
      <w:r w:rsidRPr="00273DAD">
        <w:rPr>
          <w:rFonts w:eastAsia="Calibri" w:cs="Times New Roman"/>
          <w:b/>
          <w:sz w:val="20"/>
        </w:rPr>
        <w:t xml:space="preserve"> SCC </w:t>
      </w:r>
      <w:r>
        <w:rPr>
          <w:rFonts w:eastAsia="Calibri" w:cs="Times New Roman"/>
          <w:b/>
          <w:sz w:val="20"/>
        </w:rPr>
        <w:t>17</w:t>
      </w:r>
      <w:r w:rsidRPr="00273DAD">
        <w:rPr>
          <w:rFonts w:eastAsia="Calibri" w:cs="Times New Roman"/>
          <w:b/>
          <w:sz w:val="20"/>
        </w:rPr>
        <w:t xml:space="preserve"> / </w:t>
      </w:r>
      <w:r>
        <w:rPr>
          <w:rFonts w:eastAsia="Calibri" w:cs="Times New Roman"/>
          <w:b/>
          <w:sz w:val="20"/>
        </w:rPr>
        <w:t>2012</w:t>
      </w:r>
      <w:r w:rsidRPr="00273DAD">
        <w:rPr>
          <w:rFonts w:eastAsia="Calibri" w:cs="Times New Roman"/>
          <w:b/>
          <w:sz w:val="20"/>
        </w:rPr>
        <w:t xml:space="preserve"> CSC </w:t>
      </w:r>
      <w:r>
        <w:rPr>
          <w:rFonts w:eastAsia="Calibri" w:cs="Times New Roman"/>
          <w:b/>
          <w:sz w:val="20"/>
        </w:rPr>
        <w:t>17</w:t>
      </w:r>
    </w:p>
    <w:p w:rsidR="001E74A1" w:rsidRPr="00F41B2C" w:rsidRDefault="001E74A1" w:rsidP="001E74A1">
      <w:pPr>
        <w:ind w:left="1440" w:hanging="1440"/>
        <w:jc w:val="both"/>
        <w:rPr>
          <w:rFonts w:eastAsia="Calibri" w:cs="Times New Roman"/>
          <w:b/>
          <w:sz w:val="20"/>
        </w:rPr>
      </w:pPr>
    </w:p>
    <w:p w:rsidR="001E74A1" w:rsidRPr="00F41B2C" w:rsidRDefault="001E74A1" w:rsidP="001E74A1">
      <w:pPr>
        <w:ind w:left="1440" w:hanging="1440"/>
        <w:jc w:val="both"/>
        <w:rPr>
          <w:rFonts w:eastAsia="Calibri" w:cs="Times New Roman"/>
          <w:sz w:val="20"/>
          <w:u w:val="single"/>
        </w:rPr>
      </w:pPr>
      <w:r w:rsidRPr="00F41B2C">
        <w:rPr>
          <w:rFonts w:eastAsia="Calibri" w:cs="Times New Roman"/>
          <w:sz w:val="20"/>
        </w:rPr>
        <w:t>Coram:</w:t>
      </w:r>
      <w:r>
        <w:rPr>
          <w:sz w:val="20"/>
        </w:rPr>
        <w:tab/>
      </w:r>
      <w:r>
        <w:rPr>
          <w:rFonts w:eastAsia="Calibri" w:cs="Times New Roman"/>
          <w:sz w:val="20"/>
          <w:u w:val="single"/>
        </w:rPr>
        <w:t>McLachlin C.J. and Binnie</w:t>
      </w:r>
      <w:r w:rsidR="0046593E">
        <w:rPr>
          <w:rFonts w:eastAsia="Calibri" w:cs="Times New Roman"/>
          <w:sz w:val="20"/>
          <w:u w:val="single"/>
          <w:vertAlign w:val="superscript"/>
        </w:rPr>
        <w:t>*</w:t>
      </w:r>
      <w:r w:rsidRPr="0015139E">
        <w:rPr>
          <w:rFonts w:eastAsia="Calibri" w:cs="Times New Roman"/>
          <w:sz w:val="20"/>
          <w:u w:val="single"/>
        </w:rPr>
        <w:t>, LeBel, D</w:t>
      </w:r>
      <w:r>
        <w:rPr>
          <w:rFonts w:eastAsia="Calibri" w:cs="Times New Roman"/>
          <w:sz w:val="20"/>
          <w:u w:val="single"/>
        </w:rPr>
        <w:t>eschamps, Fish, Abella, Charron</w:t>
      </w:r>
      <w:r w:rsidR="0046593E">
        <w:rPr>
          <w:rFonts w:eastAsia="Calibri" w:cs="Times New Roman"/>
          <w:sz w:val="20"/>
          <w:u w:val="single"/>
          <w:vertAlign w:val="superscript"/>
        </w:rPr>
        <w:t>*</w:t>
      </w:r>
      <w:r w:rsidRPr="0015139E">
        <w:rPr>
          <w:rFonts w:eastAsia="Calibri" w:cs="Times New Roman"/>
          <w:sz w:val="20"/>
          <w:u w:val="single"/>
        </w:rPr>
        <w:t>, Rothstein and Cromwell JJ.</w:t>
      </w:r>
    </w:p>
    <w:p w:rsidR="001E74A1" w:rsidRDefault="001E74A1" w:rsidP="0046593E">
      <w:pPr>
        <w:jc w:val="both"/>
        <w:rPr>
          <w:rFonts w:eastAsia="Calibri" w:cs="Times New Roman"/>
          <w:sz w:val="20"/>
        </w:rPr>
      </w:pPr>
    </w:p>
    <w:p w:rsidR="0046593E" w:rsidRDefault="0046593E" w:rsidP="0046593E">
      <w:pPr>
        <w:ind w:left="1440" w:hanging="1440"/>
        <w:jc w:val="both"/>
        <w:rPr>
          <w:rFonts w:eastAsia="Calibri" w:cs="Times New Roman"/>
          <w:sz w:val="20"/>
        </w:rPr>
      </w:pPr>
      <w:r>
        <w:rPr>
          <w:rFonts w:eastAsia="Calibri" w:cs="Times New Roman"/>
          <w:sz w:val="20"/>
        </w:rPr>
        <w:tab/>
        <w:t>(</w:t>
      </w:r>
      <w:r>
        <w:rPr>
          <w:rFonts w:eastAsia="Calibri" w:cs="Times New Roman"/>
          <w:sz w:val="20"/>
          <w:vertAlign w:val="superscript"/>
        </w:rPr>
        <w:t>*</w:t>
      </w:r>
      <w:r>
        <w:rPr>
          <w:rFonts w:eastAsia="Calibri" w:cs="Times New Roman"/>
          <w:sz w:val="20"/>
        </w:rPr>
        <w:t xml:space="preserve"> Binnie and Charron JJ. </w:t>
      </w:r>
      <w:r w:rsidR="007574CA">
        <w:rPr>
          <w:rFonts w:eastAsia="Calibri" w:cs="Times New Roman"/>
          <w:sz w:val="20"/>
        </w:rPr>
        <w:t>t</w:t>
      </w:r>
      <w:r>
        <w:rPr>
          <w:rFonts w:eastAsia="Calibri" w:cs="Times New Roman"/>
          <w:sz w:val="20"/>
        </w:rPr>
        <w:t>ook no part in the judgment.)</w:t>
      </w:r>
    </w:p>
    <w:p w:rsidR="0046593E" w:rsidRPr="0046593E" w:rsidRDefault="0046593E" w:rsidP="0046593E">
      <w:pPr>
        <w:ind w:left="1440" w:hanging="1440"/>
        <w:jc w:val="both"/>
        <w:rPr>
          <w:rFonts w:eastAsia="Calibri" w:cs="Times New Roman"/>
          <w:sz w:val="20"/>
          <w:lang w:val="fr-CA"/>
        </w:rPr>
      </w:pPr>
      <w:r>
        <w:rPr>
          <w:rFonts w:eastAsia="Calibri" w:cs="Times New Roman"/>
          <w:sz w:val="20"/>
        </w:rPr>
        <w:tab/>
      </w:r>
      <w:r w:rsidRPr="0046593E">
        <w:rPr>
          <w:rFonts w:eastAsia="Calibri" w:cs="Times New Roman"/>
          <w:sz w:val="20"/>
          <w:lang w:val="fr-CA"/>
        </w:rPr>
        <w:t>(</w:t>
      </w:r>
      <w:r w:rsidRPr="0046593E">
        <w:rPr>
          <w:rFonts w:eastAsia="Calibri" w:cs="Times New Roman"/>
          <w:sz w:val="20"/>
          <w:vertAlign w:val="superscript"/>
          <w:lang w:val="fr-CA"/>
        </w:rPr>
        <w:t>*</w:t>
      </w:r>
      <w:r w:rsidRPr="0046593E">
        <w:rPr>
          <w:rFonts w:eastAsia="Calibri" w:cs="Times New Roman"/>
          <w:sz w:val="20"/>
          <w:lang w:val="fr-CA"/>
        </w:rPr>
        <w:t xml:space="preserve"> Les juges Binnie et Charron n’ont pas particip</w:t>
      </w:r>
      <w:r w:rsidR="007E7D0D">
        <w:rPr>
          <w:rFonts w:eastAsia="Calibri" w:cs="Times New Roman"/>
          <w:sz w:val="20"/>
          <w:lang w:val="fr-CA"/>
        </w:rPr>
        <w:t>é</w:t>
      </w:r>
      <w:r w:rsidRPr="0046593E">
        <w:rPr>
          <w:rFonts w:eastAsia="Calibri" w:cs="Times New Roman"/>
          <w:sz w:val="20"/>
          <w:lang w:val="fr-CA"/>
        </w:rPr>
        <w:t xml:space="preserve"> au jugement</w:t>
      </w:r>
      <w:r w:rsidR="007E7D0D">
        <w:rPr>
          <w:rFonts w:eastAsia="Calibri" w:cs="Times New Roman"/>
          <w:sz w:val="20"/>
          <w:lang w:val="fr-CA"/>
        </w:rPr>
        <w:t>.</w:t>
      </w:r>
      <w:r w:rsidRPr="0046593E">
        <w:rPr>
          <w:rFonts w:eastAsia="Calibri" w:cs="Times New Roman"/>
          <w:sz w:val="20"/>
          <w:lang w:val="fr-CA"/>
        </w:rPr>
        <w:t>)</w:t>
      </w:r>
    </w:p>
    <w:p w:rsidR="0046593E" w:rsidRPr="0046593E" w:rsidRDefault="0046593E" w:rsidP="0046593E">
      <w:pPr>
        <w:jc w:val="both"/>
        <w:rPr>
          <w:rFonts w:eastAsia="Calibri" w:cs="Times New Roman"/>
          <w:sz w:val="20"/>
          <w:lang w:val="fr-CA"/>
        </w:rPr>
      </w:pPr>
    </w:p>
    <w:p w:rsidR="001E74A1" w:rsidRPr="00346EB2" w:rsidRDefault="001E74A1" w:rsidP="001E74A1">
      <w:pPr>
        <w:jc w:val="both"/>
        <w:rPr>
          <w:rFonts w:eastAsia="Calibri" w:cs="Times New Roman"/>
          <w:sz w:val="20"/>
        </w:rPr>
      </w:pPr>
      <w:r w:rsidRPr="00346EB2">
        <w:rPr>
          <w:rFonts w:eastAsia="Calibri" w:cs="Times New Roman"/>
          <w:sz w:val="20"/>
        </w:rPr>
        <w:t>The appeal from the judgment of the Court of Appeal for Ontario, Number C49632, 2010 ONCA 84, dated February 2, 2010, heard on March 21, 2011, is dismissed with costs to the respondents other than Bel Air Travel Group Ltd. and Hola Sun Holidays Limited.</w:t>
      </w:r>
    </w:p>
    <w:p w:rsidR="001E74A1" w:rsidRPr="00346EB2" w:rsidRDefault="001E74A1" w:rsidP="001E74A1">
      <w:pPr>
        <w:jc w:val="both"/>
        <w:rPr>
          <w:rFonts w:eastAsia="Calibri" w:cs="Times New Roman"/>
          <w:sz w:val="20"/>
        </w:rPr>
      </w:pPr>
    </w:p>
    <w:p w:rsidR="001E74A1" w:rsidRPr="00346EB2" w:rsidRDefault="001E74A1" w:rsidP="001E74A1">
      <w:pPr>
        <w:jc w:val="both"/>
        <w:rPr>
          <w:rFonts w:eastAsia="Calibri" w:cs="Times New Roman"/>
          <w:sz w:val="20"/>
          <w:lang w:val="fr-CA"/>
        </w:rPr>
      </w:pPr>
      <w:r w:rsidRPr="00346EB2">
        <w:rPr>
          <w:rFonts w:eastAsia="Calibri" w:cs="Times New Roman"/>
          <w:sz w:val="20"/>
          <w:lang w:val="fr-CA"/>
        </w:rPr>
        <w:t>L’appel interjeté contre l’arrêt de la Cour d’appel de l’Ontario, numéro C49632, 2010 ONCA 84, en date du 2 février 2010, entendu le 21 mars 2011, est rejeté avec dépens en faveur des intimés sauf Bel Air Travel Group Ltd. et Hola Sun Holidays Limited.</w:t>
      </w:r>
    </w:p>
    <w:p w:rsidR="005F3456" w:rsidRPr="001E74A1" w:rsidRDefault="005F3456" w:rsidP="00AF1715">
      <w:pPr>
        <w:rPr>
          <w:sz w:val="20"/>
          <w:szCs w:val="20"/>
          <w:lang w:val="fr-CA"/>
        </w:rPr>
      </w:pPr>
    </w:p>
    <w:p w:rsidR="005F3456" w:rsidRPr="001E74A1" w:rsidRDefault="00A3677B" w:rsidP="00AF1715">
      <w:pPr>
        <w:rPr>
          <w:sz w:val="20"/>
          <w:szCs w:val="20"/>
          <w:lang w:val="fr-CA"/>
        </w:rPr>
      </w:pPr>
      <w:r w:rsidRPr="00A3677B">
        <w:rPr>
          <w:b/>
          <w:sz w:val="20"/>
          <w:szCs w:val="20"/>
        </w:rPr>
        <w:pict>
          <v:rect id="_x0000_i1062" style="width:144.3pt;height:1pt" o:hrpct="300" o:hralign="center" o:hrstd="t" o:hrnoshade="t" o:hr="t" fillcolor="black [3213]" stroked="f"/>
        </w:pict>
      </w:r>
    </w:p>
    <w:p w:rsidR="005F3456" w:rsidRDefault="005F3456" w:rsidP="00AF1715">
      <w:pPr>
        <w:rPr>
          <w:sz w:val="20"/>
          <w:szCs w:val="20"/>
          <w:lang w:val="fr-CA"/>
        </w:rPr>
      </w:pPr>
    </w:p>
    <w:p w:rsidR="001E74A1" w:rsidRPr="0052330F" w:rsidRDefault="001E74A1" w:rsidP="001E74A1">
      <w:pPr>
        <w:ind w:left="1440" w:hanging="1440"/>
        <w:jc w:val="both"/>
        <w:rPr>
          <w:rFonts w:eastAsia="Calibri" w:cs="Times New Roman"/>
          <w:sz w:val="20"/>
        </w:rPr>
      </w:pPr>
      <w:r w:rsidRPr="00A16B4C">
        <w:rPr>
          <w:rFonts w:eastAsia="Calibri" w:cs="Times New Roman"/>
          <w:b/>
          <w:sz w:val="20"/>
        </w:rPr>
        <w:t>33</w:t>
      </w:r>
      <w:r>
        <w:rPr>
          <w:rFonts w:eastAsia="Calibri" w:cs="Times New Roman"/>
          <w:b/>
          <w:sz w:val="20"/>
        </w:rPr>
        <w:t xml:space="preserve">692 </w:t>
      </w:r>
      <w:r>
        <w:rPr>
          <w:rFonts w:eastAsia="Calibri" w:cs="Times New Roman"/>
          <w:b/>
          <w:sz w:val="20"/>
        </w:rPr>
        <w:tab/>
      </w:r>
      <w:r w:rsidRPr="0015139E">
        <w:rPr>
          <w:rFonts w:eastAsia="Calibri" w:cs="Times New Roman"/>
          <w:b/>
          <w:sz w:val="20"/>
          <w:u w:val="single"/>
        </w:rPr>
        <w:t>Club Resorts Ltd.</w:t>
      </w:r>
      <w:r>
        <w:rPr>
          <w:rFonts w:eastAsia="Calibri" w:cs="Times New Roman"/>
          <w:b/>
          <w:sz w:val="20"/>
          <w:u w:val="single"/>
        </w:rPr>
        <w:t xml:space="preserve"> v.</w:t>
      </w:r>
      <w:r w:rsidRPr="00414679">
        <w:rPr>
          <w:rFonts w:eastAsia="Calibri" w:cs="Times New Roman"/>
          <w:b/>
          <w:sz w:val="20"/>
          <w:u w:val="single"/>
        </w:rPr>
        <w:t xml:space="preserve"> </w:t>
      </w:r>
      <w:r w:rsidRPr="00346EB2">
        <w:rPr>
          <w:rFonts w:eastAsia="Calibri" w:cs="Times New Roman"/>
          <w:b/>
          <w:sz w:val="20"/>
          <w:u w:val="single"/>
        </w:rPr>
        <w:t xml:space="preserve">Morgan Van Breda, Viktor Berg, Joan Van Breda, Tony Van Breda, Adam Van Breda and Tonnille Van Breda </w:t>
      </w:r>
      <w:r w:rsidRPr="00F41B2C">
        <w:rPr>
          <w:rFonts w:eastAsia="Calibri" w:cs="Times New Roman"/>
          <w:b/>
          <w:sz w:val="20"/>
          <w:u w:val="single"/>
        </w:rPr>
        <w:t xml:space="preserve">– and – </w:t>
      </w:r>
      <w:r w:rsidRPr="00D273BA">
        <w:rPr>
          <w:rFonts w:eastAsia="Calibri" w:cs="Times New Roman"/>
          <w:b/>
          <w:sz w:val="20"/>
          <w:u w:val="single"/>
        </w:rPr>
        <w:t>Tourism Industry Association of Ontario, Amnesty International, Canadian Centre for International Justice, Canadian Lawyers for International Human Rights and Ontario Trial Lawyers Association</w:t>
      </w:r>
      <w:r w:rsidRPr="00D273BA">
        <w:rPr>
          <w:rFonts w:eastAsia="Calibri" w:cs="Times New Roman"/>
          <w:b/>
          <w:sz w:val="20"/>
        </w:rPr>
        <w:t xml:space="preserve"> </w:t>
      </w:r>
      <w:r w:rsidRPr="00A16B4C">
        <w:rPr>
          <w:rFonts w:eastAsia="Calibri" w:cs="Times New Roman"/>
          <w:sz w:val="20"/>
        </w:rPr>
        <w:t>(</w:t>
      </w:r>
      <w:r>
        <w:rPr>
          <w:rFonts w:eastAsia="Calibri" w:cs="Times New Roman"/>
          <w:sz w:val="20"/>
        </w:rPr>
        <w:t>Ont.</w:t>
      </w:r>
      <w:r w:rsidRPr="00A16B4C">
        <w:rPr>
          <w:rFonts w:eastAsia="Calibri" w:cs="Times New Roman"/>
          <w:sz w:val="20"/>
        </w:rPr>
        <w:t xml:space="preserve">) </w:t>
      </w:r>
    </w:p>
    <w:p w:rsidR="001E74A1" w:rsidRPr="00273DAD" w:rsidRDefault="001E74A1" w:rsidP="001E74A1">
      <w:pPr>
        <w:ind w:left="1440" w:hanging="1440"/>
        <w:jc w:val="both"/>
        <w:rPr>
          <w:rFonts w:eastAsia="Calibri" w:cs="Times New Roman"/>
          <w:b/>
          <w:sz w:val="20"/>
        </w:rPr>
      </w:pPr>
      <w:r w:rsidRPr="00273DAD">
        <w:rPr>
          <w:rFonts w:eastAsia="Calibri" w:cs="Times New Roman"/>
          <w:b/>
          <w:sz w:val="20"/>
        </w:rPr>
        <w:tab/>
      </w:r>
      <w:r>
        <w:rPr>
          <w:rFonts w:eastAsia="Calibri" w:cs="Times New Roman"/>
          <w:b/>
          <w:sz w:val="20"/>
        </w:rPr>
        <w:t>2012</w:t>
      </w:r>
      <w:r w:rsidRPr="00273DAD">
        <w:rPr>
          <w:rFonts w:eastAsia="Calibri" w:cs="Times New Roman"/>
          <w:b/>
          <w:sz w:val="20"/>
        </w:rPr>
        <w:t xml:space="preserve"> SCC </w:t>
      </w:r>
      <w:r>
        <w:rPr>
          <w:rFonts w:eastAsia="Calibri" w:cs="Times New Roman"/>
          <w:b/>
          <w:sz w:val="20"/>
        </w:rPr>
        <w:t>17</w:t>
      </w:r>
      <w:r w:rsidRPr="00273DAD">
        <w:rPr>
          <w:rFonts w:eastAsia="Calibri" w:cs="Times New Roman"/>
          <w:b/>
          <w:sz w:val="20"/>
        </w:rPr>
        <w:t xml:space="preserve"> / </w:t>
      </w:r>
      <w:r>
        <w:rPr>
          <w:rFonts w:eastAsia="Calibri" w:cs="Times New Roman"/>
          <w:b/>
          <w:sz w:val="20"/>
        </w:rPr>
        <w:t>2012</w:t>
      </w:r>
      <w:r w:rsidRPr="00273DAD">
        <w:rPr>
          <w:rFonts w:eastAsia="Calibri" w:cs="Times New Roman"/>
          <w:b/>
          <w:sz w:val="20"/>
        </w:rPr>
        <w:t xml:space="preserve"> CSC </w:t>
      </w:r>
      <w:r>
        <w:rPr>
          <w:rFonts w:eastAsia="Calibri" w:cs="Times New Roman"/>
          <w:b/>
          <w:sz w:val="20"/>
        </w:rPr>
        <w:t>17</w:t>
      </w:r>
    </w:p>
    <w:p w:rsidR="001E74A1" w:rsidRPr="00F41B2C" w:rsidRDefault="001E74A1" w:rsidP="001E74A1">
      <w:pPr>
        <w:ind w:left="1440" w:hanging="1440"/>
        <w:jc w:val="both"/>
        <w:rPr>
          <w:rFonts w:eastAsia="Calibri" w:cs="Times New Roman"/>
          <w:b/>
          <w:sz w:val="20"/>
        </w:rPr>
      </w:pPr>
    </w:p>
    <w:p w:rsidR="00886CE1" w:rsidRPr="00F41B2C" w:rsidRDefault="00886CE1" w:rsidP="00886CE1">
      <w:pPr>
        <w:ind w:left="1440" w:hanging="1440"/>
        <w:jc w:val="both"/>
        <w:rPr>
          <w:rFonts w:eastAsia="Calibri" w:cs="Times New Roman"/>
          <w:sz w:val="20"/>
          <w:u w:val="single"/>
        </w:rPr>
      </w:pPr>
      <w:r w:rsidRPr="00F41B2C">
        <w:rPr>
          <w:rFonts w:eastAsia="Calibri" w:cs="Times New Roman"/>
          <w:sz w:val="20"/>
        </w:rPr>
        <w:t>Coram:</w:t>
      </w:r>
      <w:r>
        <w:rPr>
          <w:sz w:val="20"/>
        </w:rPr>
        <w:tab/>
      </w:r>
      <w:r>
        <w:rPr>
          <w:rFonts w:eastAsia="Calibri" w:cs="Times New Roman"/>
          <w:sz w:val="20"/>
          <w:u w:val="single"/>
        </w:rPr>
        <w:t>McLachlin C.J. and Binnie</w:t>
      </w:r>
      <w:r>
        <w:rPr>
          <w:rFonts w:eastAsia="Calibri" w:cs="Times New Roman"/>
          <w:sz w:val="20"/>
          <w:u w:val="single"/>
          <w:vertAlign w:val="superscript"/>
        </w:rPr>
        <w:t>*</w:t>
      </w:r>
      <w:r w:rsidRPr="0015139E">
        <w:rPr>
          <w:rFonts w:eastAsia="Calibri" w:cs="Times New Roman"/>
          <w:sz w:val="20"/>
          <w:u w:val="single"/>
        </w:rPr>
        <w:t>, LeBel, D</w:t>
      </w:r>
      <w:r>
        <w:rPr>
          <w:rFonts w:eastAsia="Calibri" w:cs="Times New Roman"/>
          <w:sz w:val="20"/>
          <w:u w:val="single"/>
        </w:rPr>
        <w:t>eschamps, Fish, Abella, Charron</w:t>
      </w:r>
      <w:r>
        <w:rPr>
          <w:rFonts w:eastAsia="Calibri" w:cs="Times New Roman"/>
          <w:sz w:val="20"/>
          <w:u w:val="single"/>
          <w:vertAlign w:val="superscript"/>
        </w:rPr>
        <w:t>*</w:t>
      </w:r>
      <w:r w:rsidRPr="0015139E">
        <w:rPr>
          <w:rFonts w:eastAsia="Calibri" w:cs="Times New Roman"/>
          <w:sz w:val="20"/>
          <w:u w:val="single"/>
        </w:rPr>
        <w:t>, Rothstein and Cromwell JJ.</w:t>
      </w:r>
    </w:p>
    <w:p w:rsidR="00886CE1" w:rsidRDefault="00886CE1" w:rsidP="00886CE1">
      <w:pPr>
        <w:jc w:val="both"/>
        <w:rPr>
          <w:rFonts w:eastAsia="Calibri" w:cs="Times New Roman"/>
          <w:sz w:val="20"/>
        </w:rPr>
      </w:pPr>
    </w:p>
    <w:p w:rsidR="00886CE1" w:rsidRDefault="00886CE1" w:rsidP="00886CE1">
      <w:pPr>
        <w:ind w:left="1440" w:hanging="1440"/>
        <w:jc w:val="both"/>
        <w:rPr>
          <w:rFonts w:eastAsia="Calibri" w:cs="Times New Roman"/>
          <w:sz w:val="20"/>
        </w:rPr>
      </w:pPr>
      <w:r>
        <w:rPr>
          <w:rFonts w:eastAsia="Calibri" w:cs="Times New Roman"/>
          <w:sz w:val="20"/>
        </w:rPr>
        <w:tab/>
        <w:t>(</w:t>
      </w:r>
      <w:r>
        <w:rPr>
          <w:rFonts w:eastAsia="Calibri" w:cs="Times New Roman"/>
          <w:sz w:val="20"/>
          <w:vertAlign w:val="superscript"/>
        </w:rPr>
        <w:t>*</w:t>
      </w:r>
      <w:r>
        <w:rPr>
          <w:rFonts w:eastAsia="Calibri" w:cs="Times New Roman"/>
          <w:sz w:val="20"/>
        </w:rPr>
        <w:t xml:space="preserve"> Binnie and Charron JJ. took no part in the judgment.)</w:t>
      </w:r>
    </w:p>
    <w:p w:rsidR="00886CE1" w:rsidRPr="0046593E" w:rsidRDefault="00886CE1" w:rsidP="00886CE1">
      <w:pPr>
        <w:ind w:left="1440" w:hanging="1440"/>
        <w:jc w:val="both"/>
        <w:rPr>
          <w:rFonts w:eastAsia="Calibri" w:cs="Times New Roman"/>
          <w:sz w:val="20"/>
          <w:lang w:val="fr-CA"/>
        </w:rPr>
      </w:pPr>
      <w:r>
        <w:rPr>
          <w:rFonts w:eastAsia="Calibri" w:cs="Times New Roman"/>
          <w:sz w:val="20"/>
        </w:rPr>
        <w:tab/>
      </w:r>
      <w:r w:rsidRPr="0046593E">
        <w:rPr>
          <w:rFonts w:eastAsia="Calibri" w:cs="Times New Roman"/>
          <w:sz w:val="20"/>
          <w:lang w:val="fr-CA"/>
        </w:rPr>
        <w:t>(</w:t>
      </w:r>
      <w:r w:rsidRPr="0046593E">
        <w:rPr>
          <w:rFonts w:eastAsia="Calibri" w:cs="Times New Roman"/>
          <w:sz w:val="20"/>
          <w:vertAlign w:val="superscript"/>
          <w:lang w:val="fr-CA"/>
        </w:rPr>
        <w:t>*</w:t>
      </w:r>
      <w:r w:rsidRPr="0046593E">
        <w:rPr>
          <w:rFonts w:eastAsia="Calibri" w:cs="Times New Roman"/>
          <w:sz w:val="20"/>
          <w:lang w:val="fr-CA"/>
        </w:rPr>
        <w:t xml:space="preserve"> Les juges Binnie et Charron n’ont pas particip</w:t>
      </w:r>
      <w:r>
        <w:rPr>
          <w:rFonts w:eastAsia="Calibri" w:cs="Times New Roman"/>
          <w:sz w:val="20"/>
          <w:lang w:val="fr-CA"/>
        </w:rPr>
        <w:t>é</w:t>
      </w:r>
      <w:r w:rsidRPr="0046593E">
        <w:rPr>
          <w:rFonts w:eastAsia="Calibri" w:cs="Times New Roman"/>
          <w:sz w:val="20"/>
          <w:lang w:val="fr-CA"/>
        </w:rPr>
        <w:t xml:space="preserve"> au jugement</w:t>
      </w:r>
      <w:r>
        <w:rPr>
          <w:rFonts w:eastAsia="Calibri" w:cs="Times New Roman"/>
          <w:sz w:val="20"/>
          <w:lang w:val="fr-CA"/>
        </w:rPr>
        <w:t>.</w:t>
      </w:r>
      <w:r w:rsidRPr="0046593E">
        <w:rPr>
          <w:rFonts w:eastAsia="Calibri" w:cs="Times New Roman"/>
          <w:sz w:val="20"/>
          <w:lang w:val="fr-CA"/>
        </w:rPr>
        <w:t>)</w:t>
      </w:r>
    </w:p>
    <w:p w:rsidR="001E74A1" w:rsidRPr="000D7A3F" w:rsidRDefault="001E74A1" w:rsidP="001E74A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lang w:val="fr-CA"/>
        </w:rPr>
      </w:pPr>
    </w:p>
    <w:p w:rsidR="001E74A1" w:rsidRPr="00D273BA" w:rsidRDefault="001E74A1" w:rsidP="001E74A1">
      <w:pPr>
        <w:jc w:val="both"/>
        <w:rPr>
          <w:rFonts w:eastAsia="Calibri" w:cs="Times New Roman"/>
          <w:sz w:val="20"/>
        </w:rPr>
      </w:pPr>
      <w:r w:rsidRPr="00D273BA">
        <w:rPr>
          <w:rFonts w:eastAsia="Calibri" w:cs="Times New Roman"/>
          <w:sz w:val="20"/>
        </w:rPr>
        <w:t>The appeal from the judgment of the Court of Appeal for Ontario, Number C49188, 2010 ONCA 84, dated February 2, 2010, heard on March 21, 2011, is dismissed with costs.</w:t>
      </w:r>
    </w:p>
    <w:p w:rsidR="001E74A1" w:rsidRPr="00D273BA" w:rsidRDefault="001E74A1" w:rsidP="001E74A1">
      <w:pPr>
        <w:jc w:val="both"/>
        <w:rPr>
          <w:rFonts w:eastAsia="Calibri" w:cs="Times New Roman"/>
          <w:sz w:val="20"/>
        </w:rPr>
      </w:pPr>
    </w:p>
    <w:p w:rsidR="001E74A1" w:rsidRPr="00D273BA" w:rsidRDefault="001E74A1" w:rsidP="001E74A1">
      <w:pPr>
        <w:jc w:val="both"/>
        <w:rPr>
          <w:rFonts w:eastAsia="Calibri" w:cs="Times New Roman"/>
          <w:sz w:val="20"/>
          <w:lang w:val="fr-CA"/>
        </w:rPr>
      </w:pPr>
      <w:r w:rsidRPr="00D273BA">
        <w:rPr>
          <w:rFonts w:eastAsia="Calibri" w:cs="Times New Roman"/>
          <w:sz w:val="20"/>
          <w:lang w:val="fr-CA"/>
        </w:rPr>
        <w:t>L’appel interjeté contre l’arrêt de la Cour d’appel de l’Ontario, numéro C49188, 2010 ONCA 84, en date du 2 février 2010, entendu le 21 mars 2011, est rejeté avec dépens.</w:t>
      </w:r>
    </w:p>
    <w:p w:rsidR="001E74A1" w:rsidRDefault="001E74A1" w:rsidP="001E74A1">
      <w:pPr>
        <w:jc w:val="both"/>
        <w:rPr>
          <w:rFonts w:eastAsia="Calibri" w:cs="Times New Roman"/>
          <w:sz w:val="20"/>
          <w:lang w:val="fr-CA"/>
        </w:rPr>
      </w:pPr>
    </w:p>
    <w:p w:rsidR="00AF1715" w:rsidRPr="003B3977" w:rsidRDefault="00A3677B" w:rsidP="00AF1715">
      <w:pPr>
        <w:spacing w:line="0" w:lineRule="atLeast"/>
        <w:rPr>
          <w:sz w:val="20"/>
          <w:szCs w:val="20"/>
        </w:rPr>
      </w:pPr>
      <w:r w:rsidRPr="00A3677B">
        <w:rPr>
          <w:b/>
          <w:sz w:val="20"/>
          <w:szCs w:val="20"/>
        </w:rPr>
        <w:pict>
          <v:rect id="_x0000_i1063" style="width:144.3pt;height:1pt" o:hrpct="300" o:hralign="center" o:hrstd="t" o:hrnoshade="t" o:hr="t" fillcolor="black [3213]" stroked="f"/>
        </w:pict>
      </w:r>
    </w:p>
    <w:p w:rsidR="00AF1715" w:rsidRDefault="00AF1715" w:rsidP="00AF1715">
      <w:pPr>
        <w:spacing w:line="0" w:lineRule="atLeast"/>
        <w:rPr>
          <w:sz w:val="20"/>
          <w:szCs w:val="20"/>
        </w:rPr>
      </w:pPr>
    </w:p>
    <w:p w:rsidR="00886CE1" w:rsidRDefault="00886CE1">
      <w:pPr>
        <w:rPr>
          <w:rFonts w:eastAsia="Calibri" w:cs="Times New Roman"/>
          <w:b/>
          <w:sz w:val="20"/>
        </w:rPr>
      </w:pPr>
      <w:r>
        <w:rPr>
          <w:rFonts w:eastAsia="Calibri" w:cs="Times New Roman"/>
          <w:b/>
          <w:sz w:val="20"/>
        </w:rPr>
        <w:br w:type="page"/>
      </w:r>
    </w:p>
    <w:p w:rsidR="001E74A1" w:rsidRPr="001E74A1" w:rsidRDefault="001E74A1" w:rsidP="001E74A1">
      <w:pPr>
        <w:ind w:left="1440" w:hanging="1440"/>
        <w:jc w:val="both"/>
        <w:rPr>
          <w:rFonts w:eastAsia="Calibri" w:cs="Times New Roman"/>
          <w:sz w:val="20"/>
        </w:rPr>
      </w:pPr>
      <w:r w:rsidRPr="001E74A1">
        <w:rPr>
          <w:rFonts w:eastAsia="Calibri" w:cs="Times New Roman"/>
          <w:b/>
          <w:sz w:val="20"/>
        </w:rPr>
        <w:lastRenderedPageBreak/>
        <w:t>33819</w:t>
      </w:r>
      <w:r w:rsidRPr="001E74A1">
        <w:rPr>
          <w:rFonts w:eastAsia="Calibri" w:cs="Times New Roman"/>
          <w:b/>
          <w:sz w:val="20"/>
        </w:rPr>
        <w:tab/>
      </w:r>
      <w:r w:rsidRPr="001E74A1">
        <w:rPr>
          <w:rFonts w:eastAsia="Calibri" w:cs="Times New Roman"/>
          <w:b/>
          <w:sz w:val="20"/>
          <w:u w:val="single"/>
        </w:rPr>
        <w:t>Les Éditions Écosociété Inc., Alain Deneault, Delphine Abadie and William Sacher v. Banro Corporation – and – Canadian Civil Liberties Association and British Columbia Civil Liberties Association</w:t>
      </w:r>
      <w:r w:rsidRPr="001E74A1">
        <w:rPr>
          <w:rFonts w:eastAsia="Calibri" w:cs="Times New Roman"/>
          <w:b/>
          <w:sz w:val="20"/>
        </w:rPr>
        <w:t xml:space="preserve"> </w:t>
      </w:r>
      <w:r w:rsidRPr="001E74A1">
        <w:rPr>
          <w:rFonts w:eastAsia="Calibri" w:cs="Times New Roman"/>
          <w:sz w:val="20"/>
        </w:rPr>
        <w:t xml:space="preserve">(Ont.) </w:t>
      </w:r>
    </w:p>
    <w:p w:rsidR="001E74A1" w:rsidRPr="00273DAD" w:rsidRDefault="001E74A1" w:rsidP="001E74A1">
      <w:pPr>
        <w:ind w:left="1440" w:hanging="1440"/>
        <w:jc w:val="both"/>
        <w:rPr>
          <w:rFonts w:eastAsia="Calibri" w:cs="Times New Roman"/>
          <w:b/>
          <w:sz w:val="20"/>
        </w:rPr>
      </w:pPr>
      <w:r w:rsidRPr="001E74A1">
        <w:rPr>
          <w:rFonts w:eastAsia="Calibri" w:cs="Times New Roman"/>
          <w:b/>
          <w:sz w:val="20"/>
        </w:rPr>
        <w:tab/>
      </w:r>
      <w:r>
        <w:rPr>
          <w:rFonts w:eastAsia="Calibri" w:cs="Times New Roman"/>
          <w:b/>
          <w:sz w:val="20"/>
        </w:rPr>
        <w:t>2012</w:t>
      </w:r>
      <w:r w:rsidRPr="00273DAD">
        <w:rPr>
          <w:rFonts w:eastAsia="Calibri" w:cs="Times New Roman"/>
          <w:b/>
          <w:sz w:val="20"/>
        </w:rPr>
        <w:t xml:space="preserve"> SCC </w:t>
      </w:r>
      <w:r>
        <w:rPr>
          <w:rFonts w:eastAsia="Calibri" w:cs="Times New Roman"/>
          <w:b/>
          <w:sz w:val="20"/>
        </w:rPr>
        <w:t>18</w:t>
      </w:r>
      <w:r w:rsidRPr="00273DAD">
        <w:rPr>
          <w:rFonts w:eastAsia="Calibri" w:cs="Times New Roman"/>
          <w:b/>
          <w:sz w:val="20"/>
        </w:rPr>
        <w:t xml:space="preserve"> / </w:t>
      </w:r>
      <w:r>
        <w:rPr>
          <w:rFonts w:eastAsia="Calibri" w:cs="Times New Roman"/>
          <w:b/>
          <w:sz w:val="20"/>
        </w:rPr>
        <w:t>2012</w:t>
      </w:r>
      <w:r w:rsidRPr="00273DAD">
        <w:rPr>
          <w:rFonts w:eastAsia="Calibri" w:cs="Times New Roman"/>
          <w:b/>
          <w:sz w:val="20"/>
        </w:rPr>
        <w:t xml:space="preserve"> CSC </w:t>
      </w:r>
      <w:r>
        <w:rPr>
          <w:rFonts w:eastAsia="Calibri" w:cs="Times New Roman"/>
          <w:b/>
          <w:sz w:val="20"/>
        </w:rPr>
        <w:t>18</w:t>
      </w:r>
    </w:p>
    <w:p w:rsidR="001E74A1" w:rsidRPr="00F41B2C" w:rsidRDefault="001E74A1" w:rsidP="001E74A1">
      <w:pPr>
        <w:ind w:left="1440" w:hanging="1440"/>
        <w:jc w:val="both"/>
        <w:rPr>
          <w:rFonts w:eastAsia="Calibri" w:cs="Times New Roman"/>
          <w:b/>
          <w:sz w:val="20"/>
        </w:rPr>
      </w:pPr>
    </w:p>
    <w:p w:rsidR="00886CE1" w:rsidRPr="00F41B2C" w:rsidRDefault="00886CE1" w:rsidP="00886CE1">
      <w:pPr>
        <w:ind w:left="1440" w:hanging="1440"/>
        <w:jc w:val="both"/>
        <w:rPr>
          <w:rFonts w:eastAsia="Calibri" w:cs="Times New Roman"/>
          <w:sz w:val="20"/>
          <w:u w:val="single"/>
        </w:rPr>
      </w:pPr>
      <w:r w:rsidRPr="00F41B2C">
        <w:rPr>
          <w:rFonts w:eastAsia="Calibri" w:cs="Times New Roman"/>
          <w:sz w:val="20"/>
        </w:rPr>
        <w:t>Coram:</w:t>
      </w:r>
      <w:r>
        <w:rPr>
          <w:sz w:val="20"/>
        </w:rPr>
        <w:tab/>
      </w:r>
      <w:r>
        <w:rPr>
          <w:rFonts w:eastAsia="Calibri" w:cs="Times New Roman"/>
          <w:sz w:val="20"/>
          <w:u w:val="single"/>
        </w:rPr>
        <w:t>McLachlin C.J. and Binnie</w:t>
      </w:r>
      <w:r>
        <w:rPr>
          <w:rFonts w:eastAsia="Calibri" w:cs="Times New Roman"/>
          <w:sz w:val="20"/>
          <w:u w:val="single"/>
          <w:vertAlign w:val="superscript"/>
        </w:rPr>
        <w:t>*</w:t>
      </w:r>
      <w:r w:rsidRPr="0015139E">
        <w:rPr>
          <w:rFonts w:eastAsia="Calibri" w:cs="Times New Roman"/>
          <w:sz w:val="20"/>
          <w:u w:val="single"/>
        </w:rPr>
        <w:t>, LeBel, D</w:t>
      </w:r>
      <w:r>
        <w:rPr>
          <w:rFonts w:eastAsia="Calibri" w:cs="Times New Roman"/>
          <w:sz w:val="20"/>
          <w:u w:val="single"/>
        </w:rPr>
        <w:t>eschamps, Fish, Abella, Charron</w:t>
      </w:r>
      <w:r>
        <w:rPr>
          <w:rFonts w:eastAsia="Calibri" w:cs="Times New Roman"/>
          <w:sz w:val="20"/>
          <w:u w:val="single"/>
          <w:vertAlign w:val="superscript"/>
        </w:rPr>
        <w:t>*</w:t>
      </w:r>
      <w:r w:rsidRPr="0015139E">
        <w:rPr>
          <w:rFonts w:eastAsia="Calibri" w:cs="Times New Roman"/>
          <w:sz w:val="20"/>
          <w:u w:val="single"/>
        </w:rPr>
        <w:t>, Rothstein and Cromwell JJ.</w:t>
      </w:r>
    </w:p>
    <w:p w:rsidR="00886CE1" w:rsidRDefault="00886CE1" w:rsidP="00886CE1">
      <w:pPr>
        <w:jc w:val="both"/>
        <w:rPr>
          <w:rFonts w:eastAsia="Calibri" w:cs="Times New Roman"/>
          <w:sz w:val="20"/>
        </w:rPr>
      </w:pPr>
    </w:p>
    <w:p w:rsidR="00886CE1" w:rsidRDefault="00886CE1" w:rsidP="00886CE1">
      <w:pPr>
        <w:ind w:left="1440" w:hanging="1440"/>
        <w:jc w:val="both"/>
        <w:rPr>
          <w:rFonts w:eastAsia="Calibri" w:cs="Times New Roman"/>
          <w:sz w:val="20"/>
        </w:rPr>
      </w:pPr>
      <w:r>
        <w:rPr>
          <w:rFonts w:eastAsia="Calibri" w:cs="Times New Roman"/>
          <w:sz w:val="20"/>
        </w:rPr>
        <w:tab/>
        <w:t>(</w:t>
      </w:r>
      <w:r>
        <w:rPr>
          <w:rFonts w:eastAsia="Calibri" w:cs="Times New Roman"/>
          <w:sz w:val="20"/>
          <w:vertAlign w:val="superscript"/>
        </w:rPr>
        <w:t>*</w:t>
      </w:r>
      <w:r>
        <w:rPr>
          <w:rFonts w:eastAsia="Calibri" w:cs="Times New Roman"/>
          <w:sz w:val="20"/>
        </w:rPr>
        <w:t xml:space="preserve"> Binnie and Charron JJ. took no part in the judgment.)</w:t>
      </w:r>
    </w:p>
    <w:p w:rsidR="00886CE1" w:rsidRPr="0046593E" w:rsidRDefault="00886CE1" w:rsidP="00886CE1">
      <w:pPr>
        <w:ind w:left="1440" w:hanging="1440"/>
        <w:jc w:val="both"/>
        <w:rPr>
          <w:rFonts w:eastAsia="Calibri" w:cs="Times New Roman"/>
          <w:sz w:val="20"/>
          <w:lang w:val="fr-CA"/>
        </w:rPr>
      </w:pPr>
      <w:r>
        <w:rPr>
          <w:rFonts w:eastAsia="Calibri" w:cs="Times New Roman"/>
          <w:sz w:val="20"/>
        </w:rPr>
        <w:tab/>
      </w:r>
      <w:r w:rsidRPr="0046593E">
        <w:rPr>
          <w:rFonts w:eastAsia="Calibri" w:cs="Times New Roman"/>
          <w:sz w:val="20"/>
          <w:lang w:val="fr-CA"/>
        </w:rPr>
        <w:t>(</w:t>
      </w:r>
      <w:r w:rsidRPr="0046593E">
        <w:rPr>
          <w:rFonts w:eastAsia="Calibri" w:cs="Times New Roman"/>
          <w:sz w:val="20"/>
          <w:vertAlign w:val="superscript"/>
          <w:lang w:val="fr-CA"/>
        </w:rPr>
        <w:t>*</w:t>
      </w:r>
      <w:r w:rsidRPr="0046593E">
        <w:rPr>
          <w:rFonts w:eastAsia="Calibri" w:cs="Times New Roman"/>
          <w:sz w:val="20"/>
          <w:lang w:val="fr-CA"/>
        </w:rPr>
        <w:t xml:space="preserve"> Les juges Binnie et Charron n’ont pas particip</w:t>
      </w:r>
      <w:r>
        <w:rPr>
          <w:rFonts w:eastAsia="Calibri" w:cs="Times New Roman"/>
          <w:sz w:val="20"/>
          <w:lang w:val="fr-CA"/>
        </w:rPr>
        <w:t>é</w:t>
      </w:r>
      <w:r w:rsidRPr="0046593E">
        <w:rPr>
          <w:rFonts w:eastAsia="Calibri" w:cs="Times New Roman"/>
          <w:sz w:val="20"/>
          <w:lang w:val="fr-CA"/>
        </w:rPr>
        <w:t xml:space="preserve"> au jugement</w:t>
      </w:r>
      <w:r>
        <w:rPr>
          <w:rFonts w:eastAsia="Calibri" w:cs="Times New Roman"/>
          <w:sz w:val="20"/>
          <w:lang w:val="fr-CA"/>
        </w:rPr>
        <w:t>.</w:t>
      </w:r>
      <w:r w:rsidRPr="0046593E">
        <w:rPr>
          <w:rFonts w:eastAsia="Calibri" w:cs="Times New Roman"/>
          <w:sz w:val="20"/>
          <w:lang w:val="fr-CA"/>
        </w:rPr>
        <w:t>)</w:t>
      </w:r>
    </w:p>
    <w:p w:rsidR="00886CE1" w:rsidRPr="00886CE1" w:rsidRDefault="00886CE1" w:rsidP="001E74A1">
      <w:pPr>
        <w:ind w:left="1440" w:hanging="1440"/>
        <w:jc w:val="both"/>
        <w:rPr>
          <w:rFonts w:eastAsia="Calibri" w:cs="Times New Roman"/>
          <w:sz w:val="20"/>
          <w:lang w:val="fr-CA"/>
        </w:rPr>
      </w:pPr>
    </w:p>
    <w:p w:rsidR="001E74A1" w:rsidRPr="00A050F2" w:rsidRDefault="001E74A1" w:rsidP="001E74A1">
      <w:pPr>
        <w:jc w:val="both"/>
        <w:rPr>
          <w:rFonts w:eastAsia="Calibri" w:cs="Times New Roman"/>
          <w:sz w:val="20"/>
        </w:rPr>
      </w:pPr>
      <w:r w:rsidRPr="00A050F2">
        <w:rPr>
          <w:rFonts w:eastAsia="Calibri" w:cs="Times New Roman"/>
          <w:sz w:val="20"/>
        </w:rPr>
        <w:t>The appeal from the judgment of the Court of Appeal for Ontario, Number C50209, 2010 ONCA 416, dated June 7, 2010, heard on March 25, 2011, is dismissed with costs.</w:t>
      </w:r>
    </w:p>
    <w:p w:rsidR="001E74A1" w:rsidRPr="00A050F2" w:rsidRDefault="001E74A1" w:rsidP="001E74A1">
      <w:pPr>
        <w:jc w:val="both"/>
        <w:rPr>
          <w:rFonts w:eastAsia="Calibri" w:cs="Times New Roman"/>
          <w:sz w:val="20"/>
        </w:rPr>
      </w:pPr>
    </w:p>
    <w:p w:rsidR="001E74A1" w:rsidRPr="00A050F2" w:rsidRDefault="001E74A1" w:rsidP="001E74A1">
      <w:pPr>
        <w:jc w:val="both"/>
        <w:rPr>
          <w:rFonts w:eastAsia="Calibri" w:cs="Times New Roman"/>
          <w:sz w:val="20"/>
          <w:lang w:val="fr-CA"/>
        </w:rPr>
      </w:pPr>
      <w:r w:rsidRPr="00A050F2">
        <w:rPr>
          <w:rFonts w:eastAsia="Calibri" w:cs="Times New Roman"/>
          <w:sz w:val="20"/>
          <w:lang w:val="fr-CA"/>
        </w:rPr>
        <w:t>L’appel interjeté contre l’arrêt de la Cour d’appel de l’Ontario, numéro C50209, 2010 ONCA 416, en date du 7 juin 2010, entendu le 25 mars 2011, est rejeté avec dépens.</w:t>
      </w:r>
    </w:p>
    <w:p w:rsidR="001E74A1" w:rsidRPr="001E74A1" w:rsidRDefault="001E74A1" w:rsidP="00AF1715">
      <w:pPr>
        <w:spacing w:line="0" w:lineRule="atLeast"/>
        <w:rPr>
          <w:sz w:val="20"/>
          <w:szCs w:val="20"/>
          <w:lang w:val="fr-CA"/>
        </w:rPr>
      </w:pPr>
    </w:p>
    <w:p w:rsidR="00AF1715" w:rsidRPr="006C5F7A" w:rsidRDefault="00A3677B" w:rsidP="00AF1715">
      <w:pPr>
        <w:spacing w:line="0" w:lineRule="atLeast"/>
        <w:rPr>
          <w:rFonts w:cs="Times New Roman"/>
          <w:b/>
          <w:sz w:val="20"/>
          <w:szCs w:val="20"/>
        </w:rPr>
      </w:pPr>
      <w:r w:rsidRPr="00A3677B">
        <w:rPr>
          <w:rFonts w:cs="Times New Roman"/>
          <w:b/>
          <w:sz w:val="20"/>
          <w:szCs w:val="20"/>
        </w:rPr>
        <w:pict>
          <v:rect id="_x0000_i1064" style="width:144.3pt;height:1pt" o:hrpct="300" o:hralign="center" o:hrstd="t" o:hrnoshade="t" o:hr="t" fillcolor="black [3213]" stroked="f"/>
        </w:pict>
      </w:r>
    </w:p>
    <w:p w:rsidR="00AF1715" w:rsidRPr="001E74A1" w:rsidRDefault="00AF1715" w:rsidP="00AF1715">
      <w:pPr>
        <w:spacing w:line="0" w:lineRule="atLeast"/>
        <w:rPr>
          <w:rFonts w:cs="Times New Roman"/>
          <w:sz w:val="20"/>
          <w:szCs w:val="20"/>
        </w:rPr>
      </w:pPr>
    </w:p>
    <w:p w:rsidR="001E74A1" w:rsidRPr="0052330F" w:rsidRDefault="001E74A1" w:rsidP="001E74A1">
      <w:pPr>
        <w:ind w:left="1440" w:hanging="1440"/>
        <w:jc w:val="both"/>
        <w:rPr>
          <w:rFonts w:eastAsia="Calibri" w:cs="Times New Roman"/>
          <w:sz w:val="20"/>
        </w:rPr>
      </w:pPr>
      <w:r w:rsidRPr="00A16B4C">
        <w:rPr>
          <w:rFonts w:eastAsia="Calibri" w:cs="Times New Roman"/>
          <w:b/>
          <w:sz w:val="20"/>
        </w:rPr>
        <w:t>33</w:t>
      </w:r>
      <w:r>
        <w:rPr>
          <w:rFonts w:eastAsia="Calibri" w:cs="Times New Roman"/>
          <w:b/>
          <w:sz w:val="20"/>
        </w:rPr>
        <w:t>900</w:t>
      </w:r>
      <w:r w:rsidRPr="0052330F">
        <w:rPr>
          <w:rFonts w:eastAsia="Calibri" w:cs="Times New Roman"/>
          <w:b/>
          <w:sz w:val="20"/>
        </w:rPr>
        <w:tab/>
      </w:r>
      <w:r w:rsidRPr="004C65A4">
        <w:rPr>
          <w:rFonts w:eastAsia="Calibri" w:cs="Times New Roman"/>
          <w:b/>
          <w:sz w:val="20"/>
          <w:u w:val="single"/>
        </w:rPr>
        <w:t xml:space="preserve">Richard C. Breeden, Richard C. Breeden &amp; Co., Gordon A. Paris, James R. Thompson, Richard D. Burt, Graham W. Savage and Raymond G.H. Seitz </w:t>
      </w:r>
      <w:r>
        <w:rPr>
          <w:rFonts w:eastAsia="Calibri" w:cs="Times New Roman"/>
          <w:b/>
          <w:sz w:val="20"/>
          <w:u w:val="single"/>
        </w:rPr>
        <w:t xml:space="preserve">v. </w:t>
      </w:r>
      <w:r w:rsidRPr="00A93576">
        <w:rPr>
          <w:rFonts w:eastAsia="Calibri" w:cs="Times New Roman"/>
          <w:b/>
          <w:sz w:val="20"/>
          <w:u w:val="single"/>
        </w:rPr>
        <w:t xml:space="preserve">Conrad Black </w:t>
      </w:r>
      <w:r w:rsidRPr="00F41B2C">
        <w:rPr>
          <w:rFonts w:eastAsia="Calibri" w:cs="Times New Roman"/>
          <w:b/>
          <w:sz w:val="20"/>
          <w:u w:val="single"/>
        </w:rPr>
        <w:t>– and</w:t>
      </w:r>
      <w:r>
        <w:rPr>
          <w:rFonts w:eastAsia="Calibri" w:cs="Times New Roman"/>
          <w:b/>
          <w:sz w:val="20"/>
          <w:u w:val="single"/>
        </w:rPr>
        <w:t xml:space="preserve"> between</w:t>
      </w:r>
      <w:r w:rsidRPr="00F41B2C">
        <w:rPr>
          <w:rFonts w:eastAsia="Calibri" w:cs="Times New Roman"/>
          <w:b/>
          <w:sz w:val="20"/>
          <w:u w:val="single"/>
        </w:rPr>
        <w:t xml:space="preserve"> – </w:t>
      </w:r>
      <w:r w:rsidRPr="00A93576">
        <w:rPr>
          <w:rFonts w:eastAsia="Calibri" w:cs="Times New Roman"/>
          <w:b/>
          <w:sz w:val="20"/>
          <w:u w:val="single"/>
        </w:rPr>
        <w:t xml:space="preserve">Richard C. Breeden, Richard C. Breeden &amp; Co., Gordon A. Paris, James R. Thompson, Richard D. Burt, Graham W. Savage and Raymond G.H. Seitz </w:t>
      </w:r>
      <w:r>
        <w:rPr>
          <w:rFonts w:eastAsia="Calibri" w:cs="Times New Roman"/>
          <w:b/>
          <w:sz w:val="20"/>
          <w:u w:val="single"/>
        </w:rPr>
        <w:t xml:space="preserve">v. </w:t>
      </w:r>
      <w:r w:rsidRPr="00A93576">
        <w:rPr>
          <w:rFonts w:eastAsia="Calibri" w:cs="Times New Roman"/>
          <w:b/>
          <w:sz w:val="20"/>
          <w:u w:val="single"/>
        </w:rPr>
        <w:t>Conrad Black</w:t>
      </w:r>
      <w:r>
        <w:rPr>
          <w:rFonts w:eastAsia="Calibri" w:cs="Times New Roman"/>
          <w:b/>
          <w:sz w:val="20"/>
          <w:u w:val="single"/>
        </w:rPr>
        <w:t xml:space="preserve"> </w:t>
      </w:r>
      <w:r w:rsidRPr="00F41B2C">
        <w:rPr>
          <w:rFonts w:eastAsia="Calibri" w:cs="Times New Roman"/>
          <w:b/>
          <w:sz w:val="20"/>
          <w:u w:val="single"/>
        </w:rPr>
        <w:t>– and</w:t>
      </w:r>
      <w:r>
        <w:rPr>
          <w:rFonts w:eastAsia="Calibri" w:cs="Times New Roman"/>
          <w:b/>
          <w:sz w:val="20"/>
          <w:u w:val="single"/>
        </w:rPr>
        <w:t xml:space="preserve"> between</w:t>
      </w:r>
      <w:r w:rsidRPr="00F41B2C">
        <w:rPr>
          <w:rFonts w:eastAsia="Calibri" w:cs="Times New Roman"/>
          <w:b/>
          <w:sz w:val="20"/>
          <w:u w:val="single"/>
        </w:rPr>
        <w:t xml:space="preserve"> – </w:t>
      </w:r>
      <w:r w:rsidRPr="00A93576">
        <w:rPr>
          <w:rFonts w:eastAsia="Calibri" w:cs="Times New Roman"/>
          <w:b/>
          <w:sz w:val="20"/>
          <w:u w:val="single"/>
        </w:rPr>
        <w:t>Richard C. Breeden, Richard C. Breeden &amp; Co., Gordon A. Paris, James R. Thompson, Richard D. Burt, Graham W. Savage and Raymond G.H. Seitz</w:t>
      </w:r>
      <w:r>
        <w:rPr>
          <w:rFonts w:eastAsia="Calibri" w:cs="Times New Roman"/>
          <w:b/>
          <w:sz w:val="20"/>
          <w:u w:val="single"/>
        </w:rPr>
        <w:t xml:space="preserve"> v. Conrad Black – and between – </w:t>
      </w:r>
      <w:r w:rsidRPr="000900C6">
        <w:rPr>
          <w:rFonts w:eastAsia="Calibri" w:cs="Times New Roman"/>
          <w:b/>
          <w:sz w:val="20"/>
          <w:u w:val="single"/>
        </w:rPr>
        <w:t>Richard C. Breeden, Richard C. Breeden &amp; Co., Gordon A. Paris, James R. Thompson, Richard D. Burt, Graham W. Savage and Raymond G.H. Seitz</w:t>
      </w:r>
      <w:r>
        <w:rPr>
          <w:rFonts w:eastAsia="Calibri" w:cs="Times New Roman"/>
          <w:b/>
          <w:sz w:val="20"/>
          <w:u w:val="single"/>
        </w:rPr>
        <w:t xml:space="preserve"> v. Conrad Black – and between – </w:t>
      </w:r>
      <w:r w:rsidRPr="000900C6">
        <w:rPr>
          <w:rFonts w:eastAsia="Calibri" w:cs="Times New Roman"/>
          <w:b/>
          <w:sz w:val="20"/>
          <w:u w:val="single"/>
        </w:rPr>
        <w:t>Richard C. Breeden, Richard C. Breeden &amp; Co., Gordon A. Paris, Graham W. Savage, Raymond G.H. Seitz and Paul B. Healy</w:t>
      </w:r>
      <w:r>
        <w:rPr>
          <w:rFonts w:eastAsia="Calibri" w:cs="Times New Roman"/>
          <w:b/>
          <w:sz w:val="20"/>
          <w:u w:val="single"/>
        </w:rPr>
        <w:t xml:space="preserve"> v. Conrad Black – and between – </w:t>
      </w:r>
      <w:r w:rsidRPr="000900C6">
        <w:rPr>
          <w:rFonts w:eastAsia="Calibri" w:cs="Times New Roman"/>
          <w:b/>
          <w:sz w:val="20"/>
          <w:u w:val="single"/>
        </w:rPr>
        <w:t>Richard</w:t>
      </w:r>
      <w:r>
        <w:rPr>
          <w:rFonts w:eastAsia="Calibri" w:cs="Times New Roman"/>
          <w:b/>
          <w:sz w:val="20"/>
          <w:u w:val="single"/>
        </w:rPr>
        <w:t xml:space="preserve"> </w:t>
      </w:r>
      <w:r w:rsidRPr="000900C6">
        <w:rPr>
          <w:rFonts w:eastAsia="Calibri" w:cs="Times New Roman"/>
          <w:b/>
          <w:sz w:val="20"/>
          <w:u w:val="single"/>
        </w:rPr>
        <w:t>C. Breeden, Richard C. Breeden &amp; Co., Gordon A. Paris, James R. Thompson, Richard D. Burt, Graham W. Savage, Raymond G.H. Seitz, Shmuel Meitar and Henry A. Kissinger</w:t>
      </w:r>
      <w:r>
        <w:rPr>
          <w:rFonts w:eastAsia="Calibri" w:cs="Times New Roman"/>
          <w:b/>
          <w:sz w:val="20"/>
          <w:u w:val="single"/>
        </w:rPr>
        <w:t xml:space="preserve"> v. Conrad Black – and – </w:t>
      </w:r>
      <w:r w:rsidRPr="000900C6">
        <w:rPr>
          <w:rFonts w:eastAsia="Calibri" w:cs="Times New Roman"/>
          <w:b/>
          <w:sz w:val="20"/>
          <w:u w:val="single"/>
        </w:rPr>
        <w:t>British Columbia Civil Liberties Association</w:t>
      </w:r>
      <w:r w:rsidRPr="00A93576">
        <w:rPr>
          <w:rFonts w:eastAsia="Calibri" w:cs="Times New Roman"/>
          <w:b/>
          <w:sz w:val="20"/>
        </w:rPr>
        <w:t xml:space="preserve"> </w:t>
      </w:r>
      <w:r w:rsidRPr="00A16B4C">
        <w:rPr>
          <w:rFonts w:eastAsia="Calibri" w:cs="Times New Roman"/>
          <w:sz w:val="20"/>
        </w:rPr>
        <w:t>(</w:t>
      </w:r>
      <w:r>
        <w:rPr>
          <w:rFonts w:eastAsia="Calibri" w:cs="Times New Roman"/>
          <w:sz w:val="20"/>
        </w:rPr>
        <w:t>Ont.)</w:t>
      </w:r>
      <w:r w:rsidRPr="00A16B4C">
        <w:rPr>
          <w:rFonts w:eastAsia="Calibri" w:cs="Times New Roman"/>
          <w:sz w:val="20"/>
        </w:rPr>
        <w:t xml:space="preserve"> </w:t>
      </w:r>
    </w:p>
    <w:p w:rsidR="001E74A1" w:rsidRPr="00273DAD" w:rsidRDefault="001E74A1" w:rsidP="001E74A1">
      <w:pPr>
        <w:ind w:left="1440" w:hanging="1440"/>
        <w:jc w:val="both"/>
        <w:rPr>
          <w:rFonts w:eastAsia="Calibri" w:cs="Times New Roman"/>
          <w:b/>
          <w:sz w:val="20"/>
        </w:rPr>
      </w:pPr>
      <w:r w:rsidRPr="00273DAD">
        <w:rPr>
          <w:rFonts w:eastAsia="Calibri" w:cs="Times New Roman"/>
          <w:b/>
          <w:sz w:val="20"/>
        </w:rPr>
        <w:tab/>
      </w:r>
      <w:r>
        <w:rPr>
          <w:rFonts w:eastAsia="Calibri" w:cs="Times New Roman"/>
          <w:b/>
          <w:sz w:val="20"/>
        </w:rPr>
        <w:t>2012</w:t>
      </w:r>
      <w:r w:rsidRPr="00273DAD">
        <w:rPr>
          <w:rFonts w:eastAsia="Calibri" w:cs="Times New Roman"/>
          <w:b/>
          <w:sz w:val="20"/>
        </w:rPr>
        <w:t xml:space="preserve"> SCC </w:t>
      </w:r>
      <w:r>
        <w:rPr>
          <w:rFonts w:eastAsia="Calibri" w:cs="Times New Roman"/>
          <w:b/>
          <w:sz w:val="20"/>
        </w:rPr>
        <w:t>19</w:t>
      </w:r>
      <w:r w:rsidRPr="00273DAD">
        <w:rPr>
          <w:rFonts w:eastAsia="Calibri" w:cs="Times New Roman"/>
          <w:b/>
          <w:sz w:val="20"/>
        </w:rPr>
        <w:t xml:space="preserve"> / </w:t>
      </w:r>
      <w:r>
        <w:rPr>
          <w:rFonts w:eastAsia="Calibri" w:cs="Times New Roman"/>
          <w:b/>
          <w:sz w:val="20"/>
        </w:rPr>
        <w:t>2012</w:t>
      </w:r>
      <w:r w:rsidRPr="00273DAD">
        <w:rPr>
          <w:rFonts w:eastAsia="Calibri" w:cs="Times New Roman"/>
          <w:b/>
          <w:sz w:val="20"/>
        </w:rPr>
        <w:t xml:space="preserve"> CSC </w:t>
      </w:r>
      <w:r>
        <w:rPr>
          <w:rFonts w:eastAsia="Calibri" w:cs="Times New Roman"/>
          <w:b/>
          <w:sz w:val="20"/>
        </w:rPr>
        <w:t>19</w:t>
      </w:r>
    </w:p>
    <w:p w:rsidR="001E74A1" w:rsidRPr="00F41B2C" w:rsidRDefault="001E74A1" w:rsidP="001E74A1">
      <w:pPr>
        <w:ind w:left="1440" w:hanging="1440"/>
        <w:jc w:val="both"/>
        <w:rPr>
          <w:rFonts w:eastAsia="Calibri" w:cs="Times New Roman"/>
          <w:b/>
          <w:sz w:val="20"/>
        </w:rPr>
      </w:pPr>
    </w:p>
    <w:p w:rsidR="00886CE1" w:rsidRPr="00F41B2C" w:rsidRDefault="00886CE1" w:rsidP="00886CE1">
      <w:pPr>
        <w:ind w:left="1440" w:hanging="1440"/>
        <w:jc w:val="both"/>
        <w:rPr>
          <w:rFonts w:eastAsia="Calibri" w:cs="Times New Roman"/>
          <w:sz w:val="20"/>
          <w:u w:val="single"/>
        </w:rPr>
      </w:pPr>
      <w:r w:rsidRPr="00F41B2C">
        <w:rPr>
          <w:rFonts w:eastAsia="Calibri" w:cs="Times New Roman"/>
          <w:sz w:val="20"/>
        </w:rPr>
        <w:t>Coram:</w:t>
      </w:r>
      <w:r>
        <w:rPr>
          <w:sz w:val="20"/>
        </w:rPr>
        <w:tab/>
      </w:r>
      <w:r>
        <w:rPr>
          <w:rFonts w:eastAsia="Calibri" w:cs="Times New Roman"/>
          <w:sz w:val="20"/>
          <w:u w:val="single"/>
        </w:rPr>
        <w:t>McLachlin C.J. and Binnie</w:t>
      </w:r>
      <w:r>
        <w:rPr>
          <w:rFonts w:eastAsia="Calibri" w:cs="Times New Roman"/>
          <w:sz w:val="20"/>
          <w:u w:val="single"/>
          <w:vertAlign w:val="superscript"/>
        </w:rPr>
        <w:t>*</w:t>
      </w:r>
      <w:r w:rsidRPr="0015139E">
        <w:rPr>
          <w:rFonts w:eastAsia="Calibri" w:cs="Times New Roman"/>
          <w:sz w:val="20"/>
          <w:u w:val="single"/>
        </w:rPr>
        <w:t>, LeBel, D</w:t>
      </w:r>
      <w:r>
        <w:rPr>
          <w:rFonts w:eastAsia="Calibri" w:cs="Times New Roman"/>
          <w:sz w:val="20"/>
          <w:u w:val="single"/>
        </w:rPr>
        <w:t>eschamps, Fish, Abella, Charron</w:t>
      </w:r>
      <w:r>
        <w:rPr>
          <w:rFonts w:eastAsia="Calibri" w:cs="Times New Roman"/>
          <w:sz w:val="20"/>
          <w:u w:val="single"/>
          <w:vertAlign w:val="superscript"/>
        </w:rPr>
        <w:t>*</w:t>
      </w:r>
      <w:r w:rsidRPr="0015139E">
        <w:rPr>
          <w:rFonts w:eastAsia="Calibri" w:cs="Times New Roman"/>
          <w:sz w:val="20"/>
          <w:u w:val="single"/>
        </w:rPr>
        <w:t>, Rothstein and Cromwell JJ.</w:t>
      </w:r>
    </w:p>
    <w:p w:rsidR="00886CE1" w:rsidRDefault="00886CE1" w:rsidP="00886CE1">
      <w:pPr>
        <w:jc w:val="both"/>
        <w:rPr>
          <w:rFonts w:eastAsia="Calibri" w:cs="Times New Roman"/>
          <w:sz w:val="20"/>
        </w:rPr>
      </w:pPr>
    </w:p>
    <w:p w:rsidR="00886CE1" w:rsidRDefault="00886CE1" w:rsidP="00886CE1">
      <w:pPr>
        <w:ind w:left="1440" w:hanging="1440"/>
        <w:jc w:val="both"/>
        <w:rPr>
          <w:rFonts w:eastAsia="Calibri" w:cs="Times New Roman"/>
          <w:sz w:val="20"/>
        </w:rPr>
      </w:pPr>
      <w:r>
        <w:rPr>
          <w:rFonts w:eastAsia="Calibri" w:cs="Times New Roman"/>
          <w:sz w:val="20"/>
        </w:rPr>
        <w:tab/>
        <w:t>(</w:t>
      </w:r>
      <w:r>
        <w:rPr>
          <w:rFonts w:eastAsia="Calibri" w:cs="Times New Roman"/>
          <w:sz w:val="20"/>
          <w:vertAlign w:val="superscript"/>
        </w:rPr>
        <w:t>*</w:t>
      </w:r>
      <w:r>
        <w:rPr>
          <w:rFonts w:eastAsia="Calibri" w:cs="Times New Roman"/>
          <w:sz w:val="20"/>
        </w:rPr>
        <w:t xml:space="preserve"> Binnie and Charron JJ. took no part in the judgment.)</w:t>
      </w:r>
    </w:p>
    <w:p w:rsidR="00886CE1" w:rsidRPr="0046593E" w:rsidRDefault="00886CE1" w:rsidP="00886CE1">
      <w:pPr>
        <w:ind w:left="1440" w:hanging="1440"/>
        <w:jc w:val="both"/>
        <w:rPr>
          <w:rFonts w:eastAsia="Calibri" w:cs="Times New Roman"/>
          <w:sz w:val="20"/>
          <w:lang w:val="fr-CA"/>
        </w:rPr>
      </w:pPr>
      <w:r>
        <w:rPr>
          <w:rFonts w:eastAsia="Calibri" w:cs="Times New Roman"/>
          <w:sz w:val="20"/>
        </w:rPr>
        <w:tab/>
      </w:r>
      <w:r w:rsidRPr="0046593E">
        <w:rPr>
          <w:rFonts w:eastAsia="Calibri" w:cs="Times New Roman"/>
          <w:sz w:val="20"/>
          <w:lang w:val="fr-CA"/>
        </w:rPr>
        <w:t>(</w:t>
      </w:r>
      <w:r w:rsidRPr="0046593E">
        <w:rPr>
          <w:rFonts w:eastAsia="Calibri" w:cs="Times New Roman"/>
          <w:sz w:val="20"/>
          <w:vertAlign w:val="superscript"/>
          <w:lang w:val="fr-CA"/>
        </w:rPr>
        <w:t>*</w:t>
      </w:r>
      <w:r w:rsidRPr="0046593E">
        <w:rPr>
          <w:rFonts w:eastAsia="Calibri" w:cs="Times New Roman"/>
          <w:sz w:val="20"/>
          <w:lang w:val="fr-CA"/>
        </w:rPr>
        <w:t xml:space="preserve"> Les juges Binnie et Charron n’ont pas particip</w:t>
      </w:r>
      <w:r>
        <w:rPr>
          <w:rFonts w:eastAsia="Calibri" w:cs="Times New Roman"/>
          <w:sz w:val="20"/>
          <w:lang w:val="fr-CA"/>
        </w:rPr>
        <w:t>é</w:t>
      </w:r>
      <w:r w:rsidRPr="0046593E">
        <w:rPr>
          <w:rFonts w:eastAsia="Calibri" w:cs="Times New Roman"/>
          <w:sz w:val="20"/>
          <w:lang w:val="fr-CA"/>
        </w:rPr>
        <w:t xml:space="preserve"> au jugement</w:t>
      </w:r>
      <w:r>
        <w:rPr>
          <w:rFonts w:eastAsia="Calibri" w:cs="Times New Roman"/>
          <w:sz w:val="20"/>
          <w:lang w:val="fr-CA"/>
        </w:rPr>
        <w:t>.</w:t>
      </w:r>
      <w:r w:rsidRPr="0046593E">
        <w:rPr>
          <w:rFonts w:eastAsia="Calibri" w:cs="Times New Roman"/>
          <w:sz w:val="20"/>
          <w:lang w:val="fr-CA"/>
        </w:rPr>
        <w:t>)</w:t>
      </w:r>
    </w:p>
    <w:p w:rsidR="001E74A1" w:rsidRPr="000D7A3F" w:rsidRDefault="001E74A1" w:rsidP="001E74A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lang w:val="fr-CA"/>
        </w:rPr>
      </w:pPr>
    </w:p>
    <w:p w:rsidR="001E74A1" w:rsidRDefault="001E74A1" w:rsidP="001E74A1">
      <w:pPr>
        <w:jc w:val="both"/>
        <w:rPr>
          <w:rFonts w:eastAsia="Calibri" w:cs="Times New Roman"/>
          <w:sz w:val="20"/>
        </w:rPr>
      </w:pPr>
      <w:r w:rsidRPr="00FB3BAA">
        <w:rPr>
          <w:rFonts w:eastAsia="Calibri" w:cs="Times New Roman"/>
          <w:sz w:val="20"/>
        </w:rPr>
        <w:t>The appeal from the judgment of the Court of Appeal for Ontario, Number C50380, 2010 ONCA 547, dated August 13, 2010, heard on March 22, 2011, is dismissed with costs.</w:t>
      </w:r>
    </w:p>
    <w:p w:rsidR="001E74A1" w:rsidRPr="00FB3BAA" w:rsidRDefault="001E74A1" w:rsidP="001E74A1">
      <w:pPr>
        <w:jc w:val="both"/>
        <w:rPr>
          <w:rFonts w:eastAsia="Calibri" w:cs="Times New Roman"/>
          <w:sz w:val="20"/>
        </w:rPr>
      </w:pPr>
    </w:p>
    <w:p w:rsidR="001E74A1" w:rsidRPr="00FB3BAA" w:rsidRDefault="001E74A1" w:rsidP="001E74A1">
      <w:pPr>
        <w:jc w:val="both"/>
        <w:rPr>
          <w:rFonts w:eastAsia="Calibri" w:cs="Times New Roman"/>
          <w:sz w:val="20"/>
          <w:lang w:val="fr-CA"/>
        </w:rPr>
      </w:pPr>
      <w:r w:rsidRPr="00FB3BAA">
        <w:rPr>
          <w:rFonts w:eastAsia="Calibri" w:cs="Times New Roman"/>
          <w:sz w:val="20"/>
          <w:lang w:val="fr-CA"/>
        </w:rPr>
        <w:t>L’appel interjeté contre l’arrêt de la Cour d’appel de l’Ontario, numéro C50380, 2010 ONCA 547, en date du 13 août 2010, entendu le 22 mars 2011, est rejeté avec dépens.</w:t>
      </w:r>
    </w:p>
    <w:p w:rsidR="001E74A1" w:rsidRPr="001E74A1" w:rsidRDefault="001E74A1" w:rsidP="00AF1715">
      <w:pPr>
        <w:spacing w:line="0" w:lineRule="atLeast"/>
        <w:rPr>
          <w:rFonts w:cs="Times New Roman"/>
          <w:sz w:val="20"/>
          <w:szCs w:val="20"/>
          <w:lang w:val="fr-CA"/>
        </w:rPr>
      </w:pPr>
    </w:p>
    <w:p w:rsidR="00AF1715" w:rsidRDefault="00A3677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A3677B">
        <w:rPr>
          <w:rFonts w:cs="Times New Roman"/>
          <w:b/>
          <w:sz w:val="20"/>
          <w:szCs w:val="20"/>
        </w:rPr>
        <w:pict>
          <v:rect id="_x0000_i1065" style="width:144.3pt;height:1pt" o:hrpct="300" o:hralign="center" o:hrstd="t" o:hrnoshade="t" o:hr="t" fillcolor="black [3213]" stroked="f"/>
        </w:pict>
      </w:r>
    </w:p>
    <w:p w:rsidR="001E74A1" w:rsidRDefault="001E74A1"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1E74A1" w:rsidRPr="006C5F7A" w:rsidRDefault="001E74A1"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F329C2" w:rsidRPr="00632B8D" w:rsidRDefault="002E5EB4" w:rsidP="005C6840">
      <w:pPr>
        <w:rPr>
          <w:sz w:val="20"/>
          <w:szCs w:val="20"/>
        </w:rPr>
      </w:pPr>
      <w:r w:rsidRPr="00C233D6">
        <w:rPr>
          <w:rFonts w:eastAsia="Calibri" w:cs="Times New Roman"/>
          <w:i/>
          <w:sz w:val="20"/>
          <w:szCs w:val="20"/>
        </w:rPr>
        <w:t xml:space="preserve">Club Resorts Ltd. v. Morgan Van Breda et al. </w:t>
      </w:r>
      <w:r w:rsidRPr="00632B8D">
        <w:rPr>
          <w:rFonts w:eastAsia="Calibri" w:cs="Times New Roman"/>
          <w:sz w:val="20"/>
          <w:szCs w:val="20"/>
        </w:rPr>
        <w:t>(Ont.) (33692)</w:t>
      </w:r>
    </w:p>
    <w:p w:rsidR="002E5EB4" w:rsidRPr="00632B8D" w:rsidRDefault="002E5EB4" w:rsidP="002E5EB4">
      <w:pPr>
        <w:rPr>
          <w:rFonts w:eastAsia="Calibri" w:cs="Times New Roman"/>
          <w:sz w:val="20"/>
          <w:szCs w:val="20"/>
        </w:rPr>
      </w:pPr>
      <w:r w:rsidRPr="00C233D6">
        <w:rPr>
          <w:rFonts w:eastAsia="Calibri" w:cs="Times New Roman"/>
          <w:i/>
          <w:sz w:val="20"/>
          <w:szCs w:val="20"/>
        </w:rPr>
        <w:t xml:space="preserve">Club Resorts Ltd. v. Anna Charron, Estate Trustee of the Estate of Claude Charron, deceased, the said Anna Charron, personally et al. </w:t>
      </w:r>
      <w:r w:rsidRPr="00632B8D">
        <w:rPr>
          <w:rFonts w:eastAsia="Calibri" w:cs="Times New Roman"/>
          <w:sz w:val="20"/>
          <w:szCs w:val="20"/>
        </w:rPr>
        <w:t>(Ont.) (33606)</w:t>
      </w:r>
    </w:p>
    <w:p w:rsidR="00632B8D" w:rsidRPr="00A02F68" w:rsidRDefault="00632B8D" w:rsidP="00632B8D">
      <w:pPr>
        <w:jc w:val="both"/>
        <w:rPr>
          <w:b/>
          <w:sz w:val="20"/>
          <w:lang w:val="en-US"/>
        </w:rPr>
      </w:pPr>
      <w:r w:rsidRPr="000E37CB">
        <w:rPr>
          <w:b/>
          <w:sz w:val="20"/>
        </w:rPr>
        <w:t xml:space="preserve">Indexed as:  </w:t>
      </w:r>
      <w:r w:rsidRPr="00632B8D">
        <w:rPr>
          <w:rStyle w:val="SCCAppellantForIndexChar"/>
          <w:rFonts w:eastAsia="Calibri"/>
          <w:sz w:val="20"/>
          <w:lang w:val="en-CA"/>
        </w:rPr>
        <w:t>Club Resorts Ltd.</w:t>
      </w:r>
      <w:r w:rsidRPr="000E37CB">
        <w:rPr>
          <w:b/>
          <w:sz w:val="20"/>
        </w:rPr>
        <w:t xml:space="preserve"> </w:t>
      </w:r>
      <w:r w:rsidRPr="000E37CB">
        <w:rPr>
          <w:b/>
          <w:i/>
          <w:sz w:val="20"/>
        </w:rPr>
        <w:t>v.</w:t>
      </w:r>
      <w:r w:rsidRPr="000E37CB">
        <w:rPr>
          <w:b/>
          <w:sz w:val="20"/>
        </w:rPr>
        <w:t xml:space="preserve"> </w:t>
      </w:r>
      <w:r w:rsidRPr="000E37CB">
        <w:rPr>
          <w:rStyle w:val="SCCRespondentForIndexChar"/>
          <w:rFonts w:eastAsiaTheme="minorHAnsi"/>
          <w:sz w:val="20"/>
        </w:rPr>
        <w:t>Van Breda</w:t>
      </w:r>
      <w:r>
        <w:rPr>
          <w:rStyle w:val="SCCRespondentForIndexChar"/>
          <w:rFonts w:eastAsiaTheme="minorHAnsi"/>
          <w:sz w:val="20"/>
        </w:rPr>
        <w:t xml:space="preserve"> / </w:t>
      </w:r>
      <w:r w:rsidRPr="00A02F68">
        <w:rPr>
          <w:b/>
          <w:sz w:val="20"/>
          <w:lang w:val="en-US"/>
        </w:rPr>
        <w:t xml:space="preserve">Répertorié : Club Resorts Ltd. </w:t>
      </w:r>
      <w:r w:rsidRPr="00A02F68">
        <w:rPr>
          <w:b/>
          <w:i/>
          <w:sz w:val="20"/>
          <w:lang w:val="en-US"/>
        </w:rPr>
        <w:t>c.</w:t>
      </w:r>
      <w:r w:rsidRPr="00A02F68">
        <w:rPr>
          <w:b/>
          <w:sz w:val="20"/>
          <w:lang w:val="en-US"/>
        </w:rPr>
        <w:t xml:space="preserve"> Van Breda</w:t>
      </w:r>
    </w:p>
    <w:p w:rsidR="005C6840" w:rsidRDefault="005C6840" w:rsidP="005C6840">
      <w:pPr>
        <w:pStyle w:val="SCCSystemYear"/>
        <w:jc w:val="both"/>
        <w:rPr>
          <w:sz w:val="20"/>
        </w:rPr>
      </w:pPr>
      <w:r w:rsidRPr="003B3977">
        <w:rPr>
          <w:sz w:val="20"/>
        </w:rPr>
        <w:t>Neutral citation:  201</w:t>
      </w:r>
      <w:r w:rsidR="002E5EB4">
        <w:rPr>
          <w:sz w:val="20"/>
        </w:rPr>
        <w:t>2</w:t>
      </w:r>
      <w:r w:rsidRPr="003B3977">
        <w:rPr>
          <w:sz w:val="20"/>
        </w:rPr>
        <w:t xml:space="preserve"> SCC </w:t>
      </w:r>
      <w:r w:rsidR="007F387B">
        <w:rPr>
          <w:sz w:val="20"/>
        </w:rPr>
        <w:t>1</w:t>
      </w:r>
      <w:r w:rsidR="002E5EB4">
        <w:rPr>
          <w:sz w:val="20"/>
        </w:rPr>
        <w:t>7</w:t>
      </w:r>
      <w:r w:rsidRPr="003B3977">
        <w:rPr>
          <w:sz w:val="20"/>
        </w:rPr>
        <w:t xml:space="preserve"> / Référence neutre : 201</w:t>
      </w:r>
      <w:r w:rsidR="002E5EB4">
        <w:rPr>
          <w:sz w:val="20"/>
        </w:rPr>
        <w:t>2</w:t>
      </w:r>
      <w:r w:rsidRPr="003B3977">
        <w:rPr>
          <w:sz w:val="20"/>
        </w:rPr>
        <w:t xml:space="preserve"> CSC </w:t>
      </w:r>
      <w:r w:rsidR="007F387B">
        <w:rPr>
          <w:sz w:val="20"/>
        </w:rPr>
        <w:t>1</w:t>
      </w:r>
      <w:r w:rsidR="002E5EB4">
        <w:rPr>
          <w:sz w:val="20"/>
        </w:rPr>
        <w:t>7</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2E5EB4">
        <w:rPr>
          <w:rFonts w:cs="Times New Roman"/>
          <w:sz w:val="20"/>
          <w:szCs w:val="20"/>
          <w:lang w:val="fr-CA"/>
        </w:rPr>
        <w:t>March</w:t>
      </w:r>
      <w:r w:rsidRPr="003B3977">
        <w:rPr>
          <w:rFonts w:cs="Times New Roman"/>
          <w:sz w:val="20"/>
          <w:szCs w:val="20"/>
          <w:lang w:val="fr-CA"/>
        </w:rPr>
        <w:t xml:space="preserve"> </w:t>
      </w:r>
      <w:r w:rsidR="002E5EB4">
        <w:rPr>
          <w:rFonts w:cs="Times New Roman"/>
          <w:sz w:val="20"/>
          <w:szCs w:val="20"/>
          <w:lang w:val="fr-CA"/>
        </w:rPr>
        <w:t>21</w:t>
      </w:r>
      <w:r w:rsidRPr="003B3977">
        <w:rPr>
          <w:rFonts w:cs="Times New Roman"/>
          <w:sz w:val="20"/>
          <w:szCs w:val="20"/>
          <w:lang w:val="fr-CA"/>
        </w:rPr>
        <w:t>, 201</w:t>
      </w:r>
      <w:r w:rsidR="002E5EB4">
        <w:rPr>
          <w:rFonts w:cs="Times New Roman"/>
          <w:sz w:val="20"/>
          <w:szCs w:val="20"/>
          <w:lang w:val="fr-CA"/>
        </w:rPr>
        <w:t>1</w:t>
      </w:r>
      <w:r w:rsidRPr="003B3977">
        <w:rPr>
          <w:rFonts w:cs="Times New Roman"/>
          <w:sz w:val="20"/>
          <w:szCs w:val="20"/>
          <w:lang w:val="fr-CA"/>
        </w:rPr>
        <w:t xml:space="preserve"> / Judgment:  </w:t>
      </w:r>
      <w:r w:rsidR="002E5EB4">
        <w:rPr>
          <w:rFonts w:cs="Times New Roman"/>
          <w:sz w:val="20"/>
          <w:szCs w:val="20"/>
          <w:lang w:val="fr-CA"/>
        </w:rPr>
        <w:t>April</w:t>
      </w:r>
      <w:r w:rsidRPr="003B3977">
        <w:rPr>
          <w:rFonts w:cs="Times New Roman"/>
          <w:sz w:val="20"/>
          <w:szCs w:val="20"/>
          <w:lang w:val="fr-CA"/>
        </w:rPr>
        <w:t xml:space="preserve"> </w:t>
      </w:r>
      <w:r w:rsidR="002E5EB4">
        <w:rPr>
          <w:rFonts w:cs="Times New Roman"/>
          <w:sz w:val="20"/>
          <w:szCs w:val="20"/>
          <w:lang w:val="fr-CA"/>
        </w:rPr>
        <w:t>18</w:t>
      </w:r>
      <w:r w:rsidRPr="003B3977">
        <w:rPr>
          <w:rFonts w:cs="Times New Roman"/>
          <w:sz w:val="20"/>
          <w:szCs w:val="20"/>
          <w:lang w:val="fr-CA"/>
        </w:rPr>
        <w:t>, 201</w:t>
      </w:r>
      <w:r w:rsidR="002E5EB4">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2E5EB4">
        <w:rPr>
          <w:rFonts w:cs="Times New Roman"/>
          <w:sz w:val="20"/>
          <w:szCs w:val="20"/>
          <w:lang w:val="fr-CA"/>
        </w:rPr>
        <w:t>21</w:t>
      </w:r>
      <w:r w:rsidRPr="003B3977">
        <w:rPr>
          <w:rFonts w:cs="Times New Roman"/>
          <w:sz w:val="20"/>
          <w:szCs w:val="20"/>
          <w:lang w:val="fr-CA"/>
        </w:rPr>
        <w:t xml:space="preserve"> </w:t>
      </w:r>
      <w:r w:rsidR="002E5EB4">
        <w:rPr>
          <w:rFonts w:cs="Times New Roman"/>
          <w:sz w:val="20"/>
          <w:szCs w:val="20"/>
          <w:lang w:val="fr-CA"/>
        </w:rPr>
        <w:t>mars</w:t>
      </w:r>
      <w:r w:rsidRPr="003B3977">
        <w:rPr>
          <w:rFonts w:cs="Times New Roman"/>
          <w:sz w:val="20"/>
          <w:szCs w:val="20"/>
          <w:lang w:val="fr-CA"/>
        </w:rPr>
        <w:t xml:space="preserve"> 201</w:t>
      </w:r>
      <w:r w:rsidR="002E5EB4">
        <w:rPr>
          <w:rFonts w:cs="Times New Roman"/>
          <w:sz w:val="20"/>
          <w:szCs w:val="20"/>
          <w:lang w:val="fr-CA"/>
        </w:rPr>
        <w:t>1</w:t>
      </w:r>
      <w:r w:rsidRPr="003B3977">
        <w:rPr>
          <w:rFonts w:cs="Times New Roman"/>
          <w:sz w:val="20"/>
          <w:szCs w:val="20"/>
          <w:lang w:val="fr-CA"/>
        </w:rPr>
        <w:t xml:space="preserve"> / Jugement : Le </w:t>
      </w:r>
      <w:r w:rsidR="002E5EB4">
        <w:rPr>
          <w:rFonts w:cs="Times New Roman"/>
          <w:sz w:val="20"/>
          <w:szCs w:val="20"/>
          <w:lang w:val="fr-CA"/>
        </w:rPr>
        <w:t>18 avril</w:t>
      </w:r>
      <w:r w:rsidRPr="003B3977">
        <w:rPr>
          <w:rFonts w:cs="Times New Roman"/>
          <w:sz w:val="20"/>
          <w:szCs w:val="20"/>
          <w:lang w:val="fr-CA"/>
        </w:rPr>
        <w:t xml:space="preserve"> 201</w:t>
      </w:r>
      <w:r w:rsidR="002E5EB4">
        <w:rPr>
          <w:rFonts w:cs="Times New Roman"/>
          <w:sz w:val="20"/>
          <w:szCs w:val="20"/>
          <w:lang w:val="fr-CA"/>
        </w:rPr>
        <w:t>2</w:t>
      </w:r>
    </w:p>
    <w:p w:rsidR="005C6840" w:rsidRPr="003B3977" w:rsidRDefault="00A3677B" w:rsidP="005C6840">
      <w:pPr>
        <w:rPr>
          <w:rFonts w:cs="Times New Roman"/>
          <w:sz w:val="20"/>
          <w:szCs w:val="20"/>
          <w:lang w:val="fr-CA"/>
        </w:rPr>
      </w:pPr>
      <w:r w:rsidRPr="00A3677B">
        <w:rPr>
          <w:rFonts w:cs="Times New Roman"/>
          <w:i/>
          <w:sz w:val="20"/>
          <w:szCs w:val="20"/>
        </w:rPr>
        <w:pict>
          <v:rect id="_x0000_i106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2370D" w:rsidRPr="000E37CB" w:rsidRDefault="00D2370D" w:rsidP="00D2370D">
      <w:pPr>
        <w:jc w:val="both"/>
        <w:rPr>
          <w:sz w:val="20"/>
        </w:rPr>
      </w:pPr>
      <w:r w:rsidRPr="000E37CB">
        <w:rPr>
          <w:sz w:val="20"/>
        </w:rPr>
        <w:t>Present:  McLachlin C.J. and Binnie,</w:t>
      </w:r>
      <w:r>
        <w:rPr>
          <w:sz w:val="20"/>
          <w:vertAlign w:val="superscript"/>
        </w:rPr>
        <w:t>*</w:t>
      </w:r>
      <w:r w:rsidRPr="000E37CB">
        <w:rPr>
          <w:sz w:val="20"/>
        </w:rPr>
        <w:t xml:space="preserve"> LeBel, Deschamps, Fish, Abella, Charron,</w:t>
      </w:r>
      <w:r w:rsidRPr="000E37CB">
        <w:rPr>
          <w:sz w:val="20"/>
          <w:vertAlign w:val="superscript"/>
        </w:rPr>
        <w:t>*</w:t>
      </w:r>
      <w:r w:rsidRPr="000E37CB">
        <w:rPr>
          <w:sz w:val="20"/>
        </w:rPr>
        <w:t xml:space="preserve"> Rothstein and Cromwell JJ.</w:t>
      </w:r>
    </w:p>
    <w:p w:rsidR="00D2370D" w:rsidRDefault="00D2370D" w:rsidP="00D2370D">
      <w:pPr>
        <w:pStyle w:val="SCCLowerCourtNameLowercase"/>
        <w:spacing w:line="240" w:lineRule="auto"/>
        <w:rPr>
          <w:sz w:val="20"/>
        </w:rPr>
      </w:pPr>
    </w:p>
    <w:p w:rsidR="00D2370D" w:rsidRPr="00D2370D" w:rsidRDefault="00D2370D" w:rsidP="00D2370D">
      <w:pPr>
        <w:pStyle w:val="SCCNormalDoubleSpacing"/>
        <w:rPr>
          <w:sz w:val="20"/>
        </w:rPr>
      </w:pPr>
      <w:r>
        <w:rPr>
          <w:sz w:val="20"/>
        </w:rPr>
        <w:t>(</w:t>
      </w:r>
      <w:r>
        <w:rPr>
          <w:sz w:val="20"/>
          <w:vertAlign w:val="superscript"/>
        </w:rPr>
        <w:t>*</w:t>
      </w:r>
      <w:r w:rsidR="008315BB">
        <w:rPr>
          <w:sz w:val="20"/>
        </w:rPr>
        <w:t xml:space="preserve"> Binnie and Charron JJ. t</w:t>
      </w:r>
      <w:r>
        <w:rPr>
          <w:sz w:val="20"/>
        </w:rPr>
        <w:t>ook no part in the judgment.)</w:t>
      </w:r>
    </w:p>
    <w:p w:rsidR="00D2370D" w:rsidRPr="000E37CB" w:rsidRDefault="00D2370D" w:rsidP="00D2370D">
      <w:pPr>
        <w:pStyle w:val="SCCNormalDoubleSpacing"/>
        <w:spacing w:line="240" w:lineRule="auto"/>
        <w:rPr>
          <w:sz w:val="20"/>
        </w:rPr>
      </w:pPr>
      <w:r w:rsidRPr="000E37CB">
        <w:rPr>
          <w:i/>
          <w:sz w:val="20"/>
        </w:rPr>
        <w:tab/>
        <w:t>Private international law — Choice of forum — Court having jurisdiction — Forum non conveniens — Respondents injured while vacationing in Cuba — Actions for damages brought in Ontario — Defendants bringing motion to stay actions on grounds that Ontario court lacks jurisdiction, or alternatively, should decline to exercise jurisdiction on the basis of forum non conveniens — Whether the Ontario court can assume jurisdiction over the actions — If so, whether the Ontario court should decline to exercise its jurisdiction on the ground that the court of another jurisdiction is clearly a more appropriate forum for the hearing of the actions.</w:t>
      </w:r>
      <w:r w:rsidRPr="000E37CB">
        <w:rPr>
          <w:sz w:val="20"/>
        </w:rPr>
        <w:t xml:space="preserve"> </w:t>
      </w:r>
    </w:p>
    <w:p w:rsidR="00D2370D" w:rsidRDefault="00D2370D" w:rsidP="00D2370D">
      <w:pPr>
        <w:pStyle w:val="SCCNormalDoubleSpacing"/>
        <w:spacing w:line="240" w:lineRule="auto"/>
        <w:rPr>
          <w:sz w:val="20"/>
        </w:rPr>
      </w:pPr>
    </w:p>
    <w:p w:rsidR="00D2370D" w:rsidRDefault="00D2370D" w:rsidP="00D2370D">
      <w:pPr>
        <w:pStyle w:val="SCCNormalDoubleSpacing"/>
        <w:spacing w:line="240" w:lineRule="auto"/>
        <w:rPr>
          <w:sz w:val="20"/>
        </w:rPr>
      </w:pPr>
      <w:r w:rsidRPr="000E37CB">
        <w:rPr>
          <w:sz w:val="20"/>
        </w:rPr>
        <w:tab/>
        <w:t xml:space="preserve">In separate cases, two individuals were injured while on vacation outside of Canada.  Morgan Van Breda suffered catastrophic injuries on a beach in Cuba. Claude Charron died while scuba diving, also in Cuba.  Actions were brought in Ontario against a number of parties, including the appellant, Club Resorts Ltd., a company incorporated in the Cayman Islands that managed the two hotels where the accidents occurred.  Club Resorts sought to block those proceedings, arguing that the Ontario courts lacked jurisdiction and, in the alternative, that a Cuban court would be a more appropriate forum on the basis of the doctrine of </w:t>
      </w:r>
      <w:r w:rsidRPr="000E37CB">
        <w:rPr>
          <w:i/>
          <w:sz w:val="20"/>
        </w:rPr>
        <w:t>forum non conveniens</w:t>
      </w:r>
      <w:r w:rsidRPr="000E37CB">
        <w:rPr>
          <w:sz w:val="20"/>
        </w:rPr>
        <w:t xml:space="preserve">.  In both cases, the motion judges found that the Ontario courts had jurisdiction with respect to the actions against Club Resorts.  In considering </w:t>
      </w:r>
      <w:r w:rsidRPr="000E37CB">
        <w:rPr>
          <w:i/>
          <w:sz w:val="20"/>
        </w:rPr>
        <w:t>forum non conveniens</w:t>
      </w:r>
      <w:r w:rsidRPr="000E37CB">
        <w:rPr>
          <w:sz w:val="20"/>
        </w:rPr>
        <w:t>, it was also held that the Ontario court was clearly a more appropriate forum.  The two cases were heard together in the Court of Appeal.  The appeals were both dismissed.</w:t>
      </w:r>
    </w:p>
    <w:p w:rsidR="00D2370D" w:rsidRPr="000E37CB" w:rsidRDefault="00D2370D" w:rsidP="00D2370D">
      <w:pPr>
        <w:pStyle w:val="SCCNormalDoubleSpacing"/>
        <w:spacing w:line="240" w:lineRule="auto"/>
        <w:rPr>
          <w:sz w:val="20"/>
        </w:rPr>
      </w:pPr>
    </w:p>
    <w:p w:rsidR="00D2370D" w:rsidRDefault="00D2370D" w:rsidP="00D2370D">
      <w:pPr>
        <w:pStyle w:val="SCCNormalDoubleSpacing"/>
        <w:spacing w:line="240" w:lineRule="auto"/>
        <w:rPr>
          <w:sz w:val="20"/>
        </w:rPr>
      </w:pPr>
      <w:r w:rsidRPr="000E37CB">
        <w:rPr>
          <w:i/>
          <w:sz w:val="20"/>
        </w:rPr>
        <w:tab/>
        <w:t>Held</w:t>
      </w:r>
      <w:r w:rsidRPr="000E37CB">
        <w:rPr>
          <w:sz w:val="20"/>
        </w:rPr>
        <w:t>:  The appeals should be dismissed.</w:t>
      </w:r>
    </w:p>
    <w:p w:rsidR="00D2370D" w:rsidRPr="000E37CB" w:rsidRDefault="00D2370D" w:rsidP="00D2370D">
      <w:pPr>
        <w:pStyle w:val="SCCNormalDoubleSpacing"/>
        <w:spacing w:line="240" w:lineRule="auto"/>
        <w:rPr>
          <w:sz w:val="20"/>
        </w:rPr>
      </w:pPr>
    </w:p>
    <w:p w:rsidR="00D2370D" w:rsidRPr="000E37CB" w:rsidRDefault="00D2370D" w:rsidP="00D2370D">
      <w:pPr>
        <w:pStyle w:val="SCCNormalDoubleSpacing"/>
        <w:spacing w:line="240" w:lineRule="auto"/>
        <w:rPr>
          <w:sz w:val="20"/>
        </w:rPr>
      </w:pPr>
      <w:r w:rsidRPr="000E37CB">
        <w:rPr>
          <w:sz w:val="20"/>
        </w:rPr>
        <w:tab/>
        <w:t xml:space="preserve">This case concerns the elaboration of the “real and substantial connection” test as an appropriate common law conflicts rule for the assumption of jurisdiction.  In determining whether a court can assume jurisdiction over a certain claim, the preferred approach in Canada has been to rely on a set of specific factors which are given presumptive effect, as opposed to a regime based on an exercise of almost pure and individualized judicial discretion.  Given the nature of the relationships governed by private international law, the framework for the assumption of jurisdiction cannot be an unstable, </w:t>
      </w:r>
      <w:r w:rsidRPr="000E37CB">
        <w:rPr>
          <w:i/>
          <w:iCs/>
          <w:sz w:val="20"/>
        </w:rPr>
        <w:t>ad hoc</w:t>
      </w:r>
      <w:r w:rsidRPr="000E37CB">
        <w:rPr>
          <w:sz w:val="20"/>
        </w:rPr>
        <w:t xml:space="preserve"> system made up on the fly on a case</w:t>
      </w:r>
      <w:r w:rsidRPr="000E37CB">
        <w:rPr>
          <w:sz w:val="20"/>
        </w:rPr>
        <w:noBreakHyphen/>
        <w:t>by</w:t>
      </w:r>
      <w:r w:rsidRPr="000E37CB">
        <w:rPr>
          <w:sz w:val="20"/>
        </w:rPr>
        <w:noBreakHyphen/>
        <w:t xml:space="preserve">case basis – however laudable the objective of individual fairness may be.  There must be order in the system, and it must permit the development of a just and fair approach to resolving conflicts.  Justice and fairness are undoubtedly essential purposes of a sound system of private international law.  But they cannot be attained without a system of principles and rules that ensure security and predictability in the law governing the assumption of jurisdiction by a court.  The identification of a set of relevant presumptive connecting factors and the determination of their legal nature and effect will bring greater clarity and predictability to the analysis of the problems of assumption of jurisdiction, while at the same time ensuring consistency with the objectives of fairness and efficiency that underlie this branch of the law.  From this perspective, a clear distinction must be maintained between, on the one hand, the factors or factual situations that link the subject matter of the litigation and the defendant to the forum and, on the other hand, the principles and analytical tools, such as the values of fairness and efficiency or the principle of comity.  </w:t>
      </w:r>
    </w:p>
    <w:p w:rsidR="00D2370D" w:rsidRDefault="00D2370D" w:rsidP="00D2370D">
      <w:pPr>
        <w:pStyle w:val="SCCNormalDoubleSpacing"/>
        <w:spacing w:line="240" w:lineRule="auto"/>
        <w:rPr>
          <w:sz w:val="20"/>
        </w:rPr>
      </w:pPr>
    </w:p>
    <w:p w:rsidR="00D2370D" w:rsidRDefault="00D2370D" w:rsidP="00D2370D">
      <w:pPr>
        <w:pStyle w:val="SCCNormalDoubleSpacing"/>
        <w:spacing w:line="240" w:lineRule="auto"/>
        <w:rPr>
          <w:sz w:val="20"/>
        </w:rPr>
      </w:pPr>
      <w:r w:rsidRPr="000E37CB">
        <w:rPr>
          <w:sz w:val="20"/>
        </w:rPr>
        <w:tab/>
        <w:t xml:space="preserve">To meet the common law real and substantial connection test, the party arguing that the court should assume jurisdiction has the burden of identifying a presumptive connecting factor that links the subject matter of the litigation to the forum.  Jurisdiction must be established primarily on the basis of objective factors that connect the legal situation or the subject matter of the litigation with the forum.  Abstract concerns for order, efficiency or fairness in the system </w:t>
      </w:r>
      <w:r w:rsidRPr="000E37CB">
        <w:rPr>
          <w:sz w:val="20"/>
        </w:rPr>
        <w:lastRenderedPageBreak/>
        <w:t xml:space="preserve">are no substitute for connecting factors that give rise to a “real and substantial” connection for the purposes of the law of conflicts.  In a case concerning a tort, the following factors are presumptive connecting factors that, </w:t>
      </w:r>
      <w:r w:rsidRPr="000E37CB">
        <w:rPr>
          <w:i/>
          <w:sz w:val="20"/>
        </w:rPr>
        <w:t>prima facie</w:t>
      </w:r>
      <w:r w:rsidRPr="000E37CB">
        <w:rPr>
          <w:sz w:val="20"/>
        </w:rPr>
        <w:t>, entitle a court to assume jurisdiction over a dispute:</w:t>
      </w:r>
    </w:p>
    <w:p w:rsidR="00D2370D" w:rsidRPr="000E37CB" w:rsidRDefault="00D2370D" w:rsidP="00D2370D">
      <w:pPr>
        <w:pStyle w:val="SCCNormalDoubleSpacing"/>
        <w:spacing w:line="240" w:lineRule="auto"/>
        <w:rPr>
          <w:sz w:val="20"/>
        </w:rPr>
      </w:pPr>
    </w:p>
    <w:p w:rsidR="00D2370D" w:rsidRDefault="00D2370D" w:rsidP="00886CE1">
      <w:pPr>
        <w:ind w:left="1620" w:hanging="450"/>
        <w:jc w:val="both"/>
        <w:rPr>
          <w:sz w:val="20"/>
        </w:rPr>
      </w:pPr>
      <w:r w:rsidRPr="000E37CB">
        <w:rPr>
          <w:sz w:val="20"/>
        </w:rPr>
        <w:t>(a)</w:t>
      </w:r>
      <w:r w:rsidRPr="000E37CB">
        <w:rPr>
          <w:sz w:val="20"/>
        </w:rPr>
        <w:tab/>
        <w:t>the defendant is domiciled or resident in the province;</w:t>
      </w:r>
    </w:p>
    <w:p w:rsidR="00D2370D" w:rsidRPr="000E37CB" w:rsidRDefault="00D2370D" w:rsidP="00886CE1">
      <w:pPr>
        <w:ind w:left="1620" w:hanging="450"/>
        <w:jc w:val="both"/>
        <w:rPr>
          <w:sz w:val="20"/>
        </w:rPr>
      </w:pPr>
    </w:p>
    <w:p w:rsidR="00D2370D" w:rsidRDefault="00D2370D" w:rsidP="00886CE1">
      <w:pPr>
        <w:ind w:left="1620" w:hanging="450"/>
        <w:jc w:val="both"/>
        <w:rPr>
          <w:sz w:val="20"/>
        </w:rPr>
      </w:pPr>
      <w:r w:rsidRPr="000E37CB">
        <w:rPr>
          <w:sz w:val="20"/>
        </w:rPr>
        <w:t>(b)</w:t>
      </w:r>
      <w:r w:rsidRPr="000E37CB">
        <w:rPr>
          <w:sz w:val="20"/>
        </w:rPr>
        <w:tab/>
        <w:t>the defendant carries on business in the province;</w:t>
      </w:r>
    </w:p>
    <w:p w:rsidR="00D2370D" w:rsidRPr="000E37CB" w:rsidRDefault="00D2370D" w:rsidP="00886CE1">
      <w:pPr>
        <w:ind w:left="1620" w:hanging="450"/>
        <w:jc w:val="both"/>
        <w:rPr>
          <w:sz w:val="20"/>
        </w:rPr>
      </w:pPr>
    </w:p>
    <w:p w:rsidR="00D2370D" w:rsidRDefault="00D2370D" w:rsidP="00886CE1">
      <w:pPr>
        <w:ind w:left="1620" w:hanging="450"/>
        <w:jc w:val="both"/>
        <w:rPr>
          <w:sz w:val="20"/>
        </w:rPr>
      </w:pPr>
      <w:r w:rsidRPr="000E37CB">
        <w:rPr>
          <w:sz w:val="20"/>
        </w:rPr>
        <w:t>(c)</w:t>
      </w:r>
      <w:r w:rsidRPr="000E37CB">
        <w:rPr>
          <w:sz w:val="20"/>
        </w:rPr>
        <w:tab/>
        <w:t>the tort was committed in the province; and</w:t>
      </w:r>
    </w:p>
    <w:p w:rsidR="00D2370D" w:rsidRPr="000E37CB" w:rsidRDefault="00D2370D" w:rsidP="00886CE1">
      <w:pPr>
        <w:ind w:left="1620" w:hanging="450"/>
        <w:jc w:val="both"/>
        <w:rPr>
          <w:sz w:val="20"/>
        </w:rPr>
      </w:pPr>
    </w:p>
    <w:p w:rsidR="00D2370D" w:rsidRDefault="00D2370D" w:rsidP="00886CE1">
      <w:pPr>
        <w:ind w:left="1620" w:hanging="450"/>
        <w:jc w:val="both"/>
        <w:rPr>
          <w:sz w:val="20"/>
        </w:rPr>
      </w:pPr>
      <w:r w:rsidRPr="000E37CB">
        <w:rPr>
          <w:sz w:val="20"/>
        </w:rPr>
        <w:t>(d)</w:t>
      </w:r>
      <w:r w:rsidRPr="000E37CB">
        <w:rPr>
          <w:sz w:val="20"/>
        </w:rPr>
        <w:tab/>
        <w:t>a contract connected with the dispute was made in the province.</w:t>
      </w:r>
    </w:p>
    <w:p w:rsidR="00D2370D" w:rsidRPr="000E37CB" w:rsidRDefault="00D2370D" w:rsidP="00D2370D">
      <w:pPr>
        <w:tabs>
          <w:tab w:val="left" w:pos="1620"/>
        </w:tabs>
        <w:ind w:firstLine="1166"/>
        <w:jc w:val="both"/>
        <w:rPr>
          <w:sz w:val="20"/>
        </w:rPr>
      </w:pPr>
    </w:p>
    <w:p w:rsidR="00D2370D" w:rsidRDefault="00D2370D" w:rsidP="00D2370D">
      <w:pPr>
        <w:pStyle w:val="SCCNormalDoubleSpacing"/>
        <w:spacing w:line="240" w:lineRule="auto"/>
        <w:rPr>
          <w:sz w:val="20"/>
        </w:rPr>
      </w:pPr>
      <w:r w:rsidRPr="000E37CB">
        <w:rPr>
          <w:sz w:val="20"/>
        </w:rPr>
        <w:tab/>
        <w:t>Although the factors set out in the list are considered presumptive, this does not mean that the list of recognized factors is complete, as it may be reviewed over time and updated by adding new presumptive connecting factors.  When a court considers whether a new connecting factor should be given presumptive effect, the values of order, fairness and comity can serve as useful analytical tools for assessing the strength of the relationship with a forum to which the factor in question points. These values underlie all presumptive connecting factors, whether listed or new.  In identifying new presumptive factors, a court should look to connections that give rise to a relationship with the forum that is similar in nature to the ones which result from the listed factors.  Relevant considerations include:</w:t>
      </w:r>
    </w:p>
    <w:p w:rsidR="00D2370D" w:rsidRPr="000E37CB" w:rsidRDefault="00D2370D" w:rsidP="00D2370D">
      <w:pPr>
        <w:pStyle w:val="SCCNormalDoubleSpacing"/>
        <w:spacing w:line="240" w:lineRule="auto"/>
        <w:rPr>
          <w:sz w:val="20"/>
        </w:rPr>
      </w:pPr>
    </w:p>
    <w:p w:rsidR="00D2370D" w:rsidRDefault="00D2370D" w:rsidP="00886CE1">
      <w:pPr>
        <w:ind w:left="1620" w:hanging="450"/>
        <w:jc w:val="both"/>
        <w:rPr>
          <w:sz w:val="20"/>
        </w:rPr>
      </w:pPr>
      <w:r w:rsidRPr="000E37CB">
        <w:rPr>
          <w:sz w:val="20"/>
        </w:rPr>
        <w:t>(a)</w:t>
      </w:r>
      <w:r w:rsidRPr="000E37CB">
        <w:rPr>
          <w:sz w:val="20"/>
        </w:rPr>
        <w:tab/>
        <w:t>Similarity of the connecting factor with the recognized presumptive connecting factors;</w:t>
      </w:r>
    </w:p>
    <w:p w:rsidR="00D2370D" w:rsidRPr="000E37CB" w:rsidRDefault="00D2370D" w:rsidP="00886CE1">
      <w:pPr>
        <w:ind w:left="1620" w:hanging="450"/>
        <w:jc w:val="both"/>
        <w:rPr>
          <w:sz w:val="20"/>
        </w:rPr>
      </w:pPr>
    </w:p>
    <w:p w:rsidR="00D2370D" w:rsidRDefault="00D2370D" w:rsidP="00886CE1">
      <w:pPr>
        <w:ind w:left="1620" w:hanging="450"/>
        <w:jc w:val="both"/>
        <w:rPr>
          <w:sz w:val="20"/>
        </w:rPr>
      </w:pPr>
      <w:r w:rsidRPr="000E37CB">
        <w:rPr>
          <w:sz w:val="20"/>
        </w:rPr>
        <w:t>(b)</w:t>
      </w:r>
      <w:r w:rsidRPr="000E37CB">
        <w:rPr>
          <w:sz w:val="20"/>
        </w:rPr>
        <w:tab/>
        <w:t>Treatment of the connecting factor in the case law:</w:t>
      </w:r>
    </w:p>
    <w:p w:rsidR="00D2370D" w:rsidRPr="000E37CB" w:rsidRDefault="00D2370D" w:rsidP="00886CE1">
      <w:pPr>
        <w:ind w:left="1620" w:hanging="450"/>
        <w:jc w:val="both"/>
        <w:rPr>
          <w:sz w:val="20"/>
        </w:rPr>
      </w:pPr>
    </w:p>
    <w:p w:rsidR="00D2370D" w:rsidRDefault="00D2370D" w:rsidP="00886CE1">
      <w:pPr>
        <w:ind w:left="1620" w:hanging="450"/>
        <w:jc w:val="both"/>
        <w:rPr>
          <w:sz w:val="20"/>
        </w:rPr>
      </w:pPr>
      <w:r w:rsidRPr="000E37CB">
        <w:rPr>
          <w:sz w:val="20"/>
        </w:rPr>
        <w:t>(c)</w:t>
      </w:r>
      <w:r w:rsidRPr="000E37CB">
        <w:rPr>
          <w:sz w:val="20"/>
        </w:rPr>
        <w:tab/>
        <w:t>Treatment of the connecting factor in statute law; and</w:t>
      </w:r>
    </w:p>
    <w:p w:rsidR="00D2370D" w:rsidRPr="000E37CB" w:rsidRDefault="00D2370D" w:rsidP="00886CE1">
      <w:pPr>
        <w:ind w:left="1620" w:hanging="450"/>
        <w:jc w:val="both"/>
        <w:rPr>
          <w:sz w:val="20"/>
        </w:rPr>
      </w:pPr>
    </w:p>
    <w:p w:rsidR="00D2370D" w:rsidRDefault="00D2370D" w:rsidP="00886CE1">
      <w:pPr>
        <w:ind w:left="1620" w:hanging="450"/>
        <w:jc w:val="both"/>
        <w:rPr>
          <w:sz w:val="20"/>
        </w:rPr>
      </w:pPr>
      <w:r w:rsidRPr="000E37CB">
        <w:rPr>
          <w:sz w:val="20"/>
        </w:rPr>
        <w:t>(d)</w:t>
      </w:r>
      <w:r w:rsidRPr="000E37CB">
        <w:rPr>
          <w:sz w:val="20"/>
        </w:rPr>
        <w:tab/>
        <w:t>Treatment of the connecting factor in the private international law of other legal systems with a shared commitment to order, fairness and comity.</w:t>
      </w:r>
    </w:p>
    <w:p w:rsidR="00D2370D" w:rsidRPr="000E37CB" w:rsidRDefault="00D2370D" w:rsidP="00886CE1">
      <w:pPr>
        <w:jc w:val="both"/>
        <w:rPr>
          <w:sz w:val="20"/>
        </w:rPr>
      </w:pPr>
    </w:p>
    <w:p w:rsidR="00D2370D" w:rsidRDefault="00D2370D" w:rsidP="00D2370D">
      <w:pPr>
        <w:pStyle w:val="SCCNormalDoubleSpacing"/>
        <w:spacing w:line="240" w:lineRule="auto"/>
        <w:rPr>
          <w:sz w:val="20"/>
        </w:rPr>
      </w:pPr>
      <w:r w:rsidRPr="000E37CB">
        <w:rPr>
          <w:sz w:val="20"/>
        </w:rPr>
        <w:tab/>
        <w:t xml:space="preserve">The presumption of jurisdiction that arises where a recognized connecting factor — whether listed or new — applies is not irrebuttable.  The burden of rebutting the presumption of jurisdiction rests, of course, on the party challenging the assumption of jurisdiction.  That party must negate the presumptive effect of the listed or new factor and convince the court that the proposed assumption of jurisdiction would be inappropriate.  This could be accomplished by establishing facts which demonstrate that the presumptive connecting factor does not point to any real relationship between the subject matter of the litigation and the forum or points only to a weak relationship between them. </w:t>
      </w:r>
    </w:p>
    <w:p w:rsidR="00D2370D" w:rsidRPr="000E37CB" w:rsidRDefault="00D2370D" w:rsidP="00D2370D">
      <w:pPr>
        <w:pStyle w:val="SCCNormalDoubleSpacing"/>
        <w:spacing w:line="240" w:lineRule="auto"/>
        <w:rPr>
          <w:sz w:val="20"/>
        </w:rPr>
      </w:pPr>
    </w:p>
    <w:p w:rsidR="00D2370D" w:rsidRDefault="00D2370D" w:rsidP="00D2370D">
      <w:pPr>
        <w:pStyle w:val="SCCNormalDoubleSpacing"/>
        <w:spacing w:line="240" w:lineRule="auto"/>
        <w:rPr>
          <w:sz w:val="20"/>
        </w:rPr>
      </w:pPr>
      <w:r w:rsidRPr="000E37CB">
        <w:rPr>
          <w:sz w:val="20"/>
        </w:rPr>
        <w:tab/>
        <w:t xml:space="preserve">If the court concludes that it lacks jurisdiction because none of the presumptive connecting factors — whether listed or new — apply or because the presumption of jurisdiction that flows from one of those factors has been rebutted, it must dismiss or stay the action, subject to the possible application of the forum of necessity doctrine.  If jurisdiction is established, the claim may proceed, subject to the court’s discretion to stay the proceedings on the basis of the doctrine of </w:t>
      </w:r>
      <w:r w:rsidRPr="000E37CB">
        <w:rPr>
          <w:i/>
          <w:iCs/>
          <w:sz w:val="20"/>
        </w:rPr>
        <w:t>forum non conveniens</w:t>
      </w:r>
      <w:r w:rsidRPr="000E37CB">
        <w:rPr>
          <w:sz w:val="20"/>
        </w:rPr>
        <w:t>.</w:t>
      </w:r>
    </w:p>
    <w:p w:rsidR="00D2370D" w:rsidRPr="000E37CB" w:rsidRDefault="00D2370D" w:rsidP="00D2370D">
      <w:pPr>
        <w:pStyle w:val="SCCNormalDoubleSpacing"/>
        <w:spacing w:line="240" w:lineRule="auto"/>
        <w:rPr>
          <w:sz w:val="20"/>
        </w:rPr>
      </w:pPr>
    </w:p>
    <w:p w:rsidR="00D2370D" w:rsidRDefault="00D2370D" w:rsidP="00D2370D">
      <w:pPr>
        <w:pStyle w:val="SCCNormalDoubleSpacing"/>
        <w:spacing w:line="240" w:lineRule="auto"/>
        <w:rPr>
          <w:sz w:val="20"/>
        </w:rPr>
      </w:pPr>
      <w:r w:rsidRPr="000E37CB">
        <w:rPr>
          <w:sz w:val="20"/>
        </w:rPr>
        <w:tab/>
        <w:t xml:space="preserve">A clear distinction must be drawn between the existence and the exercise of jurisdiction.  Once jurisdiction is established, if the defendant does not raise further objections, the litigation proceeds before the court of the forum.  The court cannot decline to exercise its jurisdiction unless the defendant invokes </w:t>
      </w:r>
      <w:r w:rsidRPr="000E37CB">
        <w:rPr>
          <w:i/>
          <w:sz w:val="20"/>
        </w:rPr>
        <w:t>forum non conveniens</w:t>
      </w:r>
      <w:r w:rsidRPr="000E37CB">
        <w:rPr>
          <w:sz w:val="20"/>
        </w:rPr>
        <w:t xml:space="preserve">.  The decision to raise this doctrine rests with the parties, not with the court seized of the claim.  If a defendant raises an issue of </w:t>
      </w:r>
      <w:r w:rsidRPr="000E37CB">
        <w:rPr>
          <w:i/>
          <w:sz w:val="20"/>
        </w:rPr>
        <w:t>forum non conveniens</w:t>
      </w:r>
      <w:r w:rsidRPr="000E37CB">
        <w:rPr>
          <w:sz w:val="20"/>
        </w:rPr>
        <w:t xml:space="preserve">, the burden is on him or her to show why the court should decline to exercise its jurisdiction and displace the forum chosen by the plaintiff.  The defendant must show that the alternative forum is clearly more appropriate and that, in light of the characteristics of the alternative forum, it would be fairer and more efficient to chose an alternative forum and to deny the plaintiff the benefits of his or her decision to select a forum.  When it is invoked, the doctrine of </w:t>
      </w:r>
      <w:r w:rsidRPr="000E37CB">
        <w:rPr>
          <w:i/>
          <w:sz w:val="20"/>
        </w:rPr>
        <w:t>forum non conveniens</w:t>
      </w:r>
      <w:r w:rsidRPr="000E37CB">
        <w:rPr>
          <w:sz w:val="20"/>
        </w:rPr>
        <w:t xml:space="preserve"> requires a court to go beyond a strict application of the test governing the recognition and assumption of jurisdiction.  It is based on a recognition that a common law court retains a residual power to decline to exercise its jurisdiction in appropriate, but limited, circumstances in order to assure fairness to the parties and the efficient resolution of the dispute.  The court however, should not exercise its discretion in favour of a </w:t>
      </w:r>
      <w:r w:rsidRPr="000E37CB">
        <w:rPr>
          <w:sz w:val="20"/>
        </w:rPr>
        <w:lastRenderedPageBreak/>
        <w:t xml:space="preserve">stay solely because it finds, once all relevant concerns and factors are weighed, that comparable forums exist in other provinces or states.  It is not a matter of flipping a coin.  A court hearing an application for a stay of proceedings must find that a forum exists that is in a better position to dispose fairly and efficiently of the litigation.  On the other hand, a court must refrain from leaning too instinctively in favour of its own jurisdiction.  The doctrine focuses on the contexts of individual cases and the factors that a court may consider in deciding whether to apply </w:t>
      </w:r>
      <w:r w:rsidRPr="000E37CB">
        <w:rPr>
          <w:i/>
          <w:sz w:val="20"/>
        </w:rPr>
        <w:t>forum non conveniens</w:t>
      </w:r>
      <w:r w:rsidRPr="000E37CB">
        <w:rPr>
          <w:sz w:val="20"/>
        </w:rPr>
        <w:t xml:space="preserve"> may vary depending on the context.  Such factors might include the locations of parties and witnesses, the cost of transferring the case to another jurisdiction or of declining the stay, the impact of a transfer on the conduct of the litigation or on related or parallel proceedings, the possibility of conflicting judgments, problems related to the recognition and enforcement of judgments, and the relative strengths of the connections of the two parties.  Ultimately, the decision falls within the reasoned discretion of the trial court.  This exercise of discretion will be entitled to deference from higher courts, absent an error of law or a clear and serious error in the determination of relevant facts which takes place at an interlocutory or preliminary stage.</w:t>
      </w:r>
    </w:p>
    <w:p w:rsidR="00D2370D" w:rsidRPr="000E37CB" w:rsidRDefault="00D2370D" w:rsidP="00D2370D">
      <w:pPr>
        <w:pStyle w:val="SCCNormalDoubleSpacing"/>
        <w:spacing w:line="240" w:lineRule="auto"/>
        <w:rPr>
          <w:sz w:val="20"/>
        </w:rPr>
      </w:pPr>
    </w:p>
    <w:p w:rsidR="00D2370D" w:rsidRDefault="00D2370D" w:rsidP="00D2370D">
      <w:pPr>
        <w:pStyle w:val="SCCNormalDoubleSpacing"/>
        <w:spacing w:line="240" w:lineRule="auto"/>
        <w:rPr>
          <w:sz w:val="20"/>
        </w:rPr>
      </w:pPr>
      <w:r w:rsidRPr="000E37CB">
        <w:rPr>
          <w:sz w:val="20"/>
        </w:rPr>
        <w:tab/>
        <w:t xml:space="preserve">In </w:t>
      </w:r>
      <w:r w:rsidRPr="000E37CB">
        <w:rPr>
          <w:i/>
          <w:sz w:val="20"/>
        </w:rPr>
        <w:t>Van Breda</w:t>
      </w:r>
      <w:r w:rsidRPr="000E37CB">
        <w:rPr>
          <w:sz w:val="20"/>
        </w:rPr>
        <w:t>, a contract was entered into in Ontario.  The existence of a contract made in Ontario that is connected with the litigation is a presumptive connecting factor that, on its face, entitles the courts of Ontario to assume jurisdiction in this case.  Club Resorts has failed to rebut the presumption of jurisdiction that arises where this factor applies.  Therefore, there was a sufficient connection between the Ontario court and the subject matter of the litigation.  Club Resorts has not discharged its burden of showing that a Cuban court would clearly be a more appropriate forum.  While a sufficient connection exists between Cuba and the subject matter of the litigation to support an action there, issues related to the fairness to the parties and to the efficient disposition of the claim must be considered.  A trial held in Cuba would present serious challenges to the parties.  All things considered, the burden on the plaintiffs clearly would be far heavier if they were required to bring their action in Cuba.</w:t>
      </w:r>
    </w:p>
    <w:p w:rsidR="00D2370D" w:rsidRPr="000E37CB" w:rsidRDefault="00D2370D" w:rsidP="00D2370D">
      <w:pPr>
        <w:pStyle w:val="SCCNormalDoubleSpacing"/>
        <w:spacing w:line="240" w:lineRule="auto"/>
        <w:rPr>
          <w:sz w:val="20"/>
        </w:rPr>
      </w:pPr>
    </w:p>
    <w:p w:rsidR="00D2370D" w:rsidRDefault="00D2370D" w:rsidP="00D2370D">
      <w:pPr>
        <w:pStyle w:val="SCCNormalDoubleSpacing"/>
        <w:spacing w:line="240" w:lineRule="auto"/>
        <w:rPr>
          <w:sz w:val="20"/>
        </w:rPr>
      </w:pPr>
      <w:r w:rsidRPr="000E37CB">
        <w:rPr>
          <w:sz w:val="20"/>
        </w:rPr>
        <w:tab/>
        <w:t xml:space="preserve">In </w:t>
      </w:r>
      <w:r w:rsidRPr="000E37CB">
        <w:rPr>
          <w:i/>
          <w:sz w:val="20"/>
        </w:rPr>
        <w:t>Charron</w:t>
      </w:r>
      <w:r w:rsidRPr="000E37CB">
        <w:rPr>
          <w:sz w:val="20"/>
        </w:rPr>
        <w:t xml:space="preserve">, the facts supported the conclusion that Club Resorts was carrying on a business in Ontario which is a presumptive connecting factor.  Club Resorts’ commercial activities in Ontario went well beyond promoting a brand and advertising.  Its representatives were in the province on a regular basis and it benefitted from the physical presence of an office in Ontario.  It therefore follows that it has been established that a presumptive connecting factor applies and that the Ontario court is </w:t>
      </w:r>
      <w:r w:rsidRPr="000E37CB">
        <w:rPr>
          <w:i/>
          <w:sz w:val="20"/>
        </w:rPr>
        <w:t>prima facie</w:t>
      </w:r>
      <w:r w:rsidRPr="000E37CB">
        <w:rPr>
          <w:sz w:val="20"/>
        </w:rPr>
        <w:t xml:space="preserve"> entitled to assume jurisdiction.  Club Resorts has not rebutted the presumption of jurisdiction that arises from this connecting factor and therefore the Ontario court has jurisdiction on the basis of the real and substantial connection test.  Furthermore, Club Resorts failed to discharge its burden of showing that a Cuban court would clearly be a more appropriate forum in the circumstances of this case.  Considerations of fairness to the parties weigh heavily in favour of the plaintiffs.</w:t>
      </w:r>
      <w:bookmarkStart w:id="1" w:name="_GoBack"/>
      <w:bookmarkEnd w:id="1"/>
    </w:p>
    <w:p w:rsidR="00D2370D" w:rsidRPr="000E37CB" w:rsidRDefault="00D2370D" w:rsidP="00D2370D">
      <w:pPr>
        <w:pStyle w:val="SCCNormalDoubleSpacing"/>
        <w:spacing w:line="240" w:lineRule="auto"/>
        <w:ind w:left="547" w:hanging="547"/>
        <w:rPr>
          <w:sz w:val="20"/>
        </w:rPr>
      </w:pPr>
    </w:p>
    <w:p w:rsidR="00D2370D" w:rsidRDefault="00D2370D" w:rsidP="00D2370D">
      <w:pPr>
        <w:pStyle w:val="SCCNormalDoubleSpacing"/>
        <w:spacing w:line="240" w:lineRule="auto"/>
        <w:rPr>
          <w:sz w:val="20"/>
        </w:rPr>
      </w:pPr>
      <w:r w:rsidRPr="000E37CB">
        <w:rPr>
          <w:sz w:val="20"/>
        </w:rPr>
        <w:tab/>
        <w:t>APPEALS from a judgment of the Ontario Court of Appeal (O’Connor A.C.J.O. and Weiler, MacPherson, Sharpe and Rouleau JJ.A.), 2010 ONCA 84, 98 O.R. (3d) 721, 264 O.A.C. 1, 316 D.L.R. (4th) 201, 71 C.C.L.T. (3d) 161, 77 R.F.L. (6th) 1, 81 C.P.C. (6th) 219, [2010] O.J. No. 402 (QL), 2010 CarswellOnt 549, affirming a decision of Pattillo J., 60 C.P.C. (6th) 186, 2008 CanLII 32309, [2008] O.J. No. 2624 (QL), 2008 CarswellOnt 3867, and affirming a decision of Mulligan J., 92 O.R. (3d) 608, 2008 CanLII 53834, [2008] O.J. No. 4078 (QL), 2008 CarswellOnt 6165 (</w:t>
      </w:r>
      <w:r w:rsidRPr="000E37CB">
        <w:rPr>
          <w:i/>
          <w:sz w:val="20"/>
        </w:rPr>
        <w:t>sub nom. Charron Estate v. Village Resorts Ltd.</w:t>
      </w:r>
      <w:r w:rsidRPr="000E37CB">
        <w:rPr>
          <w:sz w:val="20"/>
        </w:rPr>
        <w:t>).  Appeals dismissed.</w:t>
      </w:r>
    </w:p>
    <w:p w:rsidR="00D2370D" w:rsidRPr="000E37CB" w:rsidRDefault="00D2370D" w:rsidP="00D2370D">
      <w:pPr>
        <w:pStyle w:val="SCCNormalDoubleSpacing"/>
        <w:spacing w:line="240" w:lineRule="auto"/>
        <w:rPr>
          <w:sz w:val="20"/>
        </w:rPr>
      </w:pPr>
    </w:p>
    <w:p w:rsidR="00D2370D" w:rsidRDefault="00D2370D" w:rsidP="00D2370D">
      <w:pPr>
        <w:pStyle w:val="SCCNormalDoubleSpacing"/>
        <w:spacing w:line="240" w:lineRule="auto"/>
        <w:rPr>
          <w:rStyle w:val="SCCCounselPartyRoleChar"/>
          <w:sz w:val="20"/>
        </w:rPr>
      </w:pPr>
      <w:r w:rsidRPr="000E37CB">
        <w:rPr>
          <w:rStyle w:val="SCCCounselNameChar"/>
          <w:sz w:val="20"/>
        </w:rPr>
        <w:tab/>
        <w:t>John A. Olah</w:t>
      </w:r>
      <w:r w:rsidRPr="000E37CB">
        <w:rPr>
          <w:rStyle w:val="SCCCounselPartyRoleChar"/>
          <w:sz w:val="20"/>
        </w:rPr>
        <w:t>, for the appellant (33692).</w:t>
      </w:r>
    </w:p>
    <w:p w:rsidR="00D2370D" w:rsidRPr="000E37CB" w:rsidRDefault="00D2370D" w:rsidP="00D2370D">
      <w:pPr>
        <w:pStyle w:val="SCCNormalDoubleSpacing"/>
        <w:spacing w:line="240" w:lineRule="auto"/>
        <w:rPr>
          <w:rStyle w:val="SCCCounselPartyRoleChar"/>
          <w:sz w:val="20"/>
        </w:rPr>
      </w:pPr>
    </w:p>
    <w:p w:rsidR="00D2370D" w:rsidRPr="000E37CB" w:rsidRDefault="00D2370D" w:rsidP="00D2370D">
      <w:pPr>
        <w:pStyle w:val="SCCNormalDoubleSpacing"/>
        <w:spacing w:line="240" w:lineRule="auto"/>
        <w:rPr>
          <w:sz w:val="20"/>
        </w:rPr>
      </w:pPr>
      <w:r w:rsidRPr="000E37CB">
        <w:rPr>
          <w:rStyle w:val="SCCCounselNameChar"/>
          <w:sz w:val="20"/>
        </w:rPr>
        <w:tab/>
        <w:t>Chris G. Paliare</w:t>
      </w:r>
      <w:r w:rsidRPr="000E37CB">
        <w:rPr>
          <w:rStyle w:val="SCCCounselSeparatorChar"/>
          <w:sz w:val="20"/>
        </w:rPr>
        <w:t xml:space="preserve">, </w:t>
      </w:r>
      <w:r w:rsidRPr="000E37CB">
        <w:rPr>
          <w:rStyle w:val="SCCCounselNameChar"/>
          <w:sz w:val="20"/>
        </w:rPr>
        <w:t>Robert A. Centa</w:t>
      </w:r>
      <w:r w:rsidRPr="000E37CB">
        <w:rPr>
          <w:rStyle w:val="SCCCounselSeparatorChar"/>
          <w:sz w:val="20"/>
        </w:rPr>
        <w:t xml:space="preserve"> and </w:t>
      </w:r>
      <w:r w:rsidRPr="000E37CB">
        <w:rPr>
          <w:rStyle w:val="SCCCounselNameChar"/>
          <w:sz w:val="20"/>
        </w:rPr>
        <w:t>Tina H. Lie</w:t>
      </w:r>
      <w:r w:rsidRPr="000E37CB">
        <w:rPr>
          <w:rStyle w:val="SCCCounselPartyRoleChar"/>
          <w:sz w:val="20"/>
        </w:rPr>
        <w:t>, for the respondents Morgan Van Breda et al. (33692).</w:t>
      </w:r>
    </w:p>
    <w:p w:rsidR="00D2370D" w:rsidRDefault="00D2370D" w:rsidP="00D2370D">
      <w:pPr>
        <w:pStyle w:val="SCCNormalDoubleSpacing"/>
        <w:spacing w:line="240" w:lineRule="auto"/>
        <w:rPr>
          <w:rStyle w:val="SCCCounselNameChar"/>
          <w:sz w:val="20"/>
        </w:rPr>
      </w:pPr>
    </w:p>
    <w:p w:rsidR="00D2370D" w:rsidRPr="000E37CB" w:rsidRDefault="00D2370D" w:rsidP="00D2370D">
      <w:pPr>
        <w:pStyle w:val="SCCNormalDoubleSpacing"/>
        <w:spacing w:line="240" w:lineRule="auto"/>
        <w:rPr>
          <w:sz w:val="20"/>
        </w:rPr>
      </w:pPr>
      <w:r w:rsidRPr="000E37CB">
        <w:rPr>
          <w:rStyle w:val="SCCCounselNameChar"/>
          <w:sz w:val="20"/>
        </w:rPr>
        <w:tab/>
        <w:t>Peter J. Pliszka</w:t>
      </w:r>
      <w:r w:rsidRPr="00D2370D">
        <w:rPr>
          <w:rStyle w:val="SCCCounselSeparatorChar"/>
          <w:sz w:val="20"/>
          <w:lang w:val="en-CA"/>
        </w:rPr>
        <w:t xml:space="preserve"> and </w:t>
      </w:r>
      <w:r w:rsidRPr="000E37CB">
        <w:rPr>
          <w:rStyle w:val="SCCCounselNameChar"/>
          <w:sz w:val="20"/>
        </w:rPr>
        <w:t>Robin P. Roddey</w:t>
      </w:r>
      <w:r w:rsidRPr="000E37CB">
        <w:rPr>
          <w:rStyle w:val="SCCCounselPartyRoleChar"/>
          <w:sz w:val="20"/>
        </w:rPr>
        <w:t>, for the appellant (33606).</w:t>
      </w:r>
    </w:p>
    <w:p w:rsidR="00D2370D" w:rsidRDefault="00D2370D" w:rsidP="00D2370D">
      <w:pPr>
        <w:pStyle w:val="SCCNormalDoubleSpacing"/>
        <w:spacing w:line="240" w:lineRule="auto"/>
        <w:rPr>
          <w:rStyle w:val="SCCCounselNameChar"/>
          <w:sz w:val="20"/>
        </w:rPr>
      </w:pPr>
    </w:p>
    <w:p w:rsidR="00D2370D" w:rsidRPr="000E37CB" w:rsidRDefault="00D2370D" w:rsidP="00D2370D">
      <w:pPr>
        <w:pStyle w:val="SCCNormalDoubleSpacing"/>
        <w:spacing w:line="240" w:lineRule="auto"/>
        <w:rPr>
          <w:rStyle w:val="SCCCounselPartyRoleChar"/>
          <w:sz w:val="20"/>
        </w:rPr>
      </w:pPr>
      <w:r w:rsidRPr="000E37CB">
        <w:rPr>
          <w:rStyle w:val="SCCCounselNameChar"/>
          <w:sz w:val="20"/>
        </w:rPr>
        <w:tab/>
        <w:t>Jerome R. Morse</w:t>
      </w:r>
      <w:r w:rsidRPr="00D2370D">
        <w:rPr>
          <w:rStyle w:val="SCCCounselSeparatorChar"/>
          <w:sz w:val="20"/>
          <w:lang w:val="en-CA"/>
        </w:rPr>
        <w:t xml:space="preserve">, </w:t>
      </w:r>
      <w:r w:rsidRPr="000E37CB">
        <w:rPr>
          <w:rStyle w:val="SCCCounselNameChar"/>
          <w:sz w:val="20"/>
        </w:rPr>
        <w:t>Lori Stoltz</w:t>
      </w:r>
      <w:r w:rsidRPr="00D2370D">
        <w:rPr>
          <w:rStyle w:val="SCCCounselSeparatorChar"/>
          <w:sz w:val="20"/>
          <w:lang w:val="en-CA"/>
        </w:rPr>
        <w:t xml:space="preserve"> and </w:t>
      </w:r>
      <w:r w:rsidRPr="000E37CB">
        <w:rPr>
          <w:rStyle w:val="SCCCounselNameChar"/>
          <w:sz w:val="20"/>
        </w:rPr>
        <w:t>John J. Adair</w:t>
      </w:r>
      <w:r w:rsidRPr="000E37CB">
        <w:rPr>
          <w:rStyle w:val="SCCCounselPartyRoleChar"/>
          <w:sz w:val="20"/>
        </w:rPr>
        <w:t>, for the respondents Anna Charron et al. (33606).</w:t>
      </w:r>
    </w:p>
    <w:p w:rsidR="00D2370D" w:rsidRDefault="00D2370D" w:rsidP="00D2370D">
      <w:pPr>
        <w:pStyle w:val="SCCNormalDoubleSpacing"/>
        <w:spacing w:line="240" w:lineRule="auto"/>
        <w:rPr>
          <w:rStyle w:val="SCCCounselNameChar"/>
          <w:sz w:val="20"/>
        </w:rPr>
      </w:pPr>
    </w:p>
    <w:p w:rsidR="00D2370D" w:rsidRPr="000E37CB" w:rsidRDefault="00D2370D" w:rsidP="00D2370D">
      <w:pPr>
        <w:pStyle w:val="SCCNormalDoubleSpacing"/>
        <w:spacing w:line="240" w:lineRule="auto"/>
        <w:rPr>
          <w:rStyle w:val="SCCCounselPartyRoleChar"/>
          <w:sz w:val="20"/>
        </w:rPr>
      </w:pPr>
      <w:r w:rsidRPr="000E37CB">
        <w:rPr>
          <w:rStyle w:val="SCCCounselNameChar"/>
          <w:sz w:val="20"/>
        </w:rPr>
        <w:tab/>
        <w:t>Howard B. Borlack</w:t>
      </w:r>
      <w:r w:rsidRPr="00D2370D">
        <w:rPr>
          <w:rStyle w:val="SCCCounselSeparatorChar"/>
          <w:sz w:val="20"/>
          <w:lang w:val="en-CA"/>
        </w:rPr>
        <w:t xml:space="preserve">, </w:t>
      </w:r>
      <w:r w:rsidRPr="000E37CB">
        <w:rPr>
          <w:rStyle w:val="SCCCounselNameChar"/>
          <w:sz w:val="20"/>
        </w:rPr>
        <w:t>Lisa La Horey</w:t>
      </w:r>
      <w:r w:rsidRPr="00D2370D">
        <w:rPr>
          <w:rStyle w:val="SCCCounselSeparatorChar"/>
          <w:sz w:val="20"/>
          <w:lang w:val="en-CA"/>
        </w:rPr>
        <w:t xml:space="preserve"> and </w:t>
      </w:r>
      <w:r w:rsidRPr="000E37CB">
        <w:rPr>
          <w:rStyle w:val="SCCCounselNameChar"/>
          <w:sz w:val="20"/>
        </w:rPr>
        <w:t>Sabine Kharabian</w:t>
      </w:r>
      <w:r w:rsidRPr="000E37CB">
        <w:rPr>
          <w:rStyle w:val="SCCCounselPartyRoleChar"/>
          <w:sz w:val="20"/>
        </w:rPr>
        <w:t>, for the respondent Bel Air Travel Group Ltd. (33606).</w:t>
      </w:r>
    </w:p>
    <w:p w:rsidR="00D2370D" w:rsidRDefault="00D2370D" w:rsidP="00D2370D">
      <w:pPr>
        <w:pStyle w:val="SCCNormalDoubleSpacing"/>
        <w:spacing w:line="240" w:lineRule="auto"/>
        <w:rPr>
          <w:rStyle w:val="SCCCounselNameChar"/>
          <w:sz w:val="20"/>
        </w:rPr>
      </w:pPr>
    </w:p>
    <w:p w:rsidR="00D2370D" w:rsidRPr="000E37CB" w:rsidRDefault="00D2370D" w:rsidP="00D2370D">
      <w:pPr>
        <w:pStyle w:val="SCCNormalDoubleSpacing"/>
        <w:spacing w:line="240" w:lineRule="auto"/>
        <w:rPr>
          <w:sz w:val="20"/>
        </w:rPr>
      </w:pPr>
      <w:r w:rsidRPr="000E37CB">
        <w:rPr>
          <w:rStyle w:val="SCCCounselNameChar"/>
          <w:sz w:val="20"/>
        </w:rPr>
        <w:tab/>
        <w:t>Catherine M. Buie</w:t>
      </w:r>
      <w:r w:rsidRPr="000E37CB">
        <w:rPr>
          <w:rStyle w:val="SCCCounselPartyRoleChar"/>
          <w:sz w:val="20"/>
        </w:rPr>
        <w:t>, for the respondent Hola Sun Holidays Limited (33606).</w:t>
      </w:r>
    </w:p>
    <w:p w:rsidR="00D2370D" w:rsidRDefault="00D2370D" w:rsidP="00D2370D">
      <w:pPr>
        <w:pStyle w:val="SCCNormalDoubleSpacing"/>
        <w:spacing w:line="240" w:lineRule="auto"/>
        <w:rPr>
          <w:rStyle w:val="SCCCounselNameChar"/>
          <w:sz w:val="20"/>
        </w:rPr>
      </w:pPr>
    </w:p>
    <w:p w:rsidR="00D2370D" w:rsidRPr="000E37CB" w:rsidRDefault="00D2370D" w:rsidP="00D2370D">
      <w:pPr>
        <w:pStyle w:val="SCCNormalDoubleSpacing"/>
        <w:spacing w:line="240" w:lineRule="auto"/>
        <w:rPr>
          <w:sz w:val="20"/>
        </w:rPr>
      </w:pPr>
      <w:r w:rsidRPr="000E37CB">
        <w:rPr>
          <w:rStyle w:val="SCCCounselNameChar"/>
          <w:sz w:val="20"/>
        </w:rPr>
        <w:tab/>
        <w:t>John Terry</w:t>
      </w:r>
      <w:r w:rsidRPr="00D2370D">
        <w:rPr>
          <w:rStyle w:val="SCCCounselSeparatorChar"/>
          <w:sz w:val="20"/>
          <w:lang w:val="en-CA"/>
        </w:rPr>
        <w:t xml:space="preserve"> and </w:t>
      </w:r>
      <w:r w:rsidRPr="000E37CB">
        <w:rPr>
          <w:rStyle w:val="SCCCounselNameChar"/>
          <w:sz w:val="20"/>
        </w:rPr>
        <w:t>Jana Stettner</w:t>
      </w:r>
      <w:r w:rsidRPr="000E37CB">
        <w:rPr>
          <w:rStyle w:val="SCCCounselPartyRoleChar"/>
          <w:sz w:val="20"/>
        </w:rPr>
        <w:t>, for the intervener Tourism Industry Association of Ontario (33606 and 33692).</w:t>
      </w:r>
    </w:p>
    <w:p w:rsidR="00D2370D" w:rsidRDefault="00D2370D" w:rsidP="00D2370D">
      <w:pPr>
        <w:pStyle w:val="SCCNormalDoubleSpacing"/>
        <w:spacing w:line="240" w:lineRule="auto"/>
        <w:rPr>
          <w:rStyle w:val="SCCCounselNameChar"/>
          <w:sz w:val="20"/>
        </w:rPr>
      </w:pPr>
    </w:p>
    <w:p w:rsidR="00D2370D" w:rsidRPr="000E37CB" w:rsidRDefault="00D2370D" w:rsidP="00D2370D">
      <w:pPr>
        <w:pStyle w:val="SCCNormalDoubleSpacing"/>
        <w:spacing w:line="240" w:lineRule="auto"/>
        <w:rPr>
          <w:sz w:val="20"/>
        </w:rPr>
      </w:pPr>
      <w:r w:rsidRPr="000E37CB">
        <w:rPr>
          <w:rStyle w:val="SCCCounselNameChar"/>
          <w:sz w:val="20"/>
        </w:rPr>
        <w:lastRenderedPageBreak/>
        <w:tab/>
        <w:t>François Larocque</w:t>
      </w:r>
      <w:r w:rsidRPr="000E37CB">
        <w:rPr>
          <w:rStyle w:val="SCCCounselNameChar"/>
          <w:i w:val="0"/>
          <w:sz w:val="20"/>
        </w:rPr>
        <w:t>,</w:t>
      </w:r>
      <w:r w:rsidRPr="00D2370D">
        <w:rPr>
          <w:rStyle w:val="SCCCounselSeparatorChar"/>
          <w:sz w:val="20"/>
          <w:lang w:val="en-CA"/>
        </w:rPr>
        <w:t xml:space="preserve"> </w:t>
      </w:r>
      <w:r w:rsidRPr="000E37CB">
        <w:rPr>
          <w:rStyle w:val="SCCCounselNameChar"/>
          <w:sz w:val="20"/>
        </w:rPr>
        <w:t>Michael Sobkin</w:t>
      </w:r>
      <w:r w:rsidRPr="000E37CB">
        <w:rPr>
          <w:rStyle w:val="SCCCounselPartyRoleChar"/>
          <w:sz w:val="20"/>
        </w:rPr>
        <w:t xml:space="preserve">, </w:t>
      </w:r>
      <w:r w:rsidRPr="000E37CB">
        <w:rPr>
          <w:rStyle w:val="SCCCounselNameChar"/>
          <w:sz w:val="20"/>
        </w:rPr>
        <w:t>Mark C. Power</w:t>
      </w:r>
      <w:r w:rsidRPr="00D2370D">
        <w:rPr>
          <w:rStyle w:val="SCCCounselSeparatorChar"/>
          <w:sz w:val="20"/>
          <w:lang w:val="en-CA"/>
        </w:rPr>
        <w:t xml:space="preserve"> and </w:t>
      </w:r>
      <w:r w:rsidRPr="000E37CB">
        <w:rPr>
          <w:rStyle w:val="SCCCounselNameChar"/>
          <w:sz w:val="20"/>
        </w:rPr>
        <w:t>Lauren J. Wihak</w:t>
      </w:r>
      <w:r w:rsidRPr="000E37CB">
        <w:rPr>
          <w:rStyle w:val="SCCCounselNameChar"/>
          <w:i w:val="0"/>
          <w:sz w:val="20"/>
        </w:rPr>
        <w:t xml:space="preserve">, </w:t>
      </w:r>
      <w:r w:rsidRPr="000E37CB">
        <w:rPr>
          <w:rStyle w:val="SCCCounselPartyRoleChar"/>
          <w:sz w:val="20"/>
        </w:rPr>
        <w:t>for the interveners Amnesty International, Canadian Centre for International Justice and Canadian Lawyers for International Human Rights (33606 and 33692).</w:t>
      </w:r>
    </w:p>
    <w:p w:rsidR="00D2370D" w:rsidRDefault="00D2370D" w:rsidP="00D2370D">
      <w:pPr>
        <w:pStyle w:val="SCCNormalDoubleSpacing"/>
        <w:spacing w:line="240" w:lineRule="auto"/>
        <w:rPr>
          <w:rStyle w:val="SCCCounselNameChar"/>
          <w:sz w:val="20"/>
        </w:rPr>
      </w:pPr>
    </w:p>
    <w:p w:rsidR="00D2370D" w:rsidRPr="000E37CB" w:rsidRDefault="00D2370D" w:rsidP="00D2370D">
      <w:pPr>
        <w:pStyle w:val="SCCNormalDoubleSpacing"/>
        <w:spacing w:line="240" w:lineRule="auto"/>
        <w:rPr>
          <w:sz w:val="20"/>
        </w:rPr>
      </w:pPr>
      <w:r w:rsidRPr="000E37CB">
        <w:rPr>
          <w:rStyle w:val="SCCCounselNameChar"/>
          <w:sz w:val="20"/>
        </w:rPr>
        <w:tab/>
        <w:t>Allan Rouben</w:t>
      </w:r>
      <w:r w:rsidRPr="000E37CB">
        <w:rPr>
          <w:rStyle w:val="SCCCounselPartyRoleChar"/>
          <w:sz w:val="20"/>
        </w:rPr>
        <w:t>, for the intervener Ontario Trial Lawyers Association (33606 and 33692).</w:t>
      </w:r>
    </w:p>
    <w:p w:rsidR="00D2370D" w:rsidRDefault="00D2370D" w:rsidP="00D2370D">
      <w:pPr>
        <w:pStyle w:val="SCCLawFirm"/>
        <w:spacing w:line="240" w:lineRule="auto"/>
        <w:rPr>
          <w:sz w:val="20"/>
        </w:rPr>
      </w:pPr>
    </w:p>
    <w:p w:rsidR="00D2370D" w:rsidRPr="000E37CB" w:rsidRDefault="00D2370D" w:rsidP="00D2370D">
      <w:pPr>
        <w:pStyle w:val="SCCLawFirm"/>
        <w:spacing w:line="240" w:lineRule="auto"/>
        <w:rPr>
          <w:sz w:val="20"/>
        </w:rPr>
      </w:pPr>
      <w:r w:rsidRPr="000E37CB">
        <w:rPr>
          <w:sz w:val="20"/>
        </w:rPr>
        <w:tab/>
        <w:t>Solicitors for the appellant (33692):  Beard Winter, Toronto.</w:t>
      </w:r>
    </w:p>
    <w:p w:rsidR="00D2370D" w:rsidRDefault="00D2370D" w:rsidP="00D2370D">
      <w:pPr>
        <w:pStyle w:val="SCCLawFirm"/>
        <w:spacing w:line="240" w:lineRule="auto"/>
        <w:rPr>
          <w:sz w:val="20"/>
        </w:rPr>
      </w:pPr>
    </w:p>
    <w:p w:rsidR="00D2370D" w:rsidRPr="000E37CB" w:rsidRDefault="00D2370D" w:rsidP="00D2370D">
      <w:pPr>
        <w:pStyle w:val="SCCLawFirm"/>
        <w:spacing w:line="240" w:lineRule="auto"/>
        <w:rPr>
          <w:sz w:val="20"/>
        </w:rPr>
      </w:pPr>
      <w:r w:rsidRPr="000E37CB">
        <w:rPr>
          <w:sz w:val="20"/>
        </w:rPr>
        <w:tab/>
        <w:t>Solicitors for the respondents Morgan Van Breda et al. (33692):  Paliare, Roland, Rosenberg, Rothstein, Toronto.</w:t>
      </w:r>
    </w:p>
    <w:p w:rsidR="00D2370D" w:rsidRDefault="00D2370D" w:rsidP="00D2370D">
      <w:pPr>
        <w:pStyle w:val="SCCLawFirm"/>
        <w:spacing w:line="240" w:lineRule="auto"/>
        <w:rPr>
          <w:sz w:val="20"/>
        </w:rPr>
      </w:pPr>
    </w:p>
    <w:p w:rsidR="00D2370D" w:rsidRPr="000E37CB" w:rsidRDefault="00D2370D" w:rsidP="00D2370D">
      <w:pPr>
        <w:pStyle w:val="SCCLawFirm"/>
        <w:spacing w:line="240" w:lineRule="auto"/>
        <w:rPr>
          <w:sz w:val="20"/>
        </w:rPr>
      </w:pPr>
      <w:r w:rsidRPr="000E37CB">
        <w:rPr>
          <w:sz w:val="20"/>
        </w:rPr>
        <w:tab/>
        <w:t>Solicitors for the appellant (33606):  Fasken Martineau DuMoulin, Toronto.</w:t>
      </w:r>
    </w:p>
    <w:p w:rsidR="00D2370D" w:rsidRDefault="00D2370D" w:rsidP="00D2370D">
      <w:pPr>
        <w:pStyle w:val="SCCLawFirm"/>
        <w:spacing w:line="240" w:lineRule="auto"/>
        <w:rPr>
          <w:sz w:val="20"/>
        </w:rPr>
      </w:pPr>
    </w:p>
    <w:p w:rsidR="00D2370D" w:rsidRPr="000E37CB" w:rsidRDefault="00D2370D" w:rsidP="00D2370D">
      <w:pPr>
        <w:pStyle w:val="SCCLawFirm"/>
        <w:spacing w:line="240" w:lineRule="auto"/>
        <w:rPr>
          <w:sz w:val="20"/>
        </w:rPr>
      </w:pPr>
      <w:r w:rsidRPr="000E37CB">
        <w:rPr>
          <w:sz w:val="20"/>
        </w:rPr>
        <w:tab/>
        <w:t>Solicitors for the respondents Anna Charron et al. (33606):  Adair Morse, Toronto.</w:t>
      </w:r>
    </w:p>
    <w:p w:rsidR="00D2370D" w:rsidRDefault="00D2370D" w:rsidP="00D2370D">
      <w:pPr>
        <w:pStyle w:val="SCCLawFirm"/>
        <w:spacing w:line="240" w:lineRule="auto"/>
        <w:rPr>
          <w:sz w:val="20"/>
        </w:rPr>
      </w:pPr>
    </w:p>
    <w:p w:rsidR="00D2370D" w:rsidRPr="000E37CB" w:rsidRDefault="00D2370D" w:rsidP="00D2370D">
      <w:pPr>
        <w:pStyle w:val="SCCLawFirm"/>
        <w:spacing w:line="240" w:lineRule="auto"/>
        <w:rPr>
          <w:sz w:val="20"/>
        </w:rPr>
      </w:pPr>
      <w:r w:rsidRPr="000E37CB">
        <w:rPr>
          <w:sz w:val="20"/>
        </w:rPr>
        <w:tab/>
        <w:t>Solicitors for the respondent Bel Air Travel Group Ltd. (33606):  McCague Peacock Borlack McInnis &amp; Lloyd, Toronto.</w:t>
      </w:r>
    </w:p>
    <w:p w:rsidR="00D2370D" w:rsidRDefault="00D2370D" w:rsidP="00D2370D">
      <w:pPr>
        <w:pStyle w:val="SCCLawFirm"/>
        <w:spacing w:line="240" w:lineRule="auto"/>
        <w:rPr>
          <w:sz w:val="20"/>
        </w:rPr>
      </w:pPr>
    </w:p>
    <w:p w:rsidR="00D2370D" w:rsidRPr="000E37CB" w:rsidRDefault="00D2370D" w:rsidP="00D2370D">
      <w:pPr>
        <w:pStyle w:val="SCCLawFirm"/>
        <w:spacing w:line="240" w:lineRule="auto"/>
        <w:rPr>
          <w:sz w:val="20"/>
        </w:rPr>
      </w:pPr>
      <w:r w:rsidRPr="000E37CB">
        <w:rPr>
          <w:sz w:val="20"/>
        </w:rPr>
        <w:tab/>
        <w:t>Solicitors for the respondent Hola Sun Holidays Limited (33606):  Buie Cohen, Toronto.</w:t>
      </w:r>
    </w:p>
    <w:p w:rsidR="00D2370D" w:rsidRDefault="00D2370D" w:rsidP="00D2370D">
      <w:pPr>
        <w:pStyle w:val="SCCLawFirm"/>
        <w:spacing w:line="240" w:lineRule="auto"/>
        <w:rPr>
          <w:sz w:val="20"/>
        </w:rPr>
      </w:pPr>
    </w:p>
    <w:p w:rsidR="00D2370D" w:rsidRPr="000E37CB" w:rsidRDefault="00D2370D" w:rsidP="00D2370D">
      <w:pPr>
        <w:pStyle w:val="SCCLawFirm"/>
        <w:spacing w:line="240" w:lineRule="auto"/>
        <w:rPr>
          <w:sz w:val="20"/>
        </w:rPr>
      </w:pPr>
      <w:r w:rsidRPr="000E37CB">
        <w:rPr>
          <w:sz w:val="20"/>
        </w:rPr>
        <w:tab/>
        <w:t>Solicitors for the intervener Tourism Industry Association of Ontario (33606 and 33692):  Torys, Toronto.</w:t>
      </w:r>
    </w:p>
    <w:p w:rsidR="00D2370D" w:rsidRDefault="00D2370D" w:rsidP="00D2370D">
      <w:pPr>
        <w:pStyle w:val="SCCLawFirm"/>
        <w:spacing w:line="240" w:lineRule="auto"/>
        <w:rPr>
          <w:sz w:val="20"/>
        </w:rPr>
      </w:pPr>
    </w:p>
    <w:p w:rsidR="00D2370D" w:rsidRPr="000E37CB" w:rsidRDefault="00D2370D" w:rsidP="00D2370D">
      <w:pPr>
        <w:pStyle w:val="SCCLawFirm"/>
        <w:spacing w:line="240" w:lineRule="auto"/>
        <w:rPr>
          <w:sz w:val="20"/>
        </w:rPr>
      </w:pPr>
      <w:r w:rsidRPr="000E37CB">
        <w:rPr>
          <w:sz w:val="20"/>
        </w:rPr>
        <w:tab/>
        <w:t>Solicitors for the interveners Amnesty International, Canadian Centre for International Justice and Canadian Lawyers for International Human Rights (33606 and 33692):  Heenan Blaikie, Ottawa.</w:t>
      </w:r>
    </w:p>
    <w:p w:rsidR="00D2370D" w:rsidRDefault="00D2370D" w:rsidP="00D2370D">
      <w:pPr>
        <w:pStyle w:val="SCCLawFirm"/>
        <w:spacing w:line="240" w:lineRule="auto"/>
        <w:rPr>
          <w:sz w:val="20"/>
        </w:rPr>
      </w:pPr>
    </w:p>
    <w:p w:rsidR="00D2370D" w:rsidRDefault="00D2370D" w:rsidP="00D2370D">
      <w:pPr>
        <w:pStyle w:val="SCCLawFirm"/>
        <w:spacing w:line="240" w:lineRule="auto"/>
        <w:rPr>
          <w:sz w:val="20"/>
        </w:rPr>
      </w:pPr>
      <w:r w:rsidRPr="000E37CB">
        <w:rPr>
          <w:sz w:val="20"/>
        </w:rPr>
        <w:tab/>
        <w:t>Solicitor for the intervener Ontario Trial Lawyers Association (33606 and 33692):  Allan Rouben,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D2370D" w:rsidRDefault="00D2370D" w:rsidP="00D2370D">
      <w:pPr>
        <w:jc w:val="both"/>
        <w:rPr>
          <w:sz w:val="20"/>
          <w:lang w:val="fr-CA"/>
        </w:rPr>
      </w:pPr>
      <w:r w:rsidRPr="00D2370D">
        <w:rPr>
          <w:sz w:val="20"/>
          <w:lang w:val="fr-CA"/>
        </w:rPr>
        <w:t>Présents : La juge en chef McLachlin et les juges Binnie</w:t>
      </w:r>
      <w:r w:rsidRPr="00D2370D">
        <w:rPr>
          <w:sz w:val="20"/>
          <w:vertAlign w:val="superscript"/>
          <w:lang w:val="fr-CA"/>
        </w:rPr>
        <w:t>*</w:t>
      </w:r>
      <w:r w:rsidRPr="00D2370D">
        <w:rPr>
          <w:sz w:val="20"/>
          <w:lang w:val="fr-CA"/>
        </w:rPr>
        <w:t>, LeBel, Deschamps, Fish, Abella, Charron</w:t>
      </w:r>
      <w:r w:rsidRPr="00D2370D">
        <w:rPr>
          <w:rStyle w:val="FootnoteReference"/>
          <w:sz w:val="20"/>
          <w:lang w:val="fr-CA"/>
        </w:rPr>
        <w:t>*</w:t>
      </w:r>
      <w:r w:rsidRPr="00D2370D">
        <w:rPr>
          <w:sz w:val="20"/>
          <w:lang w:val="fr-CA"/>
        </w:rPr>
        <w:t>, Rothstein et Cromwell.</w:t>
      </w:r>
    </w:p>
    <w:p w:rsidR="00D2370D" w:rsidRDefault="00D2370D" w:rsidP="00D2370D">
      <w:pPr>
        <w:jc w:val="both"/>
        <w:rPr>
          <w:sz w:val="20"/>
          <w:lang w:val="fr-CA"/>
        </w:rPr>
      </w:pPr>
    </w:p>
    <w:p w:rsidR="00D2370D" w:rsidRPr="00D2370D" w:rsidRDefault="00D2370D" w:rsidP="00D2370D">
      <w:pPr>
        <w:jc w:val="both"/>
        <w:rPr>
          <w:sz w:val="20"/>
          <w:lang w:val="fr-CA"/>
        </w:rPr>
      </w:pPr>
      <w:r>
        <w:rPr>
          <w:sz w:val="20"/>
          <w:lang w:val="fr-CA"/>
        </w:rPr>
        <w:t>(</w:t>
      </w:r>
      <w:r>
        <w:rPr>
          <w:sz w:val="20"/>
          <w:vertAlign w:val="superscript"/>
          <w:lang w:val="fr-CA"/>
        </w:rPr>
        <w:t>*</w:t>
      </w:r>
      <w:r>
        <w:rPr>
          <w:sz w:val="20"/>
          <w:lang w:val="fr-CA"/>
        </w:rPr>
        <w:t xml:space="preserve"> Les juges Binnie et Charron n’ont pas participé au jugement</w:t>
      </w:r>
      <w:r w:rsidR="008446DF">
        <w:rPr>
          <w:sz w:val="20"/>
          <w:lang w:val="fr-CA"/>
        </w:rPr>
        <w:t>.</w:t>
      </w:r>
      <w:r>
        <w:rPr>
          <w:sz w:val="20"/>
          <w:lang w:val="fr-CA"/>
        </w:rPr>
        <w:t>)</w:t>
      </w:r>
    </w:p>
    <w:p w:rsidR="00D2370D" w:rsidRPr="00D2370D" w:rsidRDefault="00D2370D" w:rsidP="00D2370D">
      <w:pPr>
        <w:pStyle w:val="SCCLowerCourtNameLowercase"/>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Droit international privé — Choix du tribunal — Juridiction compétente — Forum non conveniens — Les intimés ont subi un préjudice à l’occasion de vacances à Cuba — Actions en dommages</w:t>
      </w:r>
      <w:r w:rsidRPr="00D2370D">
        <w:rPr>
          <w:i/>
          <w:sz w:val="20"/>
          <w:lang w:val="fr-CA"/>
        </w:rPr>
        <w:noBreakHyphen/>
        <w:t>intérêts intentées en Ontario — Les défendeurs demandent la suspension des instances au motif que le tribunal ontarien n’a pas compétence ou, subsidiairement, qu’il devrait décliner compétence pour cause de forum non conveniens</w:t>
      </w:r>
      <w:r w:rsidRPr="00D2370D">
        <w:rPr>
          <w:sz w:val="20"/>
          <w:lang w:val="fr-CA"/>
        </w:rPr>
        <w:t xml:space="preserve"> </w:t>
      </w:r>
      <w:r w:rsidRPr="00D2370D">
        <w:rPr>
          <w:i/>
          <w:sz w:val="20"/>
          <w:lang w:val="fr-CA"/>
        </w:rPr>
        <w:t>— Le tribunal ontarien peut</w:t>
      </w:r>
      <w:r w:rsidRPr="00D2370D">
        <w:rPr>
          <w:i/>
          <w:sz w:val="20"/>
          <w:lang w:val="fr-CA"/>
        </w:rPr>
        <w:noBreakHyphen/>
        <w:t>il se déclarer compétent à l’égard des actions? — Dans l’affirmative, le tribunal ontarien devrait</w:t>
      </w:r>
      <w:r w:rsidRPr="00D2370D">
        <w:rPr>
          <w:i/>
          <w:sz w:val="20"/>
          <w:lang w:val="fr-CA"/>
        </w:rPr>
        <w:noBreakHyphen/>
        <w:t>il refuser d’exercer sa compétence au motif que le tribunal d’un autre ressort constitue nettement un tribunal plus approprié pour instruire les actions?</w:t>
      </w:r>
      <w:r w:rsidRPr="00D2370D">
        <w:rPr>
          <w:sz w:val="20"/>
          <w:lang w:val="fr-CA"/>
        </w:rPr>
        <w:t xml:space="preserve"> </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 xml:space="preserve">Dans des affaires distinctes, deux personnes ont subi un préjudice pendant leurs vacances à l’extérieur du Canada.  Morgan Van Breda été très grièvement blessée sur une plage de Cuba.  À Cuba également, Claude Charron est mort au cours d’une plongée autonome.  Des poursuites ont été intentées en Ontario contre plusieurs défendeurs, notamment l’appelante Club Resorts Ltd., une société constituée aux îles Caïmans qui gérait les deux hôtels où sont survenus les accidents.  Club Resorts a cherché à mettre un terme à ces poursuites, en invoquant d’abord le défaut de compétence des tribunaux ontariens, puis en affirmant à titre subsidiaire qu’il serait plus approprié, suivant la doctrine du </w:t>
      </w:r>
      <w:r w:rsidRPr="00D2370D">
        <w:rPr>
          <w:i/>
          <w:sz w:val="20"/>
          <w:lang w:val="fr-CA"/>
        </w:rPr>
        <w:t>forum non conveniens</w:t>
      </w:r>
      <w:r w:rsidRPr="00D2370D">
        <w:rPr>
          <w:sz w:val="20"/>
          <w:lang w:val="fr-CA"/>
        </w:rPr>
        <w:t xml:space="preserve">, que ces litiges soient instruits à Cuba.  Dans les deux affaires, les juges saisis de la motion ont conclu que les tribunaux ontariens avaient compétence à l’égard des actions intentées contre Club Resorts.  Dans l’analyse du </w:t>
      </w:r>
      <w:r w:rsidRPr="00D2370D">
        <w:rPr>
          <w:i/>
          <w:sz w:val="20"/>
          <w:lang w:val="fr-CA"/>
        </w:rPr>
        <w:t>forum non conveniens</w:t>
      </w:r>
      <w:r w:rsidRPr="00D2370D">
        <w:rPr>
          <w:sz w:val="20"/>
          <w:lang w:val="fr-CA"/>
        </w:rPr>
        <w:t>, il a également été décidé qu’il était nettement plus approprié que le litige soit instruit en Ontario.  Les deux affaires ont été entendues ensemble en cour d’appel.  Les deux appels ont été rejetés.</w:t>
      </w:r>
    </w:p>
    <w:p w:rsidR="00D2370D" w:rsidRPr="00D2370D" w:rsidRDefault="00D2370D" w:rsidP="00D2370D">
      <w:pPr>
        <w:pStyle w:val="SCCNormalDoubleSpacing"/>
        <w:spacing w:line="240" w:lineRule="auto"/>
        <w:rPr>
          <w:i/>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Arrêt</w:t>
      </w:r>
      <w:r w:rsidRPr="00D2370D">
        <w:rPr>
          <w:sz w:val="20"/>
          <w:lang w:val="fr-CA"/>
        </w:rPr>
        <w:t> : Les pourvois sont rejetés.</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lastRenderedPageBreak/>
        <w:tab/>
        <w:t xml:space="preserve">En l’espèce, il s’agit d’élaborer le critère du « lien réel et substantiel » en tant que règle de droit international privé qu’un tribunal peut appliquer en common law pour déterminer s’il peut se déclarer compétent.  Lorsqu’ils se prononcent sur leur compétence, les tribunaux canadiens préfèrent, à un régime où chaque juge exercerait un pouvoir purement discrétionnaire, une approche leur permettant de se fonder sur un ensemble de facteurs précis auxquels ils confèrent l’effet d’une présomption.  La nature des rapports régis par le droit international privé interdit de réduire le cadre applicable à la déclaration de compétence à un régime précaire et ponctuel élaboré sur le coup au cas par cas, aussi louable que soit l’objectif d’équité individuelle.  Le régime doit être ordonné et doit permettre l’élaboration d’une méthode juste et équitable de règlement des conflits.  La justice et l’équité constituent sans aucun doute des objectifs essentiels d’un bon système de droit international privé, mais elles ne peuvent se réaliser en l’absence d’un ensemble de principes et de règles assurant la sûreté et la prévisibilité du droit applicable à la déclaration de compétence d’un tribunal.  L’établissement d’un ensemble de facteurs de rattachement pertinents créant une présomption et la détermination de leur nature et de leur effet juridiques rendra l’analyse des problèmes de déclaration de compétence plus claire et plus prévisible, tout en assurant leur conformité avec les objectifs d’équité et d’efficacité sur lesquels repose cette branche du droit.  Dans cette optique, il faut conserver une nette distinction entre, d’une part, les facteurs ou les situations de fait qui relient l’objet du litige et le défendeur au tribunal et, d’autre part, les principes et les outils d’analyse, comme les valeurs que sont l’équité et l’efficacité ou le principe de la courtoisie. </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Afin de satisfaire au critère du lien réel et substantiel de la common law, la partie qui plaide que le tribunal doit se déclarer compétent doit indiquer le facteur de rattachement créant une présomption qui lie l’objet du litige au tribunal.  Il faut établir la compétence principalement sur la base de facteurs objectifs reliant la situation juridique ou l’objet du litige au tribunal.  Des considérations abstraites d’ordre, d’efficacité ou d’équité du système ne sauraient se substituer aux facteurs de rattachement qui donnent lieu à un « lien réel et substantiel » pour l’application du droit international privé.  Dans une instance relative à un délit, les facteurs suivants constituent des facteurs de rattachement créant une présomption qui, à première vue, autorisent une cour à se déclarer compétente à l’égard du litige :</w:t>
      </w:r>
    </w:p>
    <w:p w:rsidR="00D2370D" w:rsidRPr="00D2370D" w:rsidRDefault="00D2370D" w:rsidP="00D2370D">
      <w:pPr>
        <w:pStyle w:val="SCCNormalDoubleSpacing"/>
        <w:spacing w:line="240" w:lineRule="auto"/>
        <w:rPr>
          <w:sz w:val="20"/>
          <w:lang w:val="fr-CA"/>
        </w:rPr>
      </w:pPr>
    </w:p>
    <w:p w:rsidR="00D2370D" w:rsidRDefault="00D2370D" w:rsidP="00886CE1">
      <w:pPr>
        <w:pStyle w:val="Citation-AltC"/>
        <w:spacing w:after="0"/>
        <w:ind w:left="1620" w:hanging="454"/>
        <w:contextualSpacing w:val="0"/>
        <w:rPr>
          <w:sz w:val="20"/>
          <w:lang w:val="fr-CA"/>
        </w:rPr>
      </w:pPr>
      <w:r w:rsidRPr="00A02F68">
        <w:rPr>
          <w:sz w:val="20"/>
          <w:lang w:val="fr-CA"/>
        </w:rPr>
        <w:t>a)</w:t>
      </w:r>
      <w:r w:rsidRPr="00A02F68">
        <w:rPr>
          <w:sz w:val="20"/>
          <w:lang w:val="fr-CA"/>
        </w:rPr>
        <w:tab/>
        <w:t>le défendeur a son domicile dans la province ou y réside;</w:t>
      </w:r>
    </w:p>
    <w:p w:rsidR="00D2370D" w:rsidRPr="00A02F68" w:rsidRDefault="00D2370D" w:rsidP="00886CE1">
      <w:pPr>
        <w:pStyle w:val="Citation-AltC"/>
        <w:spacing w:after="0"/>
        <w:ind w:left="1620" w:hanging="454"/>
        <w:contextualSpacing w:val="0"/>
        <w:rPr>
          <w:sz w:val="20"/>
          <w:lang w:val="fr-CA"/>
        </w:rPr>
      </w:pPr>
    </w:p>
    <w:p w:rsidR="00D2370D" w:rsidRDefault="00D2370D" w:rsidP="00886CE1">
      <w:pPr>
        <w:pStyle w:val="Citation-AltC"/>
        <w:spacing w:after="0"/>
        <w:ind w:left="1620" w:hanging="454"/>
        <w:contextualSpacing w:val="0"/>
        <w:rPr>
          <w:sz w:val="20"/>
          <w:lang w:val="fr-CA"/>
        </w:rPr>
      </w:pPr>
      <w:r w:rsidRPr="00A02F68">
        <w:rPr>
          <w:sz w:val="20"/>
          <w:lang w:val="fr-CA"/>
        </w:rPr>
        <w:t>b)</w:t>
      </w:r>
      <w:r w:rsidRPr="00A02F68">
        <w:rPr>
          <w:sz w:val="20"/>
          <w:lang w:val="fr-CA"/>
        </w:rPr>
        <w:tab/>
        <w:t>le défendeur exploite une entreprise dans la province;</w:t>
      </w:r>
    </w:p>
    <w:p w:rsidR="00D2370D" w:rsidRPr="00A02F68" w:rsidRDefault="00D2370D" w:rsidP="00886CE1">
      <w:pPr>
        <w:pStyle w:val="Citation-AltC"/>
        <w:spacing w:after="0"/>
        <w:ind w:left="1620" w:hanging="454"/>
        <w:contextualSpacing w:val="0"/>
        <w:rPr>
          <w:sz w:val="20"/>
          <w:lang w:val="fr-CA"/>
        </w:rPr>
      </w:pPr>
    </w:p>
    <w:p w:rsidR="00D2370D" w:rsidRDefault="00D2370D" w:rsidP="00886CE1">
      <w:pPr>
        <w:pStyle w:val="Citation-AltC"/>
        <w:spacing w:after="0"/>
        <w:ind w:left="1620" w:hanging="454"/>
        <w:contextualSpacing w:val="0"/>
        <w:rPr>
          <w:sz w:val="20"/>
          <w:lang w:val="fr-CA"/>
        </w:rPr>
      </w:pPr>
      <w:r w:rsidRPr="00A02F68">
        <w:rPr>
          <w:sz w:val="20"/>
          <w:lang w:val="fr-CA"/>
        </w:rPr>
        <w:t>c)</w:t>
      </w:r>
      <w:r w:rsidRPr="00A02F68">
        <w:rPr>
          <w:sz w:val="20"/>
          <w:lang w:val="fr-CA"/>
        </w:rPr>
        <w:tab/>
        <w:t>le délit a été commis dans la province;</w:t>
      </w:r>
    </w:p>
    <w:p w:rsidR="00D2370D" w:rsidRPr="00A02F68" w:rsidRDefault="00D2370D" w:rsidP="00886CE1">
      <w:pPr>
        <w:pStyle w:val="Citation-AltC"/>
        <w:spacing w:after="0"/>
        <w:ind w:left="1620" w:hanging="454"/>
        <w:contextualSpacing w:val="0"/>
        <w:rPr>
          <w:sz w:val="20"/>
          <w:lang w:val="fr-CA"/>
        </w:rPr>
      </w:pPr>
    </w:p>
    <w:p w:rsidR="00D2370D" w:rsidRDefault="00D2370D" w:rsidP="00886CE1">
      <w:pPr>
        <w:pStyle w:val="Citation-AltC"/>
        <w:spacing w:after="0"/>
        <w:ind w:left="1620" w:hanging="454"/>
        <w:contextualSpacing w:val="0"/>
        <w:rPr>
          <w:sz w:val="20"/>
          <w:lang w:val="fr-CA"/>
        </w:rPr>
      </w:pPr>
      <w:r w:rsidRPr="00A02F68">
        <w:rPr>
          <w:sz w:val="20"/>
          <w:lang w:val="fr-CA"/>
        </w:rPr>
        <w:t>d)</w:t>
      </w:r>
      <w:r w:rsidRPr="00A02F68">
        <w:rPr>
          <w:sz w:val="20"/>
          <w:lang w:val="fr-CA"/>
        </w:rPr>
        <w:tab/>
        <w:t>un contrat lié au litige a été conclu dans la province.</w:t>
      </w:r>
    </w:p>
    <w:p w:rsidR="00D2370D" w:rsidRPr="00A02F68" w:rsidRDefault="00D2370D" w:rsidP="00D2370D">
      <w:pPr>
        <w:pStyle w:val="Citation-AltC"/>
        <w:tabs>
          <w:tab w:val="left" w:pos="1530"/>
        </w:tabs>
        <w:spacing w:after="0"/>
        <w:contextualSpacing w:val="0"/>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Bien que l’on considère que les facteurs énumérés créent une présomption, cela ce signifie pas que la liste des facteurs reconnus est définitive.  Elle pourra être revue au fil du temps et mise à jour par l’ajout de nouveaux facteurs de rattachement créant une présomption.  Le tribunal qui envisage la possibilité de conférer à un nouveau facteur de rattachement l’effet d’une présomption peut mettre à profit les outils utiles que constituent les valeurs d’ordre, d’équité et de courtoisie dans l’analyse de la solidité du rapport avec le tribunal révélé par ce facteur.  Tous les facteurs de rattachement créant une présomption, qu’ils soient énumérés ou nouveaux, reposent sur ces valeurs.  Lorsqu’ils reconnaissent de nouveaux facteurs créant une présomption, les tribunaux devraient envisager des liens qui révèlent avec le tribunal un rapport de nature semblable à ceux qui découlent des facteurs qui figurent sur la liste.  Les considérations suivantes pourraient s’avérer pertinentes :</w:t>
      </w:r>
    </w:p>
    <w:p w:rsidR="00D2370D" w:rsidRPr="00D2370D" w:rsidRDefault="00D2370D" w:rsidP="00D2370D">
      <w:pPr>
        <w:pStyle w:val="SCCNormalDoubleSpacing"/>
        <w:spacing w:line="240" w:lineRule="auto"/>
        <w:rPr>
          <w:sz w:val="20"/>
          <w:lang w:val="fr-CA"/>
        </w:rPr>
      </w:pPr>
    </w:p>
    <w:p w:rsidR="00D2370D" w:rsidRPr="00D2370D" w:rsidRDefault="00D2370D" w:rsidP="00D2370D">
      <w:pPr>
        <w:ind w:left="1620" w:hanging="450"/>
        <w:jc w:val="both"/>
        <w:rPr>
          <w:sz w:val="20"/>
          <w:lang w:val="fr-CA"/>
        </w:rPr>
      </w:pPr>
      <w:r w:rsidRPr="00D2370D">
        <w:rPr>
          <w:sz w:val="20"/>
          <w:lang w:val="fr-CA"/>
        </w:rPr>
        <w:t>a)</w:t>
      </w:r>
      <w:r w:rsidRPr="00D2370D">
        <w:rPr>
          <w:sz w:val="20"/>
          <w:lang w:val="fr-CA"/>
        </w:rPr>
        <w:tab/>
        <w:t>la similitude du facteur de rattachement avec les facteurs de rattachement reconnus créant une présomption;</w:t>
      </w:r>
    </w:p>
    <w:p w:rsidR="00D2370D" w:rsidRPr="00D2370D" w:rsidRDefault="00D2370D" w:rsidP="00D2370D">
      <w:pPr>
        <w:ind w:left="1620" w:hanging="450"/>
        <w:jc w:val="both"/>
        <w:rPr>
          <w:sz w:val="20"/>
          <w:lang w:val="fr-CA"/>
        </w:rPr>
      </w:pPr>
    </w:p>
    <w:p w:rsidR="00D2370D" w:rsidRPr="00D2370D" w:rsidRDefault="00D2370D" w:rsidP="00D2370D">
      <w:pPr>
        <w:ind w:left="1620" w:hanging="450"/>
        <w:jc w:val="both"/>
        <w:rPr>
          <w:sz w:val="20"/>
          <w:lang w:val="fr-CA"/>
        </w:rPr>
      </w:pPr>
      <w:r w:rsidRPr="00D2370D">
        <w:rPr>
          <w:sz w:val="20"/>
          <w:lang w:val="fr-CA"/>
        </w:rPr>
        <w:t>b)</w:t>
      </w:r>
      <w:r w:rsidRPr="00D2370D">
        <w:rPr>
          <w:sz w:val="20"/>
          <w:lang w:val="fr-CA"/>
        </w:rPr>
        <w:tab/>
        <w:t>le traitement du facteur de rattachement dans la jurisprudence;</w:t>
      </w:r>
    </w:p>
    <w:p w:rsidR="00D2370D" w:rsidRPr="00D2370D" w:rsidRDefault="00D2370D" w:rsidP="00D2370D">
      <w:pPr>
        <w:ind w:left="1620" w:hanging="450"/>
        <w:jc w:val="both"/>
        <w:rPr>
          <w:sz w:val="20"/>
          <w:lang w:val="fr-CA"/>
        </w:rPr>
      </w:pPr>
    </w:p>
    <w:p w:rsidR="00D2370D" w:rsidRPr="00D2370D" w:rsidRDefault="00D2370D" w:rsidP="00D2370D">
      <w:pPr>
        <w:ind w:left="1620" w:hanging="450"/>
        <w:jc w:val="both"/>
        <w:rPr>
          <w:sz w:val="20"/>
          <w:lang w:val="fr-CA"/>
        </w:rPr>
      </w:pPr>
      <w:r w:rsidRPr="00D2370D">
        <w:rPr>
          <w:sz w:val="20"/>
          <w:lang w:val="fr-CA"/>
        </w:rPr>
        <w:t>c)</w:t>
      </w:r>
      <w:r w:rsidRPr="00D2370D">
        <w:rPr>
          <w:sz w:val="20"/>
          <w:lang w:val="fr-CA"/>
        </w:rPr>
        <w:tab/>
        <w:t>le traitement du facteur de rattachement dans la législation;</w:t>
      </w:r>
    </w:p>
    <w:p w:rsidR="00D2370D" w:rsidRPr="00D2370D" w:rsidRDefault="00D2370D" w:rsidP="00D2370D">
      <w:pPr>
        <w:ind w:left="1620" w:hanging="450"/>
        <w:jc w:val="both"/>
        <w:rPr>
          <w:sz w:val="20"/>
          <w:lang w:val="fr-CA"/>
        </w:rPr>
      </w:pPr>
    </w:p>
    <w:p w:rsidR="00D2370D" w:rsidRPr="00D2370D" w:rsidRDefault="00D2370D" w:rsidP="00D2370D">
      <w:pPr>
        <w:ind w:left="1612" w:hanging="446"/>
        <w:jc w:val="both"/>
        <w:rPr>
          <w:sz w:val="20"/>
          <w:lang w:val="fr-CA"/>
        </w:rPr>
      </w:pPr>
      <w:r w:rsidRPr="00D2370D">
        <w:rPr>
          <w:sz w:val="20"/>
          <w:lang w:val="fr-CA"/>
        </w:rPr>
        <w:t>d)</w:t>
      </w:r>
      <w:r w:rsidRPr="00D2370D">
        <w:rPr>
          <w:sz w:val="20"/>
          <w:lang w:val="fr-CA"/>
        </w:rPr>
        <w:tab/>
        <w:t xml:space="preserve">le traitement du facteur de rattachement dans le droit international privé d’autres systèmes juridiques qui ont en commun avec le Canada les valeurs d’ordre, d’équité et de courtoisie. </w:t>
      </w:r>
    </w:p>
    <w:p w:rsidR="00D2370D" w:rsidRPr="00D2370D" w:rsidRDefault="00D2370D" w:rsidP="00D2370D">
      <w:pPr>
        <w:ind w:left="1612" w:hanging="446"/>
        <w:jc w:val="both"/>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 xml:space="preserve">La présomption de compétence créée lorsqu’un facteur de rattachement reconnu — énuméré ou nouveau — s’applique n’est pas irréfutable.  Le fardeau de la réfuter incombe bien entendu à la partie qui s’oppose à la déclaration </w:t>
      </w:r>
      <w:r w:rsidRPr="00D2370D">
        <w:rPr>
          <w:sz w:val="20"/>
          <w:lang w:val="fr-CA"/>
        </w:rPr>
        <w:lastRenderedPageBreak/>
        <w:t>de compétence.  Cette dernière doit réfuter la présomption créée par le facteur énuméré ou nouveau et convaincre la cour qu’une déclaration de compétence serait inopportune.  Elle pourrait le faire en établissant les faits démontrant que le facteur de rattachement créant une présomption ne révèle aucun rapport réel, ou ne révèle qu’un rapport ténu, entre l’objet du litige et le tribunal.</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 xml:space="preserve">Si la cour conclut qu’elle n’a pas compétence parce qu’aucun facteur de rattachement créant une présomption — énuméré ou nouveau — ne s’applique ou parce que la présomption de compétence découlant de l’un de ces facteurs est réfutée, elle doit rejeter l’action ou suspendre l’instance, à moins que ne s’applique la doctrine du for de nécessité.  Si la compétence est établie, l’action peut être entendue, sous réserve du pouvoir discrétionnaire de la cour de suspendre l’instance en se fondant sur la doctrine du </w:t>
      </w:r>
      <w:r w:rsidRPr="00D2370D">
        <w:rPr>
          <w:i/>
          <w:sz w:val="20"/>
          <w:lang w:val="fr-CA"/>
        </w:rPr>
        <w:t>forum non conveniens</w:t>
      </w:r>
      <w:r w:rsidRPr="00D2370D">
        <w:rPr>
          <w:sz w:val="20"/>
          <w:lang w:val="fr-CA"/>
        </w:rPr>
        <w:t>.</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 xml:space="preserve">Il faut conserver une nette distinction entre l’existence et l’exercice de la compétence.  Une fois la compétence établie, l’instance suit son cours devant le tribunal si le défendeur ne soulève pas d’autres objections.  Le tribunal ne peut décliner compétence, à moins que le défendeur n’invoque le </w:t>
      </w:r>
      <w:r w:rsidRPr="00D2370D">
        <w:rPr>
          <w:i/>
          <w:sz w:val="20"/>
          <w:lang w:val="fr-CA"/>
        </w:rPr>
        <w:t>forum non conveniens</w:t>
      </w:r>
      <w:r w:rsidRPr="00D2370D">
        <w:rPr>
          <w:sz w:val="20"/>
          <w:lang w:val="fr-CA"/>
        </w:rPr>
        <w:t xml:space="preserve">.  Il appartient aux parties, et non au tribunal saisi du recours, d’invoquer cette doctrine.  Le défendeur qui soulève l’application du </w:t>
      </w:r>
      <w:r w:rsidRPr="00D2370D">
        <w:rPr>
          <w:i/>
          <w:sz w:val="20"/>
          <w:lang w:val="fr-CA"/>
        </w:rPr>
        <w:t>forum non conveniens</w:t>
      </w:r>
      <w:r w:rsidRPr="00D2370D">
        <w:rPr>
          <w:sz w:val="20"/>
          <w:lang w:val="fr-CA"/>
        </w:rPr>
        <w:t xml:space="preserve"> a le fardeau de démontrer pourquoi le tribunal devrait décliner sa compétence et renvoyer le litige dans un ressort autre que celui que le demandeur à choisi.  Le défendeur doit démontrer que l’autre tribunal est nettement plus approprié et que, compte tenu des caractéristiques de l’autre tribunal, il serait plus juste et plus efficace de choisir cet autre tribunal et de refuser au demandeur les avantages liés à sa décision de choisir le tribunal saisi du litige.  Si elle est invoquée, la doctrine du </w:t>
      </w:r>
      <w:r w:rsidRPr="00D2370D">
        <w:rPr>
          <w:i/>
          <w:sz w:val="20"/>
          <w:lang w:val="fr-CA"/>
        </w:rPr>
        <w:t>forum non conveniens</w:t>
      </w:r>
      <w:r w:rsidRPr="00D2370D">
        <w:rPr>
          <w:sz w:val="20"/>
          <w:lang w:val="fr-CA"/>
        </w:rPr>
        <w:t xml:space="preserve"> oblige le tribunal à passer outre à l’application stricte du critère régissant la reconnaissance et la déclaration de compétence.  Cette doctrine reconnaît que les tribunaux de common law conservent le pouvoir résiduel de ne pas exercer leur compétence dans des circonstances appropriées, quoique limitées, afin d’assurer l’équité envers les parties et le règlement efficace du litige.  Le tribunal ne peut toutefois, dans l’exercice de son pouvoir discrétionnaire, suspendre l’instance uniquement parce qu’il conclut, après avoir examiné toutes les considérations et tous les facteurs pertinents, à l’existence de tribunaux comparables dans d’autres provinces ou États.  Il ne s’agit pas de jouer à pile ou face.  Un tribunal saisi d’une demande de suspension d’instance doit conclure qu’il existe un tribunal mieux à même de trancher le litige de façon équitable et efficace.  Par contre, le tribunal doit éviter de pencher trop instinctivement en faveur de sa propre compétence.  La doctrine est axée sur le contexte de chaque affaire et les facteurs dont le tribunal peut tenir compte dans sa décision d’appliquer la doctrine du </w:t>
      </w:r>
      <w:r w:rsidRPr="00D2370D">
        <w:rPr>
          <w:i/>
          <w:sz w:val="20"/>
          <w:lang w:val="fr-CA"/>
        </w:rPr>
        <w:t>forum non conveniens</w:t>
      </w:r>
      <w:r w:rsidRPr="00D2370D">
        <w:rPr>
          <w:sz w:val="20"/>
          <w:lang w:val="fr-CA"/>
        </w:rPr>
        <w:t xml:space="preserve"> sont susceptibles de varier selon le contexte.  Ces facteurs peuvent inclure, par exemple, l’endroit où se trouvent les parties et les témoins, les frais occasionnés par le renvoi de l’affaire à une autre juridiction ou par le refus de suspendre l’instance, les répercussions du changement de juridiction sur le déroulement du litige ou sur des procédures connexes ou parallèles, le risque de décisions contradictoires, les problèmes liés à la reconnaissance et à l’exécution des jugements ou la solidité relative des liens avec les deux parties.  La décision relève en fin de compte du pouvoir discrétionnaire raisonné du tribunal de première instance.  En l’absence d’une erreur de droit ou d’une erreur manifeste et grave dans l’établissement des faits pertinents commise à un stade interlocutoire ou préliminaire, les juridictions supérieures feront preuve de déférence à l’égard de l’exercice de ce pouvoir discrétionnaire.</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 xml:space="preserve">Dans l’affaire </w:t>
      </w:r>
      <w:r w:rsidRPr="00D2370D">
        <w:rPr>
          <w:i/>
          <w:sz w:val="20"/>
          <w:lang w:val="fr-CA"/>
        </w:rPr>
        <w:t>Van Breda</w:t>
      </w:r>
      <w:r w:rsidRPr="00D2370D">
        <w:rPr>
          <w:sz w:val="20"/>
          <w:lang w:val="fr-CA"/>
        </w:rPr>
        <w:t>, un contrat a été conclu en Ontario.  L’existence d’un contrat conclu en Ontario et lié au litige constitue un facteur de rattachement créant une présomption qui, à prime abord, autorise les tribunaux ontariens à se déclarer compétents en l’espèce.  Club Resorts n’a pas réfuté la présomption de compétence qu’établit l’application de ce facteur.  Il existait donc un lien suffisant entre le tribunal ontarien et l’objet du litige.  Club Resorts ne s’est pas acquittée de son fardeau de démontrer qu’un tribunal cubain serait nettement un ressort plus approprié.  Bien qu’il existe entre Cuba et l’objet du litige des liens suffisants justifiant l’instruction du litige à Cuba, il faut tenir compte de questions relatives à l’équité envers les parties et au règlement de l’action d’une manière efficace.  Un procès à Cuba présenterait de sérieux défis pour les parties.  Tout bien considéré, les demandeurs auraient à supporter un fardeau beaucoup plus lourd s’ils devaient intenter leur recours à Cuba.</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 xml:space="preserve">Dans l’affaire </w:t>
      </w:r>
      <w:r w:rsidRPr="00D2370D">
        <w:rPr>
          <w:i/>
          <w:sz w:val="20"/>
          <w:lang w:val="fr-CA"/>
        </w:rPr>
        <w:t>Charron</w:t>
      </w:r>
      <w:r w:rsidRPr="00D2370D">
        <w:rPr>
          <w:sz w:val="20"/>
          <w:lang w:val="fr-CA"/>
        </w:rPr>
        <w:t>, les faits permettaient de conclure que Club Resorts exploitait une entreprise en Ontario, ce qui constitue un facteur de rattachement créant une présomption.  Les activités commerciales auxquelles se livrait cette société dans cette province allaient bien au</w:t>
      </w:r>
      <w:r w:rsidRPr="00D2370D">
        <w:rPr>
          <w:sz w:val="20"/>
          <w:lang w:val="fr-CA"/>
        </w:rPr>
        <w:noBreakHyphen/>
        <w:t xml:space="preserve">delà de la promotion d’une marque et de la publicité.  Ses représentants se trouvaient régulièrement dans la province et elle tirait avantage de la présence d’un bureau en Ontario.  Par conséquent, l’application d’un facteur de rattachement créant une présomption a été établie et le tribunal ontarien peut à première vue se déclarer compétent.  Club Resorts n’a pas réfuté la présomption de compétence à laquelle donne naissance ce facteur de rattachement.  Par conséquent, le tribunal ontarien est compétent suivant le critère du lien réel et </w:t>
      </w:r>
      <w:r w:rsidRPr="00D2370D">
        <w:rPr>
          <w:sz w:val="20"/>
          <w:lang w:val="fr-CA"/>
        </w:rPr>
        <w:lastRenderedPageBreak/>
        <w:t>substantiel.  De plus, Club Resorts ne s’est pas acquittée de son fardeau de démontrer qu’il serait nettement plus approprié que le litige soit instruit à Cuba dans les circonstances.  L’équité envers les parties fait pencher lourdement la balance en faveur des demandeurs.</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sz w:val="20"/>
          <w:lang w:val="fr-CA"/>
        </w:rPr>
        <w:tab/>
        <w:t>POURVOIS contre un arrêt de la Cour d’appel de l’Ontario (le juge en chef adjoint O’Connor et les juges Weiler, MacPherson, Sharpe et Rouleau), 2010 ONCA 84, 98 O.R. (3d) 721, 264 O.A.C. 1, 316 D.L.R. (4th) 201, 71 C.C.L.T. (3d) 161, 77 R.F.L. (6th) 1, 81 C.P.C. (6th) 219, [2010] O.J. No. 402 (QL), 2010 CarswellOnt 549, qui a confirmé une décision du juge Pattillo, 60 C.P.C. (6th) 186, 2008 CanLII 32309, [2008] O.J. No. 2624 (QL), 2008 CarswellOnt 3867, et qui a confirmé une décision du juge Mulligan, 92 O.R. (3d) 608, 2008 CanLII 53834, [2008] O.J. No. 4078 (QL), 2008 CarswellOnt 6165 (</w:t>
      </w:r>
      <w:r w:rsidRPr="00D2370D">
        <w:rPr>
          <w:i/>
          <w:sz w:val="20"/>
          <w:lang w:val="fr-CA"/>
        </w:rPr>
        <w:t>sub nom. Charron Estate c. Village Resorts Ltd.</w:t>
      </w:r>
      <w:r w:rsidRPr="00D2370D">
        <w:rPr>
          <w:sz w:val="20"/>
          <w:lang w:val="fr-CA"/>
        </w:rPr>
        <w:t>).  Pourvois rejetés.</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John A. Olah</w:t>
      </w:r>
      <w:r w:rsidRPr="00D2370D">
        <w:rPr>
          <w:sz w:val="20"/>
          <w:lang w:val="fr-CA"/>
        </w:rPr>
        <w:t>, pour l’appelante (33692).</w:t>
      </w:r>
    </w:p>
    <w:p w:rsidR="00D2370D" w:rsidRPr="00D2370D" w:rsidRDefault="00D2370D" w:rsidP="00D2370D">
      <w:pPr>
        <w:pStyle w:val="SCCNormalDoubleSpacing"/>
        <w:spacing w:line="240" w:lineRule="auto"/>
        <w:rPr>
          <w:sz w:val="20"/>
          <w:lang w:val="fr-CA"/>
        </w:rPr>
      </w:pPr>
    </w:p>
    <w:p w:rsidR="00D2370D" w:rsidRDefault="00D2370D" w:rsidP="00D2370D">
      <w:pPr>
        <w:pStyle w:val="SCCNormalDoubleSpacing"/>
        <w:spacing w:line="240" w:lineRule="auto"/>
        <w:rPr>
          <w:sz w:val="20"/>
          <w:lang w:val="fr-CA"/>
        </w:rPr>
      </w:pPr>
      <w:r w:rsidRPr="00D2370D">
        <w:rPr>
          <w:i/>
          <w:sz w:val="20"/>
          <w:lang w:val="fr-CA"/>
        </w:rPr>
        <w:tab/>
        <w:t>Chris G. Paliare</w:t>
      </w:r>
      <w:r w:rsidRPr="00D2370D">
        <w:rPr>
          <w:sz w:val="20"/>
          <w:lang w:val="fr-CA"/>
        </w:rPr>
        <w:t xml:space="preserve">, </w:t>
      </w:r>
      <w:r w:rsidRPr="00D2370D">
        <w:rPr>
          <w:i/>
          <w:sz w:val="20"/>
          <w:lang w:val="fr-CA"/>
        </w:rPr>
        <w:t>Robert A. Centa</w:t>
      </w:r>
      <w:r w:rsidRPr="00D2370D">
        <w:rPr>
          <w:sz w:val="20"/>
          <w:lang w:val="fr-CA"/>
        </w:rPr>
        <w:t xml:space="preserve"> et </w:t>
      </w:r>
      <w:r w:rsidRPr="00D2370D">
        <w:rPr>
          <w:i/>
          <w:sz w:val="20"/>
          <w:lang w:val="fr-CA"/>
        </w:rPr>
        <w:t>Tina H. Lie</w:t>
      </w:r>
      <w:r w:rsidRPr="00D2370D">
        <w:rPr>
          <w:sz w:val="20"/>
          <w:lang w:val="fr-CA"/>
        </w:rPr>
        <w:t>, pour les intimés Morgan Van Breda et autres (33692).</w:t>
      </w:r>
    </w:p>
    <w:p w:rsidR="008446DF" w:rsidRPr="00D2370D" w:rsidRDefault="008446DF"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Peter J. Pliszka</w:t>
      </w:r>
      <w:r w:rsidRPr="00D2370D">
        <w:rPr>
          <w:sz w:val="20"/>
          <w:lang w:val="fr-CA"/>
        </w:rPr>
        <w:t xml:space="preserve"> et </w:t>
      </w:r>
      <w:r w:rsidRPr="00D2370D">
        <w:rPr>
          <w:i/>
          <w:sz w:val="20"/>
          <w:lang w:val="fr-CA"/>
        </w:rPr>
        <w:t>Robin P. Roddey</w:t>
      </w:r>
      <w:r w:rsidRPr="00D2370D">
        <w:rPr>
          <w:sz w:val="20"/>
          <w:lang w:val="fr-CA"/>
        </w:rPr>
        <w:t>, pour l’appelante (33606).</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Jerome R. Morse</w:t>
      </w:r>
      <w:r w:rsidRPr="00D2370D">
        <w:rPr>
          <w:sz w:val="20"/>
          <w:lang w:val="fr-CA"/>
        </w:rPr>
        <w:t xml:space="preserve">, </w:t>
      </w:r>
      <w:r w:rsidRPr="00D2370D">
        <w:rPr>
          <w:i/>
          <w:sz w:val="20"/>
          <w:lang w:val="fr-CA"/>
        </w:rPr>
        <w:t>Lori Stoltz</w:t>
      </w:r>
      <w:r w:rsidRPr="00D2370D">
        <w:rPr>
          <w:sz w:val="20"/>
          <w:lang w:val="fr-CA"/>
        </w:rPr>
        <w:t xml:space="preserve"> et </w:t>
      </w:r>
      <w:r w:rsidRPr="00D2370D">
        <w:rPr>
          <w:i/>
          <w:sz w:val="20"/>
          <w:lang w:val="fr-CA"/>
        </w:rPr>
        <w:t>John J. Adair</w:t>
      </w:r>
      <w:r w:rsidRPr="00D2370D">
        <w:rPr>
          <w:sz w:val="20"/>
          <w:lang w:val="fr-CA"/>
        </w:rPr>
        <w:t>, pour les intimés Anna Charron et autres (33606).</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Howard B. Borlack</w:t>
      </w:r>
      <w:r w:rsidRPr="00D2370D">
        <w:rPr>
          <w:sz w:val="20"/>
          <w:lang w:val="fr-CA"/>
        </w:rPr>
        <w:t xml:space="preserve">, </w:t>
      </w:r>
      <w:r w:rsidRPr="00D2370D">
        <w:rPr>
          <w:i/>
          <w:sz w:val="20"/>
          <w:lang w:val="fr-CA"/>
        </w:rPr>
        <w:t>Lisa La Horey</w:t>
      </w:r>
      <w:r w:rsidRPr="00D2370D">
        <w:rPr>
          <w:sz w:val="20"/>
          <w:lang w:val="fr-CA"/>
        </w:rPr>
        <w:t xml:space="preserve"> et </w:t>
      </w:r>
      <w:r w:rsidRPr="00D2370D">
        <w:rPr>
          <w:i/>
          <w:sz w:val="20"/>
          <w:lang w:val="fr-CA"/>
        </w:rPr>
        <w:t>Sabine Kharabian</w:t>
      </w:r>
      <w:r w:rsidRPr="00D2370D">
        <w:rPr>
          <w:sz w:val="20"/>
          <w:lang w:val="fr-CA"/>
        </w:rPr>
        <w:t>, pour l’intimée Bel Air Travel Group Ltd. (33606).</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Catherine M. Buie</w:t>
      </w:r>
      <w:r w:rsidRPr="00D2370D">
        <w:rPr>
          <w:sz w:val="20"/>
          <w:lang w:val="fr-CA"/>
        </w:rPr>
        <w:t>, pour l’intimée Hola Sun Holidays Limited (33606).</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John Terry</w:t>
      </w:r>
      <w:r w:rsidRPr="00D2370D">
        <w:rPr>
          <w:sz w:val="20"/>
          <w:lang w:val="fr-CA"/>
        </w:rPr>
        <w:t xml:space="preserve"> et </w:t>
      </w:r>
      <w:r w:rsidRPr="00D2370D">
        <w:rPr>
          <w:i/>
          <w:sz w:val="20"/>
          <w:lang w:val="fr-CA"/>
        </w:rPr>
        <w:t>Jana Stettner</w:t>
      </w:r>
      <w:r w:rsidRPr="00D2370D">
        <w:rPr>
          <w:sz w:val="20"/>
          <w:lang w:val="fr-CA"/>
        </w:rPr>
        <w:t>, pour l’intervenante Tourism Industry Association of Ontario (33606 et 33692).</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NormalDoubleSpacing"/>
        <w:spacing w:line="240" w:lineRule="auto"/>
        <w:rPr>
          <w:sz w:val="20"/>
          <w:lang w:val="fr-CA"/>
        </w:rPr>
      </w:pPr>
      <w:r w:rsidRPr="00D2370D">
        <w:rPr>
          <w:i/>
          <w:sz w:val="20"/>
          <w:lang w:val="fr-CA"/>
        </w:rPr>
        <w:tab/>
        <w:t>François Larocque</w:t>
      </w:r>
      <w:r w:rsidRPr="00D2370D">
        <w:rPr>
          <w:sz w:val="20"/>
          <w:lang w:val="fr-CA"/>
        </w:rPr>
        <w:t xml:space="preserve">, </w:t>
      </w:r>
      <w:r w:rsidRPr="00D2370D">
        <w:rPr>
          <w:i/>
          <w:sz w:val="20"/>
          <w:lang w:val="fr-CA"/>
        </w:rPr>
        <w:t>Michael Sobkin</w:t>
      </w:r>
      <w:r w:rsidRPr="00D2370D">
        <w:rPr>
          <w:sz w:val="20"/>
          <w:lang w:val="fr-CA"/>
        </w:rPr>
        <w:t xml:space="preserve">, </w:t>
      </w:r>
      <w:r w:rsidRPr="00D2370D">
        <w:rPr>
          <w:i/>
          <w:sz w:val="20"/>
          <w:lang w:val="fr-CA"/>
        </w:rPr>
        <w:t>Mark C. Power</w:t>
      </w:r>
      <w:r w:rsidRPr="00D2370D">
        <w:rPr>
          <w:sz w:val="20"/>
          <w:lang w:val="fr-CA"/>
        </w:rPr>
        <w:t xml:space="preserve"> et </w:t>
      </w:r>
      <w:r w:rsidRPr="00D2370D">
        <w:rPr>
          <w:i/>
          <w:sz w:val="20"/>
          <w:lang w:val="fr-CA"/>
        </w:rPr>
        <w:t xml:space="preserve">Lauren J. Wihak, </w:t>
      </w:r>
      <w:r w:rsidRPr="00D2370D">
        <w:rPr>
          <w:sz w:val="20"/>
          <w:lang w:val="fr-CA"/>
        </w:rPr>
        <w:t>pour les intervenants Amnistie internationale, Centre canadien pour la justice internationale et Juristes canadiens pour les droits de la personne dans le monde (33606 et 33692).</w:t>
      </w:r>
    </w:p>
    <w:p w:rsidR="00D2370D" w:rsidRPr="00D2370D" w:rsidRDefault="00D2370D" w:rsidP="00D2370D">
      <w:pPr>
        <w:pStyle w:val="SCCNormalDoubleSpacing"/>
        <w:spacing w:line="240" w:lineRule="auto"/>
        <w:rPr>
          <w:sz w:val="20"/>
          <w:lang w:val="fr-CA"/>
        </w:rPr>
      </w:pPr>
    </w:p>
    <w:p w:rsidR="00D2370D" w:rsidRDefault="00D2370D" w:rsidP="00D2370D">
      <w:pPr>
        <w:pStyle w:val="SCCNormalDoubleSpacing"/>
        <w:spacing w:line="240" w:lineRule="auto"/>
        <w:rPr>
          <w:sz w:val="20"/>
          <w:lang w:val="fr-CA"/>
        </w:rPr>
      </w:pPr>
      <w:r w:rsidRPr="00D2370D">
        <w:rPr>
          <w:i/>
          <w:sz w:val="20"/>
          <w:lang w:val="fr-CA"/>
        </w:rPr>
        <w:tab/>
        <w:t>Allan Rouben</w:t>
      </w:r>
      <w:r w:rsidRPr="00D2370D">
        <w:rPr>
          <w:sz w:val="20"/>
          <w:lang w:val="fr-CA"/>
        </w:rPr>
        <w:t>, pour l’intervenante Ontario Trial Lawyers Association (33606 et 33692).</w:t>
      </w:r>
    </w:p>
    <w:p w:rsidR="00D2370D" w:rsidRPr="00D2370D" w:rsidRDefault="00D2370D" w:rsidP="00D2370D">
      <w:pPr>
        <w:pStyle w:val="SCCNormalDoubleSpacing"/>
        <w:spacing w:line="240" w:lineRule="auto"/>
        <w:rPr>
          <w:sz w:val="20"/>
          <w:lang w:val="fr-CA"/>
        </w:rPr>
      </w:pPr>
    </w:p>
    <w:p w:rsidR="00D2370D" w:rsidRPr="00D2370D" w:rsidRDefault="00D2370D" w:rsidP="00D2370D">
      <w:pPr>
        <w:pStyle w:val="SCCLawFirm"/>
        <w:spacing w:line="240" w:lineRule="auto"/>
        <w:rPr>
          <w:sz w:val="20"/>
          <w:lang w:val="fr-CA"/>
        </w:rPr>
      </w:pPr>
      <w:r w:rsidRPr="00D2370D">
        <w:rPr>
          <w:sz w:val="20"/>
          <w:lang w:val="fr-CA"/>
        </w:rPr>
        <w:tab/>
        <w:t>Procureurs de l’appelante (33692) : Beard Winter, Toronto.</w:t>
      </w:r>
    </w:p>
    <w:p w:rsidR="00D2370D" w:rsidRPr="00D2370D" w:rsidRDefault="00D2370D" w:rsidP="00D2370D">
      <w:pPr>
        <w:pStyle w:val="SCCNormalDoubleSpacing"/>
        <w:spacing w:line="240" w:lineRule="auto"/>
        <w:rPr>
          <w:lang w:val="fr-CA"/>
        </w:rPr>
      </w:pPr>
    </w:p>
    <w:p w:rsidR="00D2370D" w:rsidRPr="00D2370D" w:rsidRDefault="00D2370D" w:rsidP="00D2370D">
      <w:pPr>
        <w:pStyle w:val="SCCLawFirm"/>
        <w:spacing w:line="240" w:lineRule="auto"/>
        <w:rPr>
          <w:sz w:val="20"/>
          <w:lang w:val="fr-CA"/>
        </w:rPr>
      </w:pPr>
      <w:r w:rsidRPr="00D2370D">
        <w:rPr>
          <w:sz w:val="20"/>
          <w:lang w:val="fr-CA"/>
        </w:rPr>
        <w:tab/>
        <w:t>Procureurs des intimés Morgan Van Breda et autres (33692) : Paliare, Roland, Rosenberg, Rothstein, Toronto.</w:t>
      </w:r>
    </w:p>
    <w:p w:rsidR="00D2370D" w:rsidRPr="00D2370D" w:rsidRDefault="00D2370D" w:rsidP="00D2370D">
      <w:pPr>
        <w:pStyle w:val="SCCLawFirm"/>
        <w:spacing w:line="240" w:lineRule="auto"/>
        <w:rPr>
          <w:sz w:val="20"/>
          <w:lang w:val="fr-CA"/>
        </w:rPr>
      </w:pPr>
    </w:p>
    <w:p w:rsidR="00D2370D" w:rsidRPr="00D2370D" w:rsidRDefault="00D2370D" w:rsidP="00D2370D">
      <w:pPr>
        <w:pStyle w:val="SCCLawFirm"/>
        <w:spacing w:line="240" w:lineRule="auto"/>
        <w:rPr>
          <w:sz w:val="20"/>
          <w:lang w:val="fr-CA"/>
        </w:rPr>
      </w:pPr>
      <w:r w:rsidRPr="00D2370D">
        <w:rPr>
          <w:sz w:val="20"/>
          <w:lang w:val="fr-CA"/>
        </w:rPr>
        <w:tab/>
        <w:t>Procureurs de l’appelante (33606) : Fasken Martineau DuMoulin, Toronto.</w:t>
      </w:r>
    </w:p>
    <w:p w:rsidR="00D2370D" w:rsidRPr="00D2370D" w:rsidRDefault="00D2370D" w:rsidP="00D2370D">
      <w:pPr>
        <w:pStyle w:val="SCCLawFirm"/>
        <w:spacing w:line="240" w:lineRule="auto"/>
        <w:rPr>
          <w:sz w:val="20"/>
          <w:lang w:val="fr-CA"/>
        </w:rPr>
      </w:pPr>
    </w:p>
    <w:p w:rsidR="00D2370D" w:rsidRPr="00D2370D" w:rsidRDefault="00D2370D" w:rsidP="00D2370D">
      <w:pPr>
        <w:pStyle w:val="SCCLawFirm"/>
        <w:spacing w:line="240" w:lineRule="auto"/>
        <w:rPr>
          <w:sz w:val="20"/>
          <w:lang w:val="fr-CA"/>
        </w:rPr>
      </w:pPr>
      <w:r w:rsidRPr="00D2370D">
        <w:rPr>
          <w:sz w:val="20"/>
          <w:lang w:val="fr-CA"/>
        </w:rPr>
        <w:tab/>
        <w:t>Procureurs des intimés Anna Charron et autres (33606) : Adair Morse, Toronto.</w:t>
      </w:r>
    </w:p>
    <w:p w:rsidR="00D2370D" w:rsidRPr="00D2370D" w:rsidRDefault="00D2370D" w:rsidP="00D2370D">
      <w:pPr>
        <w:pStyle w:val="SCCLawFirm"/>
        <w:spacing w:line="240" w:lineRule="auto"/>
        <w:rPr>
          <w:sz w:val="20"/>
          <w:lang w:val="fr-CA"/>
        </w:rPr>
      </w:pPr>
    </w:p>
    <w:p w:rsidR="00D2370D" w:rsidRPr="00A02F68" w:rsidRDefault="00D2370D" w:rsidP="00D2370D">
      <w:pPr>
        <w:pStyle w:val="SCCLawFirm"/>
        <w:spacing w:line="240" w:lineRule="auto"/>
        <w:rPr>
          <w:sz w:val="20"/>
          <w:lang w:val="en-US"/>
        </w:rPr>
      </w:pPr>
      <w:r w:rsidRPr="00D2370D">
        <w:rPr>
          <w:sz w:val="20"/>
          <w:lang w:val="fr-CA"/>
        </w:rPr>
        <w:tab/>
        <w:t xml:space="preserve">Procureurs de l’intimée Bel Air Travel Group Ltd. </w:t>
      </w:r>
      <w:r w:rsidRPr="00A02F68">
        <w:rPr>
          <w:sz w:val="20"/>
          <w:lang w:val="en-US"/>
        </w:rPr>
        <w:t>(33606) : McCague Peacock Borlack McInnis &amp; Lloyd, Toronto.</w:t>
      </w:r>
    </w:p>
    <w:p w:rsidR="00D2370D" w:rsidRDefault="00D2370D" w:rsidP="00D2370D">
      <w:pPr>
        <w:pStyle w:val="SCCLawFirm"/>
        <w:spacing w:line="240" w:lineRule="auto"/>
        <w:rPr>
          <w:sz w:val="20"/>
          <w:lang w:val="en-US"/>
        </w:rPr>
      </w:pPr>
    </w:p>
    <w:p w:rsidR="00D2370D" w:rsidRPr="00A02F68" w:rsidRDefault="00D2370D" w:rsidP="00D2370D">
      <w:pPr>
        <w:pStyle w:val="SCCLawFirm"/>
        <w:spacing w:line="240" w:lineRule="auto"/>
        <w:rPr>
          <w:sz w:val="20"/>
          <w:lang w:val="en-US"/>
        </w:rPr>
      </w:pPr>
      <w:r w:rsidRPr="00A02F68">
        <w:rPr>
          <w:sz w:val="20"/>
          <w:lang w:val="en-US"/>
        </w:rPr>
        <w:tab/>
        <w:t>Procureurs de l’intimée Hola Sun Holidays Limited (33606) : Buie Cohen, Toronto.</w:t>
      </w:r>
    </w:p>
    <w:p w:rsidR="00D2370D" w:rsidRDefault="00D2370D" w:rsidP="00D2370D">
      <w:pPr>
        <w:pStyle w:val="SCCLawFirm"/>
        <w:spacing w:line="240" w:lineRule="auto"/>
        <w:rPr>
          <w:sz w:val="20"/>
          <w:lang w:val="en-US"/>
        </w:rPr>
      </w:pPr>
    </w:p>
    <w:p w:rsidR="00D2370D" w:rsidRPr="00A02F68" w:rsidRDefault="00D2370D" w:rsidP="00D2370D">
      <w:pPr>
        <w:pStyle w:val="SCCLawFirm"/>
        <w:spacing w:line="240" w:lineRule="auto"/>
        <w:rPr>
          <w:sz w:val="20"/>
          <w:lang w:val="en-US"/>
        </w:rPr>
      </w:pPr>
      <w:r w:rsidRPr="00A02F68">
        <w:rPr>
          <w:sz w:val="20"/>
          <w:lang w:val="en-US"/>
        </w:rPr>
        <w:tab/>
        <w:t>Procureurs de l’intervenante Tourism Industry Association of Ontario (33606 et 33692) : Torys, Toronto.</w:t>
      </w:r>
    </w:p>
    <w:p w:rsidR="00D2370D" w:rsidRDefault="00D2370D" w:rsidP="00D2370D">
      <w:pPr>
        <w:pStyle w:val="SCCLawFirm"/>
        <w:spacing w:line="240" w:lineRule="auto"/>
        <w:rPr>
          <w:sz w:val="20"/>
          <w:lang w:val="en-US"/>
        </w:rPr>
      </w:pPr>
    </w:p>
    <w:p w:rsidR="00D2370D" w:rsidRPr="00D2370D" w:rsidRDefault="00D2370D" w:rsidP="00D2370D">
      <w:pPr>
        <w:pStyle w:val="SCCLawFirm"/>
        <w:spacing w:line="240" w:lineRule="auto"/>
        <w:rPr>
          <w:sz w:val="20"/>
          <w:lang w:val="fr-CA"/>
        </w:rPr>
      </w:pPr>
      <w:r w:rsidRPr="00A02F68">
        <w:rPr>
          <w:sz w:val="20"/>
          <w:lang w:val="en-US"/>
        </w:rPr>
        <w:tab/>
      </w:r>
      <w:r w:rsidRPr="00D2370D">
        <w:rPr>
          <w:sz w:val="20"/>
          <w:lang w:val="fr-CA"/>
        </w:rPr>
        <w:t>Procureurs des intervenants Amnistie internationale, Centre canadien pour la justice internationale et Juristes canadiens pour les droits de la personne dans le monde (33606 et 33692) : Heenan Blaikie, Ottawa.</w:t>
      </w:r>
    </w:p>
    <w:p w:rsidR="00D2370D" w:rsidRPr="00D2370D" w:rsidRDefault="00D2370D" w:rsidP="00D2370D">
      <w:pPr>
        <w:pStyle w:val="SCCLawFirm"/>
        <w:spacing w:line="240" w:lineRule="auto"/>
        <w:rPr>
          <w:sz w:val="20"/>
          <w:lang w:val="fr-CA"/>
        </w:rPr>
      </w:pPr>
    </w:p>
    <w:p w:rsidR="00D2370D" w:rsidRPr="00D2370D" w:rsidRDefault="00D2370D" w:rsidP="00D2370D">
      <w:pPr>
        <w:pStyle w:val="SCCLawFirm"/>
        <w:spacing w:line="240" w:lineRule="auto"/>
        <w:rPr>
          <w:sz w:val="20"/>
          <w:lang w:val="fr-CA"/>
        </w:rPr>
      </w:pPr>
      <w:r w:rsidRPr="00D2370D">
        <w:rPr>
          <w:sz w:val="20"/>
          <w:lang w:val="fr-CA"/>
        </w:rPr>
        <w:tab/>
        <w:t>Procureur de l’intervenante Ontario Trial Lawyers Association (33606 et 33692) : Allan Rouben, Toronto.</w:t>
      </w:r>
    </w:p>
    <w:p w:rsidR="00D2370D" w:rsidRDefault="00D2370D" w:rsidP="005C6840">
      <w:pPr>
        <w:jc w:val="both"/>
        <w:rPr>
          <w:rFonts w:cs="Times New Roman"/>
          <w:sz w:val="20"/>
          <w:szCs w:val="20"/>
          <w:lang w:val="fr-CA"/>
        </w:rPr>
      </w:pPr>
    </w:p>
    <w:p w:rsidR="005C6840" w:rsidRDefault="00A3677B" w:rsidP="005C6840">
      <w:pPr>
        <w:rPr>
          <w:lang w:val="fr-CA"/>
        </w:rPr>
      </w:pPr>
      <w:r w:rsidRPr="00A3677B">
        <w:rPr>
          <w:rFonts w:cs="Times New Roman"/>
          <w:sz w:val="20"/>
          <w:szCs w:val="20"/>
          <w:lang w:val="fr-CA"/>
        </w:rPr>
        <w:pict>
          <v:rect id="_x0000_i1069" style="width:144.3pt;height:1pt" o:hrpct="300" o:hralign="center" o:hrstd="t" o:hrnoshade="t" o:hr="t" fillcolor="black [3213]" stroked="f"/>
        </w:pict>
      </w:r>
      <w:r w:rsidR="005C6840">
        <w:rPr>
          <w:lang w:val="fr-CA"/>
        </w:rPr>
        <w:br w:type="page"/>
      </w:r>
    </w:p>
    <w:p w:rsidR="002E5EB4" w:rsidRPr="008315BB" w:rsidRDefault="002E5EB4" w:rsidP="005C6840">
      <w:pPr>
        <w:tabs>
          <w:tab w:val="left" w:pos="-1440"/>
        </w:tabs>
        <w:ind w:left="720" w:hanging="720"/>
        <w:jc w:val="both"/>
        <w:rPr>
          <w:sz w:val="20"/>
          <w:szCs w:val="20"/>
          <w:lang w:val="fr-CA"/>
        </w:rPr>
      </w:pPr>
      <w:r w:rsidRPr="00C233D6">
        <w:rPr>
          <w:rFonts w:eastAsia="Calibri" w:cs="Times New Roman"/>
          <w:i/>
          <w:sz w:val="20"/>
          <w:szCs w:val="20"/>
          <w:lang w:val="fr-CA"/>
        </w:rPr>
        <w:lastRenderedPageBreak/>
        <w:t xml:space="preserve">Les éditions Écosociété Inc. et al. v. Banro Corporation </w:t>
      </w:r>
      <w:r w:rsidRPr="00C233D6">
        <w:rPr>
          <w:rFonts w:eastAsia="Calibri" w:cs="Times New Roman"/>
          <w:sz w:val="20"/>
          <w:szCs w:val="20"/>
          <w:lang w:val="fr-CA"/>
        </w:rPr>
        <w:t>(Ont.)</w:t>
      </w:r>
      <w:r w:rsidRPr="00C233D6">
        <w:rPr>
          <w:rFonts w:eastAsia="Calibri" w:cs="Times New Roman"/>
          <w:i/>
          <w:sz w:val="20"/>
          <w:szCs w:val="20"/>
          <w:lang w:val="fr-CA"/>
        </w:rPr>
        <w:t xml:space="preserve"> </w:t>
      </w:r>
      <w:r w:rsidRPr="008315BB">
        <w:rPr>
          <w:rFonts w:eastAsia="Calibri" w:cs="Times New Roman"/>
          <w:sz w:val="20"/>
          <w:szCs w:val="20"/>
          <w:lang w:val="fr-CA"/>
        </w:rPr>
        <w:t>(33819)</w:t>
      </w:r>
    </w:p>
    <w:p w:rsidR="00886CE1" w:rsidRDefault="008315BB" w:rsidP="00886CE1">
      <w:pPr>
        <w:jc w:val="both"/>
        <w:rPr>
          <w:b/>
          <w:sz w:val="20"/>
          <w:szCs w:val="20"/>
          <w:lang w:val="fr-CA"/>
        </w:rPr>
      </w:pPr>
      <w:r w:rsidRPr="0022176B">
        <w:rPr>
          <w:b/>
          <w:sz w:val="20"/>
          <w:szCs w:val="20"/>
          <w:lang w:val="fr-CA"/>
        </w:rPr>
        <w:t xml:space="preserve">Indexed as:  Éditions Écosociété Inc. </w:t>
      </w:r>
      <w:r w:rsidRPr="0022176B">
        <w:rPr>
          <w:b/>
          <w:i/>
          <w:sz w:val="20"/>
          <w:szCs w:val="20"/>
          <w:lang w:val="fr-CA"/>
        </w:rPr>
        <w:t>v.</w:t>
      </w:r>
      <w:r w:rsidRPr="0022176B">
        <w:rPr>
          <w:b/>
          <w:sz w:val="20"/>
          <w:szCs w:val="20"/>
          <w:lang w:val="fr-CA"/>
        </w:rPr>
        <w:t xml:space="preserve"> Banro Corp.</w:t>
      </w:r>
      <w:r>
        <w:rPr>
          <w:b/>
          <w:sz w:val="20"/>
          <w:szCs w:val="20"/>
          <w:lang w:val="fr-CA"/>
        </w:rPr>
        <w:t xml:space="preserve"> /</w:t>
      </w:r>
    </w:p>
    <w:p w:rsidR="00886CE1" w:rsidRPr="00886CE1" w:rsidRDefault="00886CE1" w:rsidP="00886CE1">
      <w:pPr>
        <w:jc w:val="both"/>
        <w:rPr>
          <w:b/>
          <w:sz w:val="20"/>
          <w:szCs w:val="20"/>
          <w:lang w:val="fr-CA"/>
        </w:rPr>
      </w:pPr>
      <w:r w:rsidRPr="00886CE1">
        <w:rPr>
          <w:b/>
          <w:sz w:val="20"/>
          <w:szCs w:val="20"/>
          <w:lang w:val="fr-CA"/>
        </w:rPr>
        <w:t xml:space="preserve">Répertorié : Éditions Écosociété Inc. </w:t>
      </w:r>
      <w:r w:rsidRPr="00886CE1">
        <w:rPr>
          <w:b/>
          <w:i/>
          <w:sz w:val="20"/>
          <w:szCs w:val="20"/>
          <w:lang w:val="fr-CA"/>
        </w:rPr>
        <w:t>c.</w:t>
      </w:r>
      <w:r w:rsidRPr="00886CE1">
        <w:rPr>
          <w:b/>
          <w:sz w:val="20"/>
          <w:szCs w:val="20"/>
          <w:lang w:val="fr-CA"/>
        </w:rPr>
        <w:t xml:space="preserve"> Banro Corp.</w:t>
      </w:r>
    </w:p>
    <w:p w:rsidR="005C6840" w:rsidRPr="008315BB" w:rsidRDefault="005C6840" w:rsidP="005C6840">
      <w:pPr>
        <w:pStyle w:val="SCCSystemYear"/>
        <w:jc w:val="both"/>
        <w:rPr>
          <w:sz w:val="20"/>
        </w:rPr>
      </w:pPr>
      <w:r w:rsidRPr="008315BB">
        <w:rPr>
          <w:sz w:val="20"/>
        </w:rPr>
        <w:t>Neutral citation:  201</w:t>
      </w:r>
      <w:r w:rsidR="002E5EB4" w:rsidRPr="008315BB">
        <w:rPr>
          <w:sz w:val="20"/>
        </w:rPr>
        <w:t>2</w:t>
      </w:r>
      <w:r w:rsidRPr="008315BB">
        <w:rPr>
          <w:sz w:val="20"/>
        </w:rPr>
        <w:t xml:space="preserve"> SCC </w:t>
      </w:r>
      <w:r w:rsidR="002E5EB4" w:rsidRPr="008315BB">
        <w:rPr>
          <w:sz w:val="20"/>
        </w:rPr>
        <w:t>18</w:t>
      </w:r>
      <w:r w:rsidRPr="008315BB">
        <w:rPr>
          <w:sz w:val="20"/>
        </w:rPr>
        <w:t xml:space="preserve"> / Référence neutre : 201</w:t>
      </w:r>
      <w:r w:rsidR="002E5EB4" w:rsidRPr="008315BB">
        <w:rPr>
          <w:sz w:val="20"/>
        </w:rPr>
        <w:t>2</w:t>
      </w:r>
      <w:r w:rsidRPr="008315BB">
        <w:rPr>
          <w:sz w:val="20"/>
        </w:rPr>
        <w:t xml:space="preserve"> CSC </w:t>
      </w:r>
      <w:r w:rsidR="002E5EB4" w:rsidRPr="008315BB">
        <w:rPr>
          <w:sz w:val="20"/>
        </w:rPr>
        <w:t>18</w:t>
      </w:r>
    </w:p>
    <w:p w:rsidR="005C6840" w:rsidRPr="000D7A3F" w:rsidRDefault="005C6840" w:rsidP="005C6840">
      <w:pPr>
        <w:rPr>
          <w:sz w:val="20"/>
          <w:szCs w:val="20"/>
          <w:lang w:val="fr-CA"/>
        </w:rPr>
      </w:pPr>
      <w:r w:rsidRPr="000D7A3F">
        <w:rPr>
          <w:sz w:val="20"/>
          <w:szCs w:val="20"/>
          <w:lang w:val="fr-CA"/>
        </w:rPr>
        <w:t>Hearing:  Ma</w:t>
      </w:r>
      <w:r w:rsidR="002E5EB4" w:rsidRPr="000D7A3F">
        <w:rPr>
          <w:sz w:val="20"/>
          <w:szCs w:val="20"/>
          <w:lang w:val="fr-CA"/>
        </w:rPr>
        <w:t>rch</w:t>
      </w:r>
      <w:r w:rsidRPr="000D7A3F">
        <w:rPr>
          <w:sz w:val="20"/>
          <w:szCs w:val="20"/>
          <w:lang w:val="fr-CA"/>
        </w:rPr>
        <w:t xml:space="preserve"> 2</w:t>
      </w:r>
      <w:r w:rsidR="002E5EB4" w:rsidRPr="000D7A3F">
        <w:rPr>
          <w:sz w:val="20"/>
          <w:szCs w:val="20"/>
          <w:lang w:val="fr-CA"/>
        </w:rPr>
        <w:t>5</w:t>
      </w:r>
      <w:r w:rsidRPr="000D7A3F">
        <w:rPr>
          <w:sz w:val="20"/>
          <w:szCs w:val="20"/>
          <w:lang w:val="fr-CA"/>
        </w:rPr>
        <w:t>, 201</w:t>
      </w:r>
      <w:r w:rsidR="002E5EB4" w:rsidRPr="000D7A3F">
        <w:rPr>
          <w:sz w:val="20"/>
          <w:szCs w:val="20"/>
          <w:lang w:val="fr-CA"/>
        </w:rPr>
        <w:t>1</w:t>
      </w:r>
      <w:r w:rsidRPr="000D7A3F">
        <w:rPr>
          <w:sz w:val="20"/>
          <w:szCs w:val="20"/>
          <w:lang w:val="fr-CA"/>
        </w:rPr>
        <w:t xml:space="preserve"> / Judgment:  </w:t>
      </w:r>
      <w:r w:rsidR="002E5EB4" w:rsidRPr="000D7A3F">
        <w:rPr>
          <w:sz w:val="20"/>
          <w:szCs w:val="20"/>
          <w:lang w:val="fr-CA"/>
        </w:rPr>
        <w:t>April</w:t>
      </w:r>
      <w:r w:rsidRPr="000D7A3F">
        <w:rPr>
          <w:sz w:val="20"/>
          <w:szCs w:val="20"/>
          <w:lang w:val="fr-CA"/>
        </w:rPr>
        <w:t xml:space="preserve"> </w:t>
      </w:r>
      <w:r w:rsidR="002E5EB4" w:rsidRPr="000D7A3F">
        <w:rPr>
          <w:sz w:val="20"/>
          <w:szCs w:val="20"/>
          <w:lang w:val="fr-CA"/>
        </w:rPr>
        <w:t>1</w:t>
      </w:r>
      <w:r w:rsidRPr="000D7A3F">
        <w:rPr>
          <w:sz w:val="20"/>
          <w:szCs w:val="20"/>
          <w:lang w:val="fr-CA"/>
        </w:rPr>
        <w:t>8, 201</w:t>
      </w:r>
      <w:r w:rsidR="002E5EB4" w:rsidRPr="000D7A3F">
        <w:rPr>
          <w:sz w:val="20"/>
          <w:szCs w:val="20"/>
          <w:lang w:val="fr-CA"/>
        </w:rPr>
        <w:t>2</w:t>
      </w:r>
    </w:p>
    <w:p w:rsidR="005C6840" w:rsidRPr="003B3977" w:rsidRDefault="005C6840" w:rsidP="005C6840">
      <w:pPr>
        <w:rPr>
          <w:sz w:val="20"/>
          <w:szCs w:val="20"/>
          <w:lang w:val="fr-CA"/>
        </w:rPr>
      </w:pPr>
      <w:r w:rsidRPr="003B3977">
        <w:rPr>
          <w:sz w:val="20"/>
          <w:szCs w:val="20"/>
          <w:lang w:val="fr-CA"/>
        </w:rPr>
        <w:t>Audition : Le 2</w:t>
      </w:r>
      <w:r w:rsidR="002E5EB4">
        <w:rPr>
          <w:sz w:val="20"/>
          <w:szCs w:val="20"/>
          <w:lang w:val="fr-CA"/>
        </w:rPr>
        <w:t xml:space="preserve">5 </w:t>
      </w:r>
      <w:r w:rsidRPr="003B3977">
        <w:rPr>
          <w:sz w:val="20"/>
          <w:szCs w:val="20"/>
          <w:lang w:val="fr-CA"/>
        </w:rPr>
        <w:t>ma</w:t>
      </w:r>
      <w:r w:rsidR="002E5EB4">
        <w:rPr>
          <w:sz w:val="20"/>
          <w:szCs w:val="20"/>
          <w:lang w:val="fr-CA"/>
        </w:rPr>
        <w:t>rs</w:t>
      </w:r>
      <w:r w:rsidRPr="003B3977">
        <w:rPr>
          <w:sz w:val="20"/>
          <w:szCs w:val="20"/>
          <w:lang w:val="fr-CA"/>
        </w:rPr>
        <w:t xml:space="preserve"> 201</w:t>
      </w:r>
      <w:r w:rsidR="002E5EB4">
        <w:rPr>
          <w:sz w:val="20"/>
          <w:szCs w:val="20"/>
          <w:lang w:val="fr-CA"/>
        </w:rPr>
        <w:t>1</w:t>
      </w:r>
      <w:r w:rsidRPr="003B3977">
        <w:rPr>
          <w:sz w:val="20"/>
          <w:szCs w:val="20"/>
          <w:lang w:val="fr-CA"/>
        </w:rPr>
        <w:t xml:space="preserve"> / Jugement : Le </w:t>
      </w:r>
      <w:r w:rsidR="002E5EB4">
        <w:rPr>
          <w:sz w:val="20"/>
          <w:szCs w:val="20"/>
          <w:lang w:val="fr-CA"/>
        </w:rPr>
        <w:t>1</w:t>
      </w:r>
      <w:r w:rsidRPr="003B3977">
        <w:rPr>
          <w:sz w:val="20"/>
          <w:szCs w:val="20"/>
          <w:lang w:val="fr-CA"/>
        </w:rPr>
        <w:t xml:space="preserve">8 </w:t>
      </w:r>
      <w:r w:rsidR="002E5EB4">
        <w:rPr>
          <w:sz w:val="20"/>
          <w:szCs w:val="20"/>
          <w:lang w:val="fr-CA"/>
        </w:rPr>
        <w:t>av</w:t>
      </w:r>
      <w:r w:rsidRPr="003B3977">
        <w:rPr>
          <w:sz w:val="20"/>
          <w:szCs w:val="20"/>
          <w:lang w:val="fr-CA"/>
        </w:rPr>
        <w:t>r</w:t>
      </w:r>
      <w:r w:rsidR="002E5EB4">
        <w:rPr>
          <w:sz w:val="20"/>
          <w:szCs w:val="20"/>
          <w:lang w:val="fr-CA"/>
        </w:rPr>
        <w:t>il</w:t>
      </w:r>
      <w:r w:rsidRPr="003B3977">
        <w:rPr>
          <w:sz w:val="20"/>
          <w:szCs w:val="20"/>
          <w:lang w:val="fr-CA"/>
        </w:rPr>
        <w:t xml:space="preserve"> 201</w:t>
      </w:r>
      <w:r w:rsidR="002E5EB4">
        <w:rPr>
          <w:sz w:val="20"/>
          <w:szCs w:val="20"/>
          <w:lang w:val="fr-CA"/>
        </w:rPr>
        <w:t>2</w:t>
      </w:r>
    </w:p>
    <w:p w:rsidR="005C6840" w:rsidRPr="003B3977" w:rsidRDefault="00A3677B" w:rsidP="005C6840">
      <w:pPr>
        <w:rPr>
          <w:sz w:val="20"/>
          <w:szCs w:val="20"/>
          <w:lang w:val="fr-CA"/>
        </w:rPr>
      </w:pPr>
      <w:r w:rsidRPr="00A3677B">
        <w:rPr>
          <w:i/>
          <w:sz w:val="20"/>
          <w:szCs w:val="20"/>
        </w:rPr>
        <w:pict>
          <v:rect id="_x0000_i1070"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8315BB" w:rsidRPr="0022176B" w:rsidRDefault="008315BB" w:rsidP="008315BB">
      <w:pPr>
        <w:jc w:val="both"/>
        <w:rPr>
          <w:sz w:val="20"/>
          <w:szCs w:val="20"/>
        </w:rPr>
      </w:pPr>
      <w:r w:rsidRPr="0022176B">
        <w:rPr>
          <w:sz w:val="20"/>
          <w:szCs w:val="20"/>
        </w:rPr>
        <w:t>Present:  McLachlin C.J. and Binnie,</w:t>
      </w:r>
      <w:r>
        <w:rPr>
          <w:sz w:val="20"/>
          <w:vertAlign w:val="superscript"/>
        </w:rPr>
        <w:t>*</w:t>
      </w:r>
      <w:r w:rsidRPr="0022176B">
        <w:rPr>
          <w:sz w:val="20"/>
          <w:szCs w:val="20"/>
        </w:rPr>
        <w:t xml:space="preserve"> LeBel, Deschamps, Fish, Abella, Charron,</w:t>
      </w:r>
      <w:r w:rsidRPr="0022176B">
        <w:rPr>
          <w:sz w:val="20"/>
          <w:szCs w:val="20"/>
          <w:vertAlign w:val="superscript"/>
        </w:rPr>
        <w:t>*</w:t>
      </w:r>
      <w:r w:rsidRPr="0022176B">
        <w:rPr>
          <w:sz w:val="20"/>
          <w:szCs w:val="20"/>
        </w:rPr>
        <w:t xml:space="preserve"> Rothstein and Cromwell JJ.</w:t>
      </w:r>
    </w:p>
    <w:p w:rsidR="008315BB" w:rsidRDefault="008315BB" w:rsidP="008315BB">
      <w:pPr>
        <w:pStyle w:val="SCCLowerCourtNameLowercase"/>
        <w:spacing w:line="240" w:lineRule="auto"/>
        <w:rPr>
          <w:sz w:val="20"/>
        </w:rPr>
      </w:pPr>
    </w:p>
    <w:p w:rsidR="008315BB" w:rsidRDefault="008315BB" w:rsidP="004241C2">
      <w:pPr>
        <w:pStyle w:val="SCCNormalDoubleSpacing"/>
        <w:spacing w:line="240" w:lineRule="auto"/>
        <w:rPr>
          <w:sz w:val="20"/>
        </w:rPr>
      </w:pPr>
      <w:r>
        <w:rPr>
          <w:sz w:val="20"/>
        </w:rPr>
        <w:t>(</w:t>
      </w:r>
      <w:r>
        <w:rPr>
          <w:sz w:val="20"/>
          <w:vertAlign w:val="superscript"/>
        </w:rPr>
        <w:t>*</w:t>
      </w:r>
      <w:r>
        <w:rPr>
          <w:sz w:val="20"/>
        </w:rPr>
        <w:t xml:space="preserve"> Binnie and Charron JJ. took no part in the judgment.)</w:t>
      </w:r>
    </w:p>
    <w:p w:rsidR="004241C2" w:rsidRPr="0022176B" w:rsidRDefault="004241C2" w:rsidP="004241C2">
      <w:pPr>
        <w:pStyle w:val="SCCNormalDoubleSpacing"/>
        <w:spacing w:line="240" w:lineRule="auto"/>
        <w:rPr>
          <w:sz w:val="20"/>
        </w:rPr>
      </w:pPr>
    </w:p>
    <w:p w:rsidR="008315BB" w:rsidRPr="0022176B" w:rsidRDefault="008315BB" w:rsidP="008315BB">
      <w:pPr>
        <w:pStyle w:val="SCCNormalDoubleSpacing"/>
        <w:spacing w:line="240" w:lineRule="auto"/>
        <w:rPr>
          <w:i/>
          <w:sz w:val="20"/>
        </w:rPr>
      </w:pPr>
      <w:r w:rsidRPr="0022176B">
        <w:rPr>
          <w:sz w:val="20"/>
        </w:rPr>
        <w:tab/>
      </w:r>
      <w:r w:rsidRPr="0022176B">
        <w:rPr>
          <w:i/>
          <w:sz w:val="20"/>
        </w:rPr>
        <w:t>Private international law — Choice of forum — Court having jurisdiction — Forum non conveniens — Libel action commenced in Ontario in respect of statements contained in a book published in French by a Quebec publisher — Defendants bringing motion to stay the action on the grounds that the Ontario court lacks jurisdiction or, alternatively, should decline to exercise its jurisdiction on the basis of forum non conveniens</w:t>
      </w:r>
      <w:r w:rsidRPr="0022176B">
        <w:rPr>
          <w:sz w:val="20"/>
        </w:rPr>
        <w:t xml:space="preserve"> </w:t>
      </w:r>
      <w:r w:rsidRPr="0022176B">
        <w:rPr>
          <w:i/>
          <w:sz w:val="20"/>
        </w:rPr>
        <w:t>— Whether the Ontario court can assume jurisdiction over the action — If so, whether the Ontario court should decline to exercise its jurisdiction on the ground that the court of another jurisdiction is clearly a more appropriate forum for the hearing of the action.</w:t>
      </w:r>
    </w:p>
    <w:p w:rsidR="008315BB" w:rsidRDefault="008315BB" w:rsidP="008315BB">
      <w:pPr>
        <w:pStyle w:val="SCCNormalDoubleSpacing"/>
        <w:spacing w:line="240" w:lineRule="auto"/>
        <w:rPr>
          <w:sz w:val="20"/>
        </w:rPr>
      </w:pPr>
    </w:p>
    <w:p w:rsidR="008315BB" w:rsidRPr="0022176B" w:rsidRDefault="008315BB" w:rsidP="008315BB">
      <w:pPr>
        <w:pStyle w:val="SCCNormalDoubleSpacing"/>
        <w:spacing w:line="240" w:lineRule="auto"/>
        <w:rPr>
          <w:sz w:val="20"/>
        </w:rPr>
      </w:pPr>
      <w:r w:rsidRPr="0022176B">
        <w:rPr>
          <w:sz w:val="20"/>
        </w:rPr>
        <w:tab/>
        <w:t>B, an Ontario</w:t>
      </w:r>
      <w:r w:rsidRPr="0022176B">
        <w:rPr>
          <w:sz w:val="20"/>
        </w:rPr>
        <w:noBreakHyphen/>
        <w:t xml:space="preserve">based corporation engaged in the exploration and development of gold properties in the Democratic Republic of Congo, brought an action in Ontario against the publisher, author, researchers and editors of a book entitled </w:t>
      </w:r>
      <w:r w:rsidRPr="0022176B">
        <w:rPr>
          <w:i/>
          <w:sz w:val="20"/>
        </w:rPr>
        <w:t>Noir Canada:  Pillage, corruption et criminalit</w:t>
      </w:r>
      <w:r w:rsidRPr="0022176B">
        <w:rPr>
          <w:i/>
          <w:sz w:val="20"/>
          <w:lang w:val="en-US"/>
        </w:rPr>
        <w:t>é</w:t>
      </w:r>
      <w:r w:rsidRPr="0022176B">
        <w:rPr>
          <w:i/>
          <w:sz w:val="20"/>
        </w:rPr>
        <w:t xml:space="preserve"> en Afrique</w:t>
      </w:r>
      <w:r w:rsidRPr="0022176B">
        <w:rPr>
          <w:sz w:val="20"/>
        </w:rPr>
        <w:t>.  B alleges that the book’s content is libellous and that the book accuses it of committing human rights violations and fraud to further its financial interests in Africa.  The publisher is a corporation based in Quebec, where the author, researchers and editors work and reside.  Two French editions of the book have been printed, totalling nearly 5,000 copies, of which 93 were distributed in bookstores in Ontario.  A number of copies are available in Ontario public libraries, and the book is available for purchase on the publisher’s website.</w:t>
      </w:r>
    </w:p>
    <w:p w:rsidR="008315BB" w:rsidRDefault="008315BB" w:rsidP="008315BB">
      <w:pPr>
        <w:pStyle w:val="SCCNormalDoubleSpacing"/>
        <w:spacing w:line="240" w:lineRule="auto"/>
        <w:rPr>
          <w:sz w:val="20"/>
        </w:rPr>
      </w:pPr>
    </w:p>
    <w:p w:rsidR="008315BB" w:rsidRPr="0022176B" w:rsidRDefault="008315BB" w:rsidP="008315BB">
      <w:pPr>
        <w:pStyle w:val="SCCNormalDoubleSpacing"/>
        <w:spacing w:line="240" w:lineRule="auto"/>
        <w:rPr>
          <w:sz w:val="20"/>
        </w:rPr>
      </w:pPr>
      <w:r w:rsidRPr="0022176B">
        <w:rPr>
          <w:sz w:val="20"/>
        </w:rPr>
        <w:tab/>
        <w:t>The appellants brought a motion to stay the action, submitting that there was no real and substantial connection between the subject</w:t>
      </w:r>
      <w:r w:rsidRPr="0022176B">
        <w:rPr>
          <w:sz w:val="20"/>
        </w:rPr>
        <w:noBreakHyphen/>
        <w:t xml:space="preserve">matter of the action and Ontario, and that the Ontario court was not the convenient forum for the action.  The motion judge dismissed the motion, ruling that the Ontario court did have jurisdiction, owing to a real and substantial connection between the forum and the action.  She also dismissed the motion on the grounds of </w:t>
      </w:r>
      <w:r w:rsidRPr="0022176B">
        <w:rPr>
          <w:i/>
          <w:sz w:val="20"/>
        </w:rPr>
        <w:t>forum non conveniens</w:t>
      </w:r>
      <w:r w:rsidRPr="0022176B">
        <w:rPr>
          <w:sz w:val="20"/>
        </w:rPr>
        <w:t>, as in her view the appellants had not met the onus of showing that a Quebec court was the more convenient forum.  The Court of Appeal endorsed the motion judge’s order and reasons.</w:t>
      </w:r>
    </w:p>
    <w:p w:rsidR="008315BB" w:rsidRDefault="008315BB" w:rsidP="008315BB">
      <w:pPr>
        <w:pStyle w:val="SCCNormalDoubleSpacing"/>
        <w:spacing w:line="240" w:lineRule="auto"/>
        <w:rPr>
          <w:sz w:val="20"/>
        </w:rPr>
      </w:pPr>
    </w:p>
    <w:p w:rsidR="008315BB" w:rsidRPr="0022176B" w:rsidRDefault="008315BB" w:rsidP="008315BB">
      <w:pPr>
        <w:pStyle w:val="SCCNormalDoubleSpacing"/>
        <w:spacing w:line="240" w:lineRule="auto"/>
        <w:rPr>
          <w:sz w:val="20"/>
        </w:rPr>
      </w:pPr>
      <w:r w:rsidRPr="0022176B">
        <w:rPr>
          <w:sz w:val="20"/>
        </w:rPr>
        <w:tab/>
      </w:r>
      <w:r w:rsidRPr="0022176B">
        <w:rPr>
          <w:i/>
          <w:sz w:val="20"/>
        </w:rPr>
        <w:t>Held:</w:t>
      </w:r>
      <w:r w:rsidRPr="0022176B">
        <w:rPr>
          <w:sz w:val="20"/>
        </w:rPr>
        <w:t xml:space="preserve">  The appeal should be dismissed.</w:t>
      </w:r>
    </w:p>
    <w:p w:rsidR="008315BB" w:rsidRDefault="008315BB" w:rsidP="008315BB">
      <w:pPr>
        <w:pStyle w:val="SCCNormalDoubleSpacing"/>
        <w:spacing w:line="240" w:lineRule="auto"/>
        <w:rPr>
          <w:sz w:val="20"/>
        </w:rPr>
      </w:pPr>
    </w:p>
    <w:p w:rsidR="008315BB" w:rsidRPr="0022176B" w:rsidRDefault="008315BB" w:rsidP="008315BB">
      <w:pPr>
        <w:pStyle w:val="SCCNormalDoubleSpacing"/>
        <w:spacing w:line="240" w:lineRule="auto"/>
        <w:rPr>
          <w:sz w:val="20"/>
        </w:rPr>
      </w:pPr>
      <w:r w:rsidRPr="0022176B">
        <w:rPr>
          <w:sz w:val="20"/>
        </w:rPr>
        <w:tab/>
        <w:t xml:space="preserve">The analytical framework for assuming jurisdiction under the common law real and substantial connection test and the proper approach to the application of the doctrine of </w:t>
      </w:r>
      <w:r w:rsidRPr="0022176B">
        <w:rPr>
          <w:i/>
          <w:sz w:val="20"/>
        </w:rPr>
        <w:t>forum non conveniens</w:t>
      </w:r>
      <w:r w:rsidRPr="0022176B">
        <w:rPr>
          <w:sz w:val="20"/>
        </w:rPr>
        <w:t xml:space="preserve"> were set out in </w:t>
      </w:r>
      <w:r w:rsidRPr="0022176B">
        <w:rPr>
          <w:i/>
          <w:sz w:val="20"/>
        </w:rPr>
        <w:t>Club Resorts Ltd. v. Van Breda</w:t>
      </w:r>
      <w:r w:rsidRPr="0022176B">
        <w:rPr>
          <w:sz w:val="20"/>
        </w:rPr>
        <w:t xml:space="preserve">, 2012 SCC 17.  When the analytical framework for assumption of jurisdiction is applied here, it is clear that there is a real and substantial connection between B’s claim and Ontario.  The alleged tort of defamation occurred in Ontario, as the book was distributed in Ontario.  At this stage of the proceedings, a plaintiff need not show evidence of harm or that the book was read; he or she need only allege publication and its allegations should be accepted as pleaded unless contradicted by evidence adduced by the defendant.  The commission of a tort in Ontario is a recognized presumptive connecting factor that </w:t>
      </w:r>
      <w:r w:rsidRPr="0022176B">
        <w:rPr>
          <w:i/>
          <w:sz w:val="20"/>
        </w:rPr>
        <w:t>prima facie</w:t>
      </w:r>
      <w:r w:rsidRPr="0022176B">
        <w:rPr>
          <w:sz w:val="20"/>
        </w:rPr>
        <w:t xml:space="preserve"> entitles the Ontario court to assume jurisdiction over the dispute.  As the appellants in this case have not shown that only a minor element of the tort of defamation occurred in Ontario, they have not displaced the presumption of jurisdiction that arises. Accordingly, the motion judge correctly assumed jurisdiction.</w:t>
      </w:r>
    </w:p>
    <w:p w:rsidR="008315BB" w:rsidRDefault="008315BB" w:rsidP="008315BB">
      <w:pPr>
        <w:pStyle w:val="SCCNormalDoubleSpacing"/>
        <w:spacing w:line="240" w:lineRule="auto"/>
        <w:rPr>
          <w:sz w:val="20"/>
        </w:rPr>
      </w:pPr>
    </w:p>
    <w:p w:rsidR="008315BB" w:rsidRPr="0022176B" w:rsidRDefault="008315BB" w:rsidP="008315BB">
      <w:pPr>
        <w:pStyle w:val="SCCNormalDoubleSpacing"/>
        <w:spacing w:line="240" w:lineRule="auto"/>
        <w:rPr>
          <w:sz w:val="20"/>
        </w:rPr>
      </w:pPr>
      <w:r w:rsidRPr="0022176B">
        <w:rPr>
          <w:sz w:val="20"/>
        </w:rPr>
        <w:tab/>
        <w:t xml:space="preserve">With respect to the doctrine of </w:t>
      </w:r>
      <w:r w:rsidRPr="0022176B">
        <w:rPr>
          <w:i/>
          <w:sz w:val="20"/>
        </w:rPr>
        <w:t>forum non conveniens</w:t>
      </w:r>
      <w:r w:rsidRPr="0022176B">
        <w:rPr>
          <w:sz w:val="20"/>
        </w:rPr>
        <w:t xml:space="preserve">, its application is an exercise of discretion reviewable in accordance with the principle of deference to discretionary decisions: an appeal court should intervene only if the motion judge erred in principle, misapprehended or failed to take account of material evidence, or reached an unreasonable decision.  Various factors may be considered in a </w:t>
      </w:r>
      <w:r w:rsidRPr="0022176B">
        <w:rPr>
          <w:i/>
          <w:sz w:val="20"/>
        </w:rPr>
        <w:t>forum non conveniens</w:t>
      </w:r>
      <w:r w:rsidRPr="0022176B">
        <w:rPr>
          <w:sz w:val="20"/>
        </w:rPr>
        <w:t xml:space="preserve"> analysis.  In addition to the cost of the proceeding and the avoidance of a multiplicity of proceedings, one of the factors that must be considered in the </w:t>
      </w:r>
      <w:r w:rsidRPr="0022176B">
        <w:rPr>
          <w:i/>
          <w:sz w:val="20"/>
        </w:rPr>
        <w:lastRenderedPageBreak/>
        <w:t>forum non conveniens</w:t>
      </w:r>
      <w:r w:rsidRPr="0022176B">
        <w:rPr>
          <w:sz w:val="20"/>
        </w:rPr>
        <w:t xml:space="preserve"> analysis is the law applicable to the tort.  As the elements of a tort such as defamation potentially vary from one jurisdiction to another, a plaintiff might make a strategic decision and sue in a jurisdiction in which he or she enjoys the greatest juridical advantage.  This is the well</w:t>
      </w:r>
      <w:r w:rsidRPr="0022176B">
        <w:rPr>
          <w:sz w:val="20"/>
        </w:rPr>
        <w:noBreakHyphen/>
        <w:t xml:space="preserve">known problem of “forum shopping” or “libel tourism”.  Restricting the available choice of laws might be a way to curb forum shopping.  </w:t>
      </w:r>
      <w:r w:rsidRPr="0022176B">
        <w:rPr>
          <w:i/>
          <w:sz w:val="20"/>
        </w:rPr>
        <w:t>Lex loci delicti</w:t>
      </w:r>
      <w:r w:rsidRPr="0022176B">
        <w:rPr>
          <w:sz w:val="20"/>
        </w:rPr>
        <w:t xml:space="preserve">, or the place where the tort occurred, has been established as a general principle for determining choice of law for torts, however, room has been left for the creation of exceptions to the general rule for torts such as defamation.  Although this question need not be decided in this case, one possible alternative to the </w:t>
      </w:r>
      <w:r w:rsidRPr="0022176B">
        <w:rPr>
          <w:i/>
          <w:sz w:val="20"/>
        </w:rPr>
        <w:t>lex loci delicti</w:t>
      </w:r>
      <w:r w:rsidRPr="0022176B">
        <w:rPr>
          <w:sz w:val="20"/>
        </w:rPr>
        <w:t xml:space="preserve"> as the choice of law rule in defamation cases may be the place of most substantial harm to reputation.  While it is well settled in Canadian law that the tort of defamation occurs upon publication to a third party, it is also clear that the harm occasioned by the publication of a defamatory statement is not the publication itself, but rather injury to the plaintiff’s reputation, and the importance of place of reputation has long been recognized in Canadian defamation law. </w:t>
      </w:r>
    </w:p>
    <w:p w:rsidR="008315BB" w:rsidRDefault="008315BB" w:rsidP="008315BB">
      <w:pPr>
        <w:pStyle w:val="SCCNormalDoubleSpacing"/>
        <w:spacing w:line="240" w:lineRule="auto"/>
        <w:rPr>
          <w:sz w:val="20"/>
        </w:rPr>
      </w:pPr>
    </w:p>
    <w:p w:rsidR="008315BB" w:rsidRDefault="008315BB" w:rsidP="008315BB">
      <w:pPr>
        <w:pStyle w:val="SCCNormalDoubleSpacing"/>
        <w:spacing w:line="240" w:lineRule="auto"/>
        <w:rPr>
          <w:sz w:val="20"/>
        </w:rPr>
      </w:pPr>
      <w:r w:rsidRPr="0022176B">
        <w:rPr>
          <w:sz w:val="20"/>
        </w:rPr>
        <w:tab/>
        <w:t xml:space="preserve">In the case at bar, whether the </w:t>
      </w:r>
      <w:r w:rsidRPr="0022176B">
        <w:rPr>
          <w:i/>
          <w:sz w:val="20"/>
        </w:rPr>
        <w:t>lex loci delicti</w:t>
      </w:r>
      <w:r w:rsidRPr="0022176B">
        <w:rPr>
          <w:sz w:val="20"/>
        </w:rPr>
        <w:t xml:space="preserve"> rule is applied or the location of the most substantial harm to reputation is considered, the applicable law is that of Ontario and this factor favours Ontario in the </w:t>
      </w:r>
      <w:r w:rsidRPr="0022176B">
        <w:rPr>
          <w:i/>
          <w:sz w:val="20"/>
        </w:rPr>
        <w:t xml:space="preserve">forum non conveniens </w:t>
      </w:r>
      <w:r w:rsidRPr="0022176B">
        <w:rPr>
          <w:sz w:val="20"/>
        </w:rPr>
        <w:t>analysis, as does the factor of juridical advantage.  Although this claim has connections to more than one forum, given the strength of the connections between B and Ontario, it is not at all clear that B is engaged in libel tourism and that Quebec would be a clearly more appropriate forum.  The motion judge made no error, and correctly exercised her discretion in maintaining jurisdiction over B’s claim.</w:t>
      </w:r>
    </w:p>
    <w:p w:rsidR="008315BB" w:rsidRPr="0022176B" w:rsidRDefault="008315BB" w:rsidP="008315BB">
      <w:pPr>
        <w:pStyle w:val="SCCNormalDoubleSpacing"/>
        <w:spacing w:line="240" w:lineRule="auto"/>
        <w:rPr>
          <w:sz w:val="20"/>
        </w:rPr>
      </w:pPr>
    </w:p>
    <w:p w:rsidR="008315BB" w:rsidRPr="0022176B" w:rsidRDefault="008315BB" w:rsidP="008315BB">
      <w:pPr>
        <w:pStyle w:val="SCCNormalDoubleSpacing"/>
        <w:widowControl w:val="0"/>
        <w:spacing w:line="240" w:lineRule="auto"/>
        <w:rPr>
          <w:sz w:val="20"/>
        </w:rPr>
      </w:pPr>
      <w:r w:rsidRPr="0022176B">
        <w:rPr>
          <w:sz w:val="20"/>
          <w:lang w:val="en-US"/>
        </w:rPr>
        <w:tab/>
      </w:r>
      <w:r w:rsidRPr="0022176B">
        <w:rPr>
          <w:sz w:val="20"/>
        </w:rPr>
        <w:t>APPEAL from a judgment of the Ontario Court of Appeal (</w:t>
      </w:r>
      <w:r w:rsidR="00A3677B" w:rsidRPr="0022176B">
        <w:rPr>
          <w:sz w:val="20"/>
        </w:rPr>
        <w:fldChar w:fldCharType="begin"/>
      </w:r>
      <w:r w:rsidRPr="0022176B">
        <w:rPr>
          <w:sz w:val="20"/>
        </w:rPr>
        <w:instrText xml:space="preserve"> SEQ CHAPTER \h \r 1</w:instrText>
      </w:r>
      <w:r w:rsidR="00A3677B" w:rsidRPr="0022176B">
        <w:rPr>
          <w:sz w:val="20"/>
        </w:rPr>
        <w:fldChar w:fldCharType="end"/>
      </w:r>
      <w:r w:rsidRPr="0022176B">
        <w:rPr>
          <w:sz w:val="20"/>
        </w:rPr>
        <w:t xml:space="preserve">Weiler, Blair and Rouleau JJ.A.), </w:t>
      </w:r>
      <w:r w:rsidR="00A3677B" w:rsidRPr="0022176B">
        <w:rPr>
          <w:sz w:val="20"/>
        </w:rPr>
        <w:fldChar w:fldCharType="begin"/>
      </w:r>
      <w:r w:rsidRPr="0022176B">
        <w:rPr>
          <w:sz w:val="20"/>
        </w:rPr>
        <w:instrText xml:space="preserve"> SEQ CHAPTER \h \r 1</w:instrText>
      </w:r>
      <w:r w:rsidR="00A3677B" w:rsidRPr="0022176B">
        <w:rPr>
          <w:sz w:val="20"/>
        </w:rPr>
        <w:fldChar w:fldCharType="end"/>
      </w:r>
      <w:r w:rsidRPr="0022176B">
        <w:rPr>
          <w:sz w:val="20"/>
        </w:rPr>
        <w:t xml:space="preserve">2010 ONCA 416 (CanLII), [2010] O.J. No. 2389 (QL), 2010 CarswellOnt 3776, affirming a decision of Roberts J., 2009 CanLII 7168, </w:t>
      </w:r>
      <w:r w:rsidR="00A3677B" w:rsidRPr="0022176B">
        <w:rPr>
          <w:sz w:val="20"/>
        </w:rPr>
        <w:fldChar w:fldCharType="begin"/>
      </w:r>
      <w:r w:rsidRPr="0022176B">
        <w:rPr>
          <w:sz w:val="20"/>
        </w:rPr>
        <w:instrText xml:space="preserve"> SEQ CHAPTER \h \r 1</w:instrText>
      </w:r>
      <w:r w:rsidR="00A3677B" w:rsidRPr="0022176B">
        <w:rPr>
          <w:sz w:val="20"/>
        </w:rPr>
        <w:fldChar w:fldCharType="end"/>
      </w:r>
      <w:r w:rsidRPr="0022176B">
        <w:rPr>
          <w:sz w:val="20"/>
        </w:rPr>
        <w:t>[2009] O.J. No. 733 (QL), 2009 CarswellOnt 915.  Appeal dismissed.</w:t>
      </w:r>
    </w:p>
    <w:p w:rsidR="008315BB" w:rsidRDefault="008315BB" w:rsidP="008315BB">
      <w:pPr>
        <w:pStyle w:val="SCCNormalDoubleSpacing"/>
        <w:spacing w:line="240" w:lineRule="auto"/>
        <w:rPr>
          <w:i/>
          <w:sz w:val="20"/>
        </w:rPr>
      </w:pPr>
    </w:p>
    <w:p w:rsidR="008315BB" w:rsidRPr="0022176B" w:rsidRDefault="008315BB" w:rsidP="008315BB">
      <w:pPr>
        <w:pStyle w:val="SCCNormalDoubleSpacing"/>
        <w:spacing w:line="240" w:lineRule="auto"/>
        <w:rPr>
          <w:sz w:val="20"/>
        </w:rPr>
      </w:pPr>
      <w:r w:rsidRPr="0022176B">
        <w:rPr>
          <w:i/>
          <w:sz w:val="20"/>
        </w:rPr>
        <w:tab/>
        <w:t>William C. McDowell</w:t>
      </w:r>
      <w:r w:rsidRPr="0022176B">
        <w:rPr>
          <w:sz w:val="20"/>
        </w:rPr>
        <w:t xml:space="preserve">, </w:t>
      </w:r>
      <w:r w:rsidRPr="0022176B">
        <w:rPr>
          <w:i/>
          <w:sz w:val="20"/>
        </w:rPr>
        <w:t>Yashoda Ranganathan</w:t>
      </w:r>
      <w:r w:rsidRPr="0022176B">
        <w:rPr>
          <w:sz w:val="20"/>
        </w:rPr>
        <w:t xml:space="preserve"> and </w:t>
      </w:r>
      <w:r w:rsidRPr="0022176B">
        <w:rPr>
          <w:i/>
          <w:sz w:val="20"/>
        </w:rPr>
        <w:t>William Amos</w:t>
      </w:r>
      <w:r w:rsidRPr="0022176B">
        <w:rPr>
          <w:sz w:val="20"/>
        </w:rPr>
        <w:t>, for the appellants.</w:t>
      </w:r>
    </w:p>
    <w:p w:rsidR="008315BB" w:rsidRDefault="008315BB" w:rsidP="008315BB">
      <w:pPr>
        <w:pStyle w:val="SCCNormalDoubleSpacing"/>
        <w:spacing w:line="240" w:lineRule="auto"/>
        <w:rPr>
          <w:i/>
          <w:sz w:val="20"/>
        </w:rPr>
      </w:pPr>
    </w:p>
    <w:p w:rsidR="008315BB" w:rsidRPr="0022176B" w:rsidRDefault="008315BB" w:rsidP="008315BB">
      <w:pPr>
        <w:pStyle w:val="SCCNormalDoubleSpacing"/>
        <w:spacing w:line="240" w:lineRule="auto"/>
        <w:rPr>
          <w:sz w:val="20"/>
        </w:rPr>
      </w:pPr>
      <w:r w:rsidRPr="0022176B">
        <w:rPr>
          <w:i/>
          <w:sz w:val="20"/>
        </w:rPr>
        <w:tab/>
        <w:t>Lorne Honickman</w:t>
      </w:r>
      <w:r w:rsidRPr="0022176B">
        <w:rPr>
          <w:sz w:val="20"/>
        </w:rPr>
        <w:t xml:space="preserve"> and </w:t>
      </w:r>
      <w:r w:rsidRPr="0022176B">
        <w:rPr>
          <w:i/>
          <w:sz w:val="20"/>
        </w:rPr>
        <w:t>Rory Barnable</w:t>
      </w:r>
      <w:r w:rsidRPr="0022176B">
        <w:rPr>
          <w:sz w:val="20"/>
        </w:rPr>
        <w:t>, for the respondent.</w:t>
      </w:r>
    </w:p>
    <w:p w:rsidR="008315BB" w:rsidRDefault="008315BB" w:rsidP="008315BB">
      <w:pPr>
        <w:pStyle w:val="SCCNormalDoubleSpacing"/>
        <w:spacing w:line="240" w:lineRule="auto"/>
        <w:rPr>
          <w:i/>
          <w:sz w:val="20"/>
        </w:rPr>
      </w:pPr>
    </w:p>
    <w:p w:rsidR="008315BB" w:rsidRPr="0022176B" w:rsidRDefault="008315BB" w:rsidP="008315BB">
      <w:pPr>
        <w:pStyle w:val="SCCNormalDoubleSpacing"/>
        <w:spacing w:line="240" w:lineRule="auto"/>
        <w:rPr>
          <w:sz w:val="20"/>
        </w:rPr>
      </w:pPr>
      <w:r w:rsidRPr="0022176B">
        <w:rPr>
          <w:i/>
          <w:sz w:val="20"/>
        </w:rPr>
        <w:tab/>
        <w:t>Karim Renno</w:t>
      </w:r>
      <w:r w:rsidRPr="0022176B">
        <w:rPr>
          <w:sz w:val="20"/>
        </w:rPr>
        <w:t xml:space="preserve">, </w:t>
      </w:r>
      <w:r w:rsidRPr="0022176B">
        <w:rPr>
          <w:i/>
          <w:sz w:val="20"/>
        </w:rPr>
        <w:t>Karine Chênevert</w:t>
      </w:r>
      <w:r w:rsidRPr="0022176B">
        <w:rPr>
          <w:sz w:val="20"/>
        </w:rPr>
        <w:t xml:space="preserve"> and </w:t>
      </w:r>
      <w:r w:rsidRPr="0022176B">
        <w:rPr>
          <w:i/>
          <w:sz w:val="20"/>
        </w:rPr>
        <w:t>Fady Hammal</w:t>
      </w:r>
      <w:r w:rsidRPr="0022176B">
        <w:rPr>
          <w:sz w:val="20"/>
        </w:rPr>
        <w:t>, for the intervener the Canadian Civil Liberties Association.</w:t>
      </w:r>
    </w:p>
    <w:p w:rsidR="008315BB" w:rsidRDefault="008315BB" w:rsidP="008315BB">
      <w:pPr>
        <w:pStyle w:val="SCCNormalDoubleSpacing"/>
        <w:spacing w:line="240" w:lineRule="auto"/>
        <w:rPr>
          <w:i/>
          <w:sz w:val="20"/>
        </w:rPr>
      </w:pPr>
    </w:p>
    <w:p w:rsidR="008315BB" w:rsidRPr="0022176B" w:rsidRDefault="008315BB" w:rsidP="008315BB">
      <w:pPr>
        <w:pStyle w:val="SCCNormalDoubleSpacing"/>
        <w:spacing w:line="240" w:lineRule="auto"/>
        <w:rPr>
          <w:sz w:val="20"/>
        </w:rPr>
      </w:pPr>
      <w:r w:rsidRPr="0022176B">
        <w:rPr>
          <w:i/>
          <w:sz w:val="20"/>
        </w:rPr>
        <w:tab/>
        <w:t xml:space="preserve">Jason B. Gratl </w:t>
      </w:r>
      <w:r w:rsidRPr="0022176B">
        <w:rPr>
          <w:sz w:val="20"/>
        </w:rPr>
        <w:t>and</w:t>
      </w:r>
      <w:r w:rsidRPr="0022176B">
        <w:rPr>
          <w:i/>
          <w:sz w:val="20"/>
        </w:rPr>
        <w:t xml:space="preserve"> Robert D. Holmes,</w:t>
      </w:r>
      <w:r w:rsidRPr="0022176B">
        <w:rPr>
          <w:sz w:val="20"/>
        </w:rPr>
        <w:t xml:space="preserve"> </w:t>
      </w:r>
      <w:r w:rsidRPr="0022176B">
        <w:rPr>
          <w:i/>
          <w:sz w:val="20"/>
        </w:rPr>
        <w:t>Q.C.</w:t>
      </w:r>
      <w:r w:rsidRPr="0022176B">
        <w:rPr>
          <w:sz w:val="20"/>
        </w:rPr>
        <w:t>, for the intervener the British Columbia Civil Liberties Association.</w:t>
      </w:r>
    </w:p>
    <w:p w:rsidR="008315BB" w:rsidRDefault="008315BB" w:rsidP="008315BB">
      <w:pPr>
        <w:pStyle w:val="SCCLawFirm"/>
        <w:spacing w:line="240" w:lineRule="auto"/>
        <w:rPr>
          <w:sz w:val="20"/>
        </w:rPr>
      </w:pPr>
    </w:p>
    <w:p w:rsidR="008315BB" w:rsidRPr="0022176B" w:rsidRDefault="008315BB" w:rsidP="008315BB">
      <w:pPr>
        <w:pStyle w:val="SCCLawFirm"/>
        <w:spacing w:line="240" w:lineRule="auto"/>
        <w:rPr>
          <w:sz w:val="20"/>
        </w:rPr>
      </w:pPr>
      <w:r w:rsidRPr="0022176B">
        <w:rPr>
          <w:sz w:val="20"/>
        </w:rPr>
        <w:tab/>
        <w:t>Solicitors for the appellants:  Lenczner Slaght Royce Smith Griffin, Toronto.</w:t>
      </w:r>
    </w:p>
    <w:p w:rsidR="008315BB" w:rsidRDefault="008315BB" w:rsidP="008315BB">
      <w:pPr>
        <w:pStyle w:val="SCCLawFirm"/>
        <w:spacing w:line="240" w:lineRule="auto"/>
        <w:rPr>
          <w:sz w:val="20"/>
        </w:rPr>
      </w:pPr>
    </w:p>
    <w:p w:rsidR="008315BB" w:rsidRPr="0022176B" w:rsidRDefault="008315BB" w:rsidP="008315BB">
      <w:pPr>
        <w:pStyle w:val="SCCLawFirm"/>
        <w:spacing w:line="240" w:lineRule="auto"/>
        <w:rPr>
          <w:sz w:val="20"/>
        </w:rPr>
      </w:pPr>
      <w:r w:rsidRPr="0022176B">
        <w:rPr>
          <w:sz w:val="20"/>
        </w:rPr>
        <w:tab/>
        <w:t>Solicitors for the respondent:  McCague Peacock Borlack McInnis &amp; Lloyd, Toronto.</w:t>
      </w:r>
    </w:p>
    <w:p w:rsidR="008315BB" w:rsidRDefault="008315BB" w:rsidP="008315BB">
      <w:pPr>
        <w:pStyle w:val="SCCLawFirm"/>
        <w:spacing w:line="240" w:lineRule="auto"/>
        <w:rPr>
          <w:sz w:val="20"/>
        </w:rPr>
      </w:pPr>
    </w:p>
    <w:p w:rsidR="008315BB" w:rsidRPr="0022176B" w:rsidRDefault="008315BB" w:rsidP="008315BB">
      <w:pPr>
        <w:pStyle w:val="SCCLawFirm"/>
        <w:spacing w:line="240" w:lineRule="auto"/>
        <w:rPr>
          <w:sz w:val="20"/>
        </w:rPr>
      </w:pPr>
      <w:r w:rsidRPr="0022176B">
        <w:rPr>
          <w:sz w:val="20"/>
        </w:rPr>
        <w:tab/>
        <w:t>Solicitors for the intervener the Canadian Civil Liberties Association:  Osler, Hoskin &amp; Harcourt, Montréal.</w:t>
      </w:r>
    </w:p>
    <w:p w:rsidR="008315BB" w:rsidRDefault="008315BB" w:rsidP="008315BB">
      <w:pPr>
        <w:pStyle w:val="SCCLawFirm"/>
        <w:spacing w:line="240" w:lineRule="auto"/>
        <w:rPr>
          <w:sz w:val="20"/>
        </w:rPr>
      </w:pPr>
    </w:p>
    <w:p w:rsidR="008315BB" w:rsidRDefault="008315BB" w:rsidP="008315BB">
      <w:pPr>
        <w:pStyle w:val="SCCLawFirm"/>
        <w:spacing w:line="240" w:lineRule="auto"/>
        <w:rPr>
          <w:sz w:val="20"/>
        </w:rPr>
      </w:pPr>
      <w:r w:rsidRPr="0022176B">
        <w:rPr>
          <w:sz w:val="20"/>
        </w:rPr>
        <w:tab/>
        <w:t>Solicitors for the intervener the British Columbia Civil Liberties Association:  Holmes &amp; King, Vancouver.</w:t>
      </w:r>
    </w:p>
    <w:p w:rsidR="003B3977" w:rsidRPr="00886CE1" w:rsidRDefault="003B3977" w:rsidP="003B3977">
      <w:pPr>
        <w:rPr>
          <w:sz w:val="20"/>
          <w:szCs w:val="20"/>
          <w:lang w:val="fr-CA"/>
        </w:rPr>
      </w:pPr>
      <w:r w:rsidRPr="00886CE1">
        <w:rPr>
          <w:sz w:val="20"/>
          <w:szCs w:val="20"/>
          <w:lang w:val="fr-CA"/>
        </w:rPr>
        <w:t>________________________</w:t>
      </w:r>
    </w:p>
    <w:p w:rsidR="003B3977" w:rsidRPr="00886CE1" w:rsidRDefault="003B3977" w:rsidP="003B3977">
      <w:pPr>
        <w:rPr>
          <w:sz w:val="20"/>
          <w:szCs w:val="20"/>
          <w:lang w:val="fr-CA"/>
        </w:rPr>
      </w:pPr>
    </w:p>
    <w:p w:rsidR="00886CE1" w:rsidRPr="00886CE1" w:rsidRDefault="00886CE1" w:rsidP="00886CE1">
      <w:pPr>
        <w:pStyle w:val="ListParagraph"/>
        <w:ind w:left="0"/>
        <w:jc w:val="both"/>
        <w:rPr>
          <w:sz w:val="20"/>
          <w:szCs w:val="20"/>
          <w:lang w:val="fr-CA"/>
        </w:rPr>
      </w:pPr>
      <w:r w:rsidRPr="00886CE1">
        <w:rPr>
          <w:sz w:val="20"/>
          <w:szCs w:val="20"/>
          <w:lang w:val="fr-CA"/>
        </w:rPr>
        <w:t>Présents : La juge en chef McLachlin et les juges Binnie</w:t>
      </w:r>
      <w:r w:rsidR="006B3AEE">
        <w:rPr>
          <w:sz w:val="20"/>
          <w:szCs w:val="20"/>
          <w:vertAlign w:val="superscript"/>
          <w:lang w:val="fr-CA"/>
        </w:rPr>
        <w:t>*</w:t>
      </w:r>
      <w:r w:rsidRPr="00886CE1">
        <w:rPr>
          <w:sz w:val="20"/>
          <w:szCs w:val="20"/>
          <w:lang w:val="fr-CA"/>
        </w:rPr>
        <w:t>, LeBel, Deschamps, Fish, Abella, Charron</w:t>
      </w:r>
      <w:r w:rsidRPr="00886CE1">
        <w:rPr>
          <w:rStyle w:val="FootnoteReference"/>
          <w:sz w:val="20"/>
          <w:szCs w:val="20"/>
          <w:lang w:val="fr-CA"/>
        </w:rPr>
        <w:t>*</w:t>
      </w:r>
      <w:r w:rsidRPr="00886CE1">
        <w:rPr>
          <w:sz w:val="20"/>
          <w:szCs w:val="20"/>
          <w:lang w:val="fr-CA"/>
        </w:rPr>
        <w:t>, Rothstein et Cromwell.</w:t>
      </w:r>
    </w:p>
    <w:p w:rsidR="00886CE1" w:rsidRPr="00886CE1" w:rsidRDefault="00886CE1" w:rsidP="00886CE1">
      <w:pPr>
        <w:pStyle w:val="SCCLowerCourtNameLowercase"/>
        <w:spacing w:line="240" w:lineRule="auto"/>
        <w:rPr>
          <w:sz w:val="20"/>
          <w:lang w:val="fr-CA"/>
        </w:rPr>
      </w:pPr>
    </w:p>
    <w:p w:rsidR="00886CE1" w:rsidRPr="00D2370D" w:rsidRDefault="00886CE1" w:rsidP="00886CE1">
      <w:pPr>
        <w:jc w:val="both"/>
        <w:rPr>
          <w:sz w:val="20"/>
          <w:lang w:val="fr-CA"/>
        </w:rPr>
      </w:pPr>
      <w:r>
        <w:rPr>
          <w:sz w:val="20"/>
          <w:lang w:val="fr-CA"/>
        </w:rPr>
        <w:t>(</w:t>
      </w:r>
      <w:r>
        <w:rPr>
          <w:sz w:val="20"/>
          <w:vertAlign w:val="superscript"/>
          <w:lang w:val="fr-CA"/>
        </w:rPr>
        <w:t>*</w:t>
      </w:r>
      <w:r>
        <w:rPr>
          <w:sz w:val="20"/>
          <w:lang w:val="fr-CA"/>
        </w:rPr>
        <w:t xml:space="preserve"> Les juges Binnie et Charron n’ont pas participé au jugement.)</w:t>
      </w:r>
    </w:p>
    <w:p w:rsidR="00886CE1" w:rsidRPr="00886CE1" w:rsidRDefault="00886CE1" w:rsidP="00886CE1">
      <w:pPr>
        <w:pStyle w:val="SCCNormalDoubleSpacing"/>
        <w:spacing w:line="240" w:lineRule="auto"/>
        <w:rPr>
          <w:sz w:val="20"/>
          <w:lang w:val="fr-CA"/>
        </w:rPr>
      </w:pPr>
    </w:p>
    <w:p w:rsidR="00886CE1" w:rsidRPr="00886CE1" w:rsidRDefault="00886CE1" w:rsidP="00886CE1">
      <w:pPr>
        <w:pStyle w:val="SCCNormalDoubleSpacing"/>
        <w:spacing w:line="240" w:lineRule="auto"/>
        <w:rPr>
          <w:i/>
          <w:sz w:val="20"/>
          <w:lang w:val="fr-CA"/>
        </w:rPr>
      </w:pPr>
      <w:r w:rsidRPr="00886CE1">
        <w:rPr>
          <w:sz w:val="20"/>
          <w:lang w:val="fr-CA"/>
        </w:rPr>
        <w:tab/>
      </w:r>
      <w:r w:rsidRPr="00886CE1">
        <w:rPr>
          <w:i/>
          <w:sz w:val="20"/>
          <w:lang w:val="fr-CA"/>
        </w:rPr>
        <w:t>Droit international privé — Choix du tribunal — Juridiction compétente — Forum non conveniens — Action en diffamation intentée en Ontario relativement à des propos figurant dans un livre publié en français par un éditeur québécois —Demande de suspension de l’instance par les défendeurs au motif que le tribunal ontarien n’a pas compétence ou, subsidiairement, qu’il devrait décliner compétence pour cause de forum non conveniens</w:t>
      </w:r>
      <w:r w:rsidRPr="00886CE1">
        <w:rPr>
          <w:sz w:val="20"/>
          <w:lang w:val="fr-CA"/>
        </w:rPr>
        <w:t xml:space="preserve"> </w:t>
      </w:r>
      <w:r w:rsidRPr="00886CE1">
        <w:rPr>
          <w:i/>
          <w:sz w:val="20"/>
          <w:lang w:val="fr-CA"/>
        </w:rPr>
        <w:t>— Le tribunal ontarien peut</w:t>
      </w:r>
      <w:r w:rsidRPr="00886CE1">
        <w:rPr>
          <w:i/>
          <w:sz w:val="20"/>
          <w:lang w:val="fr-CA"/>
        </w:rPr>
        <w:noBreakHyphen/>
        <w:t>il se déclarer compétent à l’égard de l’action? — Dans l’affirmative, le tribunal ontarien devrait</w:t>
      </w:r>
      <w:r w:rsidRPr="00886CE1">
        <w:rPr>
          <w:i/>
          <w:sz w:val="20"/>
          <w:lang w:val="fr-CA"/>
        </w:rPr>
        <w:noBreakHyphen/>
        <w:t>il refuser d’exercer sa compétence au motif que le tribunal d’un autre ressort est nettement plus approprié pour instruire l’action?</w:t>
      </w:r>
    </w:p>
    <w:p w:rsidR="00886CE1" w:rsidRPr="00886CE1" w:rsidRDefault="00886CE1" w:rsidP="00886CE1">
      <w:pPr>
        <w:pStyle w:val="SCCNormalDoubleSpacing"/>
        <w:spacing w:line="240" w:lineRule="auto"/>
        <w:rPr>
          <w:sz w:val="20"/>
          <w:lang w:val="fr-CA"/>
        </w:rPr>
      </w:pPr>
    </w:p>
    <w:p w:rsidR="00886CE1" w:rsidRPr="00886CE1" w:rsidRDefault="00886CE1" w:rsidP="00886CE1">
      <w:pPr>
        <w:pStyle w:val="SCCNormalDoubleSpacing"/>
        <w:spacing w:line="240" w:lineRule="auto"/>
        <w:rPr>
          <w:sz w:val="20"/>
          <w:lang w:val="fr-CA"/>
        </w:rPr>
      </w:pPr>
      <w:r w:rsidRPr="00886CE1">
        <w:rPr>
          <w:sz w:val="20"/>
          <w:lang w:val="fr-CA"/>
        </w:rPr>
        <w:lastRenderedPageBreak/>
        <w:tab/>
        <w:t xml:space="preserve">B, une société qui a son siège en Ontario et qui exerce des activités d’exploration et d’exploitation de gisements aurifères dans la République démocratique du Congo, a intenté en Ontario une action en justice contre l’éditeur, l’auteur, les recherchistes et les rédacteurs d’un livre intitulé </w:t>
      </w:r>
      <w:r w:rsidRPr="00886CE1">
        <w:rPr>
          <w:i/>
          <w:sz w:val="20"/>
          <w:lang w:val="fr-CA"/>
        </w:rPr>
        <w:t>Noir Canada : Pillage, corruption et criminalité en Afrique</w:t>
      </w:r>
      <w:r w:rsidRPr="00886CE1">
        <w:rPr>
          <w:sz w:val="20"/>
          <w:lang w:val="fr-CA"/>
        </w:rPr>
        <w:t>.  B prétend que le contenu du livre est diffamatoire et que le livre l’accuse de violation des droits de la personne et de fraude dans le but de favoriser ses intérêts financiers en Afrique.  L’éditeur est une société ayant son siège au Québec, où l’auteur, les recherchistes et les rédacteurs vivent et travaillent.  Deux tirages en français ont été publiés, pour un total de près de 5 000 exemplaires, dont 93 ont été distribués dans des librairies en Ontario.  Un certain nombre d’exemplaires se trouvent dans des bibliothèques publiques en Ontario et le livre est en vente sur le site Web de l’éditeur.</w:t>
      </w:r>
    </w:p>
    <w:p w:rsidR="00886CE1" w:rsidRPr="00886CE1" w:rsidRDefault="00886CE1" w:rsidP="00886CE1">
      <w:pPr>
        <w:pStyle w:val="SCCNormalDoubleSpacing"/>
        <w:spacing w:line="240" w:lineRule="auto"/>
        <w:rPr>
          <w:sz w:val="20"/>
          <w:lang w:val="fr-CA"/>
        </w:rPr>
      </w:pPr>
    </w:p>
    <w:p w:rsidR="00886CE1" w:rsidRPr="00886CE1" w:rsidRDefault="00886CE1" w:rsidP="00886CE1">
      <w:pPr>
        <w:pStyle w:val="SCCNormalDoubleSpacing"/>
        <w:spacing w:line="240" w:lineRule="auto"/>
        <w:rPr>
          <w:sz w:val="20"/>
          <w:lang w:val="fr-CA"/>
        </w:rPr>
      </w:pPr>
      <w:r w:rsidRPr="00886CE1">
        <w:rPr>
          <w:sz w:val="20"/>
          <w:lang w:val="fr-CA"/>
        </w:rPr>
        <w:tab/>
        <w:t xml:space="preserve">Les appelants ont demandé la suspension de l’instance, car ils prétendent qu’aucun lien réel et substantiel ne relie l’objet de l’action et l’Ontario et que l’Ontario n’est pas le ressort approprié pour instruire l’action.  La juge saisie de la motion a rejeté la motion, statuant que le tribunal ontarien avait compétence en raison d’un lien réel et substantiel existant entre le ressort et l’action.  Elle a également rejeté la motion fondée sur le </w:t>
      </w:r>
      <w:r w:rsidRPr="00886CE1">
        <w:rPr>
          <w:i/>
          <w:sz w:val="20"/>
          <w:lang w:val="fr-CA"/>
        </w:rPr>
        <w:t>forum non conveniens</w:t>
      </w:r>
      <w:r w:rsidRPr="00886CE1">
        <w:rPr>
          <w:sz w:val="20"/>
          <w:lang w:val="fr-CA"/>
        </w:rPr>
        <w:t xml:space="preserve"> car, selon elle, les appelants ne s’étaient pas acquittés du fardeau de démontrer qu’un tribunal du Québec constituait un ressort plus approprié.  La </w:t>
      </w:r>
      <w:r w:rsidRPr="00886CE1">
        <w:rPr>
          <w:rFonts w:eastAsiaTheme="minorHAnsi"/>
          <w:sz w:val="20"/>
          <w:lang w:val="fr-CA"/>
        </w:rPr>
        <w:t>cour d’appel a souscrit à l’ordonnance et aux motifs de la juge saisie de la motion</w:t>
      </w:r>
      <w:r w:rsidRPr="00886CE1">
        <w:rPr>
          <w:sz w:val="20"/>
          <w:lang w:val="fr-CA"/>
        </w:rPr>
        <w:t>.</w:t>
      </w:r>
    </w:p>
    <w:p w:rsidR="00886CE1" w:rsidRPr="00886CE1" w:rsidRDefault="00886CE1" w:rsidP="00886CE1">
      <w:pPr>
        <w:pStyle w:val="SCCNormalDoubleSpacing"/>
        <w:spacing w:line="240" w:lineRule="auto"/>
        <w:rPr>
          <w:sz w:val="20"/>
          <w:lang w:val="fr-CA"/>
        </w:rPr>
      </w:pPr>
    </w:p>
    <w:p w:rsidR="00886CE1" w:rsidRPr="00886CE1" w:rsidRDefault="00886CE1" w:rsidP="00886CE1">
      <w:pPr>
        <w:pStyle w:val="SCCNormalDoubleSpacing"/>
        <w:spacing w:line="240" w:lineRule="auto"/>
        <w:rPr>
          <w:sz w:val="20"/>
          <w:lang w:val="fr-CA"/>
        </w:rPr>
      </w:pPr>
      <w:r w:rsidRPr="00886CE1">
        <w:rPr>
          <w:sz w:val="20"/>
          <w:lang w:val="fr-CA"/>
        </w:rPr>
        <w:tab/>
      </w:r>
      <w:r w:rsidRPr="00886CE1">
        <w:rPr>
          <w:i/>
          <w:sz w:val="20"/>
          <w:lang w:val="fr-CA"/>
        </w:rPr>
        <w:t>Arrêt</w:t>
      </w:r>
      <w:r w:rsidRPr="00886CE1">
        <w:rPr>
          <w:sz w:val="20"/>
          <w:lang w:val="fr-CA"/>
        </w:rPr>
        <w:t> : Le pourvoi est rejeté.</w:t>
      </w:r>
    </w:p>
    <w:p w:rsidR="00886CE1" w:rsidRPr="00886CE1" w:rsidRDefault="00886CE1" w:rsidP="00886CE1">
      <w:pPr>
        <w:pStyle w:val="SCCNormalDoubleSpacing"/>
        <w:spacing w:line="240" w:lineRule="auto"/>
        <w:rPr>
          <w:sz w:val="20"/>
          <w:lang w:val="fr-CA"/>
        </w:rPr>
      </w:pPr>
    </w:p>
    <w:p w:rsidR="00886CE1" w:rsidRPr="00886CE1" w:rsidRDefault="00886CE1" w:rsidP="00886CE1">
      <w:pPr>
        <w:pStyle w:val="SCCNormalDoubleSpacing"/>
        <w:spacing w:line="240" w:lineRule="auto"/>
        <w:rPr>
          <w:sz w:val="20"/>
          <w:lang w:val="fr-CA"/>
        </w:rPr>
      </w:pPr>
      <w:r w:rsidRPr="00886CE1">
        <w:rPr>
          <w:sz w:val="20"/>
          <w:lang w:val="fr-CA"/>
        </w:rPr>
        <w:tab/>
        <w:t xml:space="preserve">Dans l’arrêt </w:t>
      </w:r>
      <w:r w:rsidRPr="00886CE1">
        <w:rPr>
          <w:i/>
          <w:sz w:val="20"/>
          <w:lang w:val="fr-CA"/>
        </w:rPr>
        <w:t>Club Resorts Ltd. c. Van Breda</w:t>
      </w:r>
      <w:r w:rsidRPr="00886CE1">
        <w:rPr>
          <w:sz w:val="20"/>
          <w:lang w:val="fr-CA"/>
        </w:rPr>
        <w:t xml:space="preserve">, 2012 CSC 17, notre Cour a exposé le cadre analytique qui devrait régir la déclaration de compétence suivant le critère du lien réel et substantiel établi en common law, ainsi que la façon dont il convient d’appliquer la doctrine du </w:t>
      </w:r>
      <w:r w:rsidRPr="00886CE1">
        <w:rPr>
          <w:i/>
          <w:sz w:val="20"/>
          <w:lang w:val="fr-CA"/>
        </w:rPr>
        <w:t>forum non conveniens</w:t>
      </w:r>
      <w:r w:rsidRPr="00886CE1">
        <w:rPr>
          <w:sz w:val="20"/>
          <w:lang w:val="fr-CA"/>
        </w:rPr>
        <w:t xml:space="preserve">.  L’application de ce cadre analytique en l’espèce permet clairement d’établir l’existence d’un lien réel et substantiel entre l’action de B et l’Ontario.  Le délit de diffamation allégué a eu lieu en Ontario puisque le livre a été distribué en Ontario.  À cette étape de l’instance, un demandeur n’a pas à démontrer qu’il y a eu préjudice ou que le livre a été lu; il n’a qu’à invoquer la diffusion du livre et ses allégations ne devraient pas être mises en doute à moins que le défendeur présente des éléments de preuve au contraire. La perpétration d’un délit en Ontario est reconnue comme facteur de rattachement créant une présomption de compétence </w:t>
      </w:r>
      <w:r w:rsidRPr="00886CE1">
        <w:rPr>
          <w:i/>
          <w:sz w:val="20"/>
          <w:lang w:val="fr-CA"/>
        </w:rPr>
        <w:t>prima facie</w:t>
      </w:r>
      <w:r w:rsidRPr="00886CE1">
        <w:rPr>
          <w:sz w:val="20"/>
          <w:lang w:val="fr-CA"/>
        </w:rPr>
        <w:t xml:space="preserve"> du tribunal ontarien à l’égard du litige.  Comme les appelants n’ont pas établi que seul un élément mineur du délit de diffamation s’est produit en Ontario, ils n’ont pas réfuté la présomption de compétence applicable en l’espèce.  En conséquence, la juge saisie de la motion s’est à bon droit déclarée compétente.</w:t>
      </w:r>
    </w:p>
    <w:p w:rsidR="00886CE1" w:rsidRPr="00886CE1" w:rsidRDefault="00886CE1" w:rsidP="00886CE1">
      <w:pPr>
        <w:pStyle w:val="SCCNormalDoubleSpacing"/>
        <w:spacing w:line="240" w:lineRule="auto"/>
        <w:rPr>
          <w:sz w:val="20"/>
          <w:lang w:val="fr-CA"/>
        </w:rPr>
      </w:pPr>
    </w:p>
    <w:p w:rsidR="00886CE1" w:rsidRPr="00886CE1" w:rsidRDefault="00886CE1" w:rsidP="00886CE1">
      <w:pPr>
        <w:pStyle w:val="SCCNormalDoubleSpacing"/>
        <w:spacing w:line="240" w:lineRule="auto"/>
        <w:rPr>
          <w:sz w:val="20"/>
          <w:lang w:val="fr-CA"/>
        </w:rPr>
      </w:pPr>
      <w:r w:rsidRPr="00886CE1">
        <w:rPr>
          <w:sz w:val="20"/>
          <w:lang w:val="fr-CA"/>
        </w:rPr>
        <w:tab/>
        <w:t xml:space="preserve">L’application de la doctrine du </w:t>
      </w:r>
      <w:r w:rsidRPr="00886CE1">
        <w:rPr>
          <w:i/>
          <w:sz w:val="20"/>
          <w:lang w:val="fr-CA"/>
        </w:rPr>
        <w:t>forum non conveniens</w:t>
      </w:r>
      <w:r w:rsidRPr="00886CE1">
        <w:rPr>
          <w:sz w:val="20"/>
          <w:lang w:val="fr-CA"/>
        </w:rPr>
        <w:t xml:space="preserve"> constitue un exercice du pouvoir discrétionnaire contrôlable selon le principe de déférence applicable aux décisions discrétionnaires : une cour d’appel ne devrait intervenir que si le juge a commis une erreur de principe, a mal interprété ou n’a pas pris en considération des éléments de preuve importants, ou a rendu une décision déraisonnable.  Divers facteurs peuvent être pris en compte dans une analyse relative au </w:t>
      </w:r>
      <w:r w:rsidRPr="00886CE1">
        <w:rPr>
          <w:i/>
          <w:sz w:val="20"/>
          <w:lang w:val="fr-CA"/>
        </w:rPr>
        <w:t>forum non conveniens</w:t>
      </w:r>
      <w:r w:rsidRPr="00886CE1">
        <w:rPr>
          <w:sz w:val="20"/>
          <w:lang w:val="fr-CA"/>
        </w:rPr>
        <w:t xml:space="preserve">.  Le droit applicable au délit constitue un de ces facteurs, en plus de ceux liés au coût de l’instance et à l’opportunité d’éviter la multiplicité des instances.  Étant donné que les éléments d’un délit comme la diffamation peuvent varier d’un ressort à un autre, un demandeur peut faire un choix stratégique et intenter une poursuite dans le ressort où il jouit du plus grand avantage juridique.  Il s’agit du problème bien connu de la « recherche du ressort le plus favorable » ou du « tourisme diffamatoire ».  Limiter le choix des lois qui s’offre au demandeur peut servir à mettre un frein à la recherche du tribunal le plus favorable.  La </w:t>
      </w:r>
      <w:r w:rsidRPr="00886CE1">
        <w:rPr>
          <w:i/>
          <w:sz w:val="20"/>
          <w:lang w:val="fr-CA"/>
        </w:rPr>
        <w:t>lex loci delicti</w:t>
      </w:r>
      <w:r w:rsidRPr="00886CE1">
        <w:rPr>
          <w:sz w:val="20"/>
          <w:lang w:val="fr-CA"/>
        </w:rPr>
        <w:t xml:space="preserve">, le lieu où le délit est survenu, a été adoptée comme principe général déterminant la loi applicable aux délits, mais on a laissé place à des exceptions à la règle générale quant aux délits tels la diffamation.  Bien que cette question n’ait pas à être tranchée en l’espèce, le lieu où la réputation a subi l’atteinte la plus substantielle pourrait constituer une solution de rechange possible à la </w:t>
      </w:r>
      <w:r w:rsidRPr="00886CE1">
        <w:rPr>
          <w:i/>
          <w:sz w:val="20"/>
          <w:lang w:val="fr-CA"/>
        </w:rPr>
        <w:t>lex loci delicti</w:t>
      </w:r>
      <w:r w:rsidRPr="00886CE1">
        <w:rPr>
          <w:sz w:val="20"/>
          <w:lang w:val="fr-CA"/>
        </w:rPr>
        <w:t xml:space="preserve"> comme principe régissant le choix du droit applicable dans les affaires de diffamation.  Il est établi en droit canadien que le délit de diffamation est commis dès qu’il y a diffusion destinée à un tiers.  Mais il est clair également que le préjudice découlant de la diffusion d’un propos diffamatoire ne réside pas dans la diffusion elle</w:t>
      </w:r>
      <w:r w:rsidRPr="00886CE1">
        <w:rPr>
          <w:sz w:val="20"/>
          <w:lang w:val="fr-CA"/>
        </w:rPr>
        <w:noBreakHyphen/>
        <w:t xml:space="preserve">même, mais plutôt dans le tort causé à la réputation du demandeur, et le droit canadien de la diffamation reconnaît depuis longtemps l’importance de l’endroit où la réputation est établie.  </w:t>
      </w:r>
    </w:p>
    <w:p w:rsidR="00886CE1" w:rsidRPr="00886CE1" w:rsidRDefault="00886CE1" w:rsidP="00886CE1">
      <w:pPr>
        <w:pStyle w:val="SCCNormalDoubleSpacing"/>
        <w:spacing w:line="240" w:lineRule="auto"/>
        <w:rPr>
          <w:sz w:val="20"/>
          <w:lang w:val="fr-CA"/>
        </w:rPr>
      </w:pPr>
    </w:p>
    <w:p w:rsidR="00886CE1" w:rsidRPr="00886CE1" w:rsidRDefault="00886CE1" w:rsidP="00886CE1">
      <w:pPr>
        <w:pStyle w:val="SCCNormalDoubleSpacing"/>
        <w:spacing w:line="240" w:lineRule="auto"/>
        <w:rPr>
          <w:sz w:val="20"/>
          <w:lang w:val="fr-CA"/>
        </w:rPr>
      </w:pPr>
      <w:r w:rsidRPr="00886CE1">
        <w:rPr>
          <w:sz w:val="20"/>
          <w:lang w:val="fr-CA"/>
        </w:rPr>
        <w:tab/>
        <w:t xml:space="preserve">En l’espèce, que l’on applique la règle de la </w:t>
      </w:r>
      <w:r w:rsidRPr="00886CE1">
        <w:rPr>
          <w:i/>
          <w:sz w:val="20"/>
          <w:lang w:val="fr-CA"/>
        </w:rPr>
        <w:t>lex loci delicti</w:t>
      </w:r>
      <w:r w:rsidRPr="00886CE1">
        <w:rPr>
          <w:sz w:val="20"/>
          <w:lang w:val="fr-CA"/>
        </w:rPr>
        <w:t xml:space="preserve"> ou que l’on envisage le lieu de l’atteinte la plus substantielle à la réputation, la loi applicable est celle de l’Ontario, et ce facteur, tout comme celui de l’avantage sur le plan juridique, milite en faveur de l’Ontario dans l’analyse du </w:t>
      </w:r>
      <w:r w:rsidRPr="00886CE1">
        <w:rPr>
          <w:i/>
          <w:sz w:val="20"/>
          <w:lang w:val="fr-CA"/>
        </w:rPr>
        <w:t>forum non conveniens</w:t>
      </w:r>
      <w:r w:rsidRPr="00886CE1">
        <w:rPr>
          <w:sz w:val="20"/>
          <w:lang w:val="fr-CA"/>
        </w:rPr>
        <w:t xml:space="preserve">.  Bien que la présente action ait des liens avec plus d’un ressort, compte tenu de la solidité du lien entre B et l’Ontario, il n’est pas du tout évident que B pratique le tourisme diffamatoire, et que le Québec constituerait un ressort nettement plus approprié.  La juge saisie de </w:t>
      </w:r>
      <w:r w:rsidRPr="00886CE1">
        <w:rPr>
          <w:sz w:val="20"/>
          <w:lang w:val="fr-CA"/>
        </w:rPr>
        <w:lastRenderedPageBreak/>
        <w:t>la motion n’a commis aucune erreur et a exercé correctement son pouvoir discrétionnaire en confirmant la compétence du tribunal ontarien à l’égard de l’action de B.</w:t>
      </w:r>
    </w:p>
    <w:p w:rsidR="00886CE1" w:rsidRPr="00886CE1" w:rsidRDefault="00886CE1" w:rsidP="00886CE1">
      <w:pPr>
        <w:pStyle w:val="SCCNormalDoubleSpacing"/>
        <w:spacing w:line="240" w:lineRule="auto"/>
        <w:rPr>
          <w:sz w:val="20"/>
          <w:lang w:val="fr-CA"/>
        </w:rPr>
      </w:pPr>
    </w:p>
    <w:p w:rsidR="00886CE1" w:rsidRPr="00886CE1" w:rsidRDefault="00886CE1" w:rsidP="00886CE1">
      <w:pPr>
        <w:pStyle w:val="SCCNormalDoubleSpacing"/>
        <w:widowControl w:val="0"/>
        <w:spacing w:line="240" w:lineRule="auto"/>
        <w:rPr>
          <w:sz w:val="20"/>
          <w:lang w:val="fr-CA"/>
        </w:rPr>
      </w:pPr>
      <w:r w:rsidRPr="00886CE1">
        <w:rPr>
          <w:sz w:val="20"/>
          <w:lang w:val="fr-CA"/>
        </w:rPr>
        <w:tab/>
        <w:t xml:space="preserve">POURVOI contre un arrêt de la Cour d’appel de l’Ontario (les juges </w:t>
      </w:r>
      <w:r w:rsidR="00A3677B" w:rsidRPr="003744C2">
        <w:rPr>
          <w:sz w:val="20"/>
        </w:rPr>
        <w:fldChar w:fldCharType="begin"/>
      </w:r>
      <w:r w:rsidRPr="00886CE1">
        <w:rPr>
          <w:sz w:val="20"/>
          <w:lang w:val="fr-CA"/>
        </w:rPr>
        <w:instrText xml:space="preserve"> SEQ CHAPTER \h \r 1</w:instrText>
      </w:r>
      <w:r w:rsidR="00A3677B" w:rsidRPr="003744C2">
        <w:rPr>
          <w:sz w:val="20"/>
        </w:rPr>
        <w:fldChar w:fldCharType="end"/>
      </w:r>
      <w:r w:rsidRPr="00886CE1">
        <w:rPr>
          <w:sz w:val="20"/>
          <w:lang w:val="fr-CA"/>
        </w:rPr>
        <w:t xml:space="preserve">Weiler, Blair et Rouleau), </w:t>
      </w:r>
      <w:r w:rsidR="00A3677B" w:rsidRPr="003744C2">
        <w:rPr>
          <w:sz w:val="20"/>
        </w:rPr>
        <w:fldChar w:fldCharType="begin"/>
      </w:r>
      <w:r w:rsidRPr="00886CE1">
        <w:rPr>
          <w:sz w:val="20"/>
          <w:lang w:val="fr-CA"/>
        </w:rPr>
        <w:instrText xml:space="preserve"> SEQ CHAPTER \h \r 1</w:instrText>
      </w:r>
      <w:r w:rsidR="00A3677B" w:rsidRPr="003744C2">
        <w:rPr>
          <w:sz w:val="20"/>
        </w:rPr>
        <w:fldChar w:fldCharType="end"/>
      </w:r>
      <w:r w:rsidRPr="00886CE1">
        <w:rPr>
          <w:sz w:val="20"/>
          <w:lang w:val="fr-CA"/>
        </w:rPr>
        <w:t xml:space="preserve">2010 ONCA 416 (CanLII), [2010] O.J. No. 2389 (QL), 2010 CarswellOnt 3776, qui a confirmé une décision de la juge Roberts, 2009 CanLII 7168, </w:t>
      </w:r>
      <w:r w:rsidR="00A3677B" w:rsidRPr="003744C2">
        <w:rPr>
          <w:sz w:val="20"/>
        </w:rPr>
        <w:fldChar w:fldCharType="begin"/>
      </w:r>
      <w:r w:rsidRPr="00886CE1">
        <w:rPr>
          <w:sz w:val="20"/>
          <w:lang w:val="fr-CA"/>
        </w:rPr>
        <w:instrText xml:space="preserve"> SEQ CHAPTER \h \r 1</w:instrText>
      </w:r>
      <w:r w:rsidR="00A3677B" w:rsidRPr="003744C2">
        <w:rPr>
          <w:sz w:val="20"/>
        </w:rPr>
        <w:fldChar w:fldCharType="end"/>
      </w:r>
      <w:r w:rsidRPr="00886CE1">
        <w:rPr>
          <w:sz w:val="20"/>
          <w:lang w:val="fr-CA"/>
        </w:rPr>
        <w:t>[2009] O.J. No. 733 (QL), 2009 CarswellOnt 915.  Pourvoi rejeté.</w:t>
      </w:r>
    </w:p>
    <w:p w:rsidR="00886CE1" w:rsidRPr="00886CE1" w:rsidRDefault="00886CE1" w:rsidP="00886CE1">
      <w:pPr>
        <w:pStyle w:val="SCCNormalDoubleSpacing"/>
        <w:widowControl w:val="0"/>
        <w:spacing w:line="240" w:lineRule="auto"/>
        <w:rPr>
          <w:sz w:val="20"/>
          <w:lang w:val="fr-CA"/>
        </w:rPr>
      </w:pPr>
    </w:p>
    <w:p w:rsidR="00886CE1" w:rsidRPr="00886CE1" w:rsidRDefault="00886CE1" w:rsidP="00886CE1">
      <w:pPr>
        <w:pStyle w:val="SCCNormalDoubleSpacing"/>
        <w:spacing w:line="240" w:lineRule="auto"/>
        <w:rPr>
          <w:sz w:val="20"/>
          <w:lang w:val="fr-CA"/>
        </w:rPr>
      </w:pPr>
      <w:r w:rsidRPr="00886CE1">
        <w:rPr>
          <w:i/>
          <w:sz w:val="20"/>
          <w:lang w:val="fr-CA"/>
        </w:rPr>
        <w:tab/>
        <w:t>William C. McDowell</w:t>
      </w:r>
      <w:r w:rsidRPr="00886CE1">
        <w:rPr>
          <w:sz w:val="20"/>
          <w:lang w:val="fr-CA"/>
        </w:rPr>
        <w:t xml:space="preserve">, </w:t>
      </w:r>
      <w:r w:rsidRPr="00886CE1">
        <w:rPr>
          <w:i/>
          <w:sz w:val="20"/>
          <w:lang w:val="fr-CA"/>
        </w:rPr>
        <w:t>Yashoda Ranganathan</w:t>
      </w:r>
      <w:r w:rsidRPr="00886CE1">
        <w:rPr>
          <w:sz w:val="20"/>
          <w:lang w:val="fr-CA"/>
        </w:rPr>
        <w:t xml:space="preserve"> et </w:t>
      </w:r>
      <w:r w:rsidRPr="00886CE1">
        <w:rPr>
          <w:i/>
          <w:sz w:val="20"/>
          <w:lang w:val="fr-CA"/>
        </w:rPr>
        <w:t>William Amos</w:t>
      </w:r>
      <w:r w:rsidRPr="00886CE1">
        <w:rPr>
          <w:sz w:val="20"/>
          <w:lang w:val="fr-CA"/>
        </w:rPr>
        <w:t>, pour les appelants.</w:t>
      </w:r>
    </w:p>
    <w:p w:rsidR="00886CE1" w:rsidRPr="00886CE1" w:rsidRDefault="00886CE1" w:rsidP="00886CE1">
      <w:pPr>
        <w:pStyle w:val="SCCNormalDoubleSpacing"/>
        <w:spacing w:line="240" w:lineRule="auto"/>
        <w:rPr>
          <w:i/>
          <w:sz w:val="20"/>
          <w:lang w:val="fr-CA"/>
        </w:rPr>
      </w:pPr>
    </w:p>
    <w:p w:rsidR="00886CE1" w:rsidRPr="00886CE1" w:rsidRDefault="00886CE1" w:rsidP="00886CE1">
      <w:pPr>
        <w:pStyle w:val="SCCNormalDoubleSpacing"/>
        <w:spacing w:line="240" w:lineRule="auto"/>
        <w:rPr>
          <w:sz w:val="20"/>
          <w:lang w:val="fr-CA"/>
        </w:rPr>
      </w:pPr>
      <w:r w:rsidRPr="00886CE1">
        <w:rPr>
          <w:i/>
          <w:sz w:val="20"/>
          <w:lang w:val="fr-CA"/>
        </w:rPr>
        <w:tab/>
        <w:t>Lorne Honickman</w:t>
      </w:r>
      <w:r w:rsidRPr="00886CE1">
        <w:rPr>
          <w:sz w:val="20"/>
          <w:lang w:val="fr-CA"/>
        </w:rPr>
        <w:t xml:space="preserve"> et </w:t>
      </w:r>
      <w:r w:rsidRPr="00886CE1">
        <w:rPr>
          <w:i/>
          <w:sz w:val="20"/>
          <w:lang w:val="fr-CA"/>
        </w:rPr>
        <w:t>Rory Barnable</w:t>
      </w:r>
      <w:r w:rsidRPr="00886CE1">
        <w:rPr>
          <w:sz w:val="20"/>
          <w:lang w:val="fr-CA"/>
        </w:rPr>
        <w:t>, pour l’intimée.</w:t>
      </w:r>
    </w:p>
    <w:p w:rsidR="00886CE1" w:rsidRPr="00886CE1" w:rsidRDefault="00886CE1" w:rsidP="00886CE1">
      <w:pPr>
        <w:pStyle w:val="SCCNormalDoubleSpacing"/>
        <w:spacing w:line="240" w:lineRule="auto"/>
        <w:rPr>
          <w:i/>
          <w:sz w:val="20"/>
          <w:lang w:val="fr-CA"/>
        </w:rPr>
      </w:pPr>
    </w:p>
    <w:p w:rsidR="00886CE1" w:rsidRPr="00886CE1" w:rsidRDefault="00886CE1" w:rsidP="00886CE1">
      <w:pPr>
        <w:pStyle w:val="SCCNormalDoubleSpacing"/>
        <w:spacing w:line="240" w:lineRule="auto"/>
        <w:rPr>
          <w:sz w:val="20"/>
          <w:lang w:val="fr-CA"/>
        </w:rPr>
      </w:pPr>
      <w:r w:rsidRPr="00886CE1">
        <w:rPr>
          <w:i/>
          <w:sz w:val="20"/>
          <w:lang w:val="fr-CA"/>
        </w:rPr>
        <w:tab/>
        <w:t>Karim Renno</w:t>
      </w:r>
      <w:r w:rsidRPr="00886CE1">
        <w:rPr>
          <w:sz w:val="20"/>
          <w:lang w:val="fr-CA"/>
        </w:rPr>
        <w:t xml:space="preserve">, </w:t>
      </w:r>
      <w:r w:rsidRPr="00886CE1">
        <w:rPr>
          <w:i/>
          <w:sz w:val="20"/>
          <w:lang w:val="fr-CA"/>
        </w:rPr>
        <w:t>Karine Chênevert</w:t>
      </w:r>
      <w:r w:rsidRPr="00886CE1">
        <w:rPr>
          <w:sz w:val="20"/>
          <w:lang w:val="fr-CA"/>
        </w:rPr>
        <w:t xml:space="preserve"> et </w:t>
      </w:r>
      <w:r w:rsidRPr="00886CE1">
        <w:rPr>
          <w:i/>
          <w:sz w:val="20"/>
          <w:lang w:val="fr-CA"/>
        </w:rPr>
        <w:t>Fady Hammal</w:t>
      </w:r>
      <w:r w:rsidRPr="00886CE1">
        <w:rPr>
          <w:sz w:val="20"/>
          <w:lang w:val="fr-CA"/>
        </w:rPr>
        <w:t>, pour l’intervenante l’Association canadienne des libertés civiles.</w:t>
      </w:r>
    </w:p>
    <w:p w:rsidR="00886CE1" w:rsidRPr="00886CE1" w:rsidRDefault="00886CE1" w:rsidP="00886CE1">
      <w:pPr>
        <w:pStyle w:val="SCCNormalDoubleSpacing"/>
        <w:spacing w:line="240" w:lineRule="auto"/>
        <w:rPr>
          <w:i/>
          <w:sz w:val="20"/>
          <w:lang w:val="fr-CA"/>
        </w:rPr>
      </w:pPr>
    </w:p>
    <w:p w:rsidR="00886CE1" w:rsidRPr="00886CE1" w:rsidRDefault="00886CE1" w:rsidP="00886CE1">
      <w:pPr>
        <w:pStyle w:val="SCCNormalDoubleSpacing"/>
        <w:spacing w:line="240" w:lineRule="auto"/>
        <w:rPr>
          <w:sz w:val="20"/>
          <w:lang w:val="fr-CA"/>
        </w:rPr>
      </w:pPr>
      <w:r w:rsidRPr="00886CE1">
        <w:rPr>
          <w:i/>
          <w:sz w:val="20"/>
          <w:lang w:val="fr-CA"/>
        </w:rPr>
        <w:tab/>
        <w:t xml:space="preserve">Jason B. Gratl </w:t>
      </w:r>
      <w:r w:rsidRPr="00886CE1">
        <w:rPr>
          <w:sz w:val="20"/>
          <w:lang w:val="fr-CA"/>
        </w:rPr>
        <w:t>et</w:t>
      </w:r>
      <w:r w:rsidRPr="00886CE1">
        <w:rPr>
          <w:i/>
          <w:sz w:val="20"/>
          <w:lang w:val="fr-CA"/>
        </w:rPr>
        <w:t xml:space="preserve"> Robert D. Holmes, c.r.,</w:t>
      </w:r>
      <w:r w:rsidRPr="00886CE1">
        <w:rPr>
          <w:sz w:val="20"/>
          <w:lang w:val="fr-CA"/>
        </w:rPr>
        <w:t xml:space="preserve"> pour l’intervenante l’Association des libertés civiles de la Colombie</w:t>
      </w:r>
      <w:r w:rsidRPr="00886CE1">
        <w:rPr>
          <w:sz w:val="20"/>
          <w:lang w:val="fr-CA"/>
        </w:rPr>
        <w:noBreakHyphen/>
        <w:t>Britannique.</w:t>
      </w:r>
    </w:p>
    <w:p w:rsidR="00886CE1" w:rsidRPr="00886CE1" w:rsidRDefault="00886CE1" w:rsidP="00886CE1">
      <w:pPr>
        <w:pStyle w:val="SCCLawFirm"/>
        <w:spacing w:line="240" w:lineRule="auto"/>
        <w:rPr>
          <w:sz w:val="20"/>
          <w:lang w:val="fr-CA"/>
        </w:rPr>
      </w:pPr>
    </w:p>
    <w:p w:rsidR="00886CE1" w:rsidRPr="00886CE1" w:rsidRDefault="00886CE1" w:rsidP="00886CE1">
      <w:pPr>
        <w:pStyle w:val="SCCLawFirm"/>
        <w:spacing w:line="240" w:lineRule="auto"/>
        <w:rPr>
          <w:sz w:val="20"/>
          <w:lang w:val="fr-CA"/>
        </w:rPr>
      </w:pPr>
      <w:r w:rsidRPr="00886CE1">
        <w:rPr>
          <w:sz w:val="20"/>
          <w:lang w:val="fr-CA"/>
        </w:rPr>
        <w:tab/>
        <w:t>Procureurs des appelants : Lenczner Slaght Royce Smith Griffin, Toronto.</w:t>
      </w:r>
    </w:p>
    <w:p w:rsidR="00886CE1" w:rsidRPr="00886CE1" w:rsidRDefault="00886CE1" w:rsidP="00886CE1">
      <w:pPr>
        <w:pStyle w:val="SCCLawFirm"/>
        <w:spacing w:line="240" w:lineRule="auto"/>
        <w:rPr>
          <w:sz w:val="20"/>
          <w:lang w:val="fr-CA"/>
        </w:rPr>
      </w:pPr>
    </w:p>
    <w:p w:rsidR="00886CE1" w:rsidRPr="00886CE1" w:rsidRDefault="00886CE1" w:rsidP="00886CE1">
      <w:pPr>
        <w:pStyle w:val="SCCLawFirm"/>
        <w:spacing w:line="240" w:lineRule="auto"/>
        <w:rPr>
          <w:sz w:val="20"/>
          <w:lang w:val="fr-CA"/>
        </w:rPr>
      </w:pPr>
      <w:r w:rsidRPr="00886CE1">
        <w:rPr>
          <w:sz w:val="20"/>
          <w:lang w:val="fr-CA"/>
        </w:rPr>
        <w:tab/>
        <w:t>Procureurs de l’intimé : McCague Peacock Borlack McInnis &amp; Lloyd, Toronto.</w:t>
      </w:r>
    </w:p>
    <w:p w:rsidR="00886CE1" w:rsidRPr="00886CE1" w:rsidRDefault="00886CE1" w:rsidP="00886CE1">
      <w:pPr>
        <w:pStyle w:val="SCCLawFirm"/>
        <w:spacing w:line="240" w:lineRule="auto"/>
        <w:rPr>
          <w:sz w:val="20"/>
          <w:lang w:val="fr-CA"/>
        </w:rPr>
      </w:pPr>
    </w:p>
    <w:p w:rsidR="00886CE1" w:rsidRPr="00886CE1" w:rsidRDefault="00886CE1" w:rsidP="00886CE1">
      <w:pPr>
        <w:pStyle w:val="SCCLawFirm"/>
        <w:spacing w:line="240" w:lineRule="auto"/>
        <w:rPr>
          <w:sz w:val="20"/>
          <w:lang w:val="fr-CA"/>
        </w:rPr>
      </w:pPr>
      <w:r w:rsidRPr="00886CE1">
        <w:rPr>
          <w:sz w:val="20"/>
          <w:lang w:val="fr-CA"/>
        </w:rPr>
        <w:tab/>
        <w:t>Procureurs de l’intervenante l’Association canadienne des libertés civiles : Osler, Hoskin &amp; Harcourt, Montréal.</w:t>
      </w:r>
    </w:p>
    <w:p w:rsidR="00886CE1" w:rsidRPr="00886CE1" w:rsidRDefault="00886CE1" w:rsidP="00886CE1">
      <w:pPr>
        <w:pStyle w:val="SCCLawFirm"/>
        <w:spacing w:line="240" w:lineRule="auto"/>
        <w:rPr>
          <w:sz w:val="20"/>
          <w:lang w:val="fr-CA"/>
        </w:rPr>
      </w:pPr>
    </w:p>
    <w:p w:rsidR="00886CE1" w:rsidRPr="00886CE1" w:rsidRDefault="00886CE1" w:rsidP="00886CE1">
      <w:pPr>
        <w:pStyle w:val="SCCLawFirm"/>
        <w:spacing w:line="240" w:lineRule="auto"/>
        <w:rPr>
          <w:sz w:val="20"/>
          <w:lang w:val="fr-CA"/>
        </w:rPr>
      </w:pPr>
      <w:r w:rsidRPr="00886CE1">
        <w:rPr>
          <w:sz w:val="20"/>
          <w:lang w:val="fr-CA"/>
        </w:rPr>
        <w:tab/>
        <w:t>Procureurs de l’intervenante l’Association des libertés civiles de la Colombie</w:t>
      </w:r>
      <w:r w:rsidRPr="00886CE1">
        <w:rPr>
          <w:sz w:val="20"/>
          <w:lang w:val="fr-CA"/>
        </w:rPr>
        <w:noBreakHyphen/>
        <w:t>Britannique : Holmes &amp; King, Vancouver.</w:t>
      </w:r>
    </w:p>
    <w:p w:rsidR="002E5EB4" w:rsidRDefault="002E5EB4" w:rsidP="003B3977">
      <w:pPr>
        <w:rPr>
          <w:sz w:val="20"/>
          <w:szCs w:val="20"/>
          <w:lang w:val="fr-CA"/>
        </w:rPr>
      </w:pPr>
    </w:p>
    <w:p w:rsidR="000D7A3F" w:rsidRDefault="00A3677B" w:rsidP="003B3977">
      <w:pPr>
        <w:rPr>
          <w:rFonts w:cs="Times New Roman"/>
          <w:sz w:val="20"/>
          <w:szCs w:val="20"/>
          <w:lang w:val="fr-CA"/>
        </w:rPr>
      </w:pPr>
      <w:r w:rsidRPr="00A3677B">
        <w:rPr>
          <w:rFonts w:cs="Times New Roman"/>
          <w:sz w:val="20"/>
          <w:szCs w:val="20"/>
          <w:lang w:val="fr-CA"/>
        </w:rPr>
        <w:pict>
          <v:rect id="_x0000_i1071" style="width:144.3pt;height:1pt" o:hrpct="300" o:hralign="center" o:hrstd="t" o:hrnoshade="t" o:hr="t" fillcolor="black [3213]" stroked="f"/>
        </w:pict>
      </w:r>
    </w:p>
    <w:p w:rsidR="000D7A3F" w:rsidRPr="00886CE1" w:rsidRDefault="000D7A3F" w:rsidP="003B3977">
      <w:pPr>
        <w:rPr>
          <w:sz w:val="20"/>
          <w:szCs w:val="20"/>
          <w:lang w:val="fr-CA"/>
        </w:rPr>
      </w:pPr>
    </w:p>
    <w:p w:rsidR="002E5EB4" w:rsidRPr="00886CE1" w:rsidRDefault="002E5EB4">
      <w:pPr>
        <w:rPr>
          <w:sz w:val="20"/>
          <w:szCs w:val="20"/>
          <w:lang w:val="fr-CA"/>
        </w:rPr>
      </w:pPr>
      <w:r w:rsidRPr="00886CE1">
        <w:rPr>
          <w:sz w:val="20"/>
          <w:szCs w:val="20"/>
          <w:lang w:val="fr-CA"/>
        </w:rPr>
        <w:br w:type="page"/>
      </w:r>
    </w:p>
    <w:p w:rsidR="002E5EB4" w:rsidRPr="002E5EB4" w:rsidRDefault="002E5EB4" w:rsidP="002E5EB4">
      <w:pPr>
        <w:rPr>
          <w:rFonts w:eastAsia="Calibri" w:cs="Times New Roman"/>
          <w:sz w:val="20"/>
          <w:szCs w:val="20"/>
        </w:rPr>
      </w:pPr>
      <w:r w:rsidRPr="00C233D6">
        <w:rPr>
          <w:rFonts w:eastAsia="Calibri" w:cs="Times New Roman"/>
          <w:i/>
          <w:sz w:val="20"/>
          <w:szCs w:val="20"/>
        </w:rPr>
        <w:lastRenderedPageBreak/>
        <w:t xml:space="preserve">Richard C. Breeden et al. v. Conrad Black et al. </w:t>
      </w:r>
      <w:r w:rsidRPr="002E5EB4">
        <w:rPr>
          <w:rFonts w:eastAsia="Calibri" w:cs="Times New Roman"/>
          <w:sz w:val="20"/>
          <w:szCs w:val="20"/>
        </w:rPr>
        <w:t>(Ont.) (33900)</w:t>
      </w:r>
    </w:p>
    <w:p w:rsidR="004241C2" w:rsidRPr="00A165CE" w:rsidRDefault="004241C2" w:rsidP="004241C2">
      <w:pPr>
        <w:jc w:val="both"/>
        <w:rPr>
          <w:b/>
          <w:sz w:val="20"/>
          <w:szCs w:val="20"/>
          <w:lang w:val="en-US"/>
        </w:rPr>
      </w:pPr>
      <w:r w:rsidRPr="00F8216D">
        <w:rPr>
          <w:b/>
          <w:sz w:val="20"/>
          <w:szCs w:val="20"/>
        </w:rPr>
        <w:t xml:space="preserve">Indexed as:  Breeden </w:t>
      </w:r>
      <w:r w:rsidRPr="00F8216D">
        <w:rPr>
          <w:b/>
          <w:i/>
          <w:sz w:val="20"/>
          <w:szCs w:val="20"/>
        </w:rPr>
        <w:t>v.</w:t>
      </w:r>
      <w:r w:rsidRPr="00F8216D">
        <w:rPr>
          <w:b/>
          <w:sz w:val="20"/>
          <w:szCs w:val="20"/>
        </w:rPr>
        <w:t xml:space="preserve"> Black</w:t>
      </w:r>
      <w:r>
        <w:rPr>
          <w:b/>
          <w:sz w:val="20"/>
          <w:szCs w:val="20"/>
        </w:rPr>
        <w:t xml:space="preserve"> / </w:t>
      </w:r>
      <w:r w:rsidRPr="00A165CE">
        <w:rPr>
          <w:b/>
          <w:sz w:val="20"/>
          <w:szCs w:val="20"/>
          <w:lang w:val="en-US"/>
        </w:rPr>
        <w:t xml:space="preserve">Répertorié : Breeden </w:t>
      </w:r>
      <w:r w:rsidRPr="00A165CE">
        <w:rPr>
          <w:b/>
          <w:i/>
          <w:sz w:val="20"/>
          <w:szCs w:val="20"/>
          <w:lang w:val="en-US"/>
        </w:rPr>
        <w:t>c.</w:t>
      </w:r>
      <w:r w:rsidRPr="00A165CE">
        <w:rPr>
          <w:b/>
          <w:sz w:val="20"/>
          <w:szCs w:val="20"/>
          <w:lang w:val="en-US"/>
        </w:rPr>
        <w:t xml:space="preserve"> Black</w:t>
      </w:r>
    </w:p>
    <w:p w:rsidR="002E5EB4" w:rsidRPr="004241C2" w:rsidRDefault="002E5EB4" w:rsidP="002E5EB4">
      <w:pPr>
        <w:pStyle w:val="SCCSystemYear"/>
        <w:jc w:val="both"/>
        <w:rPr>
          <w:sz w:val="20"/>
        </w:rPr>
      </w:pPr>
      <w:r w:rsidRPr="004241C2">
        <w:rPr>
          <w:sz w:val="20"/>
        </w:rPr>
        <w:t>Neutral citation:  2012 SCC 19 / Référence neutre : 2012 CSC 19</w:t>
      </w:r>
    </w:p>
    <w:p w:rsidR="002E5EB4" w:rsidRPr="00765815" w:rsidRDefault="002E5EB4" w:rsidP="002E5EB4">
      <w:pPr>
        <w:rPr>
          <w:sz w:val="20"/>
          <w:szCs w:val="20"/>
          <w:lang w:val="fr-CA"/>
        </w:rPr>
      </w:pPr>
      <w:r w:rsidRPr="00765815">
        <w:rPr>
          <w:sz w:val="20"/>
          <w:szCs w:val="20"/>
          <w:lang w:val="fr-CA"/>
        </w:rPr>
        <w:t>Hearing:  March 22, 2011 / Judgment:  April 18, 2012</w:t>
      </w:r>
    </w:p>
    <w:p w:rsidR="002E5EB4" w:rsidRPr="003B3977" w:rsidRDefault="002E5EB4" w:rsidP="002E5EB4">
      <w:pPr>
        <w:rPr>
          <w:sz w:val="20"/>
          <w:szCs w:val="20"/>
          <w:lang w:val="fr-CA"/>
        </w:rPr>
      </w:pPr>
      <w:r w:rsidRPr="003B3977">
        <w:rPr>
          <w:sz w:val="20"/>
          <w:szCs w:val="20"/>
          <w:lang w:val="fr-CA"/>
        </w:rPr>
        <w:t>Audition : Le 2</w:t>
      </w:r>
      <w:r>
        <w:rPr>
          <w:sz w:val="20"/>
          <w:szCs w:val="20"/>
          <w:lang w:val="fr-CA"/>
        </w:rPr>
        <w:t>2 m</w:t>
      </w:r>
      <w:r w:rsidRPr="003B3977">
        <w:rPr>
          <w:sz w:val="20"/>
          <w:szCs w:val="20"/>
          <w:lang w:val="fr-CA"/>
        </w:rPr>
        <w:t>a</w:t>
      </w:r>
      <w:r>
        <w:rPr>
          <w:sz w:val="20"/>
          <w:szCs w:val="20"/>
          <w:lang w:val="fr-CA"/>
        </w:rPr>
        <w:t>rs</w:t>
      </w:r>
      <w:r w:rsidRPr="003B3977">
        <w:rPr>
          <w:sz w:val="20"/>
          <w:szCs w:val="20"/>
          <w:lang w:val="fr-CA"/>
        </w:rPr>
        <w:t xml:space="preserve"> 201</w:t>
      </w:r>
      <w:r w:rsidR="00F276B6">
        <w:rPr>
          <w:sz w:val="20"/>
          <w:szCs w:val="20"/>
          <w:lang w:val="fr-CA"/>
        </w:rPr>
        <w:t>1</w:t>
      </w:r>
      <w:r w:rsidRPr="003B3977">
        <w:rPr>
          <w:sz w:val="20"/>
          <w:szCs w:val="20"/>
          <w:lang w:val="fr-CA"/>
        </w:rPr>
        <w:t xml:space="preserve"> / Jugement : Le </w:t>
      </w:r>
      <w:r>
        <w:rPr>
          <w:sz w:val="20"/>
          <w:szCs w:val="20"/>
          <w:lang w:val="fr-CA"/>
        </w:rPr>
        <w:t>1</w:t>
      </w:r>
      <w:r w:rsidRPr="003B3977">
        <w:rPr>
          <w:sz w:val="20"/>
          <w:szCs w:val="20"/>
          <w:lang w:val="fr-CA"/>
        </w:rPr>
        <w:t xml:space="preserve">8 </w:t>
      </w:r>
      <w:r>
        <w:rPr>
          <w:sz w:val="20"/>
          <w:szCs w:val="20"/>
          <w:lang w:val="fr-CA"/>
        </w:rPr>
        <w:t>av</w:t>
      </w:r>
      <w:r w:rsidRPr="003B3977">
        <w:rPr>
          <w:sz w:val="20"/>
          <w:szCs w:val="20"/>
          <w:lang w:val="fr-CA"/>
        </w:rPr>
        <w:t>r</w:t>
      </w:r>
      <w:r>
        <w:rPr>
          <w:sz w:val="20"/>
          <w:szCs w:val="20"/>
          <w:lang w:val="fr-CA"/>
        </w:rPr>
        <w:t>il</w:t>
      </w:r>
      <w:r w:rsidRPr="003B3977">
        <w:rPr>
          <w:sz w:val="20"/>
          <w:szCs w:val="20"/>
          <w:lang w:val="fr-CA"/>
        </w:rPr>
        <w:t xml:space="preserve"> 201</w:t>
      </w:r>
      <w:r>
        <w:rPr>
          <w:sz w:val="20"/>
          <w:szCs w:val="20"/>
          <w:lang w:val="fr-CA"/>
        </w:rPr>
        <w:t>2</w:t>
      </w:r>
    </w:p>
    <w:p w:rsidR="002E5EB4" w:rsidRPr="003B3977" w:rsidRDefault="00A3677B" w:rsidP="002E5EB4">
      <w:pPr>
        <w:rPr>
          <w:sz w:val="20"/>
          <w:szCs w:val="20"/>
          <w:lang w:val="fr-CA"/>
        </w:rPr>
      </w:pPr>
      <w:r w:rsidRPr="00A3677B">
        <w:rPr>
          <w:i/>
          <w:sz w:val="20"/>
          <w:szCs w:val="20"/>
        </w:rPr>
        <w:pict>
          <v:rect id="_x0000_i1072" style="width:480.95pt;height:1pt" o:hralign="center" o:hrstd="t" o:hrnoshade="t" o:hr="t" fillcolor="black [3213]" stroked="f"/>
        </w:pict>
      </w:r>
    </w:p>
    <w:p w:rsidR="002E5EB4" w:rsidRDefault="002E5EB4" w:rsidP="002E5EB4">
      <w:pPr>
        <w:spacing w:line="0" w:lineRule="atLeast"/>
        <w:rPr>
          <w:sz w:val="20"/>
          <w:szCs w:val="20"/>
          <w:lang w:val="fr-CA"/>
        </w:rPr>
      </w:pPr>
    </w:p>
    <w:p w:rsidR="004241C2" w:rsidRPr="0022176B" w:rsidRDefault="004241C2" w:rsidP="004241C2">
      <w:pPr>
        <w:jc w:val="both"/>
        <w:rPr>
          <w:sz w:val="20"/>
          <w:szCs w:val="20"/>
        </w:rPr>
      </w:pPr>
      <w:r w:rsidRPr="0022176B">
        <w:rPr>
          <w:sz w:val="20"/>
          <w:szCs w:val="20"/>
        </w:rPr>
        <w:t>Present:  McLachlin C.J. and Binnie,</w:t>
      </w:r>
      <w:r>
        <w:rPr>
          <w:sz w:val="20"/>
          <w:vertAlign w:val="superscript"/>
        </w:rPr>
        <w:t>*</w:t>
      </w:r>
      <w:r w:rsidRPr="0022176B">
        <w:rPr>
          <w:sz w:val="20"/>
          <w:szCs w:val="20"/>
        </w:rPr>
        <w:t xml:space="preserve"> LeBel, Deschamps, Fish, Abella, Charron,</w:t>
      </w:r>
      <w:r w:rsidRPr="0022176B">
        <w:rPr>
          <w:sz w:val="20"/>
          <w:szCs w:val="20"/>
          <w:vertAlign w:val="superscript"/>
        </w:rPr>
        <w:t>*</w:t>
      </w:r>
      <w:r w:rsidRPr="0022176B">
        <w:rPr>
          <w:sz w:val="20"/>
          <w:szCs w:val="20"/>
        </w:rPr>
        <w:t xml:space="preserve"> Rothstein and Cromwell JJ.</w:t>
      </w:r>
    </w:p>
    <w:p w:rsidR="004241C2" w:rsidRDefault="004241C2" w:rsidP="004241C2">
      <w:pPr>
        <w:pStyle w:val="SCCLowerCourtNameLowercase"/>
        <w:spacing w:line="240" w:lineRule="auto"/>
        <w:rPr>
          <w:sz w:val="20"/>
        </w:rPr>
      </w:pPr>
    </w:p>
    <w:p w:rsidR="004241C2" w:rsidRDefault="004241C2" w:rsidP="004241C2">
      <w:pPr>
        <w:pStyle w:val="SCCNormalDoubleSpacing"/>
        <w:spacing w:line="240" w:lineRule="auto"/>
        <w:rPr>
          <w:sz w:val="20"/>
        </w:rPr>
      </w:pPr>
      <w:r>
        <w:rPr>
          <w:sz w:val="20"/>
        </w:rPr>
        <w:t>(</w:t>
      </w:r>
      <w:r>
        <w:rPr>
          <w:sz w:val="20"/>
          <w:vertAlign w:val="superscript"/>
        </w:rPr>
        <w:t>*</w:t>
      </w:r>
      <w:r>
        <w:rPr>
          <w:sz w:val="20"/>
        </w:rPr>
        <w:t xml:space="preserve"> Binnie and Charron JJ. took no part in the judgment.)</w:t>
      </w:r>
    </w:p>
    <w:p w:rsidR="004241C2" w:rsidRDefault="004241C2" w:rsidP="004241C2">
      <w:pPr>
        <w:pStyle w:val="SCCNormalDoubleSpacing"/>
        <w:spacing w:line="240" w:lineRule="auto"/>
        <w:rPr>
          <w:sz w:val="20"/>
        </w:rPr>
      </w:pPr>
    </w:p>
    <w:p w:rsidR="004241C2" w:rsidRPr="00F8216D" w:rsidRDefault="004241C2" w:rsidP="004241C2">
      <w:pPr>
        <w:pStyle w:val="SCCNormalDoubleSpacing"/>
        <w:spacing w:line="240" w:lineRule="auto"/>
        <w:rPr>
          <w:i/>
          <w:sz w:val="20"/>
        </w:rPr>
      </w:pPr>
      <w:r w:rsidRPr="00F8216D">
        <w:rPr>
          <w:sz w:val="20"/>
        </w:rPr>
        <w:tab/>
      </w:r>
      <w:r w:rsidRPr="00F8216D">
        <w:rPr>
          <w:i/>
          <w:sz w:val="20"/>
        </w:rPr>
        <w:t>Private international law — Choice of forum — Court having jurisdiction — Forum non conveniens — Libel actions commenced in Ontario in respect of statements posted on U.S. company’s website and in its annual report and republished by three Canadian newspapers — Defendants bringing motion to stay the actions on the grounds that the Ontario court lacks jurisdiction or, alternatively, should decline to exercise its jurisdiction on the basis of forum non conveniens</w:t>
      </w:r>
      <w:r w:rsidRPr="00F8216D">
        <w:rPr>
          <w:sz w:val="20"/>
        </w:rPr>
        <w:t xml:space="preserve"> </w:t>
      </w:r>
      <w:r w:rsidRPr="00F8216D">
        <w:rPr>
          <w:i/>
          <w:sz w:val="20"/>
        </w:rPr>
        <w:t>— Whether the Ontario court can assume jurisdiction over the actions — If so, whether the Ontario court should decline to exercise its jurisdiction on the ground that the court of another jurisdiction is clearly a more appropriate forum for the hearing of the actions.</w:t>
      </w:r>
    </w:p>
    <w:p w:rsidR="004241C2" w:rsidRDefault="004241C2" w:rsidP="004241C2">
      <w:pPr>
        <w:pStyle w:val="SCCNormalDoubleSpacing"/>
        <w:spacing w:line="240" w:lineRule="auto"/>
        <w:rPr>
          <w:sz w:val="20"/>
        </w:rPr>
      </w:pPr>
    </w:p>
    <w:p w:rsidR="004241C2" w:rsidRPr="00F8216D" w:rsidRDefault="004241C2" w:rsidP="004241C2">
      <w:pPr>
        <w:pStyle w:val="SCCNormalDoubleSpacing"/>
        <w:spacing w:line="240" w:lineRule="auto"/>
        <w:rPr>
          <w:sz w:val="20"/>
        </w:rPr>
      </w:pPr>
      <w:r w:rsidRPr="00F8216D">
        <w:rPr>
          <w:sz w:val="20"/>
        </w:rPr>
        <w:tab/>
        <w:t>B is a well</w:t>
      </w:r>
      <w:r w:rsidRPr="00F8216D">
        <w:rPr>
          <w:sz w:val="20"/>
        </w:rPr>
        <w:noBreakHyphen/>
        <w:t>known business figure who established a reputation as a newspaper owner and publisher in Canada and internationally.  While B served as the chairman of a publicly traded U.S. company, the legitimacy of certain payments that had been made to B were questioned.  A special committee formed to conduct an investigation concluded that the company had made unauthorized payments to B.  The committee’s report was posted on the company’s website, which was accessible worldwide, along with press releases containing contact information directed at Canadian media.  Statements were also published in the company’s annual report summarizing the committee’s findings.</w:t>
      </w:r>
    </w:p>
    <w:p w:rsidR="004241C2" w:rsidRDefault="004241C2" w:rsidP="004241C2">
      <w:pPr>
        <w:pStyle w:val="SCCNormalDoubleSpacing"/>
        <w:spacing w:line="240" w:lineRule="auto"/>
        <w:rPr>
          <w:sz w:val="20"/>
        </w:rPr>
      </w:pPr>
    </w:p>
    <w:p w:rsidR="004241C2" w:rsidRPr="00F8216D" w:rsidRDefault="004241C2" w:rsidP="004241C2">
      <w:pPr>
        <w:pStyle w:val="SCCNormalDoubleSpacing"/>
        <w:spacing w:line="240" w:lineRule="auto"/>
        <w:rPr>
          <w:sz w:val="20"/>
        </w:rPr>
      </w:pPr>
      <w:r w:rsidRPr="00F8216D">
        <w:rPr>
          <w:sz w:val="20"/>
        </w:rPr>
        <w:tab/>
        <w:t>B commenced six libel actions in the Ontario Superior Court against the ten appellants, who are directors, advisors and a vice</w:t>
      </w:r>
      <w:r w:rsidRPr="00F8216D">
        <w:rPr>
          <w:sz w:val="20"/>
        </w:rPr>
        <w:noBreakHyphen/>
        <w:t>president of the company.  B alleges that the press releases and reports issued by the appellants and posted on the company’s website contained defamatory statements that were downloaded, read and republished in Ontario by three newspapers.  He claims damages for injury to his reputation in Ontario.</w:t>
      </w:r>
    </w:p>
    <w:p w:rsidR="004241C2" w:rsidRDefault="004241C2" w:rsidP="004241C2">
      <w:pPr>
        <w:pStyle w:val="SCCNormalDoubleSpacing"/>
        <w:spacing w:line="240" w:lineRule="auto"/>
        <w:rPr>
          <w:sz w:val="20"/>
        </w:rPr>
      </w:pPr>
    </w:p>
    <w:p w:rsidR="004241C2" w:rsidRPr="00F8216D" w:rsidRDefault="004241C2" w:rsidP="004241C2">
      <w:pPr>
        <w:pStyle w:val="SCCNormalDoubleSpacing"/>
        <w:spacing w:line="240" w:lineRule="auto"/>
        <w:rPr>
          <w:sz w:val="20"/>
        </w:rPr>
      </w:pPr>
      <w:r w:rsidRPr="00F8216D">
        <w:rPr>
          <w:sz w:val="20"/>
        </w:rPr>
        <w:tab/>
        <w:t xml:space="preserve">The appellants brought a motion to have the actions stayed on the grounds that there was no real and substantial connection between the actions and Ontario, or, alternatively, that a New York or Illinois court was the more appropriate forum.  The motion judge dismissed the motion, finding that a real and substantial connection to Ontario had been established and that Ontario was a convenient forum to hear the actions.  The Court of Appeal unanimously dismissed the appeal.  It found that a real and substantial connection was presumed to exist on the basis that a tort was committed in Ontario, and that the appellants had failed to rebut this presumption.  It also found that there was no basis on which to interfere with the motion judge’s exercise of discretion with regard to </w:t>
      </w:r>
      <w:r w:rsidRPr="00F8216D">
        <w:rPr>
          <w:i/>
          <w:sz w:val="20"/>
        </w:rPr>
        <w:t>forum non conveniens</w:t>
      </w:r>
      <w:r w:rsidRPr="00F8216D">
        <w:rPr>
          <w:sz w:val="20"/>
        </w:rPr>
        <w:t xml:space="preserve">. </w:t>
      </w:r>
    </w:p>
    <w:p w:rsidR="004241C2" w:rsidRDefault="004241C2" w:rsidP="004241C2">
      <w:pPr>
        <w:pStyle w:val="SCCNormalDoubleSpacing"/>
        <w:spacing w:line="240" w:lineRule="auto"/>
        <w:rPr>
          <w:sz w:val="20"/>
        </w:rPr>
      </w:pPr>
    </w:p>
    <w:p w:rsidR="004241C2" w:rsidRPr="00F8216D" w:rsidRDefault="004241C2" w:rsidP="004241C2">
      <w:pPr>
        <w:pStyle w:val="SCCNormalDoubleSpacing"/>
        <w:spacing w:line="240" w:lineRule="auto"/>
        <w:rPr>
          <w:sz w:val="20"/>
        </w:rPr>
      </w:pPr>
      <w:r w:rsidRPr="00F8216D">
        <w:rPr>
          <w:sz w:val="20"/>
        </w:rPr>
        <w:tab/>
      </w:r>
      <w:r w:rsidRPr="00F8216D">
        <w:rPr>
          <w:i/>
          <w:sz w:val="20"/>
        </w:rPr>
        <w:t>Held:</w:t>
      </w:r>
      <w:r w:rsidRPr="00F8216D">
        <w:rPr>
          <w:sz w:val="20"/>
        </w:rPr>
        <w:t xml:space="preserve">  The appeal should be dismissed.</w:t>
      </w:r>
    </w:p>
    <w:p w:rsidR="004241C2" w:rsidRDefault="004241C2" w:rsidP="004241C2">
      <w:pPr>
        <w:pStyle w:val="SCCNormalDoubleSpacing"/>
        <w:spacing w:line="240" w:lineRule="auto"/>
        <w:rPr>
          <w:sz w:val="20"/>
        </w:rPr>
      </w:pPr>
    </w:p>
    <w:p w:rsidR="004241C2" w:rsidRPr="00F8216D" w:rsidRDefault="004241C2" w:rsidP="004241C2">
      <w:pPr>
        <w:pStyle w:val="SCCNormalDoubleSpacing"/>
        <w:spacing w:line="240" w:lineRule="auto"/>
        <w:rPr>
          <w:sz w:val="20"/>
        </w:rPr>
      </w:pPr>
      <w:r w:rsidRPr="00F8216D">
        <w:rPr>
          <w:sz w:val="20"/>
        </w:rPr>
        <w:tab/>
        <w:t xml:space="preserve">In the case at bar, it is necessary to engage in the real and substantial connection analysis to determine whether the Ontario court may properly assume jurisdiction over the actions.  The framework for the assumption of jurisdiction was recently set out by this Court in </w:t>
      </w:r>
      <w:r w:rsidRPr="00F8216D">
        <w:rPr>
          <w:i/>
          <w:sz w:val="20"/>
        </w:rPr>
        <w:t>Club Resorts Ltd. v. Van Breda</w:t>
      </w:r>
      <w:r w:rsidRPr="00F8216D">
        <w:rPr>
          <w:sz w:val="20"/>
        </w:rPr>
        <w:t>, 2012 SCC 17.  The issue of assumption of jurisdiction is easily resolved in this case based on a presumptive connecting factor ― the alleged commission of the tort of defamation in Ontario.  It is well established in Canadian law that the tort of defamation occurs upon publication of a defamatory statement to a third party, which, in this case, occurred when the impugned statements were read, downloaded and republished in Ontario by three newspapers.  It is also well established that every repetition or republication of a defamatory statement constitutes a new publication, and that the original author of the statement may be held liable for the republication where it was authorized by the author or where the republication is the natural and probable result of the original publication.  The republication in the three newspapers of statements contained in press releases issued by the appellants clearly falls within the scope of this rule.  In the circumstances, the appellants have not displaced the presumption of jurisdiction that results from this connecting factor.</w:t>
      </w:r>
    </w:p>
    <w:p w:rsidR="004241C2" w:rsidRDefault="004241C2" w:rsidP="004241C2">
      <w:pPr>
        <w:pStyle w:val="SCCNormalDoubleSpacing"/>
        <w:spacing w:line="240" w:lineRule="auto"/>
        <w:rPr>
          <w:sz w:val="20"/>
        </w:rPr>
      </w:pPr>
    </w:p>
    <w:p w:rsidR="004241C2" w:rsidRPr="00F8216D" w:rsidRDefault="004241C2" w:rsidP="004241C2">
      <w:pPr>
        <w:pStyle w:val="SCCNormalDoubleSpacing"/>
        <w:spacing w:line="240" w:lineRule="auto"/>
        <w:rPr>
          <w:sz w:val="20"/>
        </w:rPr>
      </w:pPr>
      <w:r w:rsidRPr="00F8216D">
        <w:rPr>
          <w:sz w:val="20"/>
        </w:rPr>
        <w:lastRenderedPageBreak/>
        <w:tab/>
        <w:t xml:space="preserve">Having found that a real and substantial connection exists between the action and Ontario, it must be determined whether the Ontario court should decline to exercise its jurisdiction on the ground that the court of another jurisdiction is clearly a more appropriate forum for the hearing of the actions.  Under the </w:t>
      </w:r>
      <w:r w:rsidRPr="00F8216D">
        <w:rPr>
          <w:i/>
          <w:sz w:val="20"/>
        </w:rPr>
        <w:t>forum non conveniens</w:t>
      </w:r>
      <w:r w:rsidRPr="00F8216D">
        <w:rPr>
          <w:sz w:val="20"/>
        </w:rPr>
        <w:t xml:space="preserve"> analysis, the burden is on the party raising the issue to demonstrate that the court of the alternative jurisdiction is a clearly more appropriate forum.  The factors to be considered by a court in determining whether an alternative forum is clearly more appropriate are numerous and will vary depending on the context of each case.  The </w:t>
      </w:r>
      <w:r w:rsidRPr="00F8216D">
        <w:rPr>
          <w:i/>
          <w:sz w:val="20"/>
        </w:rPr>
        <w:t>forum non conveniens</w:t>
      </w:r>
      <w:r w:rsidRPr="00F8216D">
        <w:rPr>
          <w:sz w:val="20"/>
        </w:rPr>
        <w:t xml:space="preserve"> analysis does not require that all the factors point to a single forum, but it does require that one forum ultimately emerge as </w:t>
      </w:r>
      <w:r w:rsidRPr="00F8216D">
        <w:rPr>
          <w:i/>
          <w:sz w:val="20"/>
        </w:rPr>
        <w:t xml:space="preserve">clearly </w:t>
      </w:r>
      <w:r w:rsidRPr="00F8216D">
        <w:rPr>
          <w:sz w:val="20"/>
        </w:rPr>
        <w:t xml:space="preserve">more appropriate.  The decision not to exercise jurisdiction and to stay an action based on </w:t>
      </w:r>
      <w:r w:rsidRPr="00F8216D">
        <w:rPr>
          <w:i/>
          <w:sz w:val="20"/>
        </w:rPr>
        <w:t>forum non conveniens</w:t>
      </w:r>
      <w:r w:rsidRPr="00F8216D">
        <w:rPr>
          <w:sz w:val="20"/>
        </w:rPr>
        <w:t xml:space="preserve"> is a discretionary one, and the discretion exercised by a motion judge will be entitled to deference from higher courts, absent an error of legal principle or an apparent and serious error on the determination of relevant facts.</w:t>
      </w:r>
    </w:p>
    <w:p w:rsidR="004241C2" w:rsidRDefault="004241C2" w:rsidP="004241C2">
      <w:pPr>
        <w:pStyle w:val="SCCNormalDoubleSpacing"/>
        <w:spacing w:line="240" w:lineRule="auto"/>
        <w:rPr>
          <w:sz w:val="20"/>
        </w:rPr>
      </w:pPr>
    </w:p>
    <w:p w:rsidR="004241C2" w:rsidRDefault="004241C2" w:rsidP="004241C2">
      <w:pPr>
        <w:pStyle w:val="SCCNormalDoubleSpacing"/>
        <w:spacing w:line="240" w:lineRule="auto"/>
        <w:rPr>
          <w:sz w:val="20"/>
          <w:lang w:val="en-US"/>
        </w:rPr>
      </w:pPr>
      <w:r w:rsidRPr="00F8216D">
        <w:rPr>
          <w:sz w:val="20"/>
        </w:rPr>
        <w:tab/>
        <w:t xml:space="preserve">When the </w:t>
      </w:r>
      <w:r w:rsidRPr="00F8216D">
        <w:rPr>
          <w:i/>
          <w:sz w:val="20"/>
        </w:rPr>
        <w:t xml:space="preserve">forum non conveniens </w:t>
      </w:r>
      <w:r w:rsidRPr="00F8216D">
        <w:rPr>
          <w:sz w:val="20"/>
        </w:rPr>
        <w:t xml:space="preserve">analysis is applied to the circumstances of the instant appeal, it becomes apparent that both the courts of Illinois and Ontario are appropriate forums for the trial of the libel actions.  The factors of comparative convenience and expense for the parties and witnesses, location of the parties, avoidance of a multiplicity of proceedings and conflicting decisions </w:t>
      </w:r>
      <w:r w:rsidRPr="00F8216D">
        <w:rPr>
          <w:sz w:val="20"/>
          <w:lang w:val="en-US"/>
        </w:rPr>
        <w:t>and enforcement of judgment favour the Illinois court as a more appropriate forum</w:t>
      </w:r>
      <w:r w:rsidRPr="00F8216D">
        <w:rPr>
          <w:sz w:val="20"/>
        </w:rPr>
        <w:t xml:space="preserve">, whereas the factors of applicable law and fairness to the parties favour the Ontario court. </w:t>
      </w:r>
      <w:r w:rsidRPr="00F8216D">
        <w:rPr>
          <w:sz w:val="20"/>
          <w:lang w:val="en-US"/>
        </w:rPr>
        <w:t>In the end, however, considering the combined effect of the relevant facts, and in particular the weight of the alleged harm to B’s reputation in Ontario, and giving due deference to the motion judge’s decision, the Illinois court does not emerge as a clearly more appropriate forum than an Ontario court for the trial of the libel actions.</w:t>
      </w:r>
    </w:p>
    <w:p w:rsidR="004241C2" w:rsidRPr="00F8216D" w:rsidRDefault="004241C2" w:rsidP="004241C2">
      <w:pPr>
        <w:pStyle w:val="SCCNormalDoubleSpacing"/>
        <w:spacing w:line="240" w:lineRule="auto"/>
        <w:rPr>
          <w:sz w:val="20"/>
          <w:lang w:val="en-US"/>
        </w:rPr>
      </w:pPr>
    </w:p>
    <w:p w:rsidR="004241C2" w:rsidRPr="00F8216D" w:rsidRDefault="004241C2" w:rsidP="004241C2">
      <w:pPr>
        <w:pStyle w:val="SCCNormalDoubleSpacing"/>
        <w:widowControl w:val="0"/>
        <w:spacing w:line="240" w:lineRule="auto"/>
        <w:rPr>
          <w:sz w:val="20"/>
        </w:rPr>
      </w:pPr>
      <w:r w:rsidRPr="00F8216D">
        <w:rPr>
          <w:sz w:val="20"/>
        </w:rPr>
        <w:tab/>
        <w:t>APPEAL from a judgment of the Ontario Court of Appeal (</w:t>
      </w:r>
      <w:r w:rsidR="00A3677B" w:rsidRPr="00F8216D">
        <w:rPr>
          <w:sz w:val="20"/>
        </w:rPr>
        <w:fldChar w:fldCharType="begin"/>
      </w:r>
      <w:r w:rsidRPr="00F8216D">
        <w:rPr>
          <w:sz w:val="20"/>
        </w:rPr>
        <w:instrText xml:space="preserve"> SEQ CHAPTER \h \r 1</w:instrText>
      </w:r>
      <w:r w:rsidR="00A3677B" w:rsidRPr="00F8216D">
        <w:rPr>
          <w:sz w:val="20"/>
        </w:rPr>
        <w:fldChar w:fldCharType="end"/>
      </w:r>
      <w:r w:rsidRPr="00F8216D">
        <w:rPr>
          <w:sz w:val="20"/>
        </w:rPr>
        <w:t>Doherty, Juriansz and Karakatsanis JJ.A.), 2010 ONCA 547, 102 O.R. (3d) 748, 321 D.L.R. (4th) 659, 265 O.A.C. 177, 76 C.C.L.T. (3d) 52, 91 C.P.C. (6th) 94, [2010] O.J. No. 3423 (QL), 2010 CarswellOnt 5877, affirming a decision of Belobaba J., 309 D.L.R. (4th) 708, 73 C.P.C. (6th) 83, [2009] O.J. No. 1292 (QL), 2009 CarswellOnt 1730.  Appeal dismissed.</w:t>
      </w:r>
    </w:p>
    <w:p w:rsidR="004241C2" w:rsidRDefault="004241C2" w:rsidP="004241C2">
      <w:pPr>
        <w:pStyle w:val="SCCNormalDoubleSpacing"/>
        <w:widowControl w:val="0"/>
        <w:spacing w:line="240" w:lineRule="auto"/>
        <w:rPr>
          <w:i/>
          <w:sz w:val="20"/>
        </w:rPr>
      </w:pPr>
    </w:p>
    <w:p w:rsidR="004241C2" w:rsidRPr="00F8216D" w:rsidRDefault="004241C2" w:rsidP="004241C2">
      <w:pPr>
        <w:pStyle w:val="SCCNormalDoubleSpacing"/>
        <w:widowControl w:val="0"/>
        <w:spacing w:line="240" w:lineRule="auto"/>
        <w:rPr>
          <w:sz w:val="20"/>
        </w:rPr>
      </w:pPr>
      <w:r w:rsidRPr="00F8216D">
        <w:rPr>
          <w:i/>
          <w:sz w:val="20"/>
        </w:rPr>
        <w:tab/>
        <w:t>Paul B. Schabas</w:t>
      </w:r>
      <w:r w:rsidRPr="00F8216D">
        <w:rPr>
          <w:sz w:val="20"/>
        </w:rPr>
        <w:t xml:space="preserve">, </w:t>
      </w:r>
      <w:r w:rsidRPr="00F8216D">
        <w:rPr>
          <w:i/>
          <w:sz w:val="20"/>
        </w:rPr>
        <w:t>Ryder L. Gilliland</w:t>
      </w:r>
      <w:r w:rsidRPr="00F8216D">
        <w:rPr>
          <w:sz w:val="20"/>
        </w:rPr>
        <w:t xml:space="preserve"> and </w:t>
      </w:r>
      <w:r w:rsidRPr="00F8216D">
        <w:rPr>
          <w:i/>
          <w:sz w:val="20"/>
        </w:rPr>
        <w:t>Erin Hoult</w:t>
      </w:r>
      <w:r w:rsidRPr="00F8216D">
        <w:rPr>
          <w:sz w:val="20"/>
        </w:rPr>
        <w:t>, for the appellants Richard C. Breeden and Richard C. Breeden &amp; Co.</w:t>
      </w:r>
    </w:p>
    <w:p w:rsidR="004241C2" w:rsidRDefault="004241C2" w:rsidP="004241C2">
      <w:pPr>
        <w:pStyle w:val="SCCNormalDoubleSpacing"/>
        <w:widowControl w:val="0"/>
        <w:spacing w:line="240" w:lineRule="auto"/>
        <w:rPr>
          <w:i/>
          <w:sz w:val="20"/>
        </w:rPr>
      </w:pPr>
    </w:p>
    <w:p w:rsidR="004241C2" w:rsidRPr="00F8216D" w:rsidRDefault="004241C2" w:rsidP="004241C2">
      <w:pPr>
        <w:pStyle w:val="SCCNormalDoubleSpacing"/>
        <w:widowControl w:val="0"/>
        <w:spacing w:line="240" w:lineRule="auto"/>
        <w:rPr>
          <w:sz w:val="20"/>
        </w:rPr>
      </w:pPr>
      <w:r w:rsidRPr="00F8216D">
        <w:rPr>
          <w:i/>
          <w:sz w:val="20"/>
        </w:rPr>
        <w:tab/>
        <w:t>Robert W. Staley</w:t>
      </w:r>
      <w:r w:rsidRPr="00F8216D">
        <w:rPr>
          <w:sz w:val="20"/>
        </w:rPr>
        <w:t xml:space="preserve"> and </w:t>
      </w:r>
      <w:r w:rsidRPr="00F8216D">
        <w:rPr>
          <w:i/>
          <w:sz w:val="20"/>
        </w:rPr>
        <w:t>Julia Schatz</w:t>
      </w:r>
      <w:r w:rsidRPr="00F8216D">
        <w:rPr>
          <w:sz w:val="20"/>
        </w:rPr>
        <w:t>, for the appellants Gordon A. Paris, James R. Thompson, Richard D. Burt, Graham W. Savage, Raymond G.H. Seitz, Paul B. Healy, Shmuel Meitar and Henry A. Kissinger.</w:t>
      </w:r>
    </w:p>
    <w:p w:rsidR="004241C2" w:rsidRDefault="004241C2" w:rsidP="004241C2">
      <w:pPr>
        <w:pStyle w:val="SCCNormalDoubleSpacing"/>
        <w:widowControl w:val="0"/>
        <w:spacing w:line="240" w:lineRule="auto"/>
        <w:rPr>
          <w:i/>
          <w:sz w:val="20"/>
        </w:rPr>
      </w:pPr>
    </w:p>
    <w:p w:rsidR="004241C2" w:rsidRPr="00F8216D" w:rsidRDefault="004241C2" w:rsidP="004241C2">
      <w:pPr>
        <w:pStyle w:val="SCCNormalDoubleSpacing"/>
        <w:widowControl w:val="0"/>
        <w:spacing w:line="240" w:lineRule="auto"/>
        <w:rPr>
          <w:sz w:val="20"/>
        </w:rPr>
      </w:pPr>
      <w:r w:rsidRPr="00F8216D">
        <w:rPr>
          <w:i/>
          <w:sz w:val="20"/>
        </w:rPr>
        <w:tab/>
        <w:t>Earl A. Cherniak, Q.C.</w:t>
      </w:r>
      <w:r w:rsidRPr="00F8216D">
        <w:rPr>
          <w:sz w:val="20"/>
        </w:rPr>
        <w:t xml:space="preserve">, </w:t>
      </w:r>
      <w:r w:rsidRPr="00F8216D">
        <w:rPr>
          <w:i/>
          <w:sz w:val="20"/>
        </w:rPr>
        <w:t>Kirk F. Stevens and Lisa C. Munro</w:t>
      </w:r>
      <w:r w:rsidRPr="00F8216D">
        <w:rPr>
          <w:sz w:val="20"/>
        </w:rPr>
        <w:t>, for the respondent.</w:t>
      </w:r>
    </w:p>
    <w:p w:rsidR="004241C2" w:rsidRDefault="004241C2" w:rsidP="004241C2">
      <w:pPr>
        <w:pStyle w:val="SCCNormalDoubleSpacing"/>
        <w:widowControl w:val="0"/>
        <w:spacing w:line="240" w:lineRule="auto"/>
        <w:rPr>
          <w:i/>
          <w:sz w:val="20"/>
        </w:rPr>
      </w:pPr>
    </w:p>
    <w:p w:rsidR="004241C2" w:rsidRPr="00F8216D" w:rsidRDefault="004241C2" w:rsidP="004241C2">
      <w:pPr>
        <w:pStyle w:val="SCCNormalDoubleSpacing"/>
        <w:widowControl w:val="0"/>
        <w:spacing w:line="240" w:lineRule="auto"/>
        <w:rPr>
          <w:sz w:val="20"/>
        </w:rPr>
      </w:pPr>
      <w:r w:rsidRPr="00F8216D">
        <w:rPr>
          <w:i/>
          <w:sz w:val="20"/>
        </w:rPr>
        <w:tab/>
        <w:t>Robert D. Holmes</w:t>
      </w:r>
      <w:r w:rsidRPr="00F8216D">
        <w:rPr>
          <w:sz w:val="20"/>
        </w:rPr>
        <w:t xml:space="preserve">, </w:t>
      </w:r>
      <w:r w:rsidRPr="00F8216D">
        <w:rPr>
          <w:i/>
          <w:sz w:val="20"/>
        </w:rPr>
        <w:t>Q.C.</w:t>
      </w:r>
      <w:r w:rsidRPr="00F8216D">
        <w:rPr>
          <w:sz w:val="20"/>
        </w:rPr>
        <w:t>, for the intervener.</w:t>
      </w:r>
    </w:p>
    <w:p w:rsidR="004241C2" w:rsidRDefault="004241C2" w:rsidP="004241C2">
      <w:pPr>
        <w:pStyle w:val="SCCNormalDoubleSpacing"/>
        <w:widowControl w:val="0"/>
        <w:spacing w:line="240" w:lineRule="auto"/>
        <w:rPr>
          <w:i/>
          <w:sz w:val="20"/>
        </w:rPr>
      </w:pPr>
    </w:p>
    <w:p w:rsidR="004241C2" w:rsidRPr="00F8216D" w:rsidRDefault="004241C2" w:rsidP="004241C2">
      <w:pPr>
        <w:pStyle w:val="SCCNormalDoubleSpacing"/>
        <w:widowControl w:val="0"/>
        <w:spacing w:line="240" w:lineRule="auto"/>
        <w:rPr>
          <w:i/>
          <w:sz w:val="20"/>
        </w:rPr>
      </w:pPr>
      <w:r w:rsidRPr="00F8216D">
        <w:rPr>
          <w:i/>
          <w:sz w:val="20"/>
        </w:rPr>
        <w:tab/>
        <w:t>Solicitors for the appellants Richard C. Breeden and Richard C. Breeden &amp; Co.:  Blake, Cassels &amp; Graydon, Toronto.</w:t>
      </w:r>
    </w:p>
    <w:p w:rsidR="004241C2" w:rsidRDefault="004241C2" w:rsidP="004241C2">
      <w:pPr>
        <w:pStyle w:val="SCCLawFirm"/>
        <w:widowControl w:val="0"/>
        <w:spacing w:line="240" w:lineRule="auto"/>
        <w:rPr>
          <w:sz w:val="20"/>
        </w:rPr>
      </w:pPr>
    </w:p>
    <w:p w:rsidR="004241C2" w:rsidRPr="00F8216D" w:rsidRDefault="004241C2" w:rsidP="004241C2">
      <w:pPr>
        <w:pStyle w:val="SCCLawFirm"/>
        <w:widowControl w:val="0"/>
        <w:spacing w:line="240" w:lineRule="auto"/>
        <w:rPr>
          <w:sz w:val="20"/>
        </w:rPr>
      </w:pPr>
      <w:r w:rsidRPr="00F8216D">
        <w:rPr>
          <w:sz w:val="20"/>
        </w:rPr>
        <w:tab/>
        <w:t>Solicitors for the appellants Gordon A. Paris, James R. Thompson, Richard D. Burt, Graham W. Savage, Raymond G.H. Seitz, Paul B Healy, Shmuel Meitar and Henry A. Kissinger:  Bennett Jones, Toronto.</w:t>
      </w:r>
    </w:p>
    <w:p w:rsidR="004241C2" w:rsidRDefault="004241C2" w:rsidP="004241C2">
      <w:pPr>
        <w:pStyle w:val="SCCLawFirm"/>
        <w:widowControl w:val="0"/>
        <w:spacing w:line="240" w:lineRule="auto"/>
        <w:rPr>
          <w:sz w:val="20"/>
        </w:rPr>
      </w:pPr>
    </w:p>
    <w:p w:rsidR="004241C2" w:rsidRPr="00F8216D" w:rsidRDefault="004241C2" w:rsidP="004241C2">
      <w:pPr>
        <w:pStyle w:val="SCCLawFirm"/>
        <w:widowControl w:val="0"/>
        <w:spacing w:line="240" w:lineRule="auto"/>
        <w:rPr>
          <w:sz w:val="20"/>
        </w:rPr>
      </w:pPr>
      <w:r w:rsidRPr="00F8216D">
        <w:rPr>
          <w:sz w:val="20"/>
        </w:rPr>
        <w:tab/>
        <w:t>Solicitors for the respondent:  Lerners, Toronto.</w:t>
      </w:r>
    </w:p>
    <w:p w:rsidR="004241C2" w:rsidRDefault="004241C2" w:rsidP="004241C2">
      <w:pPr>
        <w:pStyle w:val="SCCLawFirm"/>
        <w:spacing w:line="240" w:lineRule="auto"/>
        <w:rPr>
          <w:sz w:val="20"/>
        </w:rPr>
      </w:pPr>
    </w:p>
    <w:p w:rsidR="004241C2" w:rsidRDefault="004241C2" w:rsidP="004241C2">
      <w:pPr>
        <w:pStyle w:val="SCCLawFirm"/>
        <w:spacing w:line="240" w:lineRule="auto"/>
        <w:rPr>
          <w:sz w:val="20"/>
        </w:rPr>
      </w:pPr>
      <w:r w:rsidRPr="00F8216D">
        <w:rPr>
          <w:sz w:val="20"/>
        </w:rPr>
        <w:tab/>
        <w:t>Solicitors for the intervener:  Holmes &amp; King, Vancouver.</w:t>
      </w:r>
    </w:p>
    <w:p w:rsidR="002E5EB4" w:rsidRPr="004241C2" w:rsidRDefault="002E5EB4" w:rsidP="002E5EB4">
      <w:pPr>
        <w:rPr>
          <w:sz w:val="20"/>
          <w:szCs w:val="20"/>
          <w:lang w:val="fr-CA"/>
        </w:rPr>
      </w:pPr>
      <w:r w:rsidRPr="004241C2">
        <w:rPr>
          <w:sz w:val="20"/>
          <w:szCs w:val="20"/>
          <w:lang w:val="fr-CA"/>
        </w:rPr>
        <w:t>________________________</w:t>
      </w:r>
    </w:p>
    <w:p w:rsidR="002E5EB4" w:rsidRPr="004241C2" w:rsidRDefault="002E5EB4" w:rsidP="002E5EB4">
      <w:pPr>
        <w:rPr>
          <w:sz w:val="20"/>
          <w:szCs w:val="20"/>
          <w:lang w:val="fr-CA"/>
        </w:rPr>
      </w:pPr>
    </w:p>
    <w:p w:rsidR="004241C2" w:rsidRPr="00886CE1" w:rsidRDefault="004241C2" w:rsidP="004241C2">
      <w:pPr>
        <w:pStyle w:val="ListParagraph"/>
        <w:ind w:left="0"/>
        <w:jc w:val="both"/>
        <w:rPr>
          <w:sz w:val="20"/>
          <w:szCs w:val="20"/>
          <w:lang w:val="fr-CA"/>
        </w:rPr>
      </w:pPr>
      <w:r w:rsidRPr="00886CE1">
        <w:rPr>
          <w:sz w:val="20"/>
          <w:szCs w:val="20"/>
          <w:lang w:val="fr-CA"/>
        </w:rPr>
        <w:t>Présents : La juge en chef McLachlin et les juges Binnie</w:t>
      </w:r>
      <w:r w:rsidR="006B3AEE">
        <w:rPr>
          <w:sz w:val="20"/>
          <w:szCs w:val="20"/>
          <w:vertAlign w:val="superscript"/>
          <w:lang w:val="fr-CA"/>
        </w:rPr>
        <w:t>*</w:t>
      </w:r>
      <w:r w:rsidRPr="00886CE1">
        <w:rPr>
          <w:sz w:val="20"/>
          <w:szCs w:val="20"/>
          <w:lang w:val="fr-CA"/>
        </w:rPr>
        <w:t>, LeBel, Deschamps, Fish, Abella, Charron</w:t>
      </w:r>
      <w:r w:rsidRPr="00886CE1">
        <w:rPr>
          <w:rStyle w:val="FootnoteReference"/>
          <w:sz w:val="20"/>
          <w:szCs w:val="20"/>
          <w:lang w:val="fr-CA"/>
        </w:rPr>
        <w:t>*</w:t>
      </w:r>
      <w:r w:rsidRPr="00886CE1">
        <w:rPr>
          <w:sz w:val="20"/>
          <w:szCs w:val="20"/>
          <w:lang w:val="fr-CA"/>
        </w:rPr>
        <w:t>, Rothstein et Cromwell.</w:t>
      </w:r>
    </w:p>
    <w:p w:rsidR="004241C2" w:rsidRPr="00886CE1" w:rsidRDefault="004241C2" w:rsidP="004241C2">
      <w:pPr>
        <w:pStyle w:val="SCCLowerCourtNameLowercase"/>
        <w:spacing w:line="240" w:lineRule="auto"/>
        <w:rPr>
          <w:sz w:val="20"/>
          <w:lang w:val="fr-CA"/>
        </w:rPr>
      </w:pPr>
    </w:p>
    <w:p w:rsidR="004241C2" w:rsidRPr="004241C2" w:rsidRDefault="004241C2" w:rsidP="004241C2">
      <w:pPr>
        <w:pStyle w:val="SCCNormalDoubleSpacing"/>
        <w:spacing w:line="240" w:lineRule="auto"/>
        <w:rPr>
          <w:sz w:val="20"/>
          <w:lang w:val="fr-CA"/>
        </w:rPr>
      </w:pPr>
      <w:r>
        <w:rPr>
          <w:sz w:val="20"/>
          <w:lang w:val="fr-CA"/>
        </w:rPr>
        <w:t>(</w:t>
      </w:r>
      <w:r>
        <w:rPr>
          <w:sz w:val="20"/>
          <w:vertAlign w:val="superscript"/>
          <w:lang w:val="fr-CA"/>
        </w:rPr>
        <w:t>*</w:t>
      </w:r>
      <w:r>
        <w:rPr>
          <w:sz w:val="20"/>
          <w:lang w:val="fr-CA"/>
        </w:rPr>
        <w:t xml:space="preserve"> Les juges Binnie et Charron n’ont pas participé au jugement.)</w:t>
      </w:r>
    </w:p>
    <w:p w:rsidR="004241C2" w:rsidRPr="004241C2" w:rsidRDefault="004241C2" w:rsidP="004241C2">
      <w:pPr>
        <w:pStyle w:val="SCCNormalDoubleSpacing"/>
        <w:spacing w:line="240" w:lineRule="auto"/>
        <w:rPr>
          <w:sz w:val="20"/>
          <w:lang w:val="fr-CA"/>
        </w:rPr>
      </w:pPr>
    </w:p>
    <w:p w:rsidR="004241C2" w:rsidRPr="004241C2" w:rsidRDefault="004241C2" w:rsidP="004241C2">
      <w:pPr>
        <w:pStyle w:val="SCCNormalDoubleSpacing"/>
        <w:spacing w:line="240" w:lineRule="auto"/>
        <w:rPr>
          <w:i/>
          <w:sz w:val="20"/>
          <w:lang w:val="fr-CA"/>
        </w:rPr>
      </w:pPr>
      <w:r w:rsidRPr="004241C2">
        <w:rPr>
          <w:sz w:val="20"/>
          <w:lang w:val="fr-CA"/>
        </w:rPr>
        <w:tab/>
      </w:r>
      <w:r w:rsidRPr="004241C2">
        <w:rPr>
          <w:i/>
          <w:sz w:val="20"/>
          <w:lang w:val="fr-CA"/>
        </w:rPr>
        <w:t xml:space="preserve">Droit international privé — Choix du tribunal — Juridiction compétente — Forum non conveniens — Actions en diffamation introduites en Ontario relativement à certains propos publiés sur le site Web et dans le rapport annuel d’une société américaine, et repris par trois journaux canadiens — Demande de suspension de l’instance par les défendeurs au motif que le tribunal ontarien n’a pas compétence ou, subsidiairement, qu’il devrait décliner compétence </w:t>
      </w:r>
      <w:r w:rsidRPr="004241C2">
        <w:rPr>
          <w:i/>
          <w:sz w:val="20"/>
          <w:lang w:val="fr-CA"/>
        </w:rPr>
        <w:lastRenderedPageBreak/>
        <w:t>pour cause de forum non conveniens</w:t>
      </w:r>
      <w:r w:rsidRPr="004241C2">
        <w:rPr>
          <w:sz w:val="20"/>
          <w:lang w:val="fr-CA"/>
        </w:rPr>
        <w:t xml:space="preserve"> </w:t>
      </w:r>
      <w:r w:rsidRPr="004241C2">
        <w:rPr>
          <w:i/>
          <w:sz w:val="20"/>
          <w:lang w:val="fr-CA"/>
        </w:rPr>
        <w:t>— Le tribunal ontarien peut</w:t>
      </w:r>
      <w:r w:rsidRPr="004241C2">
        <w:rPr>
          <w:i/>
          <w:sz w:val="20"/>
          <w:lang w:val="fr-CA"/>
        </w:rPr>
        <w:noBreakHyphen/>
        <w:t>il se déclarer compétent à l’égard des actions? — Dans l’affirmative, le tribunal ontarien devrait</w:t>
      </w:r>
      <w:r w:rsidRPr="004241C2">
        <w:rPr>
          <w:i/>
          <w:sz w:val="20"/>
          <w:lang w:val="fr-CA"/>
        </w:rPr>
        <w:noBreakHyphen/>
        <w:t>il refuser d’exercer sa compétence au motif que le tribunal d’un autre ressort est nettement plus approprié pour instruire les actions?</w:t>
      </w:r>
    </w:p>
    <w:p w:rsidR="004241C2" w:rsidRDefault="004241C2" w:rsidP="00717874">
      <w:pPr>
        <w:pStyle w:val="ParaNoNdepar-AltN"/>
        <w:numPr>
          <w:ilvl w:val="0"/>
          <w:numId w:val="0"/>
        </w:numPr>
        <w:spacing w:before="0" w:after="0" w:line="240" w:lineRule="auto"/>
        <w:rPr>
          <w:sz w:val="20"/>
          <w:szCs w:val="20"/>
          <w:lang w:val="fr-CA"/>
        </w:rPr>
      </w:pPr>
    </w:p>
    <w:p w:rsidR="004241C2" w:rsidRPr="00A165CE" w:rsidRDefault="004241C2" w:rsidP="00717874">
      <w:pPr>
        <w:pStyle w:val="ParaNoNdepar-AltN"/>
        <w:numPr>
          <w:ilvl w:val="0"/>
          <w:numId w:val="0"/>
        </w:numPr>
        <w:spacing w:before="0" w:after="0" w:line="240" w:lineRule="auto"/>
        <w:rPr>
          <w:sz w:val="20"/>
          <w:szCs w:val="20"/>
          <w:lang w:val="fr-CA"/>
        </w:rPr>
      </w:pPr>
      <w:r w:rsidRPr="00A165CE">
        <w:rPr>
          <w:sz w:val="20"/>
          <w:szCs w:val="20"/>
          <w:lang w:val="fr-CA"/>
        </w:rPr>
        <w:tab/>
        <w:t>B est un homme d’affaires bien connu qui s’est bâti une réputation de propriétaire de journaux et d’éditeur au Canada et à l’échelle internationale.  Alors qu’il était président d’une société ouverte américaine, la légitimité de certains paiements qui lui avaient été versés a été mise en doute.  Un comité spécial chargé de mener une enquête a conclu que la société avait fait des paiements non autorisés à B.  Le rapport du comité, ainsi que des communiqués de presse contenant des coordonnées destinées aux médias canadiens, ont été affichés sur le site Web de la société, lequel était accessible à l’échelle mondiale.  Certains propos résumant les conclusions du comité ont également été publiés dans le rapport annuel de la société.</w:t>
      </w:r>
    </w:p>
    <w:p w:rsidR="004241C2" w:rsidRPr="004241C2" w:rsidRDefault="004241C2" w:rsidP="004241C2">
      <w:pPr>
        <w:pStyle w:val="SCCNormalDoubleSpacing"/>
        <w:spacing w:line="240" w:lineRule="auto"/>
        <w:rPr>
          <w:sz w:val="20"/>
          <w:lang w:val="fr-CA"/>
        </w:rPr>
      </w:pPr>
    </w:p>
    <w:p w:rsidR="004241C2" w:rsidRPr="004241C2" w:rsidRDefault="004241C2" w:rsidP="004241C2">
      <w:pPr>
        <w:pStyle w:val="SCCNormalDoubleSpacing"/>
        <w:spacing w:line="240" w:lineRule="auto"/>
        <w:rPr>
          <w:sz w:val="20"/>
          <w:lang w:val="fr-CA"/>
        </w:rPr>
      </w:pPr>
      <w:r w:rsidRPr="004241C2">
        <w:rPr>
          <w:sz w:val="20"/>
          <w:lang w:val="fr-CA"/>
        </w:rPr>
        <w:tab/>
        <w:t>B a intenté en Cour supérieure de l’Ontario six actions en diffamation contre les dix appelants, qui sont des administrateurs, des conseillers ainsi qu’un vice</w:t>
      </w:r>
      <w:r w:rsidRPr="004241C2">
        <w:rPr>
          <w:sz w:val="20"/>
          <w:lang w:val="fr-CA"/>
        </w:rPr>
        <w:noBreakHyphen/>
        <w:t>président de la société.  B soutient que les communiqués de presse et les rapports publiés par les appelants et affichés sur le site Web de la société contenaient des propos diffamatoires qui ont été téléchargés, lus et repris en Ontario par trois journaux.  Il réclame des dommages</w:t>
      </w:r>
      <w:r w:rsidRPr="004241C2">
        <w:rPr>
          <w:sz w:val="20"/>
          <w:lang w:val="fr-CA"/>
        </w:rPr>
        <w:noBreakHyphen/>
        <w:t>intérêts pour le tort causé à sa réputation en Ontario.</w:t>
      </w:r>
    </w:p>
    <w:p w:rsidR="004241C2" w:rsidRPr="004241C2" w:rsidRDefault="004241C2" w:rsidP="004241C2">
      <w:pPr>
        <w:pStyle w:val="SCCNormalDoubleSpacing"/>
        <w:spacing w:line="240" w:lineRule="auto"/>
        <w:rPr>
          <w:sz w:val="20"/>
          <w:lang w:val="fr-CA"/>
        </w:rPr>
      </w:pPr>
    </w:p>
    <w:p w:rsidR="004241C2" w:rsidRPr="004241C2" w:rsidRDefault="004241C2" w:rsidP="004241C2">
      <w:pPr>
        <w:pStyle w:val="SCCNormalDoubleSpacing"/>
        <w:spacing w:line="240" w:lineRule="auto"/>
        <w:rPr>
          <w:sz w:val="20"/>
          <w:lang w:val="fr-CA"/>
        </w:rPr>
      </w:pPr>
      <w:r w:rsidRPr="004241C2">
        <w:rPr>
          <w:sz w:val="20"/>
          <w:lang w:val="fr-CA"/>
        </w:rPr>
        <w:tab/>
        <w:t xml:space="preserve">Les appelants ont demandé qu’il soit sursis aux instances au motif qu’il n’y avait pas de lien réel et substantiel entre ces instances et l’Ontario ou, subsidiairement, qu’un tribunal de New York ou de l’Illinois constituaient des ressorts plus appropriés.  Le juge saisi de la motion a rejeté la motion, concluant qu’un lien réel et substantiel avec l’Ontario avait été établi et que l’Ontario était le lieu où il convenait d’introduire les actions.  La cour d’appel a rejeté à l’unanimité l’appel.  Elle a conclu que l’existence d’un lien réel et substantiel était présumée du fait qu’un délit avait été commis en Ontario, et que les appelants n’avaient pas réussi à réfuter cette présomption.  Elle a également conclu, en ce qui concerne la doctrine du </w:t>
      </w:r>
      <w:r w:rsidRPr="004241C2">
        <w:rPr>
          <w:i/>
          <w:sz w:val="20"/>
          <w:lang w:val="fr-CA"/>
        </w:rPr>
        <w:t>forum non conveniens</w:t>
      </w:r>
      <w:r w:rsidRPr="004241C2">
        <w:rPr>
          <w:sz w:val="20"/>
          <w:lang w:val="fr-CA"/>
        </w:rPr>
        <w:t>, qu’il n’y avait aucune raison de modifier la décision rendue par le juge saisi de la motion dans l’exercice de son pouvoir discrétionnaire.</w:t>
      </w:r>
    </w:p>
    <w:p w:rsidR="004241C2" w:rsidRPr="004241C2" w:rsidRDefault="004241C2" w:rsidP="004241C2">
      <w:pPr>
        <w:pStyle w:val="SCCNormalDoubleSpacing"/>
        <w:spacing w:line="240" w:lineRule="auto"/>
        <w:rPr>
          <w:sz w:val="20"/>
          <w:lang w:val="fr-CA"/>
        </w:rPr>
      </w:pPr>
    </w:p>
    <w:p w:rsidR="004241C2" w:rsidRPr="004241C2" w:rsidRDefault="004241C2" w:rsidP="004241C2">
      <w:pPr>
        <w:pStyle w:val="SCCNormalDoubleSpacing"/>
        <w:spacing w:line="240" w:lineRule="auto"/>
        <w:rPr>
          <w:sz w:val="20"/>
          <w:lang w:val="fr-CA"/>
        </w:rPr>
      </w:pPr>
      <w:r w:rsidRPr="004241C2">
        <w:rPr>
          <w:sz w:val="20"/>
          <w:lang w:val="fr-CA"/>
        </w:rPr>
        <w:tab/>
      </w:r>
      <w:r w:rsidRPr="004241C2">
        <w:rPr>
          <w:i/>
          <w:sz w:val="20"/>
          <w:lang w:val="fr-CA"/>
        </w:rPr>
        <w:t>Arrêt :</w:t>
      </w:r>
      <w:r w:rsidRPr="004241C2">
        <w:rPr>
          <w:sz w:val="20"/>
          <w:lang w:val="fr-CA"/>
        </w:rPr>
        <w:t xml:space="preserve"> Le pourvoi est rejeté.</w:t>
      </w:r>
    </w:p>
    <w:p w:rsidR="004241C2" w:rsidRPr="004241C2" w:rsidRDefault="004241C2" w:rsidP="004241C2">
      <w:pPr>
        <w:pStyle w:val="SCCNormalDoubleSpacing"/>
        <w:spacing w:line="240" w:lineRule="auto"/>
        <w:rPr>
          <w:sz w:val="20"/>
          <w:lang w:val="fr-CA"/>
        </w:rPr>
      </w:pPr>
    </w:p>
    <w:p w:rsidR="004241C2" w:rsidRPr="004241C2" w:rsidRDefault="004241C2" w:rsidP="004241C2">
      <w:pPr>
        <w:pStyle w:val="SCCNormalDoubleSpacing"/>
        <w:spacing w:line="240" w:lineRule="auto"/>
        <w:rPr>
          <w:sz w:val="20"/>
          <w:lang w:val="fr-CA"/>
        </w:rPr>
      </w:pPr>
      <w:r w:rsidRPr="004241C2">
        <w:rPr>
          <w:sz w:val="20"/>
          <w:lang w:val="fr-CA"/>
        </w:rPr>
        <w:tab/>
        <w:t xml:space="preserve">Il est nécessaire en l’espèce de procéder à l’analyse du lien réel et substantiel pour déterminer si la cour ontarienne peut à bon droit se déclarer compétente pour connaître des actions.  Notre Cour a récemment exposé le cadre de la déclaration de compétence dans l’arrêt </w:t>
      </w:r>
      <w:r w:rsidRPr="004241C2">
        <w:rPr>
          <w:i/>
          <w:sz w:val="20"/>
          <w:lang w:val="fr-CA"/>
        </w:rPr>
        <w:t>Club Resorts Ltd. c. Van Breda</w:t>
      </w:r>
      <w:r w:rsidRPr="004241C2">
        <w:rPr>
          <w:sz w:val="20"/>
          <w:lang w:val="fr-CA"/>
        </w:rPr>
        <w:t>, 2012 CSC 17.  La question de la déclaration de compétence est facile à trancher en l’espèce, compte tenu d’un facteur de rattachement créant une présomption — le délit de diffamation qui aurait été commis en Ontario.  Le droit canadien admet depuis longtemps que le délit de diffamation se manifeste dès qu’il y a diffusion d’un propos diffamatoire destiné à un tiers, laquelle, en l’espèce, a eu lieu lorsque les communiqués contestés ont été lus, téléchargés et repris en Ontario par trois journaux. Il est également bien établi que chaque répétition ou reprise d’un propos diffamatoire constitue une nouvelle diffusion, et que l’auteur initial de ce propos peut être tenu responsable de la reprise dès lors qu’il l’a autorisée ou que la reprise est le résultat naturel et probable de la diffusion initiale.  La règle s’applique clairement à la reprise, par les trois journaux, des propos figurant dans les communiqués de presse émis par les appelants.  Dans les circonstances, les appelants n’ont pas réfuté la présomption de compétence découlant de ce facteur de rattachement.</w:t>
      </w:r>
    </w:p>
    <w:p w:rsidR="004241C2" w:rsidRPr="004241C2" w:rsidRDefault="004241C2" w:rsidP="004241C2">
      <w:pPr>
        <w:pStyle w:val="SCCNormalDoubleSpacing"/>
        <w:spacing w:line="240" w:lineRule="auto"/>
        <w:rPr>
          <w:sz w:val="20"/>
          <w:lang w:val="fr-CA"/>
        </w:rPr>
      </w:pPr>
    </w:p>
    <w:p w:rsidR="004241C2" w:rsidRPr="004241C2" w:rsidRDefault="004241C2" w:rsidP="004241C2">
      <w:pPr>
        <w:pStyle w:val="SCCNormalDoubleSpacing"/>
        <w:spacing w:line="240" w:lineRule="auto"/>
        <w:rPr>
          <w:sz w:val="20"/>
          <w:lang w:val="fr-CA"/>
        </w:rPr>
      </w:pPr>
      <w:r w:rsidRPr="004241C2">
        <w:rPr>
          <w:sz w:val="20"/>
          <w:lang w:val="fr-CA"/>
        </w:rPr>
        <w:tab/>
        <w:t xml:space="preserve">Après avoir conclu à l’existence d’un lien réel et substantiel entre les actions et l’Ontario, il faut déterminer si le tribunal ontarien devrait décliner compétence au motif que le tribunal d’un autre ressort constitue clairement un tribunal plus approprié pour instruire les actions.  Dans l’analyse relative au </w:t>
      </w:r>
      <w:r w:rsidRPr="004241C2">
        <w:rPr>
          <w:i/>
          <w:sz w:val="20"/>
          <w:lang w:val="fr-CA"/>
        </w:rPr>
        <w:t>forum non conveniens</w:t>
      </w:r>
      <w:r w:rsidRPr="004241C2">
        <w:rPr>
          <w:sz w:val="20"/>
          <w:lang w:val="fr-CA"/>
        </w:rPr>
        <w:t xml:space="preserve">, il incombe à la partie qui soulève cette question de démontrer que le tribunal de l’autre ressort constitue un tribunal nettement plus approprié.  Les facteurs à prendre en compte pour déterminer si un autre tribunal est nettement plus approprié sont nombreux et varient selon le contexte de chaque affaire.  L’analyse relative au </w:t>
      </w:r>
      <w:r w:rsidRPr="004241C2">
        <w:rPr>
          <w:i/>
          <w:sz w:val="20"/>
          <w:lang w:val="fr-CA"/>
        </w:rPr>
        <w:t>forum non conveniens</w:t>
      </w:r>
      <w:r w:rsidRPr="004241C2">
        <w:rPr>
          <w:sz w:val="20"/>
          <w:lang w:val="fr-CA"/>
        </w:rPr>
        <w:t xml:space="preserve"> n’exige pas que ces facteurs convergent tous vers un seul et même ressort; elle exige toutefois qu’un ressort apparaisse comme étant </w:t>
      </w:r>
      <w:r w:rsidRPr="004241C2">
        <w:rPr>
          <w:i/>
          <w:sz w:val="20"/>
          <w:lang w:val="fr-CA"/>
        </w:rPr>
        <w:t>nettement</w:t>
      </w:r>
      <w:r w:rsidRPr="004241C2">
        <w:rPr>
          <w:sz w:val="20"/>
          <w:lang w:val="fr-CA"/>
        </w:rPr>
        <w:t xml:space="preserve"> plus approprié.  La décision par un tribunal de ne pas exercer sa compétence et de suspendre une action en application de la doctrine du </w:t>
      </w:r>
      <w:r w:rsidRPr="004241C2">
        <w:rPr>
          <w:i/>
          <w:sz w:val="20"/>
          <w:lang w:val="fr-CA"/>
        </w:rPr>
        <w:t>forum non conveniens</w:t>
      </w:r>
      <w:r w:rsidRPr="004241C2">
        <w:rPr>
          <w:sz w:val="20"/>
          <w:lang w:val="fr-CA"/>
        </w:rPr>
        <w:t xml:space="preserve"> est une décision discrétionnaire, et en l’absence d’une erreur de droit ou d’une erreur manifeste et grave dans l’établissement des faits pertinents, les juridictions supérieures feront preuve de déférence à l’égard de l’exercice du pouvoir discrétionnaire du juge.</w:t>
      </w:r>
    </w:p>
    <w:p w:rsidR="004241C2" w:rsidRPr="004241C2" w:rsidRDefault="004241C2" w:rsidP="004241C2">
      <w:pPr>
        <w:pStyle w:val="SCCNormalDoubleSpacing"/>
        <w:spacing w:line="240" w:lineRule="auto"/>
        <w:rPr>
          <w:sz w:val="20"/>
          <w:lang w:val="fr-CA"/>
        </w:rPr>
      </w:pPr>
    </w:p>
    <w:p w:rsidR="004241C2" w:rsidRPr="004241C2" w:rsidRDefault="004241C2" w:rsidP="004241C2">
      <w:pPr>
        <w:pStyle w:val="SCCNormalDoubleSpacing"/>
        <w:spacing w:line="240" w:lineRule="auto"/>
        <w:rPr>
          <w:sz w:val="20"/>
          <w:lang w:val="fr-CA"/>
        </w:rPr>
      </w:pPr>
      <w:r w:rsidRPr="004241C2">
        <w:rPr>
          <w:sz w:val="20"/>
          <w:lang w:val="fr-CA"/>
        </w:rPr>
        <w:lastRenderedPageBreak/>
        <w:tab/>
        <w:t xml:space="preserve">En appliquant l’analyse relative au </w:t>
      </w:r>
      <w:r w:rsidRPr="004241C2">
        <w:rPr>
          <w:i/>
          <w:sz w:val="20"/>
          <w:lang w:val="fr-CA"/>
        </w:rPr>
        <w:t xml:space="preserve">forum non conveniens </w:t>
      </w:r>
      <w:r w:rsidRPr="004241C2">
        <w:rPr>
          <w:sz w:val="20"/>
          <w:lang w:val="fr-CA"/>
        </w:rPr>
        <w:t>aux circonstances du présent pourvoi, il ressort à l’évidence que les tribunaux de l’Illinois et de l’Ontario constituent tous deux des ressorts appropriés pour l’instruction des actions en diffamation.  Les facteurs du coût et de la commodité pour les parties à l’instance et leurs témoins, du lieu de résidence des parties, de l’opportunité d’éviter la multiplicité des recours et les décisions contradictoires, et de l’exécution du jugement, favorisent le tribunal de l’Illinois comme étant un ressort plus approprié, alors que les facteurs de la loi applicable et de l’équité envers les parties favorisent la tenue du procès en Ontario.  En définitive, toutefois, compte tenu de l’effet combiné des faits de l’espèce — et en particulier du poids de l’atteinte que subirait la réputation de B en Ontario—, et en faisant preuve de la déférence qui s’impose à l’égard de la décision du juge saisi de la motion, le tribunal de l’Illinois n’apparaît pas comme un ressort nettement plus approprié qu’un tribunal de l’Ontario pour l’instruction des actions en diffamation.</w:t>
      </w:r>
    </w:p>
    <w:p w:rsidR="004241C2" w:rsidRPr="004241C2" w:rsidRDefault="004241C2" w:rsidP="004241C2">
      <w:pPr>
        <w:pStyle w:val="SCCNormalDoubleSpacing"/>
        <w:spacing w:line="240" w:lineRule="auto"/>
        <w:rPr>
          <w:sz w:val="20"/>
          <w:lang w:val="fr-CA"/>
        </w:rPr>
      </w:pPr>
    </w:p>
    <w:p w:rsidR="004241C2" w:rsidRPr="004241C2" w:rsidRDefault="004241C2" w:rsidP="004241C2">
      <w:pPr>
        <w:pStyle w:val="SCCNormalDoubleSpacing"/>
        <w:spacing w:line="240" w:lineRule="auto"/>
        <w:rPr>
          <w:sz w:val="20"/>
          <w:lang w:val="fr-CA"/>
        </w:rPr>
      </w:pPr>
      <w:r w:rsidRPr="004241C2">
        <w:rPr>
          <w:sz w:val="20"/>
          <w:lang w:val="fr-CA"/>
        </w:rPr>
        <w:tab/>
        <w:t xml:space="preserve">POURVOI contre un arrêt de la Cour d’appel de l’Ontario (les juges </w:t>
      </w:r>
      <w:r w:rsidR="00A3677B" w:rsidRPr="00A165CE">
        <w:rPr>
          <w:sz w:val="20"/>
        </w:rPr>
        <w:fldChar w:fldCharType="begin"/>
      </w:r>
      <w:r w:rsidRPr="004241C2">
        <w:rPr>
          <w:sz w:val="20"/>
          <w:lang w:val="fr-CA"/>
        </w:rPr>
        <w:instrText xml:space="preserve"> SEQ CHAPTER \h \r 1</w:instrText>
      </w:r>
      <w:r w:rsidR="00A3677B" w:rsidRPr="00A165CE">
        <w:rPr>
          <w:sz w:val="20"/>
        </w:rPr>
        <w:fldChar w:fldCharType="end"/>
      </w:r>
      <w:r w:rsidRPr="004241C2">
        <w:rPr>
          <w:sz w:val="20"/>
          <w:lang w:val="fr-CA"/>
        </w:rPr>
        <w:t>Doherty, Juriansz et Karakatsanis), 2010 ONCA 547, 102 O.R. (3d) 748, 321 D.L.R. (4th) 659, 265 O.A.C. 177, 76 C.C.L.T. (3d) 52, 91 C.P.C. (6th) 94, [2010] O.J. No. 3423 (QL), 2010 CarswellOnt 5877, qui a confirmé une décision du juge Belobaba, 309 D.L.R. (4th) 708, 73 C.P.C. (6th) 83, [2009] O.J. No. 1292 (QL), 2009 CarswellOnt 1730.  Pourvoi rejeté.</w:t>
      </w:r>
    </w:p>
    <w:p w:rsidR="004241C2" w:rsidRPr="004241C2" w:rsidRDefault="004241C2" w:rsidP="004241C2">
      <w:pPr>
        <w:pStyle w:val="SCCNormalDoubleSpacing"/>
        <w:spacing w:line="240" w:lineRule="auto"/>
        <w:rPr>
          <w:i/>
          <w:sz w:val="20"/>
          <w:lang w:val="fr-CA"/>
        </w:rPr>
      </w:pPr>
    </w:p>
    <w:p w:rsidR="004241C2" w:rsidRPr="004241C2" w:rsidRDefault="004241C2" w:rsidP="004241C2">
      <w:pPr>
        <w:pStyle w:val="SCCNormalDoubleSpacing"/>
        <w:spacing w:line="240" w:lineRule="auto"/>
        <w:rPr>
          <w:sz w:val="20"/>
          <w:lang w:val="fr-CA"/>
        </w:rPr>
      </w:pPr>
      <w:r w:rsidRPr="004241C2">
        <w:rPr>
          <w:i/>
          <w:sz w:val="20"/>
          <w:lang w:val="fr-CA"/>
        </w:rPr>
        <w:tab/>
        <w:t>Paul B. Schabas</w:t>
      </w:r>
      <w:r w:rsidRPr="004241C2">
        <w:rPr>
          <w:sz w:val="20"/>
          <w:lang w:val="fr-CA"/>
        </w:rPr>
        <w:t xml:space="preserve">, </w:t>
      </w:r>
      <w:r w:rsidRPr="004241C2">
        <w:rPr>
          <w:i/>
          <w:sz w:val="20"/>
          <w:lang w:val="fr-CA"/>
        </w:rPr>
        <w:t>Ryder L. Gilliland</w:t>
      </w:r>
      <w:r w:rsidRPr="004241C2">
        <w:rPr>
          <w:sz w:val="20"/>
          <w:lang w:val="fr-CA"/>
        </w:rPr>
        <w:t xml:space="preserve"> et </w:t>
      </w:r>
      <w:r w:rsidRPr="004241C2">
        <w:rPr>
          <w:i/>
          <w:sz w:val="20"/>
          <w:lang w:val="fr-CA"/>
        </w:rPr>
        <w:t>Erin Hoult</w:t>
      </w:r>
      <w:r w:rsidRPr="004241C2">
        <w:rPr>
          <w:sz w:val="20"/>
          <w:lang w:val="fr-CA"/>
        </w:rPr>
        <w:t>, pour les appelants Richard C. Breeden et Richard C. Breeden &amp; Co.</w:t>
      </w:r>
    </w:p>
    <w:p w:rsidR="004241C2" w:rsidRPr="004241C2" w:rsidRDefault="004241C2" w:rsidP="004241C2">
      <w:pPr>
        <w:pStyle w:val="SCCNormalDoubleSpacing"/>
        <w:spacing w:line="240" w:lineRule="auto"/>
        <w:rPr>
          <w:i/>
          <w:sz w:val="20"/>
          <w:lang w:val="fr-CA"/>
        </w:rPr>
      </w:pPr>
    </w:p>
    <w:p w:rsidR="004241C2" w:rsidRPr="004241C2" w:rsidRDefault="004241C2" w:rsidP="004241C2">
      <w:pPr>
        <w:pStyle w:val="SCCNormalDoubleSpacing"/>
        <w:spacing w:line="240" w:lineRule="auto"/>
        <w:rPr>
          <w:sz w:val="20"/>
          <w:lang w:val="fr-CA"/>
        </w:rPr>
      </w:pPr>
      <w:r w:rsidRPr="004241C2">
        <w:rPr>
          <w:i/>
          <w:sz w:val="20"/>
          <w:lang w:val="fr-CA"/>
        </w:rPr>
        <w:tab/>
        <w:t>Robert W. Staley</w:t>
      </w:r>
      <w:r w:rsidRPr="004241C2">
        <w:rPr>
          <w:sz w:val="20"/>
          <w:lang w:val="fr-CA"/>
        </w:rPr>
        <w:t xml:space="preserve"> et </w:t>
      </w:r>
      <w:r w:rsidRPr="004241C2">
        <w:rPr>
          <w:i/>
          <w:sz w:val="20"/>
          <w:lang w:val="fr-CA"/>
        </w:rPr>
        <w:t>Julia Schatz</w:t>
      </w:r>
      <w:r w:rsidRPr="004241C2">
        <w:rPr>
          <w:sz w:val="20"/>
          <w:lang w:val="fr-CA"/>
        </w:rPr>
        <w:t>, pour les appelants Gordon A. Paris, James R. Thompson, Richard D. Burt, Graham W. Savage, Raymond G.H. Seitz, Paul B. Healy, Shmuel Meitar et Henry A. Kissinger.</w:t>
      </w:r>
    </w:p>
    <w:p w:rsidR="004241C2" w:rsidRPr="004241C2" w:rsidRDefault="004241C2" w:rsidP="004241C2">
      <w:pPr>
        <w:pStyle w:val="SCCNormalDoubleSpacing"/>
        <w:spacing w:line="240" w:lineRule="auto"/>
        <w:rPr>
          <w:i/>
          <w:sz w:val="20"/>
          <w:lang w:val="fr-CA"/>
        </w:rPr>
      </w:pPr>
    </w:p>
    <w:p w:rsidR="004241C2" w:rsidRPr="004241C2" w:rsidRDefault="004241C2" w:rsidP="004241C2">
      <w:pPr>
        <w:pStyle w:val="SCCNormalDoubleSpacing"/>
        <w:spacing w:line="240" w:lineRule="auto"/>
        <w:rPr>
          <w:sz w:val="20"/>
          <w:lang w:val="fr-CA"/>
        </w:rPr>
      </w:pPr>
      <w:r w:rsidRPr="004241C2">
        <w:rPr>
          <w:i/>
          <w:sz w:val="20"/>
          <w:lang w:val="fr-CA"/>
        </w:rPr>
        <w:tab/>
        <w:t>Earl A. Cherniak, c.r.,</w:t>
      </w:r>
      <w:r w:rsidRPr="004241C2">
        <w:rPr>
          <w:sz w:val="20"/>
          <w:lang w:val="fr-CA"/>
        </w:rPr>
        <w:t xml:space="preserve"> </w:t>
      </w:r>
      <w:r w:rsidRPr="004241C2">
        <w:rPr>
          <w:i/>
          <w:sz w:val="20"/>
          <w:lang w:val="fr-CA"/>
        </w:rPr>
        <w:t>Kirk F. Stevens</w:t>
      </w:r>
      <w:r w:rsidRPr="004241C2">
        <w:rPr>
          <w:sz w:val="20"/>
          <w:lang w:val="fr-CA"/>
        </w:rPr>
        <w:t xml:space="preserve"> et </w:t>
      </w:r>
      <w:r w:rsidRPr="004241C2">
        <w:rPr>
          <w:i/>
          <w:sz w:val="20"/>
          <w:lang w:val="fr-CA"/>
        </w:rPr>
        <w:t>Lisa C. Munro</w:t>
      </w:r>
      <w:r w:rsidRPr="004241C2">
        <w:rPr>
          <w:sz w:val="20"/>
          <w:lang w:val="fr-CA"/>
        </w:rPr>
        <w:t>, pour l’intimé.</w:t>
      </w:r>
    </w:p>
    <w:p w:rsidR="004241C2" w:rsidRPr="004241C2" w:rsidRDefault="004241C2" w:rsidP="004241C2">
      <w:pPr>
        <w:pStyle w:val="SCCNormalDoubleSpacing"/>
        <w:spacing w:line="240" w:lineRule="auto"/>
        <w:rPr>
          <w:i/>
          <w:sz w:val="20"/>
          <w:lang w:val="fr-CA"/>
        </w:rPr>
      </w:pPr>
    </w:p>
    <w:p w:rsidR="004241C2" w:rsidRPr="004241C2" w:rsidRDefault="004241C2" w:rsidP="004241C2">
      <w:pPr>
        <w:pStyle w:val="SCCNormalDoubleSpacing"/>
        <w:spacing w:line="240" w:lineRule="auto"/>
        <w:rPr>
          <w:sz w:val="20"/>
          <w:lang w:val="fr-CA"/>
        </w:rPr>
      </w:pPr>
      <w:r w:rsidRPr="004241C2">
        <w:rPr>
          <w:i/>
          <w:sz w:val="20"/>
          <w:lang w:val="fr-CA"/>
        </w:rPr>
        <w:tab/>
        <w:t>Robert D. Holmes</w:t>
      </w:r>
      <w:r w:rsidRPr="004241C2">
        <w:rPr>
          <w:sz w:val="20"/>
          <w:lang w:val="fr-CA"/>
        </w:rPr>
        <w:t>, pour l’intervenante.</w:t>
      </w:r>
    </w:p>
    <w:p w:rsidR="004241C2" w:rsidRPr="004241C2" w:rsidRDefault="004241C2" w:rsidP="004241C2">
      <w:pPr>
        <w:pStyle w:val="SCCLawFirm"/>
        <w:spacing w:line="240" w:lineRule="auto"/>
        <w:rPr>
          <w:sz w:val="20"/>
          <w:lang w:val="fr-CA"/>
        </w:rPr>
      </w:pPr>
    </w:p>
    <w:p w:rsidR="004241C2" w:rsidRPr="004241C2" w:rsidRDefault="004241C2" w:rsidP="004241C2">
      <w:pPr>
        <w:pStyle w:val="SCCLawFirm"/>
        <w:spacing w:line="240" w:lineRule="auto"/>
        <w:rPr>
          <w:sz w:val="20"/>
          <w:lang w:val="fr-CA"/>
        </w:rPr>
      </w:pPr>
      <w:r w:rsidRPr="004241C2">
        <w:rPr>
          <w:sz w:val="20"/>
          <w:lang w:val="fr-CA"/>
        </w:rPr>
        <w:tab/>
        <w:t>Procureurs des appelants Richard C. Breeden et Richard C. Breeden &amp; Co. : Blake, Cassels &amp; Graydon, Toronto.</w:t>
      </w:r>
    </w:p>
    <w:p w:rsidR="004241C2" w:rsidRPr="004241C2" w:rsidRDefault="004241C2" w:rsidP="004241C2">
      <w:pPr>
        <w:pStyle w:val="SCCLawFirm"/>
        <w:spacing w:line="240" w:lineRule="auto"/>
        <w:rPr>
          <w:sz w:val="20"/>
          <w:lang w:val="fr-CA"/>
        </w:rPr>
      </w:pPr>
    </w:p>
    <w:p w:rsidR="004241C2" w:rsidRPr="004241C2" w:rsidRDefault="004241C2" w:rsidP="004241C2">
      <w:pPr>
        <w:pStyle w:val="SCCLawFirm"/>
        <w:spacing w:line="240" w:lineRule="auto"/>
        <w:rPr>
          <w:sz w:val="20"/>
          <w:lang w:val="fr-CA"/>
        </w:rPr>
      </w:pPr>
      <w:r w:rsidRPr="004241C2">
        <w:rPr>
          <w:sz w:val="20"/>
          <w:lang w:val="fr-CA"/>
        </w:rPr>
        <w:tab/>
        <w:t>Procureurs des appelants Gordon A. Paris, James R. Thompson, Richard D. Burt, Graham W. Savage, Raymond G.H. Seitz, Paul B. Healy, Shmuel Meitar et Henry A. Kissinger : Bennett Jones, Toronto.</w:t>
      </w:r>
    </w:p>
    <w:p w:rsidR="004241C2" w:rsidRPr="004241C2" w:rsidRDefault="004241C2" w:rsidP="004241C2">
      <w:pPr>
        <w:pStyle w:val="SCCLawFirm"/>
        <w:spacing w:line="240" w:lineRule="auto"/>
        <w:rPr>
          <w:sz w:val="20"/>
          <w:lang w:val="fr-CA"/>
        </w:rPr>
      </w:pPr>
    </w:p>
    <w:p w:rsidR="004241C2" w:rsidRPr="004241C2" w:rsidRDefault="004241C2" w:rsidP="004241C2">
      <w:pPr>
        <w:pStyle w:val="SCCLawFirm"/>
        <w:spacing w:line="240" w:lineRule="auto"/>
        <w:rPr>
          <w:sz w:val="20"/>
          <w:lang w:val="fr-CA"/>
        </w:rPr>
      </w:pPr>
      <w:r w:rsidRPr="004241C2">
        <w:rPr>
          <w:sz w:val="20"/>
          <w:lang w:val="fr-CA"/>
        </w:rPr>
        <w:tab/>
        <w:t>Procureurs de l’intimé : Lerners, Toronto.</w:t>
      </w:r>
    </w:p>
    <w:p w:rsidR="004241C2" w:rsidRPr="004241C2" w:rsidRDefault="004241C2" w:rsidP="004241C2">
      <w:pPr>
        <w:pStyle w:val="SCCLawFirm"/>
        <w:spacing w:line="240" w:lineRule="auto"/>
        <w:rPr>
          <w:sz w:val="20"/>
          <w:lang w:val="fr-CA"/>
        </w:rPr>
      </w:pPr>
    </w:p>
    <w:p w:rsidR="004241C2" w:rsidRPr="004241C2" w:rsidRDefault="004241C2" w:rsidP="004241C2">
      <w:pPr>
        <w:pStyle w:val="SCCLawFirm"/>
        <w:spacing w:line="240" w:lineRule="auto"/>
        <w:rPr>
          <w:sz w:val="20"/>
          <w:lang w:val="fr-CA"/>
        </w:rPr>
      </w:pPr>
      <w:r w:rsidRPr="004241C2">
        <w:rPr>
          <w:sz w:val="20"/>
          <w:lang w:val="fr-CA"/>
        </w:rPr>
        <w:tab/>
        <w:t>Procureurs de l’intervenante : Holmes &amp; King, Vancouver.</w:t>
      </w:r>
    </w:p>
    <w:p w:rsidR="002E5EB4" w:rsidRPr="004241C2" w:rsidRDefault="002E5EB4" w:rsidP="002E5EB4">
      <w:pPr>
        <w:rPr>
          <w:sz w:val="20"/>
          <w:szCs w:val="20"/>
          <w:lang w:val="fr-CA"/>
        </w:rPr>
      </w:pPr>
    </w:p>
    <w:p w:rsidR="004241C2" w:rsidRDefault="00A3677B" w:rsidP="003B3977">
      <w:pPr>
        <w:rPr>
          <w:sz w:val="20"/>
          <w:szCs w:val="20"/>
        </w:rPr>
      </w:pPr>
      <w:r w:rsidRPr="00A3677B">
        <w:rPr>
          <w:rFonts w:cs="Times New Roman"/>
          <w:sz w:val="20"/>
          <w:szCs w:val="20"/>
          <w:lang w:val="fr-CA"/>
        </w:rPr>
        <w:pict>
          <v:rect id="_x0000_i1073" style="width:144.3pt;height:1pt" o:hrpct="300" o:hralign="center" o:hrstd="t" o:hrnoshade="t" o:hr="t" fillcolor="black [3213]" stroked="f"/>
        </w:pict>
      </w:r>
    </w:p>
    <w:p w:rsidR="004241C2" w:rsidRPr="003F4721" w:rsidRDefault="004241C2"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p w:rsidR="00E903A1" w:rsidRPr="002E0C7E" w:rsidRDefault="00A3677B"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72"/>
      <w:footerReference w:type="default" r:id="rId7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08" w:rsidRDefault="00053108" w:rsidP="00A87207">
      <w:r>
        <w:separator/>
      </w:r>
    </w:p>
  </w:endnote>
  <w:endnote w:type="continuationSeparator" w:id="0">
    <w:p w:rsidR="00053108" w:rsidRDefault="0005310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pPr>
      <w:pStyle w:val="Footer"/>
      <w:rPr>
        <w:lang w:val="fr-CA"/>
      </w:rPr>
    </w:pPr>
    <w:r w:rsidRPr="00A3677B">
      <w:rPr>
        <w:lang w:val="fr-CA"/>
      </w:rPr>
      <w:pict>
        <v:rect id="_x0000_i1038" style="width:480.95pt;height:1pt" o:hralign="center" o:hrstd="t" o:hrnoshade="t" o:hr="t" fillcolor="black [3213]" stroked="f"/>
      </w:pict>
    </w:r>
  </w:p>
  <w:p w:rsidR="00053108" w:rsidRDefault="00053108" w:rsidP="00245129">
    <w:pPr>
      <w:tabs>
        <w:tab w:val="center" w:pos="4680"/>
      </w:tabs>
    </w:pPr>
    <w:r>
      <w:tab/>
    </w:r>
    <w:r w:rsidRPr="0009648D">
      <w:t xml:space="preserve">- </w:t>
    </w:r>
    <w:fldSimple w:instr=" PAGE   \* MERGEFORMAT ">
      <w:r w:rsidR="00E73019">
        <w:rPr>
          <w:noProof/>
        </w:rPr>
        <w:t>585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53108" w:rsidRDefault="0005310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755F22">
    <w:pPr>
      <w:tabs>
        <w:tab w:val="left" w:pos="-1440"/>
        <w:tab w:val="left" w:pos="-720"/>
      </w:tabs>
    </w:pPr>
    <w:r>
      <w:pict>
        <v:rect id="_x0000_i1043" style="width:480.95pt;height:1pt" o:hralign="center" o:hrstd="t" o:hrnoshade="t" o:hr="t" fillcolor="black [3213]" stroked="f"/>
      </w:pict>
    </w:r>
  </w:p>
  <w:p w:rsidR="00053108" w:rsidRDefault="00053108" w:rsidP="00EB2B90">
    <w:pPr>
      <w:tabs>
        <w:tab w:val="center" w:pos="4680"/>
      </w:tabs>
    </w:pPr>
    <w:r>
      <w:tab/>
      <w:t xml:space="preserve">- </w:t>
    </w:r>
    <w:fldSimple w:instr=" PAGE   \* MERGEFORMAT ">
      <w:r w:rsidR="00E73019">
        <w:rPr>
          <w:noProof/>
        </w:rPr>
        <w:t>589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EB2B90">
    <w:pPr>
      <w:tabs>
        <w:tab w:val="center" w:pos="4680"/>
      </w:tabs>
    </w:pPr>
    <w:r>
      <w:pict>
        <v:rect id="_x0000_i1044" style="width:480.95pt;height:1pt" o:hralign="center" o:hrstd="t" o:hrnoshade="t" o:hr="t" fillcolor="black [3213]" stroked="f"/>
      </w:pict>
    </w:r>
  </w:p>
  <w:p w:rsidR="00053108" w:rsidRPr="0031432F" w:rsidRDefault="00053108" w:rsidP="00EB2B90">
    <w:pPr>
      <w:tabs>
        <w:tab w:val="center" w:pos="4680"/>
      </w:tabs>
    </w:pPr>
    <w:r>
      <w:tab/>
      <w:t xml:space="preserve">- </w:t>
    </w:r>
    <w:fldSimple w:instr=" PAGE   \* MERGEFORMAT ">
      <w:r w:rsidR="00E73019">
        <w:rPr>
          <w:noProof/>
        </w:rPr>
        <w:t>587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53108" w:rsidRDefault="0005310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77B">
      <w:rPr>
        <w:lang w:val="fr-CA"/>
      </w:rPr>
      <w:pict>
        <v:rect id="_x0000_i1046" style="width:480.95pt;height:1pt" o:hralign="center" o:hrstd="t" o:hrnoshade="t" o:hr="t" fillcolor="black [3213]" stroked="f"/>
      </w:pict>
    </w:r>
  </w:p>
  <w:p w:rsidR="00053108" w:rsidRDefault="00053108"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pPr>
      <w:pStyle w:val="Footer"/>
      <w:rPr>
        <w:lang w:val="fr-CA"/>
      </w:rPr>
    </w:pPr>
    <w:r w:rsidRPr="00A3677B">
      <w:rPr>
        <w:lang w:val="fr-CA"/>
      </w:rPr>
      <w:pict>
        <v:rect id="_x0000_i1047" style="width:480.95pt;height:1pt" o:hralign="center" o:hrstd="t" o:hrnoshade="t" o:hr="t" fillcolor="black [3213]" stroked="f"/>
      </w:pict>
    </w:r>
  </w:p>
  <w:p w:rsidR="00053108" w:rsidRDefault="00053108" w:rsidP="00EB2B90">
    <w:pPr>
      <w:tabs>
        <w:tab w:val="center" w:pos="4680"/>
      </w:tabs>
    </w:pPr>
    <w:r>
      <w:tab/>
      <w:t xml:space="preserve">- </w:t>
    </w:r>
    <w:fldSimple w:instr=" PAGE   \* MERGEFORMAT ">
      <w:r w:rsidR="00E73019">
        <w:rPr>
          <w:noProof/>
        </w:rPr>
        <w:t>591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53108" w:rsidRDefault="00053108">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Pr="00D07A38" w:rsidRDefault="00A36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053108" w:rsidRPr="00D07A38" w:rsidRDefault="00053108" w:rsidP="00096BD9">
    <w:pPr>
      <w:tabs>
        <w:tab w:val="center" w:pos="4680"/>
      </w:tabs>
    </w:pPr>
    <w:r w:rsidRPr="00D07A38">
      <w:tab/>
      <w:t xml:space="preserve">- </w:t>
    </w:r>
    <w:fldSimple w:instr=" PAGE   \* MERGEFORMAT ">
      <w:r>
        <w:rPr>
          <w:noProof/>
        </w:rPr>
        <w:t>527</w:t>
      </w:r>
    </w:fldSimple>
    <w:r w:rsidRPr="00D07A38">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096BD9">
    <w:pPr>
      <w:tabs>
        <w:tab w:val="center" w:pos="4680"/>
      </w:tabs>
    </w:pPr>
    <w:r>
      <w:pict>
        <v:rect id="_x0000_i1050" style="width:480.95pt;height:1pt" o:hralign="center" o:hrstd="t" o:hrnoshade="t" o:hr="t" fillcolor="black [3213]" stroked="f"/>
      </w:pict>
    </w:r>
  </w:p>
  <w:p w:rsidR="00053108" w:rsidRDefault="00053108" w:rsidP="00096BD9">
    <w:pPr>
      <w:tabs>
        <w:tab w:val="center" w:pos="4680"/>
      </w:tabs>
    </w:pPr>
    <w:r>
      <w:tab/>
      <w:t xml:space="preserve">- </w:t>
    </w:r>
    <w:fldSimple w:instr=" PAGE   \* MERGEFORMAT ">
      <w:r w:rsidR="00E73019">
        <w:rPr>
          <w:noProof/>
        </w:rPr>
        <w:t>592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53108" w:rsidRDefault="000531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53108" w:rsidRDefault="00053108">
    <w:pPr>
      <w:widowControl w:val="0"/>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77B">
      <w:rPr>
        <w:lang w:val="fr-CA"/>
      </w:rPr>
      <w:pict>
        <v:rect id="_x0000_i1053" style="width:480.95pt;height:1pt" o:hralign="center" o:hrstd="t" o:hrnoshade="t" o:hr="t" fillcolor="black [3213]" stroked="f"/>
      </w:pict>
    </w:r>
  </w:p>
  <w:p w:rsidR="00053108" w:rsidRDefault="00053108" w:rsidP="00697C62">
    <w:pPr>
      <w:tabs>
        <w:tab w:val="center" w:pos="4680"/>
      </w:tabs>
    </w:pPr>
    <w:r>
      <w:tab/>
      <w:t xml:space="preserve">- </w:t>
    </w:r>
    <w:r w:rsidR="00A3677B" w:rsidRPr="00B74FED">
      <w:rPr>
        <w:szCs w:val="24"/>
      </w:rPr>
      <w:fldChar w:fldCharType="begin"/>
    </w:r>
    <w:r w:rsidRPr="00B74FED">
      <w:rPr>
        <w:szCs w:val="24"/>
      </w:rPr>
      <w:instrText xml:space="preserve"> PAGE   \* MERGEFORMAT </w:instrText>
    </w:r>
    <w:r w:rsidR="00A3677B" w:rsidRPr="00B74FED">
      <w:rPr>
        <w:szCs w:val="24"/>
      </w:rPr>
      <w:fldChar w:fldCharType="separate"/>
    </w:r>
    <w:r>
      <w:rPr>
        <w:noProof/>
        <w:szCs w:val="24"/>
      </w:rPr>
      <w:t>529</w:t>
    </w:r>
    <w:r w:rsidR="00A3677B" w:rsidRPr="00B74FED">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802863">
    <w:pPr>
      <w:widowControl w:val="0"/>
      <w:tabs>
        <w:tab w:val="left" w:pos="-1440"/>
        <w:tab w:val="left" w:pos="-720"/>
      </w:tabs>
    </w:pPr>
    <w:r w:rsidRPr="00A3677B">
      <w:rPr>
        <w:lang w:val="fr-CA"/>
      </w:rPr>
      <w:pict>
        <v:rect id="_x0000_i1054" style="width:480.95pt;height:1pt" o:hralign="center" o:hrstd="t" o:hrnoshade="t" o:hr="t" fillcolor="black [3213]" stroked="f"/>
      </w:pict>
    </w:r>
  </w:p>
  <w:p w:rsidR="00053108" w:rsidRPr="00180897" w:rsidRDefault="00053108" w:rsidP="00697C62">
    <w:pPr>
      <w:tabs>
        <w:tab w:val="center" w:pos="4680"/>
      </w:tabs>
    </w:pPr>
    <w:r>
      <w:tab/>
      <w:t xml:space="preserve">- </w:t>
    </w:r>
    <w:r w:rsidR="00A3677B" w:rsidRPr="00B74FED">
      <w:rPr>
        <w:szCs w:val="24"/>
      </w:rPr>
      <w:fldChar w:fldCharType="begin"/>
    </w:r>
    <w:r w:rsidRPr="00B74FED">
      <w:rPr>
        <w:szCs w:val="24"/>
      </w:rPr>
      <w:instrText xml:space="preserve"> PAGE   \* MERGEFORMAT </w:instrText>
    </w:r>
    <w:r w:rsidR="00A3677B" w:rsidRPr="00B74FED">
      <w:rPr>
        <w:szCs w:val="24"/>
      </w:rPr>
      <w:fldChar w:fldCharType="separate"/>
    </w:r>
    <w:r w:rsidR="00E73019">
      <w:rPr>
        <w:noProof/>
        <w:szCs w:val="24"/>
      </w:rPr>
      <w:t>593</w:t>
    </w:r>
    <w:r w:rsidR="00A3677B" w:rsidRPr="00B74FED">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53108" w:rsidRDefault="00053108">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732DB7">
    <w:r>
      <w:pict>
        <v:rect id="_x0000_i1060" style="width:480.95pt;height:1pt" o:hralign="center" o:hrstd="t" o:hrnoshade="t" o:hr="t" fillcolor="black" stroked="f"/>
      </w:pict>
    </w:r>
  </w:p>
  <w:p w:rsidR="00053108" w:rsidRDefault="00053108">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pPr>
      <w:pStyle w:val="Footer"/>
    </w:pPr>
    <w:r>
      <w:pict>
        <v:rect id="_x0000_i1061" style="width:480.95pt;height:1pt" o:hralign="center" o:hrstd="t" o:hrnoshade="t" o:hr="t" fillcolor="black" stroked="f"/>
      </w:pict>
    </w:r>
  </w:p>
  <w:p w:rsidR="00053108" w:rsidRPr="00283C52" w:rsidRDefault="00053108">
    <w:pPr>
      <w:pStyle w:val="Footer"/>
    </w:pPr>
    <w:r>
      <w:tab/>
    </w:r>
    <w:r w:rsidRPr="00283C52">
      <w:t xml:space="preserve">- </w:t>
    </w:r>
    <w:r w:rsidRPr="00283C52">
      <w:pgNum/>
    </w:r>
    <w:r w:rsidRPr="00283C52">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53108" w:rsidRDefault="0005310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732DB7">
    <w:r>
      <w:pict>
        <v:rect id="_x0000_i1066" style="width:480.95pt;height:1pt" o:hralign="center" o:hrstd="t" o:hrnoshade="t" o:hr="t" fillcolor="black" stroked="f"/>
      </w:pict>
    </w:r>
  </w:p>
  <w:p w:rsidR="00053108" w:rsidRDefault="00053108">
    <w:pPr>
      <w:tabs>
        <w:tab w:val="center" w:pos="4740"/>
      </w:tabs>
      <w:spacing w:line="0" w:lineRule="atLeast"/>
    </w:pPr>
    <w:r>
      <w:tab/>
      <w:t xml:space="preserve">- </w:t>
    </w:r>
    <w:r>
      <w:pgNum/>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pPr>
      <w:pStyle w:val="Footer"/>
    </w:pPr>
    <w:r>
      <w:pict>
        <v:rect id="_x0000_i1067" style="width:480.95pt;height:1pt" o:hralign="center" o:hrstd="t" o:hrnoshade="t" o:hr="t" fillcolor="black [3213]" stroked="f"/>
      </w:pict>
    </w:r>
  </w:p>
  <w:p w:rsidR="00053108" w:rsidRPr="003C2C0F" w:rsidRDefault="00053108" w:rsidP="00697C62">
    <w:pPr>
      <w:tabs>
        <w:tab w:val="center" w:pos="4680"/>
      </w:tabs>
    </w:pPr>
    <w:r>
      <w:tab/>
      <w:t xml:space="preserve">- </w:t>
    </w:r>
    <w:fldSimple w:instr=" PAGE   \* MERGEFORMAT ">
      <w:r w:rsidR="00E73019">
        <w:rPr>
          <w:noProof/>
        </w:rPr>
        <w:t>597</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53108" w:rsidRDefault="00053108">
    <w:pPr>
      <w:tabs>
        <w:tab w:val="center" w:pos="4740"/>
      </w:tabs>
    </w:pPr>
    <w:r>
      <w:tab/>
      <w:t xml:space="preserve">- </w:t>
    </w:r>
    <w:r>
      <w:pgNum/>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53108" w:rsidRDefault="00A36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4" style="width:480.95pt;height:1pt" o:hralign="center" o:hrstd="t" o:hrnoshade="t" o:hr="t" fillcolor="black [3213]" stroked="f"/>
      </w:pict>
    </w:r>
  </w:p>
  <w:p w:rsidR="00053108" w:rsidRDefault="00053108" w:rsidP="00782AE4">
    <w:pPr>
      <w:tabs>
        <w:tab w:val="center" w:pos="4680"/>
      </w:tabs>
    </w:pPr>
    <w:r>
      <w:tab/>
      <w:t xml:space="preserve">- </w:t>
    </w:r>
    <w:r w:rsidR="00A3677B" w:rsidRPr="001775C1">
      <w:rPr>
        <w:szCs w:val="24"/>
      </w:rPr>
      <w:fldChar w:fldCharType="begin"/>
    </w:r>
    <w:r w:rsidRPr="001775C1">
      <w:rPr>
        <w:szCs w:val="24"/>
      </w:rPr>
      <w:instrText xml:space="preserve"> PAGE   \* MERGEFORMAT </w:instrText>
    </w:r>
    <w:r w:rsidR="00A3677B" w:rsidRPr="001775C1">
      <w:rPr>
        <w:szCs w:val="24"/>
      </w:rPr>
      <w:fldChar w:fldCharType="separate"/>
    </w:r>
    <w:r w:rsidR="00A7736C">
      <w:rPr>
        <w:noProof/>
        <w:szCs w:val="24"/>
      </w:rPr>
      <w:t>611</w:t>
    </w:r>
    <w:r w:rsidR="00A3677B" w:rsidRPr="001775C1">
      <w:rPr>
        <w:szCs w:val="24"/>
      </w:rPr>
      <w:fldChar w:fldCharType="end"/>
    </w:r>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782AE4">
    <w:pPr>
      <w:tabs>
        <w:tab w:val="center" w:pos="4680"/>
      </w:tabs>
    </w:pPr>
    <w:r>
      <w:pict>
        <v:rect id="_x0000_i1075" style="width:480.95pt;height:1pt" o:hralign="center" o:hrstd="t" o:hrnoshade="t" o:hr="t" fillcolor="black [3213]" stroked="f"/>
      </w:pict>
    </w:r>
  </w:p>
  <w:p w:rsidR="00053108" w:rsidRDefault="00053108" w:rsidP="00782AE4">
    <w:pPr>
      <w:tabs>
        <w:tab w:val="center" w:pos="4680"/>
      </w:tabs>
    </w:pPr>
    <w:r>
      <w:tab/>
      <w:t xml:space="preserve">- </w:t>
    </w:r>
    <w:r w:rsidR="00A3677B" w:rsidRPr="001775C1">
      <w:rPr>
        <w:szCs w:val="24"/>
      </w:rPr>
      <w:fldChar w:fldCharType="begin"/>
    </w:r>
    <w:r w:rsidRPr="001775C1">
      <w:rPr>
        <w:szCs w:val="24"/>
      </w:rPr>
      <w:instrText xml:space="preserve"> PAGE   \* MERGEFORMAT </w:instrText>
    </w:r>
    <w:r w:rsidR="00A3677B" w:rsidRPr="001775C1">
      <w:rPr>
        <w:szCs w:val="24"/>
      </w:rPr>
      <w:fldChar w:fldCharType="separate"/>
    </w:r>
    <w:r w:rsidR="00E73019">
      <w:rPr>
        <w:noProof/>
        <w:szCs w:val="24"/>
      </w:rPr>
      <w:t>599</w:t>
    </w:r>
    <w:r w:rsidR="00A3677B" w:rsidRPr="001775C1">
      <w:rPr>
        <w:szCs w:val="24"/>
      </w:rPr>
      <w:fldChar w:fldCharType="end"/>
    </w:r>
    <w: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Pr="00924065" w:rsidRDefault="00053108"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A87207">
    <w:pPr>
      <w:pStyle w:val="Footer"/>
    </w:pPr>
    <w:r>
      <w:pict>
        <v:rect id="_x0000_i1030" style="width:480.95pt;height:1pt" o:hralign="center" o:hrstd="t" o:hrnoshade="t" o:hr="t" fillcolor="black [3213]" stroked="f"/>
      </w:pict>
    </w:r>
  </w:p>
  <w:p w:rsidR="00053108" w:rsidRPr="00B7374B" w:rsidRDefault="00053108" w:rsidP="00B7374B">
    <w:pPr>
      <w:tabs>
        <w:tab w:val="center" w:pos="4680"/>
      </w:tabs>
      <w:rPr>
        <w:szCs w:val="24"/>
      </w:rPr>
    </w:pPr>
    <w:r w:rsidRPr="00954D22">
      <w:rPr>
        <w:szCs w:val="24"/>
      </w:rPr>
      <w:tab/>
      <w:t xml:space="preserve">- </w:t>
    </w:r>
    <w:r w:rsidR="00A3677B" w:rsidRPr="00954D22">
      <w:rPr>
        <w:szCs w:val="24"/>
      </w:rPr>
      <w:fldChar w:fldCharType="begin"/>
    </w:r>
    <w:r w:rsidRPr="00954D22">
      <w:rPr>
        <w:szCs w:val="24"/>
      </w:rPr>
      <w:instrText xml:space="preserve"> PAGE   \* MERGEFORMAT </w:instrText>
    </w:r>
    <w:r w:rsidR="00A3677B" w:rsidRPr="00954D22">
      <w:rPr>
        <w:szCs w:val="24"/>
      </w:rPr>
      <w:fldChar w:fldCharType="separate"/>
    </w:r>
    <w:r>
      <w:rPr>
        <w:noProof/>
        <w:szCs w:val="24"/>
      </w:rPr>
      <w:t>584</w:t>
    </w:r>
    <w:r w:rsidR="00A3677B"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755F22">
    <w:pPr>
      <w:tabs>
        <w:tab w:val="left" w:pos="-1440"/>
        <w:tab w:val="left" w:pos="-720"/>
      </w:tabs>
    </w:pPr>
    <w:r>
      <w:pict>
        <v:rect id="_x0000_i1031" style="width:480.95pt;height:1pt" o:hralign="center" o:hrstd="t" o:hrnoshade="t" o:hr="t" fillcolor="black [3213]" stroked="f"/>
      </w:pict>
    </w:r>
  </w:p>
  <w:p w:rsidR="00053108" w:rsidRPr="00954D22" w:rsidRDefault="00053108" w:rsidP="00B7374B">
    <w:pPr>
      <w:tabs>
        <w:tab w:val="center" w:pos="4680"/>
      </w:tabs>
      <w:rPr>
        <w:szCs w:val="24"/>
      </w:rPr>
    </w:pPr>
    <w:r w:rsidRPr="00954D22">
      <w:rPr>
        <w:szCs w:val="24"/>
      </w:rPr>
      <w:tab/>
      <w:t xml:space="preserve">- </w:t>
    </w:r>
    <w:r w:rsidR="00A3677B">
      <w:rPr>
        <w:szCs w:val="24"/>
      </w:rPr>
      <w:fldChar w:fldCharType="begin"/>
    </w:r>
    <w:r>
      <w:rPr>
        <w:szCs w:val="24"/>
      </w:rPr>
      <w:instrText xml:space="preserve"> PAGE   \* MERGEFORMAT </w:instrText>
    </w:r>
    <w:r w:rsidR="00A3677B">
      <w:rPr>
        <w:szCs w:val="24"/>
      </w:rPr>
      <w:fldChar w:fldCharType="separate"/>
    </w:r>
    <w:r w:rsidR="00E73019">
      <w:rPr>
        <w:noProof/>
        <w:szCs w:val="24"/>
      </w:rPr>
      <w:t>583</w:t>
    </w:r>
    <w:r w:rsidR="00A3677B">
      <w:rPr>
        <w:szCs w:val="24"/>
      </w:rPr>
      <w:fldChar w:fldCharType="end"/>
    </w:r>
    <w:r w:rsidRPr="00954D22">
      <w:rPr>
        <w:szCs w:val="24"/>
      </w:rPr>
      <w:t xml:space="preserve"> -</w:t>
    </w:r>
  </w:p>
  <w:p w:rsidR="00053108" w:rsidRDefault="0005310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A87207">
    <w:pPr>
      <w:pStyle w:val="Footer"/>
    </w:pPr>
    <w:r>
      <w:pict>
        <v:rect id="_x0000_i1033" style="width:480.95pt;height:1pt" o:hralign="center" o:hrstd="t" o:hrnoshade="t" o:hr="t" fillcolor="black [3213]" stroked="f"/>
      </w:pict>
    </w:r>
  </w:p>
  <w:p w:rsidR="00053108" w:rsidRPr="00B7374B" w:rsidRDefault="00053108" w:rsidP="00B7374B">
    <w:pPr>
      <w:tabs>
        <w:tab w:val="center" w:pos="4680"/>
      </w:tabs>
      <w:rPr>
        <w:szCs w:val="24"/>
      </w:rPr>
    </w:pPr>
    <w:r w:rsidRPr="00954D22">
      <w:rPr>
        <w:szCs w:val="24"/>
      </w:rPr>
      <w:tab/>
      <w:t xml:space="preserve">- </w:t>
    </w:r>
    <w:r w:rsidR="00A3677B" w:rsidRPr="00954D22">
      <w:rPr>
        <w:szCs w:val="24"/>
      </w:rPr>
      <w:fldChar w:fldCharType="begin"/>
    </w:r>
    <w:r w:rsidRPr="00954D22">
      <w:rPr>
        <w:szCs w:val="24"/>
      </w:rPr>
      <w:instrText xml:space="preserve"> PAGE   \* MERGEFORMAT </w:instrText>
    </w:r>
    <w:r w:rsidR="00A3677B" w:rsidRPr="00954D22">
      <w:rPr>
        <w:szCs w:val="24"/>
      </w:rPr>
      <w:fldChar w:fldCharType="separate"/>
    </w:r>
    <w:r>
      <w:rPr>
        <w:noProof/>
        <w:szCs w:val="24"/>
      </w:rPr>
      <w:t>502</w:t>
    </w:r>
    <w:r w:rsidR="00A3677B"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053108" w:rsidRPr="00954D22" w:rsidRDefault="00053108" w:rsidP="00B7374B">
    <w:pPr>
      <w:tabs>
        <w:tab w:val="center" w:pos="4680"/>
      </w:tabs>
      <w:rPr>
        <w:szCs w:val="24"/>
      </w:rPr>
    </w:pPr>
    <w:r w:rsidRPr="00954D22">
      <w:rPr>
        <w:szCs w:val="24"/>
      </w:rPr>
      <w:tab/>
      <w:t xml:space="preserve">- </w:t>
    </w:r>
    <w:r w:rsidR="00A3677B" w:rsidRPr="00954D22">
      <w:rPr>
        <w:szCs w:val="24"/>
      </w:rPr>
      <w:fldChar w:fldCharType="begin"/>
    </w:r>
    <w:r w:rsidRPr="00954D22">
      <w:rPr>
        <w:szCs w:val="24"/>
      </w:rPr>
      <w:instrText xml:space="preserve"> PAGE   \* MERGEFORMAT </w:instrText>
    </w:r>
    <w:r w:rsidR="00A3677B" w:rsidRPr="00954D22">
      <w:rPr>
        <w:szCs w:val="24"/>
      </w:rPr>
      <w:fldChar w:fldCharType="separate"/>
    </w:r>
    <w:r w:rsidR="00E73019">
      <w:rPr>
        <w:noProof/>
        <w:szCs w:val="24"/>
      </w:rPr>
      <w:t>584</w:t>
    </w:r>
    <w:r w:rsidR="00A3677B"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53108" w:rsidRDefault="0005310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A36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77B">
      <w:rPr>
        <w:lang w:val="fr-CA"/>
      </w:rPr>
      <w:pict>
        <v:rect id="_x0000_i1037" style="width:480.95pt;height:1pt" o:hralign="center" o:hrstd="t" o:hrnoshade="t" o:hr="t" fillcolor="black [3213]" stroked="f"/>
      </w:pict>
    </w:r>
  </w:p>
  <w:p w:rsidR="00053108" w:rsidRPr="0009648D" w:rsidRDefault="00053108" w:rsidP="00ED7E83">
    <w:pPr>
      <w:tabs>
        <w:tab w:val="center" w:pos="4680"/>
      </w:tabs>
    </w:pPr>
    <w:r>
      <w:tab/>
    </w:r>
    <w:r w:rsidRPr="0009648D">
      <w:t xml:space="preserve">- </w:t>
    </w:r>
    <w:fldSimple w:instr=" PAGE   \* MERGEFORMAT ">
      <w:r w:rsidR="00E73019">
        <w:rPr>
          <w:noProof/>
        </w:rPr>
        <w:t>586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08" w:rsidRDefault="00053108" w:rsidP="00A87207">
      <w:r>
        <w:separator/>
      </w:r>
    </w:p>
  </w:footnote>
  <w:footnote w:type="continuationSeparator" w:id="0">
    <w:p w:rsidR="00053108" w:rsidRDefault="0005310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53108">
      <w:tc>
        <w:tcPr>
          <w:tcW w:w="423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53108"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53108"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53108">
      <w:trPr>
        <w:gridAfter w:val="2"/>
        <w:wAfter w:w="5250" w:type="dxa"/>
      </w:trPr>
      <w:tc>
        <w:tcPr>
          <w:tcW w:w="4230" w:type="dxa"/>
          <w:tcMar>
            <w:left w:w="0" w:type="dxa"/>
            <w:right w:w="0" w:type="dxa"/>
          </w:tcMar>
        </w:tcPr>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53108" w:rsidRPr="00755F22" w:rsidTr="00245129">
      <w:tc>
        <w:tcPr>
          <w:tcW w:w="4230" w:type="dxa"/>
          <w:tcMar>
            <w:left w:w="0" w:type="dxa"/>
            <w:right w:w="0" w:type="dxa"/>
          </w:tcMar>
        </w:tcPr>
        <w:p w:rsidR="00053108" w:rsidRPr="00755F22" w:rsidRDefault="00053108" w:rsidP="00831CA9">
          <w:pPr>
            <w:keepNext/>
            <w:keepLines/>
            <w:rPr>
              <w:sz w:val="20"/>
              <w:szCs w:val="20"/>
            </w:rPr>
          </w:pPr>
          <w:r w:rsidRPr="00755F22">
            <w:rPr>
              <w:sz w:val="20"/>
              <w:szCs w:val="20"/>
            </w:rPr>
            <w:t>MOTIONS</w:t>
          </w:r>
        </w:p>
      </w:tc>
      <w:tc>
        <w:tcPr>
          <w:tcW w:w="1170" w:type="dxa"/>
          <w:tcMar>
            <w:left w:w="0" w:type="dxa"/>
            <w:right w:w="0" w:type="dxa"/>
          </w:tcMar>
        </w:tcPr>
        <w:p w:rsidR="00053108" w:rsidRPr="00755F22" w:rsidRDefault="00053108" w:rsidP="00831CA9">
          <w:pPr>
            <w:keepLines/>
            <w:jc w:val="center"/>
            <w:rPr>
              <w:sz w:val="20"/>
              <w:szCs w:val="20"/>
            </w:rPr>
          </w:pPr>
        </w:p>
        <w:p w:rsidR="00053108" w:rsidRPr="00755F22" w:rsidRDefault="00053108" w:rsidP="00831CA9">
          <w:pPr>
            <w:keepLines/>
            <w:tabs>
              <w:tab w:val="left" w:pos="-1440"/>
              <w:tab w:val="left" w:pos="-720"/>
            </w:tabs>
            <w:jc w:val="center"/>
            <w:rPr>
              <w:sz w:val="20"/>
              <w:szCs w:val="20"/>
            </w:rPr>
          </w:pPr>
        </w:p>
      </w:tc>
      <w:tc>
        <w:tcPr>
          <w:tcW w:w="4080" w:type="dxa"/>
          <w:tcMar>
            <w:left w:w="0" w:type="dxa"/>
            <w:right w:w="0" w:type="dxa"/>
          </w:tcMar>
        </w:tcPr>
        <w:p w:rsidR="00053108" w:rsidRPr="00BA6468" w:rsidRDefault="00053108" w:rsidP="00BA6468">
          <w:pPr>
            <w:keepLines/>
            <w:rPr>
              <w:sz w:val="20"/>
              <w:szCs w:val="20"/>
              <w:lang w:val="fr-CA"/>
            </w:rPr>
          </w:pPr>
          <w:r w:rsidRPr="00BA6468">
            <w:rPr>
              <w:sz w:val="20"/>
              <w:szCs w:val="20"/>
              <w:lang w:val="fr-CA"/>
            </w:rPr>
            <w:t>REQUÊTES</w:t>
          </w:r>
        </w:p>
      </w:tc>
    </w:tr>
  </w:tbl>
  <w:p w:rsidR="00053108" w:rsidRDefault="00053108"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53108" w:rsidRPr="006B3AEE">
      <w:tc>
        <w:tcPr>
          <w:tcW w:w="4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53108" w:rsidRPr="00B01A03"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53108" w:rsidRPr="00B01A03"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53108" w:rsidRPr="00B01A03"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053108" w:rsidRPr="006B3AEE" w:rsidTr="00245129">
      <w:tc>
        <w:tcPr>
          <w:tcW w:w="4200" w:type="dxa"/>
          <w:tcMar>
            <w:left w:w="0" w:type="dxa"/>
            <w:right w:w="0" w:type="dxa"/>
          </w:tcMar>
        </w:tcPr>
        <w:p w:rsidR="00053108" w:rsidRPr="00F40249" w:rsidRDefault="0005310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53108" w:rsidRDefault="00053108" w:rsidP="00102926">
          <w:pPr>
            <w:keepNext/>
            <w:keepLines/>
            <w:tabs>
              <w:tab w:val="left" w:pos="-1440"/>
              <w:tab w:val="left" w:pos="-720"/>
            </w:tabs>
            <w:jc w:val="center"/>
            <w:rPr>
              <w:sz w:val="20"/>
              <w:szCs w:val="20"/>
            </w:rPr>
          </w:pPr>
        </w:p>
        <w:p w:rsidR="00053108" w:rsidRDefault="00053108" w:rsidP="00102926">
          <w:pPr>
            <w:keepNext/>
            <w:keepLines/>
            <w:tabs>
              <w:tab w:val="left" w:pos="-1440"/>
              <w:tab w:val="left" w:pos="-720"/>
            </w:tabs>
            <w:jc w:val="center"/>
            <w:rPr>
              <w:sz w:val="20"/>
              <w:szCs w:val="20"/>
            </w:rPr>
          </w:pPr>
        </w:p>
        <w:p w:rsidR="00053108" w:rsidRPr="00F40249" w:rsidRDefault="00053108" w:rsidP="00102926">
          <w:pPr>
            <w:keepNext/>
            <w:keepLines/>
            <w:tabs>
              <w:tab w:val="left" w:pos="-1440"/>
              <w:tab w:val="left" w:pos="-720"/>
            </w:tabs>
            <w:jc w:val="center"/>
            <w:rPr>
              <w:sz w:val="20"/>
              <w:szCs w:val="20"/>
            </w:rPr>
          </w:pPr>
        </w:p>
      </w:tc>
      <w:tc>
        <w:tcPr>
          <w:tcW w:w="4230" w:type="dxa"/>
          <w:tcMar>
            <w:left w:w="0" w:type="dxa"/>
            <w:right w:w="0" w:type="dxa"/>
          </w:tcMar>
        </w:tcPr>
        <w:p w:rsidR="00053108" w:rsidRPr="00F40249" w:rsidRDefault="0005310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53108" w:rsidRPr="00B01A03" w:rsidRDefault="0005310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53108" w:rsidRPr="006B3AEE">
      <w:tc>
        <w:tcPr>
          <w:tcW w:w="4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053108" w:rsidRPr="00D07A38"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053108" w:rsidRPr="00D07A3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53108" w:rsidRPr="00D07A3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053108" w:rsidRPr="00D07A3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53108" w:rsidRPr="00D07A3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53108" w:rsidRPr="006B3AEE" w:rsidTr="00245129">
      <w:tc>
        <w:tcPr>
          <w:tcW w:w="4200" w:type="dxa"/>
          <w:tcMar>
            <w:left w:w="0" w:type="dxa"/>
            <w:right w:w="0" w:type="dxa"/>
          </w:tcMar>
        </w:tcPr>
        <w:p w:rsidR="00053108" w:rsidRPr="00096BD9" w:rsidRDefault="00053108" w:rsidP="00245129">
          <w:pPr>
            <w:keepNext/>
            <w:keepLines/>
            <w:tabs>
              <w:tab w:val="left" w:pos="-1440"/>
              <w:tab w:val="left" w:pos="-720"/>
            </w:tabs>
            <w:rPr>
              <w:sz w:val="20"/>
              <w:szCs w:val="20"/>
            </w:rPr>
          </w:pPr>
          <w:r w:rsidRPr="00096BD9">
            <w:rPr>
              <w:sz w:val="20"/>
              <w:szCs w:val="20"/>
            </w:rPr>
            <w:t>NOTICE OF WITHDRAWAL OF INTERVENTION FILED SINCE LAST ISSUE</w:t>
          </w:r>
        </w:p>
      </w:tc>
      <w:tc>
        <w:tcPr>
          <w:tcW w:w="1200" w:type="dxa"/>
          <w:tcMar>
            <w:left w:w="0" w:type="dxa"/>
            <w:right w:w="0" w:type="dxa"/>
          </w:tcMar>
        </w:tcPr>
        <w:p w:rsidR="00053108" w:rsidRPr="00096BD9" w:rsidRDefault="00053108" w:rsidP="00096BD9">
          <w:pPr>
            <w:keepNext/>
            <w:keepLines/>
            <w:tabs>
              <w:tab w:val="left" w:pos="-1440"/>
              <w:tab w:val="left" w:pos="-720"/>
            </w:tabs>
            <w:jc w:val="center"/>
            <w:rPr>
              <w:sz w:val="20"/>
              <w:szCs w:val="20"/>
            </w:rPr>
          </w:pPr>
        </w:p>
        <w:p w:rsidR="00053108" w:rsidRPr="00096BD9" w:rsidRDefault="00053108" w:rsidP="00096BD9">
          <w:pPr>
            <w:keepNext/>
            <w:keepLines/>
            <w:tabs>
              <w:tab w:val="left" w:pos="-1440"/>
              <w:tab w:val="left" w:pos="-720"/>
            </w:tabs>
            <w:jc w:val="center"/>
            <w:rPr>
              <w:sz w:val="20"/>
              <w:szCs w:val="20"/>
            </w:rPr>
          </w:pPr>
        </w:p>
        <w:p w:rsidR="00053108" w:rsidRPr="00096BD9" w:rsidRDefault="00053108" w:rsidP="00096BD9">
          <w:pPr>
            <w:keepNext/>
            <w:keepLines/>
            <w:tabs>
              <w:tab w:val="left" w:pos="-1440"/>
              <w:tab w:val="left" w:pos="-720"/>
            </w:tabs>
            <w:jc w:val="center"/>
            <w:rPr>
              <w:sz w:val="20"/>
              <w:szCs w:val="20"/>
            </w:rPr>
          </w:pPr>
        </w:p>
      </w:tc>
      <w:tc>
        <w:tcPr>
          <w:tcW w:w="4080" w:type="dxa"/>
          <w:tcMar>
            <w:left w:w="0" w:type="dxa"/>
            <w:right w:w="0" w:type="dxa"/>
          </w:tcMar>
        </w:tcPr>
        <w:p w:rsidR="00053108" w:rsidRPr="00096BD9" w:rsidRDefault="00053108" w:rsidP="00245129">
          <w:pPr>
            <w:keepLines/>
            <w:rPr>
              <w:sz w:val="20"/>
              <w:szCs w:val="20"/>
              <w:lang w:val="fr-CA"/>
            </w:rPr>
          </w:pPr>
          <w:r w:rsidRPr="00096BD9">
            <w:rPr>
              <w:sz w:val="20"/>
              <w:szCs w:val="20"/>
              <w:lang w:val="fr-CA"/>
            </w:rPr>
            <w:t>AVIS DE RETRAIT D’INTERVENTION DÉPOSÉ DEPUIS LA DERNIÈRE PARUTION</w:t>
          </w:r>
        </w:p>
      </w:tc>
    </w:tr>
  </w:tbl>
  <w:p w:rsidR="00053108" w:rsidRPr="00D07A3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53108" w:rsidRPr="006B3AEE">
      <w:tc>
        <w:tcPr>
          <w:tcW w:w="4200" w:type="dxa"/>
          <w:tcMar>
            <w:left w:w="0" w:type="dxa"/>
            <w:right w:w="0" w:type="dxa"/>
          </w:tcMar>
        </w:tcPr>
        <w:p w:rsidR="00053108" w:rsidRDefault="0005310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053108" w:rsidRDefault="0005310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053108" w:rsidRDefault="0005310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53108" w:rsidRPr="009256DC" w:rsidRDefault="0005310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053108" w:rsidRPr="009256DC" w:rsidRDefault="000531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53108" w:rsidRPr="009256DC" w:rsidRDefault="000531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53108" w:rsidRPr="006B3AEE" w:rsidTr="00245129">
      <w:tc>
        <w:tcPr>
          <w:tcW w:w="4200" w:type="dxa"/>
          <w:tcMar>
            <w:left w:w="0" w:type="dxa"/>
            <w:right w:w="0" w:type="dxa"/>
          </w:tcMar>
        </w:tcPr>
        <w:p w:rsidR="00053108" w:rsidRPr="00802863" w:rsidRDefault="00053108"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053108" w:rsidRPr="00802863" w:rsidRDefault="00053108" w:rsidP="00802863">
          <w:pPr>
            <w:keepNext/>
            <w:keepLines/>
            <w:widowControl w:val="0"/>
            <w:tabs>
              <w:tab w:val="left" w:pos="-1440"/>
              <w:tab w:val="left" w:pos="-720"/>
            </w:tabs>
            <w:jc w:val="center"/>
            <w:rPr>
              <w:sz w:val="20"/>
              <w:szCs w:val="20"/>
            </w:rPr>
          </w:pPr>
        </w:p>
        <w:p w:rsidR="00053108" w:rsidRPr="00802863" w:rsidRDefault="00053108" w:rsidP="00802863">
          <w:pPr>
            <w:keepNext/>
            <w:keepLines/>
            <w:widowControl w:val="0"/>
            <w:tabs>
              <w:tab w:val="left" w:pos="-1440"/>
              <w:tab w:val="left" w:pos="-720"/>
            </w:tabs>
            <w:jc w:val="center"/>
            <w:rPr>
              <w:sz w:val="20"/>
              <w:szCs w:val="20"/>
            </w:rPr>
          </w:pPr>
        </w:p>
        <w:p w:rsidR="00053108" w:rsidRPr="00802863" w:rsidRDefault="00053108"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053108" w:rsidRPr="00802863" w:rsidRDefault="00053108"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053108" w:rsidRPr="009256DC" w:rsidRDefault="00053108"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53108" w:rsidRPr="006B3AEE">
      <w:tc>
        <w:tcPr>
          <w:tcW w:w="4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53108" w:rsidRPr="00283C52"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53108" w:rsidRPr="00283C52"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53108" w:rsidRPr="00283C52"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53108" w:rsidRPr="006B3AEE" w:rsidTr="00245129">
      <w:tc>
        <w:tcPr>
          <w:tcW w:w="4200" w:type="dxa"/>
          <w:tcMar>
            <w:left w:w="0" w:type="dxa"/>
            <w:right w:w="0" w:type="dxa"/>
          </w:tcMar>
        </w:tcPr>
        <w:p w:rsidR="00053108" w:rsidRPr="00732DB7" w:rsidRDefault="0005310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53108" w:rsidRPr="00732DB7" w:rsidRDefault="00053108" w:rsidP="00732DB7">
          <w:pPr>
            <w:keepNext/>
            <w:keepLines/>
            <w:tabs>
              <w:tab w:val="left" w:pos="-1440"/>
              <w:tab w:val="left" w:pos="-720"/>
            </w:tabs>
            <w:jc w:val="center"/>
            <w:rPr>
              <w:sz w:val="20"/>
              <w:szCs w:val="20"/>
            </w:rPr>
          </w:pPr>
        </w:p>
        <w:p w:rsidR="00053108" w:rsidRPr="00732DB7" w:rsidRDefault="00053108" w:rsidP="00732DB7">
          <w:pPr>
            <w:keepNext/>
            <w:keepLines/>
            <w:tabs>
              <w:tab w:val="left" w:pos="-1440"/>
              <w:tab w:val="left" w:pos="-720"/>
            </w:tabs>
            <w:jc w:val="center"/>
            <w:rPr>
              <w:sz w:val="20"/>
              <w:szCs w:val="20"/>
            </w:rPr>
          </w:pPr>
        </w:p>
        <w:p w:rsidR="00053108" w:rsidRPr="00732DB7" w:rsidRDefault="00053108" w:rsidP="00732DB7">
          <w:pPr>
            <w:keepNext/>
            <w:keepLines/>
            <w:tabs>
              <w:tab w:val="left" w:pos="-1440"/>
              <w:tab w:val="left" w:pos="-720"/>
            </w:tabs>
            <w:jc w:val="center"/>
            <w:rPr>
              <w:sz w:val="20"/>
              <w:szCs w:val="20"/>
            </w:rPr>
          </w:pPr>
        </w:p>
      </w:tc>
      <w:tc>
        <w:tcPr>
          <w:tcW w:w="4080" w:type="dxa"/>
          <w:tcMar>
            <w:left w:w="0" w:type="dxa"/>
            <w:right w:w="0" w:type="dxa"/>
          </w:tcMar>
        </w:tcPr>
        <w:p w:rsidR="00053108" w:rsidRPr="00732DB7" w:rsidRDefault="0005310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53108" w:rsidRPr="00283C52" w:rsidRDefault="0005310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53108" w:rsidRPr="006B3AEE">
      <w:tc>
        <w:tcPr>
          <w:tcW w:w="4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53108" w:rsidRPr="003C2C0F"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53108" w:rsidRPr="003C2C0F"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53108" w:rsidRPr="003C2C0F"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53108" w:rsidRPr="006B3AEE" w:rsidTr="00245129">
      <w:tc>
        <w:tcPr>
          <w:tcW w:w="4200" w:type="dxa"/>
          <w:tcMar>
            <w:left w:w="0" w:type="dxa"/>
            <w:right w:w="0" w:type="dxa"/>
          </w:tcMar>
        </w:tcPr>
        <w:p w:rsidR="00053108" w:rsidRPr="00FF6EEC" w:rsidRDefault="00053108" w:rsidP="00FF6EEC">
          <w:pPr>
            <w:rPr>
              <w:sz w:val="20"/>
              <w:szCs w:val="20"/>
            </w:rPr>
          </w:pPr>
          <w:r w:rsidRPr="00FF6EEC">
            <w:rPr>
              <w:sz w:val="20"/>
              <w:szCs w:val="20"/>
            </w:rPr>
            <w:t>PRONOUNCEMENTS OF APPEALS RESERVED</w:t>
          </w:r>
        </w:p>
      </w:tc>
      <w:tc>
        <w:tcPr>
          <w:tcW w:w="1200" w:type="dxa"/>
          <w:tcMar>
            <w:left w:w="0" w:type="dxa"/>
            <w:right w:w="0" w:type="dxa"/>
          </w:tcMar>
        </w:tcPr>
        <w:p w:rsidR="00053108" w:rsidRPr="00FF6EEC" w:rsidRDefault="00053108" w:rsidP="00FF6EEC">
          <w:pPr>
            <w:jc w:val="center"/>
            <w:rPr>
              <w:sz w:val="20"/>
              <w:szCs w:val="20"/>
            </w:rPr>
          </w:pPr>
        </w:p>
        <w:p w:rsidR="00053108" w:rsidRPr="00FF6EEC" w:rsidRDefault="00053108" w:rsidP="00FF6EEC">
          <w:pPr>
            <w:jc w:val="center"/>
            <w:rPr>
              <w:sz w:val="20"/>
              <w:szCs w:val="20"/>
            </w:rPr>
          </w:pPr>
        </w:p>
        <w:p w:rsidR="00053108" w:rsidRPr="00FF6EEC" w:rsidRDefault="00053108" w:rsidP="00FF6EEC">
          <w:pPr>
            <w:jc w:val="center"/>
            <w:rPr>
              <w:sz w:val="20"/>
              <w:szCs w:val="20"/>
            </w:rPr>
          </w:pPr>
        </w:p>
      </w:tc>
      <w:tc>
        <w:tcPr>
          <w:tcW w:w="4080" w:type="dxa"/>
          <w:tcMar>
            <w:left w:w="0" w:type="dxa"/>
            <w:right w:w="0" w:type="dxa"/>
          </w:tcMar>
        </w:tcPr>
        <w:p w:rsidR="00053108" w:rsidRPr="00FF6EEC" w:rsidRDefault="00053108" w:rsidP="00FF6EEC">
          <w:pPr>
            <w:rPr>
              <w:sz w:val="20"/>
              <w:szCs w:val="20"/>
              <w:lang w:val="fr-CA"/>
            </w:rPr>
          </w:pPr>
          <w:r w:rsidRPr="00FF6EEC">
            <w:rPr>
              <w:sz w:val="20"/>
              <w:szCs w:val="20"/>
              <w:lang w:val="fr-CA"/>
            </w:rPr>
            <w:t>JUGEMENTS RENDUS SUR LES APPELS EN DÉLIBÉRÉ</w:t>
          </w:r>
        </w:p>
      </w:tc>
    </w:tr>
  </w:tbl>
  <w:p w:rsidR="00053108" w:rsidRPr="003C2C0F" w:rsidRDefault="0005310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53108">
      <w:tc>
        <w:tcPr>
          <w:tcW w:w="423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53108"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53108"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53108" w:rsidRPr="00782AE4" w:rsidTr="00245129">
      <w:tc>
        <w:tcPr>
          <w:tcW w:w="4230" w:type="dxa"/>
          <w:tcMar>
            <w:left w:w="0" w:type="dxa"/>
            <w:right w:w="0" w:type="dxa"/>
          </w:tcMar>
        </w:tcPr>
        <w:p w:rsidR="00053108" w:rsidRPr="00782AE4" w:rsidRDefault="00053108" w:rsidP="00102926">
          <w:pPr>
            <w:keepNext/>
            <w:keepLines/>
            <w:tabs>
              <w:tab w:val="left" w:pos="-1440"/>
              <w:tab w:val="left" w:pos="-720"/>
            </w:tabs>
            <w:rPr>
              <w:sz w:val="20"/>
              <w:szCs w:val="20"/>
            </w:rPr>
          </w:pPr>
          <w:r w:rsidRPr="00782AE4">
            <w:rPr>
              <w:sz w:val="20"/>
              <w:szCs w:val="20"/>
            </w:rPr>
            <w:t xml:space="preserve">HEADNOTES OF RECENT </w:t>
          </w:r>
        </w:p>
        <w:p w:rsidR="00053108" w:rsidRPr="00782AE4"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53108" w:rsidRDefault="00053108" w:rsidP="00102926">
          <w:pPr>
            <w:keepNext/>
            <w:keepLines/>
            <w:tabs>
              <w:tab w:val="left" w:pos="-1440"/>
              <w:tab w:val="left" w:pos="-720"/>
            </w:tabs>
            <w:jc w:val="center"/>
            <w:rPr>
              <w:sz w:val="20"/>
              <w:szCs w:val="20"/>
            </w:rPr>
          </w:pPr>
        </w:p>
        <w:p w:rsidR="00053108" w:rsidRDefault="00053108" w:rsidP="00102926">
          <w:pPr>
            <w:keepNext/>
            <w:keepLines/>
            <w:tabs>
              <w:tab w:val="left" w:pos="-1440"/>
              <w:tab w:val="left" w:pos="-720"/>
            </w:tabs>
            <w:jc w:val="center"/>
            <w:rPr>
              <w:sz w:val="20"/>
              <w:szCs w:val="20"/>
            </w:rPr>
          </w:pPr>
        </w:p>
        <w:p w:rsidR="00053108" w:rsidRPr="00782AE4" w:rsidRDefault="00053108" w:rsidP="00102926">
          <w:pPr>
            <w:keepNext/>
            <w:keepLines/>
            <w:tabs>
              <w:tab w:val="left" w:pos="-1440"/>
              <w:tab w:val="left" w:pos="-720"/>
            </w:tabs>
            <w:jc w:val="center"/>
            <w:rPr>
              <w:sz w:val="20"/>
              <w:szCs w:val="20"/>
            </w:rPr>
          </w:pPr>
        </w:p>
      </w:tc>
      <w:tc>
        <w:tcPr>
          <w:tcW w:w="4080" w:type="dxa"/>
          <w:tcMar>
            <w:left w:w="0" w:type="dxa"/>
            <w:right w:w="0" w:type="dxa"/>
          </w:tcMar>
        </w:tcPr>
        <w:p w:rsidR="00053108" w:rsidRPr="00102926"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53108" w:rsidRPr="00782AE4" w:rsidRDefault="00053108" w:rsidP="00102926">
          <w:pPr>
            <w:keepLines/>
            <w:tabs>
              <w:tab w:val="left" w:pos="-1440"/>
              <w:tab w:val="left" w:pos="-720"/>
            </w:tabs>
            <w:rPr>
              <w:sz w:val="20"/>
              <w:szCs w:val="20"/>
            </w:rPr>
          </w:pPr>
          <w:r w:rsidRPr="00102926">
            <w:rPr>
              <w:sz w:val="20"/>
              <w:szCs w:val="20"/>
              <w:lang w:val="fr-CA"/>
            </w:rPr>
            <w:t>RÉCENTS</w:t>
          </w:r>
        </w:p>
      </w:tc>
    </w:tr>
  </w:tbl>
  <w:p w:rsidR="00053108" w:rsidRDefault="0005310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53108" w:rsidRPr="0044776A" w:rsidTr="00245129">
      <w:tc>
        <w:tcPr>
          <w:tcW w:w="4290" w:type="dxa"/>
          <w:tcMar>
            <w:left w:w="0" w:type="dxa"/>
            <w:right w:w="0" w:type="dxa"/>
          </w:tcMar>
        </w:tcPr>
        <w:p w:rsidR="00053108" w:rsidRPr="0044776A" w:rsidRDefault="0005310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53108" w:rsidRPr="0044776A" w:rsidRDefault="00053108" w:rsidP="002E2327">
          <w:pPr>
            <w:keepNext/>
            <w:keepLines/>
            <w:tabs>
              <w:tab w:val="left" w:pos="-1440"/>
              <w:tab w:val="left" w:pos="-720"/>
            </w:tabs>
            <w:jc w:val="center"/>
            <w:rPr>
              <w:sz w:val="20"/>
              <w:szCs w:val="20"/>
            </w:rPr>
          </w:pPr>
        </w:p>
        <w:p w:rsidR="00053108" w:rsidRPr="0044776A" w:rsidRDefault="00053108" w:rsidP="002E2327">
          <w:pPr>
            <w:keepNext/>
            <w:keepLines/>
            <w:tabs>
              <w:tab w:val="left" w:pos="-1440"/>
              <w:tab w:val="left" w:pos="-720"/>
            </w:tabs>
            <w:jc w:val="center"/>
            <w:rPr>
              <w:sz w:val="20"/>
              <w:szCs w:val="20"/>
            </w:rPr>
          </w:pPr>
        </w:p>
        <w:p w:rsidR="00053108" w:rsidRPr="0044776A" w:rsidRDefault="00053108" w:rsidP="002E2327">
          <w:pPr>
            <w:keepNext/>
            <w:keepLines/>
            <w:tabs>
              <w:tab w:val="left" w:pos="-1440"/>
              <w:tab w:val="left" w:pos="-720"/>
            </w:tabs>
            <w:jc w:val="center"/>
            <w:rPr>
              <w:sz w:val="20"/>
              <w:szCs w:val="20"/>
            </w:rPr>
          </w:pPr>
        </w:p>
      </w:tc>
      <w:tc>
        <w:tcPr>
          <w:tcW w:w="4320" w:type="dxa"/>
          <w:tcMar>
            <w:left w:w="0" w:type="dxa"/>
            <w:right w:w="0" w:type="dxa"/>
          </w:tcMar>
        </w:tcPr>
        <w:p w:rsidR="00053108" w:rsidRPr="0044776A" w:rsidRDefault="00053108" w:rsidP="002E2327">
          <w:pPr>
            <w:keepLines/>
            <w:rPr>
              <w:sz w:val="20"/>
              <w:szCs w:val="20"/>
              <w:lang w:val="fr-CA"/>
            </w:rPr>
          </w:pPr>
          <w:r w:rsidRPr="0044776A">
            <w:rPr>
              <w:sz w:val="20"/>
              <w:szCs w:val="20"/>
              <w:lang w:val="fr-CA"/>
            </w:rPr>
            <w:t>DEMANDES D'AUTORISATION D'APPEL DÉPOSÉES</w:t>
          </w:r>
        </w:p>
      </w:tc>
    </w:tr>
  </w:tbl>
  <w:p w:rsidR="00053108" w:rsidRDefault="0005310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53108" w:rsidRPr="006B3AEE" w:rsidTr="00245129">
      <w:tc>
        <w:tcPr>
          <w:tcW w:w="4200" w:type="dxa"/>
          <w:tcMar>
            <w:left w:w="0" w:type="dxa"/>
            <w:right w:w="0" w:type="dxa"/>
          </w:tcMar>
        </w:tcPr>
        <w:p w:rsidR="00053108" w:rsidRPr="0044776A" w:rsidRDefault="00053108" w:rsidP="0044776A">
          <w:pPr>
            <w:keepNext/>
            <w:keepLines/>
            <w:widowControl w:val="0"/>
            <w:rPr>
              <w:sz w:val="20"/>
              <w:szCs w:val="20"/>
            </w:rPr>
          </w:pPr>
          <w:r>
            <w:rPr>
              <w:sz w:val="20"/>
              <w:szCs w:val="20"/>
            </w:rPr>
            <w:t>APPLICATIONS FOR LEAVE</w:t>
          </w:r>
        </w:p>
        <w:p w:rsidR="00053108" w:rsidRPr="0044776A" w:rsidRDefault="0005310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53108" w:rsidRPr="0044776A" w:rsidRDefault="00053108" w:rsidP="0044776A">
          <w:pPr>
            <w:keepNext/>
            <w:keepLines/>
            <w:widowControl w:val="0"/>
            <w:jc w:val="center"/>
            <w:rPr>
              <w:sz w:val="20"/>
              <w:szCs w:val="20"/>
            </w:rPr>
          </w:pPr>
        </w:p>
        <w:p w:rsidR="00053108" w:rsidRPr="0044776A" w:rsidRDefault="00053108" w:rsidP="0044776A">
          <w:pPr>
            <w:keepNext/>
            <w:keepLines/>
            <w:widowControl w:val="0"/>
            <w:jc w:val="center"/>
            <w:rPr>
              <w:sz w:val="20"/>
              <w:szCs w:val="20"/>
            </w:rPr>
          </w:pPr>
        </w:p>
        <w:p w:rsidR="00053108" w:rsidRPr="0044776A" w:rsidRDefault="00053108" w:rsidP="0044776A">
          <w:pPr>
            <w:keepNext/>
            <w:keepLines/>
            <w:widowControl w:val="0"/>
            <w:jc w:val="center"/>
            <w:rPr>
              <w:sz w:val="20"/>
              <w:szCs w:val="20"/>
            </w:rPr>
          </w:pPr>
        </w:p>
      </w:tc>
      <w:tc>
        <w:tcPr>
          <w:tcW w:w="4080" w:type="dxa"/>
          <w:tcMar>
            <w:left w:w="0" w:type="dxa"/>
            <w:right w:w="0" w:type="dxa"/>
          </w:tcMar>
        </w:tcPr>
        <w:p w:rsidR="00053108" w:rsidRPr="0044776A" w:rsidRDefault="00053108" w:rsidP="0044776A">
          <w:pPr>
            <w:keepLines/>
            <w:widowControl w:val="0"/>
            <w:rPr>
              <w:sz w:val="20"/>
              <w:szCs w:val="20"/>
              <w:lang w:val="fr-CA"/>
            </w:rPr>
          </w:pPr>
          <w:r w:rsidRPr="0044776A">
            <w:rPr>
              <w:sz w:val="20"/>
              <w:szCs w:val="20"/>
              <w:lang w:val="fr-CA"/>
            </w:rPr>
            <w:t>DEMANDES SOUMISES À LA COUR DEPUIS LA DERNIÈRE PARUTION</w:t>
          </w:r>
        </w:p>
        <w:p w:rsidR="00053108" w:rsidRPr="0044776A" w:rsidRDefault="00053108" w:rsidP="0044776A">
          <w:pPr>
            <w:widowControl w:val="0"/>
            <w:rPr>
              <w:sz w:val="20"/>
              <w:szCs w:val="20"/>
              <w:lang w:val="fr-CA"/>
            </w:rPr>
          </w:pPr>
        </w:p>
      </w:tc>
    </w:tr>
  </w:tbl>
  <w:p w:rsidR="00053108" w:rsidRPr="002E2327" w:rsidRDefault="0005310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8" w:rsidRDefault="0005310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53108" w:rsidRPr="006B3AEE">
      <w:tc>
        <w:tcPr>
          <w:tcW w:w="4200" w:type="dxa"/>
          <w:tcMar>
            <w:left w:w="0" w:type="dxa"/>
            <w:right w:w="0" w:type="dxa"/>
          </w:tcMar>
        </w:tcPr>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53108"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53108"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53108" w:rsidRPr="00FF6BA5"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53108" w:rsidRPr="00FF6BA5"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53108" w:rsidRPr="00FF6BA5"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53108" w:rsidRPr="00FF6BA5" w:rsidRDefault="000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53108" w:rsidRPr="006B3AEE" w:rsidTr="00245129">
      <w:tc>
        <w:tcPr>
          <w:tcW w:w="4200" w:type="dxa"/>
          <w:tcMar>
            <w:left w:w="0" w:type="dxa"/>
            <w:right w:w="0" w:type="dxa"/>
          </w:tcMar>
        </w:tcPr>
        <w:p w:rsidR="00053108" w:rsidRPr="00755F22"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53108" w:rsidRPr="00755F22" w:rsidRDefault="000531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53108" w:rsidRPr="00755F22" w:rsidRDefault="0005310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53108" w:rsidRPr="00755F22" w:rsidRDefault="0005310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53108" w:rsidRPr="00755F22" w:rsidRDefault="0005310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53108" w:rsidRPr="00755F22" w:rsidRDefault="000531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53108" w:rsidRPr="00FF6BA5" w:rsidRDefault="00053108"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EA1"/>
    <w:multiLevelType w:val="hybridMultilevel"/>
    <w:tmpl w:val="005E5ED8"/>
    <w:lvl w:ilvl="0" w:tplc="DC7C458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CC71D1"/>
    <w:multiLevelType w:val="hybridMultilevel"/>
    <w:tmpl w:val="5A3058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7C11AE"/>
    <w:multiLevelType w:val="hybridMultilevel"/>
    <w:tmpl w:val="65D2AF26"/>
    <w:lvl w:ilvl="0" w:tplc="F0244E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4837"/>
  </w:hdrShapeDefaults>
  <w:footnotePr>
    <w:footnote w:id="-1"/>
    <w:footnote w:id="0"/>
  </w:footnotePr>
  <w:endnotePr>
    <w:endnote w:id="-1"/>
    <w:endnote w:id="0"/>
  </w:endnotePr>
  <w:compat/>
  <w:rsids>
    <w:rsidRoot w:val="006E4E0C"/>
    <w:rsid w:val="00027A88"/>
    <w:rsid w:val="0003223B"/>
    <w:rsid w:val="000327B2"/>
    <w:rsid w:val="00053108"/>
    <w:rsid w:val="000603AB"/>
    <w:rsid w:val="00067FDE"/>
    <w:rsid w:val="000867B6"/>
    <w:rsid w:val="00096BD9"/>
    <w:rsid w:val="000B3C9A"/>
    <w:rsid w:val="000B40A2"/>
    <w:rsid w:val="000B4624"/>
    <w:rsid w:val="000C0ACD"/>
    <w:rsid w:val="000D7A3F"/>
    <w:rsid w:val="00102926"/>
    <w:rsid w:val="0010587F"/>
    <w:rsid w:val="00111C6B"/>
    <w:rsid w:val="0012102B"/>
    <w:rsid w:val="0013369E"/>
    <w:rsid w:val="00164E6D"/>
    <w:rsid w:val="00170562"/>
    <w:rsid w:val="001B157C"/>
    <w:rsid w:val="001B5C23"/>
    <w:rsid w:val="001D0D5F"/>
    <w:rsid w:val="001D6B8C"/>
    <w:rsid w:val="001E74A1"/>
    <w:rsid w:val="001F1F83"/>
    <w:rsid w:val="001F2EC4"/>
    <w:rsid w:val="002021A9"/>
    <w:rsid w:val="002023D6"/>
    <w:rsid w:val="002139A7"/>
    <w:rsid w:val="00215F7C"/>
    <w:rsid w:val="00220143"/>
    <w:rsid w:val="0022323B"/>
    <w:rsid w:val="002410B8"/>
    <w:rsid w:val="00242AEE"/>
    <w:rsid w:val="00245129"/>
    <w:rsid w:val="00245879"/>
    <w:rsid w:val="00266091"/>
    <w:rsid w:val="00267FD5"/>
    <w:rsid w:val="002868D0"/>
    <w:rsid w:val="002A1D6D"/>
    <w:rsid w:val="002A27D1"/>
    <w:rsid w:val="002A4AFA"/>
    <w:rsid w:val="002B1F59"/>
    <w:rsid w:val="002B516C"/>
    <w:rsid w:val="002D72EB"/>
    <w:rsid w:val="002E2327"/>
    <w:rsid w:val="002E3583"/>
    <w:rsid w:val="002E5576"/>
    <w:rsid w:val="002E5EB4"/>
    <w:rsid w:val="002F09D7"/>
    <w:rsid w:val="002F2284"/>
    <w:rsid w:val="00331B52"/>
    <w:rsid w:val="003359D3"/>
    <w:rsid w:val="0034329E"/>
    <w:rsid w:val="00352BD9"/>
    <w:rsid w:val="00355967"/>
    <w:rsid w:val="00370B5E"/>
    <w:rsid w:val="00382C47"/>
    <w:rsid w:val="00384384"/>
    <w:rsid w:val="003866AE"/>
    <w:rsid w:val="003B3977"/>
    <w:rsid w:val="004241C2"/>
    <w:rsid w:val="004277D4"/>
    <w:rsid w:val="00432989"/>
    <w:rsid w:val="00440E24"/>
    <w:rsid w:val="0044776A"/>
    <w:rsid w:val="0045318E"/>
    <w:rsid w:val="00460AFC"/>
    <w:rsid w:val="004632E8"/>
    <w:rsid w:val="0046593E"/>
    <w:rsid w:val="0047471F"/>
    <w:rsid w:val="004B195E"/>
    <w:rsid w:val="004B66B4"/>
    <w:rsid w:val="004B7F60"/>
    <w:rsid w:val="004C1AAC"/>
    <w:rsid w:val="004D0CA2"/>
    <w:rsid w:val="004F090E"/>
    <w:rsid w:val="00527CC7"/>
    <w:rsid w:val="0057164C"/>
    <w:rsid w:val="00571CA4"/>
    <w:rsid w:val="00582136"/>
    <w:rsid w:val="005C6840"/>
    <w:rsid w:val="005F263E"/>
    <w:rsid w:val="005F3456"/>
    <w:rsid w:val="00600252"/>
    <w:rsid w:val="00612A40"/>
    <w:rsid w:val="00632B8D"/>
    <w:rsid w:val="00633F2F"/>
    <w:rsid w:val="00670FF6"/>
    <w:rsid w:val="00673B09"/>
    <w:rsid w:val="00675479"/>
    <w:rsid w:val="00696BF9"/>
    <w:rsid w:val="00697C62"/>
    <w:rsid w:val="006A329B"/>
    <w:rsid w:val="006A7EB8"/>
    <w:rsid w:val="006B3AEE"/>
    <w:rsid w:val="006B6926"/>
    <w:rsid w:val="006C3F47"/>
    <w:rsid w:val="006C5F7A"/>
    <w:rsid w:val="006E06AF"/>
    <w:rsid w:val="006E4E0C"/>
    <w:rsid w:val="006F350F"/>
    <w:rsid w:val="00717874"/>
    <w:rsid w:val="00732DB7"/>
    <w:rsid w:val="0074238B"/>
    <w:rsid w:val="00745EF7"/>
    <w:rsid w:val="00755F22"/>
    <w:rsid w:val="007574CA"/>
    <w:rsid w:val="00765815"/>
    <w:rsid w:val="00766E4A"/>
    <w:rsid w:val="007820CE"/>
    <w:rsid w:val="00782AE4"/>
    <w:rsid w:val="0079724F"/>
    <w:rsid w:val="007A3EAE"/>
    <w:rsid w:val="007C04FC"/>
    <w:rsid w:val="007D3E0F"/>
    <w:rsid w:val="007E7D0D"/>
    <w:rsid w:val="007F387B"/>
    <w:rsid w:val="00802863"/>
    <w:rsid w:val="00814735"/>
    <w:rsid w:val="00815B3C"/>
    <w:rsid w:val="0082783A"/>
    <w:rsid w:val="008315BB"/>
    <w:rsid w:val="00831CA9"/>
    <w:rsid w:val="008446DF"/>
    <w:rsid w:val="00850E1F"/>
    <w:rsid w:val="00851DA2"/>
    <w:rsid w:val="0085476B"/>
    <w:rsid w:val="00874A38"/>
    <w:rsid w:val="00886CE1"/>
    <w:rsid w:val="00890FEB"/>
    <w:rsid w:val="008C7808"/>
    <w:rsid w:val="008D292F"/>
    <w:rsid w:val="008E03DC"/>
    <w:rsid w:val="00924065"/>
    <w:rsid w:val="0092711B"/>
    <w:rsid w:val="00930D68"/>
    <w:rsid w:val="00932DB4"/>
    <w:rsid w:val="00940F2C"/>
    <w:rsid w:val="00941A4B"/>
    <w:rsid w:val="00946242"/>
    <w:rsid w:val="0095096B"/>
    <w:rsid w:val="00953ADB"/>
    <w:rsid w:val="00970CD3"/>
    <w:rsid w:val="009723FA"/>
    <w:rsid w:val="00984546"/>
    <w:rsid w:val="00996510"/>
    <w:rsid w:val="009D1F15"/>
    <w:rsid w:val="009D555E"/>
    <w:rsid w:val="009E7212"/>
    <w:rsid w:val="009F3024"/>
    <w:rsid w:val="00A0355E"/>
    <w:rsid w:val="00A3677B"/>
    <w:rsid w:val="00A375D1"/>
    <w:rsid w:val="00A51D10"/>
    <w:rsid w:val="00A52A83"/>
    <w:rsid w:val="00A5479D"/>
    <w:rsid w:val="00A6552C"/>
    <w:rsid w:val="00A71EA7"/>
    <w:rsid w:val="00A7736C"/>
    <w:rsid w:val="00A87207"/>
    <w:rsid w:val="00A935AA"/>
    <w:rsid w:val="00AB2201"/>
    <w:rsid w:val="00AD3259"/>
    <w:rsid w:val="00AE6AD2"/>
    <w:rsid w:val="00AF1715"/>
    <w:rsid w:val="00AF3904"/>
    <w:rsid w:val="00B010C0"/>
    <w:rsid w:val="00B04557"/>
    <w:rsid w:val="00B233A0"/>
    <w:rsid w:val="00B4740D"/>
    <w:rsid w:val="00B61629"/>
    <w:rsid w:val="00B71750"/>
    <w:rsid w:val="00B72247"/>
    <w:rsid w:val="00B72580"/>
    <w:rsid w:val="00B7374B"/>
    <w:rsid w:val="00B77E69"/>
    <w:rsid w:val="00B90DC0"/>
    <w:rsid w:val="00BA116A"/>
    <w:rsid w:val="00BA5582"/>
    <w:rsid w:val="00BA6468"/>
    <w:rsid w:val="00BB172E"/>
    <w:rsid w:val="00BD06DA"/>
    <w:rsid w:val="00BD4217"/>
    <w:rsid w:val="00BF25F3"/>
    <w:rsid w:val="00C1697B"/>
    <w:rsid w:val="00C21CB5"/>
    <w:rsid w:val="00C50A5C"/>
    <w:rsid w:val="00C50FDF"/>
    <w:rsid w:val="00C63381"/>
    <w:rsid w:val="00C71624"/>
    <w:rsid w:val="00C73D06"/>
    <w:rsid w:val="00C73E1B"/>
    <w:rsid w:val="00C759B4"/>
    <w:rsid w:val="00C77713"/>
    <w:rsid w:val="00C82B54"/>
    <w:rsid w:val="00CA3164"/>
    <w:rsid w:val="00CA7DAB"/>
    <w:rsid w:val="00CB43D5"/>
    <w:rsid w:val="00CC4D84"/>
    <w:rsid w:val="00CE198A"/>
    <w:rsid w:val="00CF34EE"/>
    <w:rsid w:val="00D027E3"/>
    <w:rsid w:val="00D2370D"/>
    <w:rsid w:val="00D621AC"/>
    <w:rsid w:val="00D64901"/>
    <w:rsid w:val="00D76BDF"/>
    <w:rsid w:val="00D77AF9"/>
    <w:rsid w:val="00D84D17"/>
    <w:rsid w:val="00D862C1"/>
    <w:rsid w:val="00D9024E"/>
    <w:rsid w:val="00D911A8"/>
    <w:rsid w:val="00D93B50"/>
    <w:rsid w:val="00D94670"/>
    <w:rsid w:val="00DA46F6"/>
    <w:rsid w:val="00DB3574"/>
    <w:rsid w:val="00DB6088"/>
    <w:rsid w:val="00DB61A4"/>
    <w:rsid w:val="00DC5F60"/>
    <w:rsid w:val="00DD0B49"/>
    <w:rsid w:val="00DE2730"/>
    <w:rsid w:val="00E06DFA"/>
    <w:rsid w:val="00E07BA5"/>
    <w:rsid w:val="00E20A0A"/>
    <w:rsid w:val="00E356C7"/>
    <w:rsid w:val="00E45FE4"/>
    <w:rsid w:val="00E64FA7"/>
    <w:rsid w:val="00E73019"/>
    <w:rsid w:val="00E770CB"/>
    <w:rsid w:val="00E903A1"/>
    <w:rsid w:val="00E940EB"/>
    <w:rsid w:val="00EB2B90"/>
    <w:rsid w:val="00EB6C87"/>
    <w:rsid w:val="00ED7E83"/>
    <w:rsid w:val="00EF1BFB"/>
    <w:rsid w:val="00EF4B63"/>
    <w:rsid w:val="00F0068D"/>
    <w:rsid w:val="00F0576D"/>
    <w:rsid w:val="00F14E6D"/>
    <w:rsid w:val="00F15EA8"/>
    <w:rsid w:val="00F16C8D"/>
    <w:rsid w:val="00F26C61"/>
    <w:rsid w:val="00F276B6"/>
    <w:rsid w:val="00F329C2"/>
    <w:rsid w:val="00F33CCE"/>
    <w:rsid w:val="00F40249"/>
    <w:rsid w:val="00F526C8"/>
    <w:rsid w:val="00F9272D"/>
    <w:rsid w:val="00F9518C"/>
    <w:rsid w:val="00FA316E"/>
    <w:rsid w:val="00FA59EF"/>
    <w:rsid w:val="00FA6EE7"/>
    <w:rsid w:val="00FB170A"/>
    <w:rsid w:val="00FB19A2"/>
    <w:rsid w:val="00FC0744"/>
    <w:rsid w:val="00FE53B3"/>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2A1D6D"/>
    <w:rPr>
      <w:rFonts w:eastAsia="Calibri" w:cs="Times New Roman"/>
      <w:i/>
      <w:sz w:val="20"/>
      <w:szCs w:val="20"/>
    </w:rPr>
  </w:style>
  <w:style w:type="character" w:customStyle="1" w:styleId="SCCSsocChar">
    <w:name w:val="SCC.Ssoc Char"/>
    <w:basedOn w:val="DefaultParagraphFont"/>
    <w:link w:val="SCCSsoc"/>
    <w:rsid w:val="002A1D6D"/>
    <w:rPr>
      <w:rFonts w:eastAsia="Calibri" w:cs="Times New Roman"/>
      <w:i/>
      <w:sz w:val="20"/>
      <w:szCs w:val="20"/>
      <w:lang w:val="en-CA"/>
    </w:rPr>
  </w:style>
  <w:style w:type="paragraph" w:customStyle="1" w:styleId="SCCLowerCourtNameLowercase">
    <w:name w:val="SCC.LowerCourtNameLowercase"/>
    <w:basedOn w:val="SCCNormalDoubleSpacing"/>
    <w:next w:val="SCCNormalDoubleSpacing"/>
    <w:rsid w:val="00D2370D"/>
    <w:pPr>
      <w:tabs>
        <w:tab w:val="left" w:pos="1168"/>
      </w:tabs>
    </w:pPr>
    <w:rPr>
      <w:smallCaps/>
    </w:rPr>
  </w:style>
  <w:style w:type="paragraph" w:customStyle="1" w:styleId="Citation-AltC">
    <w:name w:val="Citation - Alt C"/>
    <w:uiPriority w:val="2"/>
    <w:qFormat/>
    <w:rsid w:val="00D2370D"/>
    <w:pPr>
      <w:spacing w:after="720"/>
      <w:ind w:left="1166"/>
      <w:contextualSpacing/>
      <w:jc w:val="both"/>
    </w:pPr>
    <w:rPr>
      <w:rFonts w:eastAsia="Times New Roman" w:cs="Times New Roman"/>
      <w:szCs w:val="20"/>
      <w:lang w:val="en-CA" w:eastAsia="en-CA"/>
    </w:rPr>
  </w:style>
  <w:style w:type="character" w:styleId="FootnoteReference">
    <w:name w:val="footnote reference"/>
    <w:basedOn w:val="DefaultParagraphFont"/>
    <w:uiPriority w:val="99"/>
    <w:semiHidden/>
    <w:unhideWhenUsed/>
    <w:rsid w:val="00D2370D"/>
    <w:rPr>
      <w:vertAlign w:val="superscript"/>
    </w:rPr>
  </w:style>
  <w:style w:type="paragraph" w:customStyle="1" w:styleId="ParaNoNdepar-AltN">
    <w:name w:val="Para. No. / Nº de par. - Alt N"/>
    <w:uiPriority w:val="99"/>
    <w:rsid w:val="004241C2"/>
    <w:pPr>
      <w:numPr>
        <w:numId w:val="5"/>
      </w:numPr>
      <w:tabs>
        <w:tab w:val="clear" w:pos="1152"/>
        <w:tab w:val="left" w:pos="1166"/>
      </w:tabs>
      <w:spacing w:before="480" w:after="480" w:line="480" w:lineRule="auto"/>
      <w:jc w:val="both"/>
    </w:pPr>
    <w:rPr>
      <w:rFonts w:eastAsia="Times New Roman"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footer" Target="footer29.xml"/><Relationship Id="rId7" Type="http://schemas.openxmlformats.org/officeDocument/2006/relationships/image" Target="media/image1.wmf"/><Relationship Id="rId71" Type="http://schemas.openxmlformats.org/officeDocument/2006/relationships/footer" Target="footer3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hyperlink" Target="http://www.scc-csc.gc.ca" TargetMode="External"/><Relationship Id="rId51" Type="http://schemas.openxmlformats.org/officeDocument/2006/relationships/footer" Target="footer21.xml"/><Relationship Id="rId72"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eader" Target="header3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14638</Words>
  <Characters>83440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2012-04-20T19:04:00Z</dcterms:created>
  <dcterms:modified xsi:type="dcterms:W3CDTF">2012-04-20T19:04:00Z</dcterms:modified>
</cp:coreProperties>
</file>