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36F3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36F3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36F3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36F3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36F35" w:rsidTr="002E5576">
        <w:tc>
          <w:tcPr>
            <w:tcW w:w="4518" w:type="dxa"/>
          </w:tcPr>
          <w:p w:rsidR="00BF25F3" w:rsidRPr="002E2327" w:rsidRDefault="009134D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134D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36F35" w:rsidTr="002E5576">
        <w:tc>
          <w:tcPr>
            <w:tcW w:w="4518" w:type="dxa"/>
          </w:tcPr>
          <w:p w:rsidR="009F3024" w:rsidRPr="00800F8F" w:rsidRDefault="009F3024" w:rsidP="009F3024">
            <w:pPr>
              <w:tabs>
                <w:tab w:val="left" w:pos="6075"/>
              </w:tabs>
              <w:rPr>
                <w:rFonts w:cs="Times New Roman"/>
                <w:szCs w:val="24"/>
                <w:lang w:val="fr-CA"/>
              </w:rPr>
            </w:pPr>
          </w:p>
          <w:p w:rsidR="009F3024" w:rsidRPr="00800F8F" w:rsidRDefault="009F3024" w:rsidP="009F3024">
            <w:pPr>
              <w:tabs>
                <w:tab w:val="left" w:pos="6075"/>
              </w:tabs>
              <w:rPr>
                <w:rFonts w:cs="Times New Roman"/>
                <w:szCs w:val="24"/>
                <w:lang w:val="fr-CA"/>
              </w:rPr>
            </w:pPr>
          </w:p>
        </w:tc>
        <w:tc>
          <w:tcPr>
            <w:tcW w:w="630" w:type="dxa"/>
          </w:tcPr>
          <w:p w:rsidR="009F3024" w:rsidRPr="00800F8F"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36F3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00F8F" w:rsidP="00F0068D">
      <w:pPr>
        <w:pBdr>
          <w:bottom w:val="single" w:sz="6" w:space="1" w:color="auto"/>
        </w:pBdr>
        <w:tabs>
          <w:tab w:val="center" w:pos="4680"/>
          <w:tab w:val="right" w:pos="9360"/>
        </w:tabs>
        <w:rPr>
          <w:lang w:val="fr-CA"/>
        </w:rPr>
      </w:pPr>
      <w:r>
        <w:rPr>
          <w:lang w:val="fr-CA"/>
        </w:rPr>
        <w:t>Ap</w:t>
      </w:r>
      <w:r w:rsidR="00C73D06">
        <w:rPr>
          <w:lang w:val="fr-CA"/>
        </w:rPr>
        <w:t>r</w:t>
      </w:r>
      <w:r>
        <w:rPr>
          <w:lang w:val="fr-CA"/>
        </w:rPr>
        <w:t>il</w:t>
      </w:r>
      <w:r w:rsidR="00440E24" w:rsidRPr="00675479">
        <w:rPr>
          <w:lang w:val="fr-CA"/>
        </w:rPr>
        <w:t xml:space="preserve"> </w:t>
      </w:r>
      <w:r>
        <w:rPr>
          <w:lang w:val="fr-CA"/>
        </w:rPr>
        <w:t>27</w:t>
      </w:r>
      <w:r w:rsidR="00440E24" w:rsidRPr="00675479">
        <w:rPr>
          <w:lang w:val="fr-CA"/>
        </w:rPr>
        <w:t>, 201</w:t>
      </w:r>
      <w:r w:rsidR="00C73D06">
        <w:rPr>
          <w:lang w:val="fr-CA"/>
        </w:rPr>
        <w:t>2</w:t>
      </w:r>
      <w:r w:rsidR="00F0068D" w:rsidRPr="00675479">
        <w:rPr>
          <w:lang w:val="fr-CA"/>
        </w:rPr>
        <w:tab/>
      </w:r>
      <w:r>
        <w:rPr>
          <w:lang w:val="fr-CA"/>
        </w:rPr>
        <w:t>6</w:t>
      </w:r>
      <w:r w:rsidR="00F0068D" w:rsidRPr="00675479">
        <w:rPr>
          <w:lang w:val="fr-CA"/>
        </w:rPr>
        <w:t>1</w:t>
      </w:r>
      <w:r>
        <w:rPr>
          <w:lang w:val="fr-CA"/>
        </w:rPr>
        <w:t>4</w:t>
      </w:r>
      <w:r w:rsidR="00F0068D" w:rsidRPr="00675479">
        <w:rPr>
          <w:lang w:val="fr-CA"/>
        </w:rPr>
        <w:t xml:space="preserve"> - </w:t>
      </w:r>
      <w:r w:rsidR="008F680D">
        <w:rPr>
          <w:lang w:val="fr-CA"/>
        </w:rPr>
        <w:t>68</w:t>
      </w:r>
      <w:r w:rsidR="004B065E">
        <w:rPr>
          <w:lang w:val="fr-CA"/>
        </w:rPr>
        <w:t>5</w:t>
      </w:r>
      <w:r w:rsidR="00440E24" w:rsidRPr="00675479">
        <w:rPr>
          <w:lang w:val="fr-CA"/>
        </w:rPr>
        <w:tab/>
      </w:r>
      <w:r w:rsidR="00440E24" w:rsidRPr="002E2327">
        <w:rPr>
          <w:lang w:val="fr-CA"/>
        </w:rPr>
        <w:t>Le</w:t>
      </w:r>
      <w:r w:rsidR="00C73D06">
        <w:rPr>
          <w:lang w:val="fr-CA"/>
        </w:rPr>
        <w:t xml:space="preserve"> </w:t>
      </w:r>
      <w:r>
        <w:rPr>
          <w:lang w:val="fr-CA"/>
        </w:rPr>
        <w:t xml:space="preserve">27 </w:t>
      </w:r>
      <w:r w:rsidR="00440E24" w:rsidRPr="002E2327">
        <w:rPr>
          <w:lang w:val="fr-CA"/>
        </w:rPr>
        <w:t>av</w:t>
      </w:r>
      <w:r w:rsidR="00C73D06">
        <w:rPr>
          <w:lang w:val="fr-CA"/>
        </w:rPr>
        <w:t>r</w:t>
      </w:r>
      <w:r>
        <w:rPr>
          <w:lang w:val="fr-CA"/>
        </w:rPr>
        <w:t>il</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F008B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F008BF">
            <w:pPr>
              <w:tabs>
                <w:tab w:val="right" w:pos="9360"/>
              </w:tabs>
              <w:rPr>
                <w:rFonts w:cs="Times New Roman"/>
                <w:sz w:val="20"/>
                <w:szCs w:val="20"/>
              </w:rPr>
            </w:pPr>
          </w:p>
        </w:tc>
        <w:tc>
          <w:tcPr>
            <w:tcW w:w="1980" w:type="dxa"/>
          </w:tcPr>
          <w:p w:rsidR="0095096B" w:rsidRPr="002E2327" w:rsidRDefault="00800F8F" w:rsidP="0095096B">
            <w:pPr>
              <w:jc w:val="center"/>
              <w:rPr>
                <w:rFonts w:cs="Times New Roman"/>
                <w:sz w:val="20"/>
                <w:szCs w:val="20"/>
              </w:rPr>
            </w:pPr>
            <w:r>
              <w:rPr>
                <w:rFonts w:cs="Times New Roman"/>
                <w:sz w:val="20"/>
                <w:szCs w:val="20"/>
              </w:rPr>
              <w:t xml:space="preserve">614 </w:t>
            </w:r>
            <w:r w:rsidR="009134DA" w:rsidRPr="002E2327">
              <w:rPr>
                <w:rFonts w:cs="Times New Roman"/>
                <w:sz w:val="20"/>
                <w:szCs w:val="20"/>
              </w:rPr>
              <w:fldChar w:fldCharType="begin"/>
            </w:r>
            <w:r w:rsidR="0095096B" w:rsidRPr="002E2327">
              <w:rPr>
                <w:rFonts w:cs="Times New Roman"/>
                <w:sz w:val="20"/>
                <w:szCs w:val="20"/>
              </w:rPr>
              <w:instrText xml:space="preserve"> SEQ CHAPTER \h \r 1</w:instrText>
            </w:r>
            <w:r w:rsidR="009134DA" w:rsidRPr="002E2327">
              <w:rPr>
                <w:rFonts w:cs="Times New Roman"/>
                <w:sz w:val="20"/>
                <w:szCs w:val="20"/>
              </w:rPr>
              <w:fldChar w:fldCharType="end"/>
            </w:r>
            <w:r w:rsidR="0095096B" w:rsidRPr="002E2327">
              <w:rPr>
                <w:rFonts w:cs="Times New Roman"/>
                <w:sz w:val="20"/>
                <w:szCs w:val="20"/>
              </w:rPr>
              <w:t>-</w:t>
            </w:r>
            <w:r w:rsidR="00E77067">
              <w:rPr>
                <w:rFonts w:cs="Times New Roman"/>
                <w:sz w:val="20"/>
                <w:szCs w:val="20"/>
              </w:rPr>
              <w:t xml:space="preserve"> 615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77067" w:rsidP="0095096B">
            <w:pPr>
              <w:jc w:val="center"/>
              <w:rPr>
                <w:rFonts w:cs="Times New Roman"/>
                <w:sz w:val="20"/>
                <w:szCs w:val="20"/>
              </w:rPr>
            </w:pPr>
            <w:r>
              <w:rPr>
                <w:rFonts w:cs="Times New Roman"/>
                <w:sz w:val="20"/>
                <w:szCs w:val="20"/>
              </w:rPr>
              <w:t>616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91967" w:rsidP="0095096B">
            <w:pPr>
              <w:jc w:val="center"/>
              <w:rPr>
                <w:rFonts w:cs="Times New Roman"/>
                <w:sz w:val="20"/>
                <w:szCs w:val="20"/>
              </w:rPr>
            </w:pPr>
            <w:r>
              <w:rPr>
                <w:rFonts w:cs="Times New Roman"/>
                <w:sz w:val="20"/>
                <w:szCs w:val="20"/>
              </w:rPr>
              <w:t xml:space="preserve">617 </w:t>
            </w:r>
            <w:r w:rsidR="0095096B" w:rsidRPr="002E2327">
              <w:rPr>
                <w:rFonts w:cs="Times New Roman"/>
                <w:sz w:val="20"/>
                <w:szCs w:val="20"/>
              </w:rPr>
              <w:t>-</w:t>
            </w:r>
            <w:r>
              <w:rPr>
                <w:rFonts w:cs="Times New Roman"/>
                <w:sz w:val="20"/>
                <w:szCs w:val="20"/>
              </w:rPr>
              <w:t xml:space="preserve"> 618</w:t>
            </w:r>
          </w:p>
          <w:p w:rsidR="0095096B" w:rsidRPr="002E2327" w:rsidRDefault="0095096B" w:rsidP="0095096B">
            <w:pPr>
              <w:jc w:val="center"/>
              <w:rPr>
                <w:rFonts w:cs="Times New Roman"/>
                <w:sz w:val="20"/>
                <w:szCs w:val="20"/>
              </w:rPr>
            </w:pPr>
          </w:p>
          <w:p w:rsidR="0095096B" w:rsidRPr="002E2327" w:rsidRDefault="00091967" w:rsidP="0095096B">
            <w:pPr>
              <w:jc w:val="center"/>
              <w:rPr>
                <w:rFonts w:cs="Times New Roman"/>
                <w:sz w:val="20"/>
                <w:szCs w:val="20"/>
              </w:rPr>
            </w:pPr>
            <w:r>
              <w:rPr>
                <w:rFonts w:cs="Times New Roman"/>
                <w:sz w:val="20"/>
                <w:szCs w:val="20"/>
              </w:rPr>
              <w:t xml:space="preserve">619 </w:t>
            </w:r>
            <w:r w:rsidR="0095096B" w:rsidRPr="002E2327">
              <w:rPr>
                <w:rFonts w:cs="Times New Roman"/>
                <w:sz w:val="20"/>
                <w:szCs w:val="20"/>
              </w:rPr>
              <w:t>-</w:t>
            </w:r>
            <w:r>
              <w:rPr>
                <w:rFonts w:cs="Times New Roman"/>
                <w:sz w:val="20"/>
                <w:szCs w:val="20"/>
              </w:rPr>
              <w:t xml:space="preserve"> 66</w:t>
            </w:r>
            <w:r w:rsidR="00511C61">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91967" w:rsidP="0095096B">
            <w:pPr>
              <w:jc w:val="center"/>
              <w:rPr>
                <w:rFonts w:cs="Times New Roman"/>
                <w:sz w:val="20"/>
                <w:szCs w:val="20"/>
              </w:rPr>
            </w:pPr>
            <w:r>
              <w:rPr>
                <w:rFonts w:cs="Times New Roman"/>
                <w:sz w:val="20"/>
                <w:szCs w:val="20"/>
              </w:rPr>
              <w:t>66</w:t>
            </w:r>
            <w:r w:rsidR="00511C61">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E56E42" w:rsidP="0095096B">
            <w:pPr>
              <w:jc w:val="center"/>
              <w:rPr>
                <w:rFonts w:cs="Times New Roman"/>
                <w:sz w:val="20"/>
                <w:szCs w:val="20"/>
              </w:rPr>
            </w:pPr>
            <w:r>
              <w:rPr>
                <w:rFonts w:cs="Times New Roman"/>
                <w:sz w:val="20"/>
                <w:szCs w:val="20"/>
              </w:rPr>
              <w:t>66</w:t>
            </w:r>
            <w:r w:rsidR="00511C61">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56E42" w:rsidP="0095096B">
            <w:pPr>
              <w:jc w:val="center"/>
              <w:rPr>
                <w:rFonts w:cs="Times New Roman"/>
                <w:sz w:val="20"/>
                <w:szCs w:val="20"/>
              </w:rPr>
            </w:pPr>
            <w:r>
              <w:rPr>
                <w:rFonts w:cs="Times New Roman"/>
                <w:sz w:val="20"/>
                <w:szCs w:val="20"/>
              </w:rPr>
              <w:t>66</w:t>
            </w:r>
            <w:r w:rsidR="00511C61">
              <w:rPr>
                <w:rFonts w:cs="Times New Roman"/>
                <w:sz w:val="20"/>
                <w:szCs w:val="20"/>
              </w:rPr>
              <w:t>6</w:t>
            </w:r>
          </w:p>
          <w:p w:rsidR="0095096B" w:rsidRDefault="0095096B" w:rsidP="0095096B">
            <w:pPr>
              <w:jc w:val="center"/>
              <w:rPr>
                <w:rFonts w:cs="Times New Roman"/>
                <w:sz w:val="20"/>
                <w:szCs w:val="20"/>
              </w:rPr>
            </w:pPr>
          </w:p>
          <w:p w:rsidR="00E56E42" w:rsidRPr="002E2327" w:rsidRDefault="00E56E42" w:rsidP="0095096B">
            <w:pPr>
              <w:jc w:val="center"/>
              <w:rPr>
                <w:rFonts w:cs="Times New Roman"/>
                <w:sz w:val="20"/>
                <w:szCs w:val="20"/>
              </w:rPr>
            </w:pPr>
          </w:p>
          <w:p w:rsidR="0095096B" w:rsidRPr="002E2327" w:rsidRDefault="00511C61" w:rsidP="0095096B">
            <w:pPr>
              <w:jc w:val="center"/>
              <w:rPr>
                <w:rFonts w:cs="Times New Roman"/>
                <w:sz w:val="20"/>
                <w:szCs w:val="20"/>
              </w:rPr>
            </w:pPr>
            <w:r>
              <w:rPr>
                <w:rFonts w:cs="Times New Roman"/>
                <w:sz w:val="20"/>
                <w:szCs w:val="20"/>
              </w:rPr>
              <w:t>667</w:t>
            </w:r>
          </w:p>
          <w:p w:rsidR="0095096B" w:rsidRPr="002E2327" w:rsidRDefault="0095096B" w:rsidP="0095096B">
            <w:pPr>
              <w:jc w:val="center"/>
              <w:rPr>
                <w:rFonts w:cs="Times New Roman"/>
                <w:sz w:val="20"/>
                <w:szCs w:val="20"/>
              </w:rPr>
            </w:pPr>
          </w:p>
          <w:p w:rsidR="00E56E42" w:rsidRDefault="00E56E42" w:rsidP="0095096B">
            <w:pPr>
              <w:jc w:val="center"/>
              <w:rPr>
                <w:rFonts w:cs="Times New Roman"/>
                <w:sz w:val="20"/>
                <w:szCs w:val="20"/>
              </w:rPr>
            </w:pPr>
          </w:p>
          <w:p w:rsidR="0095096B" w:rsidRPr="002E2327" w:rsidRDefault="00E56E42" w:rsidP="0095096B">
            <w:pPr>
              <w:jc w:val="center"/>
              <w:rPr>
                <w:rFonts w:cs="Times New Roman"/>
                <w:sz w:val="20"/>
                <w:szCs w:val="20"/>
              </w:rPr>
            </w:pPr>
            <w:r>
              <w:rPr>
                <w:rFonts w:cs="Times New Roman"/>
                <w:sz w:val="20"/>
                <w:szCs w:val="20"/>
              </w:rPr>
              <w:t>66</w:t>
            </w:r>
            <w:r w:rsidR="00511C61">
              <w:rPr>
                <w:rFonts w:cs="Times New Roman"/>
                <w:sz w:val="20"/>
                <w:szCs w:val="20"/>
              </w:rPr>
              <w:t>8</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F359A1">
              <w:rPr>
                <w:rFonts w:cs="Times New Roman"/>
                <w:sz w:val="20"/>
                <w:szCs w:val="20"/>
              </w:rPr>
              <w:t>674</w:t>
            </w:r>
          </w:p>
          <w:p w:rsidR="0095096B" w:rsidRPr="002E2327" w:rsidRDefault="0095096B" w:rsidP="0095096B">
            <w:pPr>
              <w:jc w:val="center"/>
              <w:rPr>
                <w:rFonts w:cs="Times New Roman"/>
                <w:sz w:val="20"/>
                <w:szCs w:val="20"/>
              </w:rPr>
            </w:pPr>
          </w:p>
          <w:p w:rsidR="0095096B" w:rsidRPr="002E2327" w:rsidRDefault="00F359A1" w:rsidP="0095096B">
            <w:pPr>
              <w:jc w:val="center"/>
              <w:rPr>
                <w:rFonts w:cs="Times New Roman"/>
                <w:sz w:val="20"/>
                <w:szCs w:val="20"/>
              </w:rPr>
            </w:pPr>
            <w:r>
              <w:rPr>
                <w:rFonts w:cs="Times New Roman"/>
                <w:sz w:val="20"/>
                <w:szCs w:val="20"/>
              </w:rPr>
              <w:t>675</w:t>
            </w:r>
          </w:p>
          <w:p w:rsidR="0095096B" w:rsidRPr="002E2327" w:rsidRDefault="0095096B" w:rsidP="0095096B">
            <w:pPr>
              <w:jc w:val="center"/>
              <w:rPr>
                <w:rFonts w:cs="Times New Roman"/>
                <w:sz w:val="20"/>
                <w:szCs w:val="20"/>
              </w:rPr>
            </w:pPr>
          </w:p>
          <w:p w:rsidR="0095096B" w:rsidRPr="002E2327" w:rsidRDefault="00F359A1" w:rsidP="0095096B">
            <w:pPr>
              <w:jc w:val="center"/>
              <w:rPr>
                <w:rFonts w:cs="Times New Roman"/>
                <w:sz w:val="20"/>
                <w:szCs w:val="20"/>
              </w:rPr>
            </w:pPr>
            <w:r>
              <w:rPr>
                <w:rFonts w:cs="Times New Roman"/>
                <w:sz w:val="20"/>
                <w:szCs w:val="20"/>
              </w:rPr>
              <w:t xml:space="preserve">676 </w:t>
            </w:r>
            <w:r w:rsidR="0095096B" w:rsidRPr="002E2327">
              <w:rPr>
                <w:rFonts w:cs="Times New Roman"/>
                <w:sz w:val="20"/>
                <w:szCs w:val="20"/>
              </w:rPr>
              <w:t>-</w:t>
            </w:r>
            <w:r>
              <w:rPr>
                <w:rFonts w:cs="Times New Roman"/>
                <w:sz w:val="20"/>
                <w:szCs w:val="20"/>
              </w:rPr>
              <w:t xml:space="preserve"> 68</w:t>
            </w:r>
            <w:r w:rsidR="004B065E">
              <w:rPr>
                <w:rFonts w:cs="Times New Roman"/>
                <w:sz w:val="20"/>
                <w:szCs w:val="20"/>
              </w:rPr>
              <w:t>5</w:t>
            </w:r>
          </w:p>
          <w:p w:rsidR="00A87207" w:rsidRPr="002E2327" w:rsidRDefault="00A87207" w:rsidP="007E16F7">
            <w:pPr>
              <w:jc w:val="center"/>
              <w:rPr>
                <w:rFonts w:cs="Times New Roman"/>
                <w:sz w:val="20"/>
                <w:szCs w:val="20"/>
              </w:rPr>
            </w:pPr>
          </w:p>
        </w:tc>
        <w:tc>
          <w:tcPr>
            <w:tcW w:w="3888" w:type="dxa"/>
          </w:tcPr>
          <w:p w:rsidR="0095096B" w:rsidRPr="002E2327" w:rsidRDefault="009134D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F008BF">
            <w:pPr>
              <w:tabs>
                <w:tab w:val="right" w:pos="9360"/>
              </w:tabs>
              <w:rPr>
                <w:rFonts w:cs="Times New Roman"/>
                <w:sz w:val="20"/>
                <w:szCs w:val="20"/>
                <w:lang w:val="fr-CA"/>
              </w:rPr>
            </w:pPr>
          </w:p>
        </w:tc>
      </w:tr>
    </w:tbl>
    <w:p w:rsidR="0095096B" w:rsidRDefault="0095096B" w:rsidP="0095096B">
      <w:pPr>
        <w:tabs>
          <w:tab w:val="right" w:pos="9360"/>
        </w:tabs>
        <w:rPr>
          <w:lang w:val="fr-CA"/>
        </w:rPr>
      </w:pPr>
    </w:p>
    <w:p w:rsidR="007E16F7" w:rsidRDefault="007E16F7" w:rsidP="0095096B">
      <w:pPr>
        <w:tabs>
          <w:tab w:val="right" w:pos="9360"/>
        </w:tabs>
        <w:rPr>
          <w:lang w:val="fr-CA"/>
        </w:rPr>
      </w:pPr>
    </w:p>
    <w:p w:rsidR="007E16F7" w:rsidRDefault="007E16F7" w:rsidP="0095096B">
      <w:pPr>
        <w:tabs>
          <w:tab w:val="right" w:pos="9360"/>
        </w:tabs>
        <w:rPr>
          <w:lang w:val="fr-CA"/>
        </w:rPr>
      </w:pPr>
    </w:p>
    <w:p w:rsidR="007E16F7" w:rsidRDefault="007E16F7" w:rsidP="0095096B">
      <w:pPr>
        <w:tabs>
          <w:tab w:val="right" w:pos="9360"/>
        </w:tabs>
        <w:rPr>
          <w:lang w:val="fr-CA"/>
        </w:rPr>
      </w:pPr>
    </w:p>
    <w:p w:rsidR="007E16F7" w:rsidRDefault="007E16F7" w:rsidP="0095096B">
      <w:pPr>
        <w:tabs>
          <w:tab w:val="right" w:pos="9360"/>
        </w:tabs>
        <w:rPr>
          <w:lang w:val="fr-CA"/>
        </w:rPr>
      </w:pPr>
    </w:p>
    <w:p w:rsidR="007E16F7" w:rsidRPr="00767263" w:rsidRDefault="007E16F7" w:rsidP="0095096B">
      <w:pPr>
        <w:tabs>
          <w:tab w:val="right" w:pos="9360"/>
        </w:tabs>
        <w:rPr>
          <w:lang w:val="fr-CA"/>
        </w:rPr>
      </w:pPr>
    </w:p>
    <w:tbl>
      <w:tblPr>
        <w:tblStyle w:val="TableGrid"/>
        <w:tblW w:w="0" w:type="auto"/>
        <w:tblLook w:val="04A0"/>
      </w:tblPr>
      <w:tblGrid>
        <w:gridCol w:w="9576"/>
      </w:tblGrid>
      <w:tr w:rsidR="0079724F" w:rsidRPr="00B36F3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FF7304" w:rsidRDefault="00ED4143" w:rsidP="003B3977">
            <w:pPr>
              <w:rPr>
                <w:b/>
                <w:sz w:val="20"/>
                <w:szCs w:val="20"/>
                <w:lang w:val="fr-CA"/>
              </w:rPr>
            </w:pPr>
            <w:r w:rsidRPr="00FF7304">
              <w:rPr>
                <w:b/>
                <w:sz w:val="20"/>
                <w:szCs w:val="20"/>
                <w:lang w:val="fr-CA"/>
              </w:rPr>
              <w:t>Parvez Ahmed</w:t>
            </w:r>
          </w:p>
          <w:p w:rsidR="00242AEE" w:rsidRPr="00FF7304" w:rsidRDefault="00242AEE" w:rsidP="003B3977">
            <w:pPr>
              <w:tabs>
                <w:tab w:val="left" w:pos="-1440"/>
                <w:tab w:val="left" w:pos="-720"/>
              </w:tabs>
              <w:rPr>
                <w:sz w:val="20"/>
                <w:szCs w:val="20"/>
                <w:lang w:val="fr-CA"/>
              </w:rPr>
            </w:pPr>
            <w:r w:rsidRPr="00FF7304">
              <w:rPr>
                <w:sz w:val="20"/>
                <w:szCs w:val="20"/>
                <w:lang w:val="fr-CA"/>
              </w:rPr>
              <w:tab/>
            </w:r>
            <w:r w:rsidR="00ED4143" w:rsidRPr="00FF7304">
              <w:rPr>
                <w:sz w:val="20"/>
                <w:szCs w:val="20"/>
                <w:lang w:val="fr-CA"/>
              </w:rPr>
              <w:t>Parvez Ahmed</w:t>
            </w:r>
          </w:p>
          <w:p w:rsidR="00242AEE" w:rsidRPr="00FF7304" w:rsidRDefault="00242AEE" w:rsidP="003B3977">
            <w:pPr>
              <w:tabs>
                <w:tab w:val="left" w:pos="-1440"/>
                <w:tab w:val="left" w:pos="-720"/>
              </w:tabs>
              <w:rPr>
                <w:sz w:val="20"/>
                <w:szCs w:val="20"/>
                <w:lang w:val="fr-CA"/>
              </w:rPr>
            </w:pPr>
          </w:p>
          <w:p w:rsidR="00242AEE" w:rsidRPr="00FF7304" w:rsidRDefault="00242AEE" w:rsidP="003B3977">
            <w:pPr>
              <w:tabs>
                <w:tab w:val="left" w:pos="-1440"/>
                <w:tab w:val="left" w:pos="-720"/>
              </w:tabs>
              <w:rPr>
                <w:sz w:val="20"/>
                <w:szCs w:val="20"/>
                <w:lang w:val="fr-CA"/>
              </w:rPr>
            </w:pPr>
            <w:r w:rsidRPr="00FF7304">
              <w:rPr>
                <w:sz w:val="20"/>
                <w:szCs w:val="20"/>
                <w:lang w:val="fr-CA"/>
              </w:rPr>
              <w:tab/>
              <w:t>v. (3</w:t>
            </w:r>
            <w:r w:rsidR="00800F8F" w:rsidRPr="00FF7304">
              <w:rPr>
                <w:sz w:val="20"/>
                <w:szCs w:val="20"/>
                <w:lang w:val="fr-CA"/>
              </w:rPr>
              <w:t>4</w:t>
            </w:r>
            <w:r w:rsidRPr="00FF7304">
              <w:rPr>
                <w:sz w:val="20"/>
                <w:szCs w:val="20"/>
                <w:lang w:val="fr-CA"/>
              </w:rPr>
              <w:t>7</w:t>
            </w:r>
            <w:r w:rsidR="00ED4143" w:rsidRPr="00FF7304">
              <w:rPr>
                <w:sz w:val="20"/>
                <w:szCs w:val="20"/>
                <w:lang w:val="fr-CA"/>
              </w:rPr>
              <w:t>64</w:t>
            </w:r>
            <w:r w:rsidRPr="00FF7304">
              <w:rPr>
                <w:sz w:val="20"/>
                <w:szCs w:val="20"/>
                <w:lang w:val="fr-CA"/>
              </w:rPr>
              <w:t>)</w:t>
            </w:r>
          </w:p>
          <w:p w:rsidR="00242AEE" w:rsidRPr="00FF7304" w:rsidRDefault="00242AEE" w:rsidP="003B3977">
            <w:pPr>
              <w:tabs>
                <w:tab w:val="left" w:pos="-1440"/>
                <w:tab w:val="left" w:pos="-720"/>
              </w:tabs>
              <w:rPr>
                <w:sz w:val="20"/>
                <w:szCs w:val="20"/>
                <w:lang w:val="fr-CA"/>
              </w:rPr>
            </w:pPr>
          </w:p>
          <w:p w:rsidR="00242AEE" w:rsidRPr="00A935AA" w:rsidRDefault="00ED4143" w:rsidP="003B3977">
            <w:pPr>
              <w:tabs>
                <w:tab w:val="left" w:pos="-1440"/>
                <w:tab w:val="left" w:pos="-720"/>
              </w:tabs>
              <w:rPr>
                <w:b/>
                <w:sz w:val="20"/>
                <w:szCs w:val="20"/>
              </w:rPr>
            </w:pPr>
            <w:r>
              <w:rPr>
                <w:b/>
                <w:sz w:val="20"/>
                <w:szCs w:val="20"/>
              </w:rPr>
              <w:t xml:space="preserve">Sheldon Pinx, Q.C. operating as Pinx &amp; Co. and the said Sheldon Pinx </w:t>
            </w:r>
            <w:r w:rsidR="00242AEE" w:rsidRPr="00A935AA">
              <w:rPr>
                <w:b/>
                <w:sz w:val="20"/>
                <w:szCs w:val="20"/>
              </w:rPr>
              <w:t>(</w:t>
            </w:r>
            <w:r>
              <w:rPr>
                <w:b/>
                <w:sz w:val="20"/>
                <w:szCs w:val="20"/>
              </w:rPr>
              <w:t>Man</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A73AC6">
              <w:rPr>
                <w:sz w:val="20"/>
                <w:szCs w:val="20"/>
              </w:rPr>
              <w:t>Richard M. Beamish</w:t>
            </w:r>
          </w:p>
          <w:p w:rsidR="00242AEE" w:rsidRPr="00A935AA" w:rsidRDefault="00242AEE" w:rsidP="003B3977">
            <w:pPr>
              <w:tabs>
                <w:tab w:val="left" w:pos="-1440"/>
                <w:tab w:val="left" w:pos="-720"/>
              </w:tabs>
              <w:rPr>
                <w:sz w:val="20"/>
                <w:szCs w:val="20"/>
              </w:rPr>
            </w:pPr>
            <w:r w:rsidRPr="00A935AA">
              <w:rPr>
                <w:sz w:val="20"/>
                <w:szCs w:val="20"/>
              </w:rPr>
              <w:tab/>
            </w:r>
            <w:r w:rsidR="00A73AC6">
              <w:rPr>
                <w:sz w:val="20"/>
                <w:szCs w:val="20"/>
              </w:rPr>
              <w:t>Tapper Cuddy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A73AC6">
              <w:rPr>
                <w:sz w:val="20"/>
                <w:szCs w:val="20"/>
              </w:rPr>
              <w:t>1</w:t>
            </w:r>
            <w:r w:rsidRPr="00A935AA">
              <w:rPr>
                <w:sz w:val="20"/>
                <w:szCs w:val="20"/>
              </w:rPr>
              <w:t>.0</w:t>
            </w:r>
            <w:r w:rsidR="00800F8F">
              <w:rPr>
                <w:sz w:val="20"/>
                <w:szCs w:val="20"/>
              </w:rPr>
              <w:t>3</w:t>
            </w:r>
            <w:r w:rsidRPr="00A935AA">
              <w:rPr>
                <w:sz w:val="20"/>
                <w:szCs w:val="20"/>
              </w:rPr>
              <w:t>.201</w:t>
            </w:r>
            <w:r w:rsidR="00800F8F">
              <w:rPr>
                <w:sz w:val="20"/>
                <w:szCs w:val="20"/>
              </w:rPr>
              <w:t>2</w:t>
            </w:r>
          </w:p>
          <w:p w:rsidR="00242AEE" w:rsidRPr="00A935AA" w:rsidRDefault="009134DA" w:rsidP="003B3977">
            <w:pPr>
              <w:rPr>
                <w:sz w:val="20"/>
                <w:szCs w:val="20"/>
              </w:rPr>
            </w:pPr>
            <w:r w:rsidRPr="009134DA">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A73AC6" w:rsidP="003B3977">
            <w:pPr>
              <w:keepNext/>
              <w:keepLines/>
              <w:tabs>
                <w:tab w:val="left" w:pos="-1440"/>
                <w:tab w:val="left" w:pos="-720"/>
              </w:tabs>
              <w:rPr>
                <w:b/>
                <w:sz w:val="20"/>
                <w:szCs w:val="20"/>
              </w:rPr>
            </w:pPr>
            <w:r>
              <w:rPr>
                <w:b/>
                <w:sz w:val="20"/>
                <w:szCs w:val="20"/>
              </w:rPr>
              <w:t>Yousanthan Youvarajah</w:t>
            </w:r>
          </w:p>
          <w:p w:rsidR="00242AEE" w:rsidRPr="00A935AA" w:rsidRDefault="00242AEE" w:rsidP="003B3977">
            <w:pPr>
              <w:keepNext/>
              <w:keepLines/>
              <w:tabs>
                <w:tab w:val="left" w:pos="-1440"/>
                <w:tab w:val="left" w:pos="-720"/>
              </w:tabs>
              <w:rPr>
                <w:sz w:val="20"/>
                <w:szCs w:val="20"/>
              </w:rPr>
            </w:pPr>
            <w:r w:rsidRPr="00A935AA">
              <w:rPr>
                <w:sz w:val="20"/>
                <w:szCs w:val="20"/>
              </w:rPr>
              <w:tab/>
            </w:r>
            <w:r w:rsidR="00A73AC6">
              <w:rPr>
                <w:sz w:val="20"/>
                <w:szCs w:val="20"/>
              </w:rPr>
              <w:t>Philip Campbell</w:t>
            </w:r>
          </w:p>
          <w:p w:rsidR="00242AEE" w:rsidRPr="00A935AA" w:rsidRDefault="00242AEE" w:rsidP="003B3977">
            <w:pPr>
              <w:keepNext/>
              <w:keepLines/>
              <w:tabs>
                <w:tab w:val="left" w:pos="-1440"/>
                <w:tab w:val="left" w:pos="-720"/>
              </w:tabs>
              <w:rPr>
                <w:sz w:val="20"/>
                <w:szCs w:val="20"/>
              </w:rPr>
            </w:pPr>
            <w:r w:rsidRPr="00A935AA">
              <w:rPr>
                <w:sz w:val="20"/>
                <w:szCs w:val="20"/>
              </w:rPr>
              <w:tab/>
            </w:r>
            <w:r w:rsidR="00A73AC6">
              <w:rPr>
                <w:sz w:val="20"/>
                <w:szCs w:val="20"/>
              </w:rPr>
              <w:t>Lockyer Campbell Posner</w:t>
            </w:r>
          </w:p>
          <w:p w:rsidR="00242AEE" w:rsidRPr="00A935AA" w:rsidRDefault="00242AEE" w:rsidP="003B3977">
            <w:pPr>
              <w:keepNext/>
              <w:keepLines/>
              <w:tabs>
                <w:tab w:val="left" w:pos="-1440"/>
                <w:tab w:val="left" w:pos="-720"/>
              </w:tabs>
              <w:rPr>
                <w:sz w:val="20"/>
                <w:szCs w:val="20"/>
              </w:rPr>
            </w:pPr>
          </w:p>
          <w:p w:rsidR="00242AEE" w:rsidRPr="00ED4143" w:rsidRDefault="00242AEE" w:rsidP="003B3977">
            <w:pPr>
              <w:keepNext/>
              <w:keepLines/>
              <w:tabs>
                <w:tab w:val="left" w:pos="-1440"/>
                <w:tab w:val="left" w:pos="-720"/>
              </w:tabs>
              <w:rPr>
                <w:sz w:val="20"/>
                <w:szCs w:val="20"/>
              </w:rPr>
            </w:pPr>
            <w:r w:rsidRPr="00A935AA">
              <w:rPr>
                <w:sz w:val="20"/>
                <w:szCs w:val="20"/>
              </w:rPr>
              <w:tab/>
            </w:r>
            <w:r w:rsidRPr="00ED4143">
              <w:rPr>
                <w:sz w:val="20"/>
                <w:szCs w:val="20"/>
              </w:rPr>
              <w:t>v. (3</w:t>
            </w:r>
            <w:r w:rsidR="00800F8F" w:rsidRPr="00ED4143">
              <w:rPr>
                <w:sz w:val="20"/>
                <w:szCs w:val="20"/>
              </w:rPr>
              <w:t>47</w:t>
            </w:r>
            <w:r w:rsidR="00A73AC6">
              <w:rPr>
                <w:sz w:val="20"/>
                <w:szCs w:val="20"/>
              </w:rPr>
              <w:t>32</w:t>
            </w:r>
            <w:r w:rsidRPr="00ED4143">
              <w:rPr>
                <w:sz w:val="20"/>
                <w:szCs w:val="20"/>
              </w:rPr>
              <w:t>)</w:t>
            </w:r>
          </w:p>
          <w:p w:rsidR="00242AEE" w:rsidRPr="00ED4143" w:rsidRDefault="00242AEE" w:rsidP="003B3977">
            <w:pPr>
              <w:keepNext/>
              <w:keepLines/>
              <w:tabs>
                <w:tab w:val="left" w:pos="-1440"/>
                <w:tab w:val="left" w:pos="-720"/>
              </w:tabs>
              <w:rPr>
                <w:sz w:val="20"/>
                <w:szCs w:val="20"/>
              </w:rPr>
            </w:pPr>
          </w:p>
          <w:p w:rsidR="00242AEE" w:rsidRPr="00ED4143" w:rsidRDefault="00A73AC6" w:rsidP="003B3977">
            <w:pPr>
              <w:keepNext/>
              <w:keepLines/>
              <w:tabs>
                <w:tab w:val="left" w:pos="-1440"/>
                <w:tab w:val="left" w:pos="-720"/>
              </w:tabs>
              <w:rPr>
                <w:b/>
                <w:sz w:val="20"/>
                <w:szCs w:val="20"/>
              </w:rPr>
            </w:pPr>
            <w:r>
              <w:rPr>
                <w:b/>
                <w:sz w:val="20"/>
                <w:szCs w:val="20"/>
              </w:rPr>
              <w:t xml:space="preserve">Her Majesty the Queen </w:t>
            </w:r>
            <w:r w:rsidR="00242AEE" w:rsidRPr="00ED4143">
              <w:rPr>
                <w:b/>
                <w:sz w:val="20"/>
                <w:szCs w:val="20"/>
              </w:rPr>
              <w:t>(Ont.)</w:t>
            </w:r>
          </w:p>
          <w:p w:rsidR="00242AEE" w:rsidRPr="00ED4143" w:rsidRDefault="00242AEE" w:rsidP="003B3977">
            <w:pPr>
              <w:keepNext/>
              <w:keepLines/>
              <w:tabs>
                <w:tab w:val="left" w:pos="-1440"/>
                <w:tab w:val="left" w:pos="-720"/>
              </w:tabs>
              <w:rPr>
                <w:sz w:val="20"/>
                <w:szCs w:val="20"/>
              </w:rPr>
            </w:pPr>
            <w:r w:rsidRPr="00ED4143">
              <w:rPr>
                <w:sz w:val="20"/>
                <w:szCs w:val="20"/>
              </w:rPr>
              <w:tab/>
            </w:r>
            <w:r w:rsidR="00A73AC6">
              <w:rPr>
                <w:sz w:val="20"/>
                <w:szCs w:val="20"/>
              </w:rPr>
              <w:t>James K. Stewart</w:t>
            </w:r>
          </w:p>
          <w:p w:rsidR="00242AEE" w:rsidRPr="00ED4143" w:rsidRDefault="00242AEE" w:rsidP="003B3977">
            <w:pPr>
              <w:keepNext/>
              <w:keepLines/>
              <w:tabs>
                <w:tab w:val="left" w:pos="-1440"/>
                <w:tab w:val="left" w:pos="-720"/>
              </w:tabs>
              <w:rPr>
                <w:sz w:val="20"/>
                <w:szCs w:val="20"/>
              </w:rPr>
            </w:pPr>
            <w:r w:rsidRPr="00ED4143">
              <w:rPr>
                <w:sz w:val="20"/>
                <w:szCs w:val="20"/>
              </w:rPr>
              <w:tab/>
            </w:r>
            <w:r w:rsidR="00A73AC6">
              <w:rPr>
                <w:sz w:val="20"/>
                <w:szCs w:val="20"/>
              </w:rPr>
              <w:t>A.G. of Ontario</w:t>
            </w:r>
          </w:p>
          <w:p w:rsidR="00242AEE" w:rsidRPr="00ED4143" w:rsidRDefault="00242AEE" w:rsidP="003B3977">
            <w:pPr>
              <w:keepNext/>
              <w:keepLines/>
              <w:tabs>
                <w:tab w:val="left" w:pos="-1440"/>
                <w:tab w:val="left" w:pos="-720"/>
              </w:tabs>
              <w:rPr>
                <w:sz w:val="20"/>
                <w:szCs w:val="20"/>
              </w:rPr>
            </w:pPr>
          </w:p>
          <w:p w:rsidR="00242AEE" w:rsidRPr="00A935AA" w:rsidRDefault="00242AEE" w:rsidP="00A73AC6">
            <w:pPr>
              <w:rPr>
                <w:sz w:val="20"/>
                <w:szCs w:val="20"/>
              </w:rPr>
            </w:pPr>
            <w:r w:rsidRPr="00A935AA">
              <w:rPr>
                <w:sz w:val="20"/>
                <w:szCs w:val="20"/>
              </w:rPr>
              <w:t>FILING DATE: 2</w:t>
            </w:r>
            <w:r w:rsidR="00A73AC6">
              <w:rPr>
                <w:sz w:val="20"/>
                <w:szCs w:val="20"/>
              </w:rPr>
              <w:t>3</w:t>
            </w:r>
            <w:r w:rsidRPr="00A935AA">
              <w:rPr>
                <w:sz w:val="20"/>
                <w:szCs w:val="20"/>
              </w:rPr>
              <w:t>.0</w:t>
            </w:r>
            <w:r w:rsidR="00800F8F">
              <w:rPr>
                <w:sz w:val="20"/>
                <w:szCs w:val="20"/>
              </w:rPr>
              <w:t>3</w:t>
            </w:r>
            <w:r w:rsidRPr="00A935AA">
              <w:rPr>
                <w:sz w:val="20"/>
                <w:szCs w:val="20"/>
              </w:rPr>
              <w:t>.201</w:t>
            </w:r>
            <w:r w:rsidR="00800F8F">
              <w:rPr>
                <w:sz w:val="20"/>
                <w:szCs w:val="20"/>
              </w:rPr>
              <w:t>2</w:t>
            </w:r>
            <w:r w:rsidR="009134DA" w:rsidRPr="009134DA">
              <w:rPr>
                <w:sz w:val="20"/>
                <w:szCs w:val="20"/>
                <w:lang w:val="fr-CA"/>
              </w:rPr>
              <w:pict>
                <v:rect id="_x0000_i1026" style="width:108pt;height:1pt" o:hrpct="0" o:hralign="center" o:hrstd="t" o:hrnoshade="t" o:hr="t" fillcolor="black [3213]" stroked="f"/>
              </w:pict>
            </w:r>
          </w:p>
        </w:tc>
      </w:tr>
      <w:tr w:rsidR="00800F8F" w:rsidRPr="00A73AC6" w:rsidTr="003B3977">
        <w:tc>
          <w:tcPr>
            <w:tcW w:w="4320" w:type="dxa"/>
            <w:shd w:val="clear" w:color="auto" w:fill="auto"/>
          </w:tcPr>
          <w:p w:rsidR="00800F8F" w:rsidRPr="00FF7304" w:rsidRDefault="00A73AC6" w:rsidP="00ED4143">
            <w:pPr>
              <w:rPr>
                <w:b/>
                <w:sz w:val="20"/>
                <w:szCs w:val="20"/>
                <w:lang w:val="fr-CA"/>
              </w:rPr>
            </w:pPr>
            <w:r w:rsidRPr="00FF7304">
              <w:rPr>
                <w:b/>
                <w:sz w:val="20"/>
                <w:szCs w:val="20"/>
                <w:lang w:val="fr-CA"/>
              </w:rPr>
              <w:t>Yves Mailloux</w:t>
            </w:r>
          </w:p>
          <w:p w:rsidR="00800F8F" w:rsidRPr="00FF7304" w:rsidRDefault="00800F8F" w:rsidP="00ED4143">
            <w:pPr>
              <w:tabs>
                <w:tab w:val="left" w:pos="-1440"/>
                <w:tab w:val="left" w:pos="-720"/>
              </w:tabs>
              <w:rPr>
                <w:sz w:val="20"/>
                <w:szCs w:val="20"/>
                <w:lang w:val="fr-CA"/>
              </w:rPr>
            </w:pPr>
            <w:r w:rsidRPr="00FF7304">
              <w:rPr>
                <w:sz w:val="20"/>
                <w:szCs w:val="20"/>
                <w:lang w:val="fr-CA"/>
              </w:rPr>
              <w:tab/>
            </w:r>
            <w:r w:rsidR="00A73AC6" w:rsidRPr="00FF7304">
              <w:rPr>
                <w:sz w:val="20"/>
                <w:szCs w:val="20"/>
                <w:lang w:val="fr-CA"/>
              </w:rPr>
              <w:t>Yves Mailloux</w:t>
            </w:r>
          </w:p>
          <w:p w:rsidR="00800F8F" w:rsidRPr="00FF7304" w:rsidRDefault="00800F8F" w:rsidP="00ED4143">
            <w:pPr>
              <w:tabs>
                <w:tab w:val="left" w:pos="-1440"/>
                <w:tab w:val="left" w:pos="-720"/>
              </w:tabs>
              <w:rPr>
                <w:sz w:val="20"/>
                <w:szCs w:val="20"/>
                <w:lang w:val="fr-CA"/>
              </w:rPr>
            </w:pPr>
          </w:p>
          <w:p w:rsidR="00800F8F" w:rsidRPr="00A73AC6" w:rsidRDefault="00800F8F" w:rsidP="00ED4143">
            <w:pPr>
              <w:tabs>
                <w:tab w:val="left" w:pos="-1440"/>
                <w:tab w:val="left" w:pos="-720"/>
              </w:tabs>
              <w:rPr>
                <w:sz w:val="20"/>
                <w:szCs w:val="20"/>
                <w:lang w:val="fr-CA"/>
              </w:rPr>
            </w:pPr>
            <w:r w:rsidRPr="00FF7304">
              <w:rPr>
                <w:sz w:val="20"/>
                <w:szCs w:val="20"/>
                <w:lang w:val="fr-CA"/>
              </w:rPr>
              <w:tab/>
            </w:r>
            <w:r w:rsidR="00A73AC6" w:rsidRPr="00A73AC6">
              <w:rPr>
                <w:sz w:val="20"/>
                <w:szCs w:val="20"/>
                <w:lang w:val="fr-CA"/>
              </w:rPr>
              <w:t>c</w:t>
            </w:r>
            <w:r w:rsidRPr="00A73AC6">
              <w:rPr>
                <w:sz w:val="20"/>
                <w:szCs w:val="20"/>
                <w:lang w:val="fr-CA"/>
              </w:rPr>
              <w:t>. (347</w:t>
            </w:r>
            <w:r w:rsidR="00A73AC6" w:rsidRPr="00A73AC6">
              <w:rPr>
                <w:sz w:val="20"/>
                <w:szCs w:val="20"/>
                <w:lang w:val="fr-CA"/>
              </w:rPr>
              <w:t>41</w:t>
            </w:r>
            <w:r w:rsidRPr="00A73AC6">
              <w:rPr>
                <w:sz w:val="20"/>
                <w:szCs w:val="20"/>
                <w:lang w:val="fr-CA"/>
              </w:rPr>
              <w:t>)</w:t>
            </w:r>
          </w:p>
          <w:p w:rsidR="00800F8F" w:rsidRPr="00A73AC6" w:rsidRDefault="00800F8F" w:rsidP="00ED4143">
            <w:pPr>
              <w:tabs>
                <w:tab w:val="left" w:pos="-1440"/>
                <w:tab w:val="left" w:pos="-720"/>
              </w:tabs>
              <w:rPr>
                <w:sz w:val="20"/>
                <w:szCs w:val="20"/>
                <w:lang w:val="fr-CA"/>
              </w:rPr>
            </w:pPr>
          </w:p>
          <w:p w:rsidR="00800F8F" w:rsidRPr="00A73AC6" w:rsidRDefault="00A73AC6" w:rsidP="00ED4143">
            <w:pPr>
              <w:tabs>
                <w:tab w:val="left" w:pos="-1440"/>
                <w:tab w:val="left" w:pos="-720"/>
              </w:tabs>
              <w:rPr>
                <w:b/>
                <w:sz w:val="20"/>
                <w:szCs w:val="20"/>
                <w:lang w:val="fr-CA"/>
              </w:rPr>
            </w:pPr>
            <w:r w:rsidRPr="00A73AC6">
              <w:rPr>
                <w:b/>
                <w:sz w:val="20"/>
                <w:szCs w:val="20"/>
                <w:lang w:val="fr-CA"/>
              </w:rPr>
              <w:t xml:space="preserve">Sa Majesté la Reine </w:t>
            </w:r>
            <w:r w:rsidR="00800F8F" w:rsidRPr="00A73AC6">
              <w:rPr>
                <w:b/>
                <w:sz w:val="20"/>
                <w:szCs w:val="20"/>
                <w:lang w:val="fr-CA"/>
              </w:rPr>
              <w:t>(</w:t>
            </w:r>
            <w:r w:rsidRPr="00A73AC6">
              <w:rPr>
                <w:b/>
                <w:sz w:val="20"/>
                <w:szCs w:val="20"/>
                <w:lang w:val="fr-CA"/>
              </w:rPr>
              <w:t>Qc</w:t>
            </w:r>
            <w:r w:rsidR="00800F8F" w:rsidRPr="00A73AC6">
              <w:rPr>
                <w:b/>
                <w:sz w:val="20"/>
                <w:szCs w:val="20"/>
                <w:lang w:val="fr-CA"/>
              </w:rPr>
              <w:t>)</w:t>
            </w:r>
          </w:p>
          <w:p w:rsidR="00800F8F" w:rsidRPr="00A73AC6" w:rsidRDefault="00800F8F" w:rsidP="00ED4143">
            <w:pPr>
              <w:tabs>
                <w:tab w:val="left" w:pos="-1440"/>
                <w:tab w:val="left" w:pos="-720"/>
              </w:tabs>
              <w:rPr>
                <w:sz w:val="20"/>
                <w:szCs w:val="20"/>
                <w:lang w:val="fr-CA"/>
              </w:rPr>
            </w:pPr>
            <w:r w:rsidRPr="00A73AC6">
              <w:rPr>
                <w:sz w:val="20"/>
                <w:szCs w:val="20"/>
                <w:lang w:val="fr-CA"/>
              </w:rPr>
              <w:tab/>
            </w:r>
            <w:r w:rsidR="00A73AC6">
              <w:rPr>
                <w:sz w:val="20"/>
                <w:szCs w:val="20"/>
                <w:lang w:val="fr-CA"/>
              </w:rPr>
              <w:t>Jean-François Bouvette</w:t>
            </w:r>
          </w:p>
          <w:p w:rsidR="00800F8F" w:rsidRPr="00A73AC6" w:rsidRDefault="00800F8F" w:rsidP="00ED4143">
            <w:pPr>
              <w:tabs>
                <w:tab w:val="left" w:pos="-1440"/>
                <w:tab w:val="left" w:pos="-720"/>
              </w:tabs>
              <w:rPr>
                <w:sz w:val="20"/>
                <w:szCs w:val="20"/>
                <w:lang w:val="fr-CA"/>
              </w:rPr>
            </w:pPr>
            <w:r w:rsidRPr="00A73AC6">
              <w:rPr>
                <w:sz w:val="20"/>
                <w:szCs w:val="20"/>
                <w:lang w:val="fr-CA"/>
              </w:rPr>
              <w:tab/>
            </w:r>
            <w:r w:rsidR="00A73AC6">
              <w:rPr>
                <w:sz w:val="20"/>
                <w:szCs w:val="20"/>
                <w:lang w:val="fr-CA"/>
              </w:rPr>
              <w:t xml:space="preserve">Directeur des poursuites criminelles et </w:t>
            </w:r>
            <w:r w:rsidR="00A73AC6">
              <w:rPr>
                <w:sz w:val="20"/>
                <w:szCs w:val="20"/>
                <w:lang w:val="fr-CA"/>
              </w:rPr>
              <w:tab/>
              <w:t>pénales du Québec</w:t>
            </w:r>
          </w:p>
          <w:p w:rsidR="00800F8F" w:rsidRPr="00A73AC6" w:rsidRDefault="00800F8F" w:rsidP="00ED4143">
            <w:pPr>
              <w:tabs>
                <w:tab w:val="left" w:pos="-1440"/>
                <w:tab w:val="left" w:pos="-720"/>
              </w:tabs>
              <w:rPr>
                <w:sz w:val="20"/>
                <w:szCs w:val="20"/>
                <w:lang w:val="fr-CA"/>
              </w:rPr>
            </w:pPr>
          </w:p>
          <w:p w:rsidR="00800F8F" w:rsidRPr="00A73AC6" w:rsidRDefault="00800F8F" w:rsidP="00ED4143">
            <w:pPr>
              <w:rPr>
                <w:sz w:val="20"/>
                <w:szCs w:val="20"/>
                <w:lang w:val="fr-CA"/>
              </w:rPr>
            </w:pPr>
            <w:r w:rsidRPr="00A73AC6">
              <w:rPr>
                <w:sz w:val="20"/>
                <w:szCs w:val="20"/>
                <w:lang w:val="fr-CA"/>
              </w:rPr>
              <w:t>DATE</w:t>
            </w:r>
            <w:r w:rsidR="00A73AC6">
              <w:rPr>
                <w:sz w:val="20"/>
                <w:szCs w:val="20"/>
                <w:lang w:val="fr-CA"/>
              </w:rPr>
              <w:t xml:space="preserve"> DE PRODUCTION </w:t>
            </w:r>
            <w:r w:rsidRPr="00A73AC6">
              <w:rPr>
                <w:sz w:val="20"/>
                <w:szCs w:val="20"/>
                <w:lang w:val="fr-CA"/>
              </w:rPr>
              <w:t>: 2</w:t>
            </w:r>
            <w:r w:rsidR="00A73AC6">
              <w:rPr>
                <w:sz w:val="20"/>
                <w:szCs w:val="20"/>
                <w:lang w:val="fr-CA"/>
              </w:rPr>
              <w:t>3</w:t>
            </w:r>
            <w:r w:rsidRPr="00A73AC6">
              <w:rPr>
                <w:sz w:val="20"/>
                <w:szCs w:val="20"/>
                <w:lang w:val="fr-CA"/>
              </w:rPr>
              <w:t>.03.2012</w:t>
            </w:r>
          </w:p>
          <w:p w:rsidR="00800F8F" w:rsidRPr="00A73AC6" w:rsidRDefault="009134DA" w:rsidP="00ED4143">
            <w:pPr>
              <w:rPr>
                <w:sz w:val="20"/>
                <w:szCs w:val="20"/>
                <w:lang w:val="fr-CA"/>
              </w:rPr>
            </w:pPr>
            <w:r w:rsidRPr="009134D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Default="00800F8F" w:rsidP="00242AEE">
            <w:pPr>
              <w:jc w:val="center"/>
              <w:rPr>
                <w:sz w:val="20"/>
                <w:szCs w:val="20"/>
                <w:lang w:val="fr-CA"/>
              </w:rPr>
            </w:pPr>
          </w:p>
          <w:p w:rsidR="008B0270" w:rsidRPr="00A73AC6" w:rsidRDefault="008B0270" w:rsidP="00242AEE">
            <w:pPr>
              <w:jc w:val="center"/>
              <w:rPr>
                <w:sz w:val="20"/>
                <w:szCs w:val="20"/>
                <w:lang w:val="fr-CA"/>
              </w:rPr>
            </w:pPr>
          </w:p>
          <w:p w:rsidR="00800F8F" w:rsidRPr="00A73AC6" w:rsidRDefault="00800F8F" w:rsidP="00242AEE">
            <w:pPr>
              <w:jc w:val="center"/>
              <w:rPr>
                <w:sz w:val="20"/>
                <w:szCs w:val="20"/>
                <w:lang w:val="fr-CA"/>
              </w:rPr>
            </w:pPr>
          </w:p>
        </w:tc>
        <w:tc>
          <w:tcPr>
            <w:tcW w:w="4320" w:type="dxa"/>
            <w:shd w:val="clear" w:color="auto" w:fill="auto"/>
          </w:tcPr>
          <w:p w:rsidR="00800F8F" w:rsidRPr="00A73AC6" w:rsidRDefault="00A73AC6" w:rsidP="00ED4143">
            <w:pPr>
              <w:keepNext/>
              <w:keepLines/>
              <w:tabs>
                <w:tab w:val="left" w:pos="-1440"/>
                <w:tab w:val="left" w:pos="-720"/>
              </w:tabs>
              <w:rPr>
                <w:b/>
                <w:sz w:val="20"/>
                <w:szCs w:val="20"/>
              </w:rPr>
            </w:pPr>
            <w:r w:rsidRPr="00A73AC6">
              <w:rPr>
                <w:b/>
                <w:sz w:val="20"/>
                <w:szCs w:val="20"/>
              </w:rPr>
              <w:t>The Owners, Strata Plan BCS 1589</w:t>
            </w:r>
          </w:p>
          <w:p w:rsidR="00800F8F" w:rsidRPr="00A73AC6" w:rsidRDefault="00800F8F" w:rsidP="00ED4143">
            <w:pPr>
              <w:keepNext/>
              <w:keepLines/>
              <w:tabs>
                <w:tab w:val="left" w:pos="-1440"/>
                <w:tab w:val="left" w:pos="-720"/>
              </w:tabs>
              <w:rPr>
                <w:sz w:val="20"/>
                <w:szCs w:val="20"/>
              </w:rPr>
            </w:pPr>
            <w:r w:rsidRPr="00A73AC6">
              <w:rPr>
                <w:sz w:val="20"/>
                <w:szCs w:val="20"/>
              </w:rPr>
              <w:tab/>
            </w:r>
            <w:r w:rsidR="00A73AC6">
              <w:rPr>
                <w:sz w:val="20"/>
                <w:szCs w:val="20"/>
              </w:rPr>
              <w:t>G. Stephen Hamilton</w:t>
            </w:r>
          </w:p>
          <w:p w:rsidR="00800F8F" w:rsidRPr="00A73AC6" w:rsidRDefault="00800F8F" w:rsidP="00ED4143">
            <w:pPr>
              <w:keepNext/>
              <w:keepLines/>
              <w:tabs>
                <w:tab w:val="left" w:pos="-1440"/>
                <w:tab w:val="left" w:pos="-720"/>
              </w:tabs>
              <w:rPr>
                <w:sz w:val="20"/>
                <w:szCs w:val="20"/>
              </w:rPr>
            </w:pPr>
            <w:r w:rsidRPr="00A73AC6">
              <w:rPr>
                <w:sz w:val="20"/>
                <w:szCs w:val="20"/>
              </w:rPr>
              <w:tab/>
            </w:r>
            <w:r w:rsidR="00A73AC6">
              <w:rPr>
                <w:sz w:val="20"/>
                <w:szCs w:val="20"/>
              </w:rPr>
              <w:t>Hammerberg Altman Beaton &amp; Maglio</w:t>
            </w:r>
            <w:r w:rsidR="008B0270">
              <w:rPr>
                <w:sz w:val="20"/>
                <w:szCs w:val="20"/>
              </w:rPr>
              <w:t xml:space="preserve"> </w:t>
            </w:r>
            <w:r w:rsidR="008B0270">
              <w:rPr>
                <w:sz w:val="20"/>
                <w:szCs w:val="20"/>
              </w:rPr>
              <w:tab/>
              <w:t>LLP</w:t>
            </w:r>
          </w:p>
          <w:p w:rsidR="00800F8F" w:rsidRPr="00A73AC6" w:rsidRDefault="00800F8F" w:rsidP="00ED4143">
            <w:pPr>
              <w:keepNext/>
              <w:keepLines/>
              <w:tabs>
                <w:tab w:val="left" w:pos="-1440"/>
                <w:tab w:val="left" w:pos="-720"/>
              </w:tabs>
              <w:rPr>
                <w:sz w:val="20"/>
                <w:szCs w:val="20"/>
              </w:rPr>
            </w:pPr>
          </w:p>
          <w:p w:rsidR="00800F8F" w:rsidRPr="00FF7304" w:rsidRDefault="00800F8F" w:rsidP="00ED4143">
            <w:pPr>
              <w:keepNext/>
              <w:keepLines/>
              <w:tabs>
                <w:tab w:val="left" w:pos="-1440"/>
                <w:tab w:val="left" w:pos="-720"/>
              </w:tabs>
              <w:rPr>
                <w:sz w:val="20"/>
                <w:szCs w:val="20"/>
                <w:lang w:val="fr-CA"/>
              </w:rPr>
            </w:pPr>
            <w:r w:rsidRPr="00A73AC6">
              <w:rPr>
                <w:sz w:val="20"/>
                <w:szCs w:val="20"/>
              </w:rPr>
              <w:tab/>
            </w:r>
            <w:r w:rsidRPr="00FF7304">
              <w:rPr>
                <w:sz w:val="20"/>
                <w:szCs w:val="20"/>
                <w:lang w:val="fr-CA"/>
              </w:rPr>
              <w:t>v. (347</w:t>
            </w:r>
            <w:r w:rsidR="00A73AC6" w:rsidRPr="00FF7304">
              <w:rPr>
                <w:sz w:val="20"/>
                <w:szCs w:val="20"/>
                <w:lang w:val="fr-CA"/>
              </w:rPr>
              <w:t>39</w:t>
            </w:r>
            <w:r w:rsidRPr="00FF7304">
              <w:rPr>
                <w:sz w:val="20"/>
                <w:szCs w:val="20"/>
                <w:lang w:val="fr-CA"/>
              </w:rPr>
              <w:t>)</w:t>
            </w:r>
          </w:p>
          <w:p w:rsidR="00800F8F" w:rsidRPr="00FF7304" w:rsidRDefault="00800F8F" w:rsidP="00ED4143">
            <w:pPr>
              <w:keepNext/>
              <w:keepLines/>
              <w:tabs>
                <w:tab w:val="left" w:pos="-1440"/>
                <w:tab w:val="left" w:pos="-720"/>
              </w:tabs>
              <w:rPr>
                <w:sz w:val="20"/>
                <w:szCs w:val="20"/>
                <w:lang w:val="fr-CA"/>
              </w:rPr>
            </w:pPr>
          </w:p>
          <w:p w:rsidR="00800F8F" w:rsidRPr="00A73AC6" w:rsidRDefault="00A73AC6" w:rsidP="00ED4143">
            <w:pPr>
              <w:keepNext/>
              <w:keepLines/>
              <w:tabs>
                <w:tab w:val="left" w:pos="-1440"/>
                <w:tab w:val="left" w:pos="-720"/>
              </w:tabs>
              <w:rPr>
                <w:b/>
                <w:sz w:val="20"/>
                <w:szCs w:val="20"/>
              </w:rPr>
            </w:pPr>
            <w:r w:rsidRPr="00FF7304">
              <w:rPr>
                <w:b/>
                <w:sz w:val="20"/>
                <w:szCs w:val="20"/>
                <w:lang w:val="fr-CA"/>
              </w:rPr>
              <w:t xml:space="preserve">459381 B.C. Ltd. et al. </w:t>
            </w:r>
            <w:r w:rsidR="00800F8F" w:rsidRPr="00A73AC6">
              <w:rPr>
                <w:b/>
                <w:sz w:val="20"/>
                <w:szCs w:val="20"/>
              </w:rPr>
              <w:t>(</w:t>
            </w:r>
            <w:r>
              <w:rPr>
                <w:b/>
                <w:sz w:val="20"/>
                <w:szCs w:val="20"/>
              </w:rPr>
              <w:t>B.C</w:t>
            </w:r>
            <w:r w:rsidR="00800F8F" w:rsidRPr="00A73AC6">
              <w:rPr>
                <w:b/>
                <w:sz w:val="20"/>
                <w:szCs w:val="20"/>
              </w:rPr>
              <w:t>.)</w:t>
            </w:r>
          </w:p>
          <w:p w:rsidR="00800F8F" w:rsidRPr="00A73AC6" w:rsidRDefault="00800F8F" w:rsidP="00ED4143">
            <w:pPr>
              <w:keepNext/>
              <w:keepLines/>
              <w:tabs>
                <w:tab w:val="left" w:pos="-1440"/>
                <w:tab w:val="left" w:pos="-720"/>
              </w:tabs>
              <w:rPr>
                <w:sz w:val="20"/>
                <w:szCs w:val="20"/>
              </w:rPr>
            </w:pPr>
            <w:r w:rsidRPr="00A73AC6">
              <w:rPr>
                <w:sz w:val="20"/>
                <w:szCs w:val="20"/>
              </w:rPr>
              <w:tab/>
            </w:r>
            <w:r w:rsidR="00A73AC6">
              <w:rPr>
                <w:sz w:val="20"/>
                <w:szCs w:val="20"/>
              </w:rPr>
              <w:t>Glenn J. Niemela</w:t>
            </w:r>
          </w:p>
          <w:p w:rsidR="00800F8F" w:rsidRPr="00A73AC6" w:rsidRDefault="00800F8F" w:rsidP="00ED4143">
            <w:pPr>
              <w:keepNext/>
              <w:keepLines/>
              <w:tabs>
                <w:tab w:val="left" w:pos="-1440"/>
                <w:tab w:val="left" w:pos="-720"/>
              </w:tabs>
              <w:rPr>
                <w:sz w:val="20"/>
                <w:szCs w:val="20"/>
              </w:rPr>
            </w:pPr>
          </w:p>
          <w:p w:rsidR="00800F8F" w:rsidRPr="00A73AC6" w:rsidRDefault="00800F8F" w:rsidP="00A73AC6">
            <w:pPr>
              <w:rPr>
                <w:sz w:val="20"/>
                <w:szCs w:val="20"/>
              </w:rPr>
            </w:pPr>
            <w:r w:rsidRPr="00A73AC6">
              <w:rPr>
                <w:sz w:val="20"/>
                <w:szCs w:val="20"/>
              </w:rPr>
              <w:t>FILING DATE: 2</w:t>
            </w:r>
            <w:r w:rsidR="00A73AC6">
              <w:rPr>
                <w:sz w:val="20"/>
                <w:szCs w:val="20"/>
              </w:rPr>
              <w:t>9</w:t>
            </w:r>
            <w:r w:rsidRPr="00A73AC6">
              <w:rPr>
                <w:sz w:val="20"/>
                <w:szCs w:val="20"/>
              </w:rPr>
              <w:t>.03.2012</w:t>
            </w:r>
            <w:r w:rsidR="009134DA" w:rsidRPr="009134DA">
              <w:rPr>
                <w:sz w:val="20"/>
                <w:szCs w:val="20"/>
                <w:lang w:val="fr-CA"/>
              </w:rPr>
              <w:pict>
                <v:rect id="_x0000_i1028" style="width:108pt;height:1pt" o:hrpct="0" o:hralign="center" o:hrstd="t" o:hrnoshade="t" o:hr="t" fillcolor="black [3213]" stroked="f"/>
              </w:pict>
            </w:r>
          </w:p>
        </w:tc>
      </w:tr>
      <w:tr w:rsidR="00800F8F" w:rsidRPr="00A73AC6" w:rsidTr="003B3977">
        <w:tc>
          <w:tcPr>
            <w:tcW w:w="4320" w:type="dxa"/>
            <w:shd w:val="clear" w:color="auto" w:fill="auto"/>
          </w:tcPr>
          <w:p w:rsidR="00A73AC6" w:rsidRPr="00A73AC6" w:rsidRDefault="00A73AC6" w:rsidP="00ED4143">
            <w:pPr>
              <w:rPr>
                <w:b/>
                <w:sz w:val="20"/>
                <w:szCs w:val="20"/>
                <w:lang w:val="fr-CA"/>
              </w:rPr>
            </w:pPr>
            <w:r w:rsidRPr="00A73AC6">
              <w:rPr>
                <w:b/>
                <w:sz w:val="20"/>
                <w:szCs w:val="20"/>
                <w:lang w:val="fr-CA"/>
              </w:rPr>
              <w:t>Schenker du Canada limitée (aussi connue sous Schenker International)</w:t>
            </w:r>
            <w:r w:rsidR="008B0270">
              <w:rPr>
                <w:b/>
                <w:sz w:val="20"/>
                <w:szCs w:val="20"/>
                <w:lang w:val="fr-CA"/>
              </w:rPr>
              <w:t xml:space="preserve"> et al.</w:t>
            </w:r>
          </w:p>
          <w:p w:rsidR="00800F8F" w:rsidRPr="00A73AC6" w:rsidRDefault="00800F8F" w:rsidP="00ED4143">
            <w:pPr>
              <w:tabs>
                <w:tab w:val="left" w:pos="-1440"/>
                <w:tab w:val="left" w:pos="-720"/>
              </w:tabs>
              <w:rPr>
                <w:sz w:val="20"/>
                <w:szCs w:val="20"/>
                <w:lang w:val="fr-CA"/>
              </w:rPr>
            </w:pPr>
            <w:r w:rsidRPr="00A73AC6">
              <w:rPr>
                <w:sz w:val="20"/>
                <w:szCs w:val="20"/>
                <w:lang w:val="fr-CA"/>
              </w:rPr>
              <w:tab/>
            </w:r>
            <w:r w:rsidR="00A73AC6">
              <w:rPr>
                <w:sz w:val="20"/>
                <w:szCs w:val="20"/>
                <w:lang w:val="fr-CA"/>
              </w:rPr>
              <w:t>Jean-Philippe Groleau</w:t>
            </w:r>
          </w:p>
          <w:p w:rsidR="00800F8F" w:rsidRPr="00D40078" w:rsidRDefault="00800F8F" w:rsidP="00ED4143">
            <w:pPr>
              <w:tabs>
                <w:tab w:val="left" w:pos="-1440"/>
                <w:tab w:val="left" w:pos="-720"/>
              </w:tabs>
              <w:rPr>
                <w:sz w:val="20"/>
                <w:szCs w:val="20"/>
                <w:lang w:val="fr-CA"/>
              </w:rPr>
            </w:pPr>
            <w:r w:rsidRPr="00A73AC6">
              <w:rPr>
                <w:sz w:val="20"/>
                <w:szCs w:val="20"/>
                <w:lang w:val="fr-CA"/>
              </w:rPr>
              <w:tab/>
            </w:r>
            <w:r w:rsidR="008B0270" w:rsidRPr="00D40078">
              <w:rPr>
                <w:sz w:val="20"/>
                <w:szCs w:val="20"/>
                <w:lang w:val="fr-CA"/>
              </w:rPr>
              <w:t xml:space="preserve">Davies Ward Phillips &amp; Vineberg </w:t>
            </w:r>
            <w:r w:rsidR="008B0270" w:rsidRPr="00D40078">
              <w:rPr>
                <w:sz w:val="20"/>
                <w:szCs w:val="20"/>
                <w:lang w:val="fr-CA"/>
              </w:rPr>
              <w:tab/>
              <w:t xml:space="preserve">s.e.n.c.r.l., s.r.l. </w:t>
            </w:r>
          </w:p>
          <w:p w:rsidR="008B0270" w:rsidRPr="00D40078" w:rsidRDefault="008B0270" w:rsidP="00ED4143">
            <w:pPr>
              <w:tabs>
                <w:tab w:val="left" w:pos="-1440"/>
                <w:tab w:val="left" w:pos="-720"/>
              </w:tabs>
              <w:rPr>
                <w:sz w:val="20"/>
                <w:szCs w:val="20"/>
                <w:lang w:val="fr-CA"/>
              </w:rPr>
            </w:pPr>
          </w:p>
          <w:p w:rsidR="00800F8F" w:rsidRPr="00A73AC6" w:rsidRDefault="00800F8F" w:rsidP="00ED4143">
            <w:pPr>
              <w:tabs>
                <w:tab w:val="left" w:pos="-1440"/>
                <w:tab w:val="left" w:pos="-720"/>
              </w:tabs>
              <w:rPr>
                <w:sz w:val="20"/>
                <w:szCs w:val="20"/>
                <w:lang w:val="fr-CA"/>
              </w:rPr>
            </w:pPr>
            <w:r w:rsidRPr="00D40078">
              <w:rPr>
                <w:sz w:val="20"/>
                <w:szCs w:val="20"/>
                <w:lang w:val="fr-CA"/>
              </w:rPr>
              <w:tab/>
            </w:r>
            <w:r w:rsidR="00A73AC6">
              <w:rPr>
                <w:sz w:val="20"/>
                <w:szCs w:val="20"/>
                <w:lang w:val="fr-CA"/>
              </w:rPr>
              <w:t>c</w:t>
            </w:r>
            <w:r w:rsidRPr="00A73AC6">
              <w:rPr>
                <w:sz w:val="20"/>
                <w:szCs w:val="20"/>
                <w:lang w:val="fr-CA"/>
              </w:rPr>
              <w:t>. (347</w:t>
            </w:r>
            <w:r w:rsidR="00A73AC6" w:rsidRPr="00A73AC6">
              <w:rPr>
                <w:sz w:val="20"/>
                <w:szCs w:val="20"/>
                <w:lang w:val="fr-CA"/>
              </w:rPr>
              <w:t>40</w:t>
            </w:r>
            <w:r w:rsidRPr="00A73AC6">
              <w:rPr>
                <w:sz w:val="20"/>
                <w:szCs w:val="20"/>
                <w:lang w:val="fr-CA"/>
              </w:rPr>
              <w:t>)</w:t>
            </w:r>
          </w:p>
          <w:p w:rsidR="00800F8F" w:rsidRPr="00A73AC6" w:rsidRDefault="00800F8F" w:rsidP="00ED4143">
            <w:pPr>
              <w:tabs>
                <w:tab w:val="left" w:pos="-1440"/>
                <w:tab w:val="left" w:pos="-720"/>
              </w:tabs>
              <w:rPr>
                <w:sz w:val="20"/>
                <w:szCs w:val="20"/>
                <w:lang w:val="fr-CA"/>
              </w:rPr>
            </w:pPr>
          </w:p>
          <w:p w:rsidR="00800F8F" w:rsidRPr="00A73AC6" w:rsidRDefault="00A73AC6" w:rsidP="00ED4143">
            <w:pPr>
              <w:tabs>
                <w:tab w:val="left" w:pos="-1440"/>
                <w:tab w:val="left" w:pos="-720"/>
              </w:tabs>
              <w:rPr>
                <w:b/>
                <w:sz w:val="20"/>
                <w:szCs w:val="20"/>
                <w:lang w:val="fr-CA"/>
              </w:rPr>
            </w:pPr>
            <w:r w:rsidRPr="00A73AC6">
              <w:rPr>
                <w:b/>
                <w:sz w:val="20"/>
                <w:szCs w:val="20"/>
                <w:lang w:val="fr-CA"/>
              </w:rPr>
              <w:t xml:space="preserve">Le Groupe Intersand Canada </w:t>
            </w:r>
            <w:r>
              <w:rPr>
                <w:b/>
                <w:sz w:val="20"/>
                <w:szCs w:val="20"/>
                <w:lang w:val="fr-CA"/>
              </w:rPr>
              <w:t>i</w:t>
            </w:r>
            <w:r w:rsidRPr="00A73AC6">
              <w:rPr>
                <w:b/>
                <w:sz w:val="20"/>
                <w:szCs w:val="20"/>
                <w:lang w:val="fr-CA"/>
              </w:rPr>
              <w:t>nc.</w:t>
            </w:r>
            <w:r>
              <w:rPr>
                <w:b/>
                <w:sz w:val="20"/>
                <w:szCs w:val="20"/>
                <w:lang w:val="fr-CA"/>
              </w:rPr>
              <w:t xml:space="preserve"> </w:t>
            </w:r>
            <w:r w:rsidR="00800F8F" w:rsidRPr="00A73AC6">
              <w:rPr>
                <w:b/>
                <w:sz w:val="20"/>
                <w:szCs w:val="20"/>
                <w:lang w:val="fr-CA"/>
              </w:rPr>
              <w:t>(</w:t>
            </w:r>
            <w:r>
              <w:rPr>
                <w:b/>
                <w:sz w:val="20"/>
                <w:szCs w:val="20"/>
                <w:lang w:val="fr-CA"/>
              </w:rPr>
              <w:t>Qc</w:t>
            </w:r>
            <w:r w:rsidR="00800F8F" w:rsidRPr="00A73AC6">
              <w:rPr>
                <w:b/>
                <w:sz w:val="20"/>
                <w:szCs w:val="20"/>
                <w:lang w:val="fr-CA"/>
              </w:rPr>
              <w:t>)</w:t>
            </w:r>
          </w:p>
          <w:p w:rsidR="00800F8F" w:rsidRPr="00A73AC6" w:rsidRDefault="00800F8F" w:rsidP="00ED4143">
            <w:pPr>
              <w:tabs>
                <w:tab w:val="left" w:pos="-1440"/>
                <w:tab w:val="left" w:pos="-720"/>
              </w:tabs>
              <w:rPr>
                <w:sz w:val="20"/>
                <w:szCs w:val="20"/>
                <w:lang w:val="fr-CA"/>
              </w:rPr>
            </w:pPr>
            <w:r w:rsidRPr="00A73AC6">
              <w:rPr>
                <w:sz w:val="20"/>
                <w:szCs w:val="20"/>
                <w:lang w:val="fr-CA"/>
              </w:rPr>
              <w:tab/>
            </w:r>
            <w:r w:rsidR="00A73AC6">
              <w:rPr>
                <w:sz w:val="20"/>
                <w:szCs w:val="20"/>
                <w:lang w:val="fr-CA"/>
              </w:rPr>
              <w:t>Sylvain Deslauriers</w:t>
            </w:r>
          </w:p>
          <w:p w:rsidR="00800F8F" w:rsidRPr="00A73AC6" w:rsidRDefault="00800F8F" w:rsidP="00ED4143">
            <w:pPr>
              <w:tabs>
                <w:tab w:val="left" w:pos="-1440"/>
                <w:tab w:val="left" w:pos="-720"/>
              </w:tabs>
              <w:rPr>
                <w:sz w:val="20"/>
                <w:szCs w:val="20"/>
                <w:lang w:val="fr-CA"/>
              </w:rPr>
            </w:pPr>
            <w:r w:rsidRPr="00A73AC6">
              <w:rPr>
                <w:sz w:val="20"/>
                <w:szCs w:val="20"/>
                <w:lang w:val="fr-CA"/>
              </w:rPr>
              <w:tab/>
            </w:r>
            <w:r w:rsidR="00A73AC6">
              <w:rPr>
                <w:sz w:val="20"/>
                <w:szCs w:val="20"/>
                <w:lang w:val="fr-CA"/>
              </w:rPr>
              <w:t>Deslauriers &amp; Cie, avocats S.A.</w:t>
            </w:r>
          </w:p>
          <w:p w:rsidR="00800F8F" w:rsidRPr="00A73AC6" w:rsidRDefault="00800F8F" w:rsidP="00ED4143">
            <w:pPr>
              <w:tabs>
                <w:tab w:val="left" w:pos="-1440"/>
                <w:tab w:val="left" w:pos="-720"/>
              </w:tabs>
              <w:rPr>
                <w:sz w:val="20"/>
                <w:szCs w:val="20"/>
                <w:lang w:val="fr-CA"/>
              </w:rPr>
            </w:pPr>
          </w:p>
          <w:p w:rsidR="00800F8F" w:rsidRPr="00A73AC6" w:rsidRDefault="00800F8F" w:rsidP="00ED4143">
            <w:pPr>
              <w:rPr>
                <w:sz w:val="20"/>
                <w:szCs w:val="20"/>
                <w:lang w:val="fr-CA"/>
              </w:rPr>
            </w:pPr>
            <w:r w:rsidRPr="00A73AC6">
              <w:rPr>
                <w:sz w:val="20"/>
                <w:szCs w:val="20"/>
                <w:lang w:val="fr-CA"/>
              </w:rPr>
              <w:t>DATE</w:t>
            </w:r>
            <w:r w:rsidR="00A73AC6" w:rsidRPr="00A73AC6">
              <w:rPr>
                <w:sz w:val="20"/>
                <w:szCs w:val="20"/>
                <w:lang w:val="fr-CA"/>
              </w:rPr>
              <w:t xml:space="preserve"> DE PRODUCT</w:t>
            </w:r>
            <w:r w:rsidR="00B7764C">
              <w:rPr>
                <w:sz w:val="20"/>
                <w:szCs w:val="20"/>
                <w:lang w:val="fr-CA"/>
              </w:rPr>
              <w:t>I</w:t>
            </w:r>
            <w:r w:rsidR="00A73AC6" w:rsidRPr="00A73AC6">
              <w:rPr>
                <w:sz w:val="20"/>
                <w:szCs w:val="20"/>
                <w:lang w:val="fr-CA"/>
              </w:rPr>
              <w:t xml:space="preserve">ON </w:t>
            </w:r>
            <w:r w:rsidRPr="00A73AC6">
              <w:rPr>
                <w:sz w:val="20"/>
                <w:szCs w:val="20"/>
                <w:lang w:val="fr-CA"/>
              </w:rPr>
              <w:t>: 2</w:t>
            </w:r>
            <w:r w:rsidR="00A73AC6">
              <w:rPr>
                <w:sz w:val="20"/>
                <w:szCs w:val="20"/>
                <w:lang w:val="fr-CA"/>
              </w:rPr>
              <w:t>9</w:t>
            </w:r>
            <w:r w:rsidRPr="00A73AC6">
              <w:rPr>
                <w:sz w:val="20"/>
                <w:szCs w:val="20"/>
                <w:lang w:val="fr-CA"/>
              </w:rPr>
              <w:t>.03.2012</w:t>
            </w:r>
          </w:p>
          <w:p w:rsidR="00800F8F" w:rsidRPr="00A73AC6" w:rsidRDefault="009134DA" w:rsidP="00ED4143">
            <w:pPr>
              <w:rPr>
                <w:sz w:val="20"/>
                <w:szCs w:val="20"/>
                <w:lang w:val="fr-CA"/>
              </w:rPr>
            </w:pPr>
            <w:r w:rsidRPr="009134DA">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Pr="00A73AC6" w:rsidRDefault="00800F8F" w:rsidP="00242AEE">
            <w:pPr>
              <w:jc w:val="center"/>
              <w:rPr>
                <w:sz w:val="20"/>
                <w:szCs w:val="20"/>
                <w:lang w:val="fr-CA"/>
              </w:rPr>
            </w:pPr>
          </w:p>
          <w:p w:rsidR="00800F8F" w:rsidRDefault="00800F8F" w:rsidP="00242AEE">
            <w:pPr>
              <w:jc w:val="center"/>
              <w:rPr>
                <w:sz w:val="20"/>
                <w:szCs w:val="20"/>
                <w:lang w:val="fr-CA"/>
              </w:rPr>
            </w:pPr>
          </w:p>
          <w:p w:rsidR="008B0270" w:rsidRDefault="008B0270" w:rsidP="00242AEE">
            <w:pPr>
              <w:jc w:val="center"/>
              <w:rPr>
                <w:sz w:val="20"/>
                <w:szCs w:val="20"/>
                <w:lang w:val="fr-CA"/>
              </w:rPr>
            </w:pPr>
          </w:p>
          <w:p w:rsidR="008B0270" w:rsidRPr="00A73AC6" w:rsidRDefault="008B0270" w:rsidP="00242AEE">
            <w:pPr>
              <w:jc w:val="center"/>
              <w:rPr>
                <w:sz w:val="20"/>
                <w:szCs w:val="20"/>
                <w:lang w:val="fr-CA"/>
              </w:rPr>
            </w:pPr>
          </w:p>
          <w:p w:rsidR="00800F8F" w:rsidRPr="00A73AC6" w:rsidRDefault="00800F8F" w:rsidP="00242AEE">
            <w:pPr>
              <w:jc w:val="center"/>
              <w:rPr>
                <w:sz w:val="20"/>
                <w:szCs w:val="20"/>
                <w:lang w:val="fr-CA"/>
              </w:rPr>
            </w:pPr>
          </w:p>
        </w:tc>
        <w:tc>
          <w:tcPr>
            <w:tcW w:w="4320" w:type="dxa"/>
            <w:shd w:val="clear" w:color="auto" w:fill="auto"/>
          </w:tcPr>
          <w:p w:rsidR="00800F8F" w:rsidRPr="00A73AC6" w:rsidRDefault="00A73AC6" w:rsidP="00ED4143">
            <w:pPr>
              <w:keepNext/>
              <w:keepLines/>
              <w:tabs>
                <w:tab w:val="left" w:pos="-1440"/>
                <w:tab w:val="left" w:pos="-720"/>
              </w:tabs>
              <w:rPr>
                <w:b/>
                <w:sz w:val="20"/>
                <w:szCs w:val="20"/>
                <w:lang w:val="fr-CA"/>
              </w:rPr>
            </w:pPr>
            <w:r>
              <w:rPr>
                <w:b/>
                <w:sz w:val="20"/>
                <w:szCs w:val="20"/>
                <w:lang w:val="fr-CA"/>
              </w:rPr>
              <w:t>Jean-Claude Valfer</w:t>
            </w:r>
          </w:p>
          <w:p w:rsidR="00800F8F" w:rsidRPr="00A73AC6" w:rsidRDefault="00800F8F" w:rsidP="00ED4143">
            <w:pPr>
              <w:keepNext/>
              <w:keepLines/>
              <w:tabs>
                <w:tab w:val="left" w:pos="-1440"/>
                <w:tab w:val="left" w:pos="-720"/>
              </w:tabs>
              <w:rPr>
                <w:sz w:val="20"/>
                <w:szCs w:val="20"/>
                <w:lang w:val="fr-CA"/>
              </w:rPr>
            </w:pPr>
            <w:r w:rsidRPr="00A73AC6">
              <w:rPr>
                <w:sz w:val="20"/>
                <w:szCs w:val="20"/>
                <w:lang w:val="fr-CA"/>
              </w:rPr>
              <w:tab/>
            </w:r>
            <w:r w:rsidR="00B7764C">
              <w:rPr>
                <w:sz w:val="20"/>
                <w:szCs w:val="20"/>
                <w:lang w:val="fr-CA"/>
              </w:rPr>
              <w:t>Jean-Claude Val</w:t>
            </w:r>
            <w:r w:rsidR="008B0270">
              <w:rPr>
                <w:sz w:val="20"/>
                <w:szCs w:val="20"/>
                <w:lang w:val="fr-CA"/>
              </w:rPr>
              <w:t>f</w:t>
            </w:r>
            <w:r w:rsidR="00B7764C">
              <w:rPr>
                <w:sz w:val="20"/>
                <w:szCs w:val="20"/>
                <w:lang w:val="fr-CA"/>
              </w:rPr>
              <w:t>er</w:t>
            </w:r>
          </w:p>
          <w:p w:rsidR="00800F8F" w:rsidRPr="00A73AC6" w:rsidRDefault="00800F8F" w:rsidP="00ED4143">
            <w:pPr>
              <w:keepNext/>
              <w:keepLines/>
              <w:tabs>
                <w:tab w:val="left" w:pos="-1440"/>
                <w:tab w:val="left" w:pos="-720"/>
              </w:tabs>
              <w:rPr>
                <w:sz w:val="20"/>
                <w:szCs w:val="20"/>
                <w:lang w:val="fr-CA"/>
              </w:rPr>
            </w:pPr>
          </w:p>
          <w:p w:rsidR="00800F8F" w:rsidRPr="00A73AC6" w:rsidRDefault="00800F8F" w:rsidP="00ED4143">
            <w:pPr>
              <w:keepNext/>
              <w:keepLines/>
              <w:tabs>
                <w:tab w:val="left" w:pos="-1440"/>
                <w:tab w:val="left" w:pos="-720"/>
              </w:tabs>
              <w:rPr>
                <w:sz w:val="20"/>
                <w:szCs w:val="20"/>
                <w:lang w:val="fr-CA"/>
              </w:rPr>
            </w:pPr>
            <w:r w:rsidRPr="00A73AC6">
              <w:rPr>
                <w:sz w:val="20"/>
                <w:szCs w:val="20"/>
                <w:lang w:val="fr-CA"/>
              </w:rPr>
              <w:tab/>
              <w:t>v. (347</w:t>
            </w:r>
            <w:r w:rsidR="00B7764C">
              <w:rPr>
                <w:sz w:val="20"/>
                <w:szCs w:val="20"/>
                <w:lang w:val="fr-CA"/>
              </w:rPr>
              <w:t>53</w:t>
            </w:r>
            <w:r w:rsidRPr="00A73AC6">
              <w:rPr>
                <w:sz w:val="20"/>
                <w:szCs w:val="20"/>
                <w:lang w:val="fr-CA"/>
              </w:rPr>
              <w:t>)</w:t>
            </w:r>
          </w:p>
          <w:p w:rsidR="00800F8F" w:rsidRPr="00A73AC6" w:rsidRDefault="00800F8F" w:rsidP="00ED4143">
            <w:pPr>
              <w:keepNext/>
              <w:keepLines/>
              <w:tabs>
                <w:tab w:val="left" w:pos="-1440"/>
                <w:tab w:val="left" w:pos="-720"/>
              </w:tabs>
              <w:rPr>
                <w:sz w:val="20"/>
                <w:szCs w:val="20"/>
                <w:lang w:val="fr-CA"/>
              </w:rPr>
            </w:pPr>
          </w:p>
          <w:p w:rsidR="00800F8F" w:rsidRPr="00A73AC6" w:rsidRDefault="00B7764C" w:rsidP="00ED4143">
            <w:pPr>
              <w:keepNext/>
              <w:keepLines/>
              <w:tabs>
                <w:tab w:val="left" w:pos="-1440"/>
                <w:tab w:val="left" w:pos="-720"/>
              </w:tabs>
              <w:rPr>
                <w:b/>
                <w:sz w:val="20"/>
                <w:szCs w:val="20"/>
                <w:lang w:val="fr-CA"/>
              </w:rPr>
            </w:pPr>
            <w:r>
              <w:rPr>
                <w:b/>
                <w:sz w:val="20"/>
                <w:szCs w:val="20"/>
                <w:lang w:val="fr-CA"/>
              </w:rPr>
              <w:t xml:space="preserve">Etienne Calomne, ès qualités de syndic adjoint de l’Ordre professionnel des travailleurs sociaux du Québec </w:t>
            </w:r>
            <w:r w:rsidR="00800F8F" w:rsidRPr="00A73AC6">
              <w:rPr>
                <w:b/>
                <w:sz w:val="20"/>
                <w:szCs w:val="20"/>
                <w:lang w:val="fr-CA"/>
              </w:rPr>
              <w:t>(</w:t>
            </w:r>
            <w:r>
              <w:rPr>
                <w:b/>
                <w:sz w:val="20"/>
                <w:szCs w:val="20"/>
                <w:lang w:val="fr-CA"/>
              </w:rPr>
              <w:t>Que</w:t>
            </w:r>
            <w:r w:rsidR="00800F8F" w:rsidRPr="00A73AC6">
              <w:rPr>
                <w:b/>
                <w:sz w:val="20"/>
                <w:szCs w:val="20"/>
                <w:lang w:val="fr-CA"/>
              </w:rPr>
              <w:t>.)</w:t>
            </w:r>
          </w:p>
          <w:p w:rsidR="00800F8F" w:rsidRPr="00A73AC6" w:rsidRDefault="00800F8F" w:rsidP="00ED4143">
            <w:pPr>
              <w:keepNext/>
              <w:keepLines/>
              <w:tabs>
                <w:tab w:val="left" w:pos="-1440"/>
                <w:tab w:val="left" w:pos="-720"/>
              </w:tabs>
              <w:rPr>
                <w:sz w:val="20"/>
                <w:szCs w:val="20"/>
                <w:lang w:val="fr-CA"/>
              </w:rPr>
            </w:pPr>
            <w:r w:rsidRPr="00A73AC6">
              <w:rPr>
                <w:sz w:val="20"/>
                <w:szCs w:val="20"/>
                <w:lang w:val="fr-CA"/>
              </w:rPr>
              <w:tab/>
            </w:r>
            <w:r w:rsidR="00B7764C">
              <w:rPr>
                <w:sz w:val="20"/>
                <w:szCs w:val="20"/>
                <w:lang w:val="fr-CA"/>
              </w:rPr>
              <w:t>Pierre S. Sicotte</w:t>
            </w:r>
          </w:p>
          <w:p w:rsidR="00800F8F" w:rsidRPr="00A73AC6" w:rsidRDefault="00800F8F" w:rsidP="00ED4143">
            <w:pPr>
              <w:keepNext/>
              <w:keepLines/>
              <w:tabs>
                <w:tab w:val="left" w:pos="-1440"/>
                <w:tab w:val="left" w:pos="-720"/>
              </w:tabs>
              <w:rPr>
                <w:sz w:val="20"/>
                <w:szCs w:val="20"/>
                <w:lang w:val="fr-CA"/>
              </w:rPr>
            </w:pPr>
            <w:r w:rsidRPr="00A73AC6">
              <w:rPr>
                <w:sz w:val="20"/>
                <w:szCs w:val="20"/>
                <w:lang w:val="fr-CA"/>
              </w:rPr>
              <w:tab/>
            </w:r>
            <w:r w:rsidR="00B7764C">
              <w:rPr>
                <w:sz w:val="20"/>
                <w:szCs w:val="20"/>
                <w:lang w:val="fr-CA"/>
              </w:rPr>
              <w:t>Sicotte Brouillette</w:t>
            </w:r>
          </w:p>
          <w:p w:rsidR="00800F8F" w:rsidRPr="00A73AC6" w:rsidRDefault="00800F8F" w:rsidP="00ED4143">
            <w:pPr>
              <w:keepNext/>
              <w:keepLines/>
              <w:tabs>
                <w:tab w:val="left" w:pos="-1440"/>
                <w:tab w:val="left" w:pos="-720"/>
              </w:tabs>
              <w:rPr>
                <w:sz w:val="20"/>
                <w:szCs w:val="20"/>
                <w:lang w:val="fr-CA"/>
              </w:rPr>
            </w:pPr>
          </w:p>
          <w:p w:rsidR="00800F8F" w:rsidRPr="00A73AC6" w:rsidRDefault="00800F8F" w:rsidP="00B7764C">
            <w:pPr>
              <w:rPr>
                <w:sz w:val="20"/>
                <w:szCs w:val="20"/>
                <w:lang w:val="fr-CA"/>
              </w:rPr>
            </w:pPr>
            <w:r w:rsidRPr="00A73AC6">
              <w:rPr>
                <w:sz w:val="20"/>
                <w:szCs w:val="20"/>
                <w:lang w:val="fr-CA"/>
              </w:rPr>
              <w:t>FILING DATE: 2</w:t>
            </w:r>
            <w:r w:rsidR="00B7764C">
              <w:rPr>
                <w:sz w:val="20"/>
                <w:szCs w:val="20"/>
                <w:lang w:val="fr-CA"/>
              </w:rPr>
              <w:t>9</w:t>
            </w:r>
            <w:r w:rsidRPr="00A73AC6">
              <w:rPr>
                <w:sz w:val="20"/>
                <w:szCs w:val="20"/>
                <w:lang w:val="fr-CA"/>
              </w:rPr>
              <w:t>.03.2012</w:t>
            </w:r>
            <w:r w:rsidR="009134DA" w:rsidRPr="009134DA">
              <w:rPr>
                <w:sz w:val="20"/>
                <w:szCs w:val="20"/>
                <w:lang w:val="fr-CA"/>
              </w:rPr>
              <w:pict>
                <v:rect id="_x0000_i1030" style="width:108pt;height:1pt" o:hrpct="0" o:hralign="center" o:hrstd="t" o:hrnoshade="t" o:hr="t" fillcolor="black [3213]" stroked="f"/>
              </w:pict>
            </w:r>
          </w:p>
        </w:tc>
      </w:tr>
      <w:tr w:rsidR="00F26B6D" w:rsidRPr="00F26B6D" w:rsidTr="003B3977">
        <w:trPr>
          <w:cantSplit/>
        </w:trPr>
        <w:tc>
          <w:tcPr>
            <w:tcW w:w="4320" w:type="dxa"/>
            <w:shd w:val="clear" w:color="auto" w:fill="auto"/>
          </w:tcPr>
          <w:p w:rsidR="00F26B6D" w:rsidRDefault="00F26B6D" w:rsidP="00ED4143">
            <w:pPr>
              <w:rPr>
                <w:b/>
                <w:sz w:val="20"/>
                <w:szCs w:val="20"/>
                <w:lang w:val="fr-CA"/>
              </w:rPr>
            </w:pPr>
          </w:p>
          <w:p w:rsidR="00F26B6D" w:rsidRDefault="00F26B6D" w:rsidP="00ED4143">
            <w:pPr>
              <w:rPr>
                <w:sz w:val="20"/>
                <w:szCs w:val="20"/>
                <w:lang w:val="fr-CA"/>
              </w:rPr>
            </w:pPr>
            <w:r>
              <w:rPr>
                <w:b/>
                <w:sz w:val="20"/>
                <w:szCs w:val="20"/>
                <w:lang w:val="fr-CA"/>
              </w:rPr>
              <w:t>Steve Bédard</w:t>
            </w:r>
          </w:p>
          <w:p w:rsidR="00F26B6D" w:rsidRPr="003D4316" w:rsidRDefault="00F26B6D" w:rsidP="00F26B6D">
            <w:pPr>
              <w:keepNext/>
              <w:keepLines/>
              <w:tabs>
                <w:tab w:val="left" w:pos="-1440"/>
                <w:tab w:val="left" w:pos="-720"/>
              </w:tabs>
              <w:rPr>
                <w:sz w:val="20"/>
                <w:szCs w:val="20"/>
                <w:lang w:val="fr-CA"/>
              </w:rPr>
            </w:pPr>
            <w:r w:rsidRPr="003D4316">
              <w:rPr>
                <w:sz w:val="20"/>
                <w:szCs w:val="20"/>
                <w:lang w:val="fr-CA"/>
              </w:rPr>
              <w:tab/>
            </w:r>
            <w:r>
              <w:rPr>
                <w:sz w:val="20"/>
                <w:szCs w:val="20"/>
                <w:lang w:val="fr-CA"/>
              </w:rPr>
              <w:t>Jean Petit</w:t>
            </w:r>
          </w:p>
          <w:p w:rsidR="00F26B6D" w:rsidRPr="003D4316" w:rsidRDefault="00F26B6D" w:rsidP="00F26B6D">
            <w:pPr>
              <w:keepNext/>
              <w:keepLines/>
              <w:tabs>
                <w:tab w:val="left" w:pos="-1440"/>
                <w:tab w:val="left" w:pos="-720"/>
              </w:tabs>
              <w:rPr>
                <w:sz w:val="20"/>
                <w:szCs w:val="20"/>
                <w:lang w:val="fr-CA"/>
              </w:rPr>
            </w:pPr>
            <w:r w:rsidRPr="003D4316">
              <w:rPr>
                <w:sz w:val="20"/>
                <w:szCs w:val="20"/>
                <w:lang w:val="fr-CA"/>
              </w:rPr>
              <w:tab/>
            </w:r>
            <w:r>
              <w:rPr>
                <w:sz w:val="20"/>
                <w:szCs w:val="20"/>
                <w:lang w:val="fr-CA"/>
              </w:rPr>
              <w:t>Jean Petit &amp; Associés</w:t>
            </w:r>
          </w:p>
          <w:p w:rsidR="00F26B6D" w:rsidRPr="003D4316" w:rsidRDefault="00F26B6D" w:rsidP="00F26B6D">
            <w:pPr>
              <w:keepNext/>
              <w:keepLines/>
              <w:tabs>
                <w:tab w:val="left" w:pos="-1440"/>
                <w:tab w:val="left" w:pos="-720"/>
              </w:tabs>
              <w:rPr>
                <w:sz w:val="20"/>
                <w:szCs w:val="20"/>
                <w:lang w:val="fr-CA"/>
              </w:rPr>
            </w:pPr>
          </w:p>
          <w:p w:rsidR="00F26B6D" w:rsidRPr="00A935AA" w:rsidRDefault="00F26B6D" w:rsidP="00F26B6D">
            <w:pPr>
              <w:keepNext/>
              <w:keepLines/>
              <w:tabs>
                <w:tab w:val="left" w:pos="-1440"/>
                <w:tab w:val="left" w:pos="-720"/>
              </w:tabs>
              <w:rPr>
                <w:sz w:val="20"/>
                <w:szCs w:val="20"/>
                <w:lang w:val="fr-CA"/>
              </w:rPr>
            </w:pPr>
            <w:r w:rsidRPr="003D4316">
              <w:rPr>
                <w:sz w:val="20"/>
                <w:szCs w:val="20"/>
                <w:lang w:val="fr-CA"/>
              </w:rPr>
              <w:tab/>
            </w:r>
            <w:r>
              <w:rPr>
                <w:sz w:val="20"/>
                <w:szCs w:val="20"/>
                <w:lang w:val="fr-CA"/>
              </w:rPr>
              <w:t>c</w:t>
            </w:r>
            <w:r w:rsidRPr="00A935AA">
              <w:rPr>
                <w:sz w:val="20"/>
                <w:szCs w:val="20"/>
                <w:lang w:val="fr-CA"/>
              </w:rPr>
              <w:t>. (3</w:t>
            </w:r>
            <w:r>
              <w:rPr>
                <w:sz w:val="20"/>
                <w:szCs w:val="20"/>
                <w:lang w:val="fr-CA"/>
              </w:rPr>
              <w:t>4744</w:t>
            </w:r>
            <w:r w:rsidRPr="00A935AA">
              <w:rPr>
                <w:sz w:val="20"/>
                <w:szCs w:val="20"/>
                <w:lang w:val="fr-CA"/>
              </w:rPr>
              <w:t>)</w:t>
            </w:r>
          </w:p>
          <w:p w:rsidR="00F26B6D" w:rsidRPr="00A935AA" w:rsidRDefault="00F26B6D" w:rsidP="00F26B6D">
            <w:pPr>
              <w:keepNext/>
              <w:keepLines/>
              <w:tabs>
                <w:tab w:val="left" w:pos="-1440"/>
                <w:tab w:val="left" w:pos="-720"/>
              </w:tabs>
              <w:rPr>
                <w:sz w:val="20"/>
                <w:szCs w:val="20"/>
                <w:lang w:val="fr-CA"/>
              </w:rPr>
            </w:pPr>
          </w:p>
          <w:p w:rsidR="00F26B6D" w:rsidRPr="00A935AA" w:rsidRDefault="00F26B6D" w:rsidP="00F26B6D">
            <w:pPr>
              <w:keepNext/>
              <w:keepLines/>
              <w:tabs>
                <w:tab w:val="left" w:pos="-1440"/>
                <w:tab w:val="left" w:pos="-720"/>
              </w:tabs>
              <w:rPr>
                <w:b/>
                <w:sz w:val="20"/>
                <w:szCs w:val="20"/>
                <w:lang w:val="fr-CA"/>
              </w:rPr>
            </w:pPr>
            <w:r>
              <w:rPr>
                <w:b/>
                <w:sz w:val="20"/>
                <w:szCs w:val="20"/>
                <w:lang w:val="fr-CA"/>
              </w:rPr>
              <w:t xml:space="preserve">Sa Majesté la Reine </w:t>
            </w:r>
            <w:r w:rsidRPr="00A935AA">
              <w:rPr>
                <w:b/>
                <w:sz w:val="20"/>
                <w:szCs w:val="20"/>
                <w:lang w:val="fr-CA"/>
              </w:rPr>
              <w:t>(</w:t>
            </w:r>
            <w:r>
              <w:rPr>
                <w:b/>
                <w:sz w:val="20"/>
                <w:szCs w:val="20"/>
                <w:lang w:val="fr-CA"/>
              </w:rPr>
              <w:t>Qc</w:t>
            </w:r>
            <w:r w:rsidRPr="00A935AA">
              <w:rPr>
                <w:b/>
                <w:sz w:val="20"/>
                <w:szCs w:val="20"/>
                <w:lang w:val="fr-CA"/>
              </w:rPr>
              <w:t>)</w:t>
            </w:r>
          </w:p>
          <w:p w:rsidR="00F26B6D" w:rsidRPr="00A935AA" w:rsidRDefault="00F26B6D" w:rsidP="00F26B6D">
            <w:pPr>
              <w:keepNext/>
              <w:keepLines/>
              <w:tabs>
                <w:tab w:val="left" w:pos="-1440"/>
                <w:tab w:val="left" w:pos="-720"/>
              </w:tabs>
              <w:rPr>
                <w:sz w:val="20"/>
                <w:szCs w:val="20"/>
                <w:lang w:val="fr-CA"/>
              </w:rPr>
            </w:pPr>
            <w:r w:rsidRPr="00A935AA">
              <w:rPr>
                <w:sz w:val="20"/>
                <w:szCs w:val="20"/>
                <w:lang w:val="fr-CA"/>
              </w:rPr>
              <w:tab/>
            </w:r>
            <w:r>
              <w:rPr>
                <w:sz w:val="20"/>
                <w:szCs w:val="20"/>
                <w:lang w:val="fr-CA"/>
              </w:rPr>
              <w:t>Jean-Philippe Robitaille</w:t>
            </w:r>
          </w:p>
          <w:p w:rsidR="00F26B6D" w:rsidRPr="00A935AA" w:rsidRDefault="00F26B6D" w:rsidP="00F26B6D">
            <w:pPr>
              <w:keepNext/>
              <w:keepLines/>
              <w:tabs>
                <w:tab w:val="left" w:pos="-1440"/>
                <w:tab w:val="left" w:pos="-720"/>
              </w:tabs>
              <w:rPr>
                <w:sz w:val="20"/>
                <w:szCs w:val="20"/>
                <w:lang w:val="fr-CA"/>
              </w:rPr>
            </w:pPr>
            <w:r w:rsidRPr="00A935AA">
              <w:rPr>
                <w:sz w:val="20"/>
                <w:szCs w:val="20"/>
                <w:lang w:val="fr-CA"/>
              </w:rPr>
              <w:tab/>
            </w:r>
            <w:r>
              <w:rPr>
                <w:sz w:val="20"/>
                <w:szCs w:val="20"/>
                <w:lang w:val="fr-CA"/>
              </w:rPr>
              <w:t>P.G. du Québec</w:t>
            </w:r>
          </w:p>
          <w:p w:rsidR="00F26B6D" w:rsidRPr="00A935AA" w:rsidRDefault="00F26B6D" w:rsidP="00F26B6D">
            <w:pPr>
              <w:keepNext/>
              <w:keepLines/>
              <w:tabs>
                <w:tab w:val="left" w:pos="-1440"/>
                <w:tab w:val="left" w:pos="-720"/>
              </w:tabs>
              <w:rPr>
                <w:sz w:val="20"/>
                <w:szCs w:val="20"/>
                <w:lang w:val="fr-CA"/>
              </w:rPr>
            </w:pPr>
          </w:p>
          <w:p w:rsidR="00F26B6D" w:rsidRDefault="00F26B6D" w:rsidP="00F26B6D">
            <w:pPr>
              <w:rPr>
                <w:sz w:val="20"/>
                <w:szCs w:val="20"/>
                <w:lang w:val="fr-CA"/>
              </w:rPr>
            </w:pPr>
            <w:r w:rsidRPr="003D4316">
              <w:rPr>
                <w:sz w:val="20"/>
                <w:szCs w:val="20"/>
                <w:lang w:val="fr-CA"/>
              </w:rPr>
              <w:t>DATE</w:t>
            </w:r>
            <w:r>
              <w:rPr>
                <w:sz w:val="20"/>
                <w:szCs w:val="20"/>
                <w:lang w:val="fr-CA"/>
              </w:rPr>
              <w:t xml:space="preserve"> DE PRODUCTION </w:t>
            </w:r>
            <w:r w:rsidRPr="003D4316">
              <w:rPr>
                <w:sz w:val="20"/>
                <w:szCs w:val="20"/>
                <w:lang w:val="fr-CA"/>
              </w:rPr>
              <w:t xml:space="preserve">: </w:t>
            </w:r>
            <w:r>
              <w:rPr>
                <w:sz w:val="20"/>
                <w:szCs w:val="20"/>
                <w:lang w:val="fr-CA"/>
              </w:rPr>
              <w:t>30</w:t>
            </w:r>
            <w:r w:rsidRPr="003D4316">
              <w:rPr>
                <w:sz w:val="20"/>
                <w:szCs w:val="20"/>
                <w:lang w:val="fr-CA"/>
              </w:rPr>
              <w:t>.03.2012</w:t>
            </w:r>
          </w:p>
          <w:p w:rsidR="00F26B6D" w:rsidRPr="00F26B6D" w:rsidRDefault="009134DA" w:rsidP="00F26B6D">
            <w:pPr>
              <w:rPr>
                <w:sz w:val="20"/>
                <w:szCs w:val="20"/>
                <w:lang w:val="fr-CA"/>
              </w:rPr>
            </w:pPr>
            <w:r w:rsidRPr="009134DA">
              <w:rPr>
                <w:sz w:val="20"/>
                <w:szCs w:val="20"/>
                <w:lang w:val="fr-CA"/>
              </w:rPr>
              <w:pict>
                <v:rect id="_x0000_i1031" style="width:108pt;height:1pt" o:hrpct="0" o:hralign="center" o:hrstd="t" o:hrnoshade="t" o:hr="t" fillcolor="black [3213]" stroked="f"/>
              </w:pict>
            </w:r>
          </w:p>
        </w:tc>
        <w:tc>
          <w:tcPr>
            <w:tcW w:w="1181" w:type="dxa"/>
            <w:shd w:val="clear" w:color="auto" w:fill="auto"/>
          </w:tcPr>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Default="00F26B6D" w:rsidP="00242AEE">
            <w:pPr>
              <w:jc w:val="center"/>
              <w:rPr>
                <w:sz w:val="20"/>
                <w:szCs w:val="20"/>
                <w:lang w:val="fr-CA"/>
              </w:rPr>
            </w:pPr>
          </w:p>
          <w:p w:rsidR="00F26B6D" w:rsidRPr="008B0270" w:rsidRDefault="00F26B6D" w:rsidP="00242AEE">
            <w:pPr>
              <w:jc w:val="center"/>
              <w:rPr>
                <w:sz w:val="20"/>
                <w:szCs w:val="20"/>
                <w:lang w:val="fr-CA"/>
              </w:rPr>
            </w:pPr>
          </w:p>
        </w:tc>
        <w:tc>
          <w:tcPr>
            <w:tcW w:w="4320" w:type="dxa"/>
            <w:shd w:val="clear" w:color="auto" w:fill="auto"/>
          </w:tcPr>
          <w:p w:rsidR="00F26B6D" w:rsidRDefault="00F26B6D" w:rsidP="00ED4143">
            <w:pPr>
              <w:keepNext/>
              <w:keepLines/>
              <w:tabs>
                <w:tab w:val="left" w:pos="-1440"/>
                <w:tab w:val="left" w:pos="-720"/>
              </w:tabs>
              <w:rPr>
                <w:sz w:val="20"/>
                <w:szCs w:val="20"/>
                <w:lang w:val="fr-CA"/>
              </w:rPr>
            </w:pPr>
            <w:r>
              <w:rPr>
                <w:b/>
                <w:sz w:val="20"/>
                <w:szCs w:val="20"/>
                <w:lang w:val="fr-CA"/>
              </w:rPr>
              <w:t>Verreault Navigation Inc.</w:t>
            </w:r>
          </w:p>
          <w:p w:rsidR="00F26B6D" w:rsidRPr="00A73AC6" w:rsidRDefault="00F26B6D" w:rsidP="00F26B6D">
            <w:pPr>
              <w:tabs>
                <w:tab w:val="left" w:pos="-1440"/>
                <w:tab w:val="left" w:pos="-720"/>
              </w:tabs>
              <w:rPr>
                <w:sz w:val="20"/>
                <w:szCs w:val="20"/>
                <w:lang w:val="fr-CA"/>
              </w:rPr>
            </w:pPr>
            <w:r w:rsidRPr="00A73AC6">
              <w:rPr>
                <w:sz w:val="20"/>
                <w:szCs w:val="20"/>
                <w:lang w:val="fr-CA"/>
              </w:rPr>
              <w:tab/>
            </w:r>
            <w:r>
              <w:rPr>
                <w:sz w:val="20"/>
                <w:szCs w:val="20"/>
                <w:lang w:val="fr-CA"/>
              </w:rPr>
              <w:t>François Barette</w:t>
            </w:r>
          </w:p>
          <w:p w:rsidR="00F26B6D" w:rsidRPr="00A73AC6" w:rsidRDefault="00F26B6D" w:rsidP="00F26B6D">
            <w:pPr>
              <w:tabs>
                <w:tab w:val="left" w:pos="-1440"/>
                <w:tab w:val="left" w:pos="-720"/>
              </w:tabs>
              <w:rPr>
                <w:sz w:val="20"/>
                <w:szCs w:val="20"/>
                <w:lang w:val="fr-CA"/>
              </w:rPr>
            </w:pPr>
            <w:r w:rsidRPr="00A73AC6">
              <w:rPr>
                <w:sz w:val="20"/>
                <w:szCs w:val="20"/>
                <w:lang w:val="fr-CA"/>
              </w:rPr>
              <w:tab/>
            </w:r>
            <w:r>
              <w:rPr>
                <w:sz w:val="20"/>
                <w:szCs w:val="20"/>
                <w:lang w:val="fr-CA"/>
              </w:rPr>
              <w:t xml:space="preserve">Fasken Martineau DuMoulin </w:t>
            </w:r>
            <w:r w:rsidRPr="008B0270">
              <w:rPr>
                <w:sz w:val="20"/>
                <w:szCs w:val="20"/>
                <w:lang w:val="fr-CA"/>
              </w:rPr>
              <w:t xml:space="preserve">s.e.n.c.r.l., </w:t>
            </w:r>
            <w:r w:rsidRPr="008B0270">
              <w:rPr>
                <w:sz w:val="20"/>
                <w:szCs w:val="20"/>
                <w:lang w:val="fr-CA"/>
              </w:rPr>
              <w:tab/>
              <w:t>s.r.l.</w:t>
            </w:r>
          </w:p>
          <w:p w:rsidR="00F26B6D" w:rsidRPr="00A73AC6" w:rsidRDefault="00F26B6D" w:rsidP="00F26B6D">
            <w:pPr>
              <w:tabs>
                <w:tab w:val="left" w:pos="-1440"/>
                <w:tab w:val="left" w:pos="-720"/>
              </w:tabs>
              <w:rPr>
                <w:sz w:val="20"/>
                <w:szCs w:val="20"/>
                <w:lang w:val="fr-CA"/>
              </w:rPr>
            </w:pPr>
          </w:p>
          <w:p w:rsidR="00F26B6D" w:rsidRPr="00A73AC6" w:rsidRDefault="00F26B6D" w:rsidP="00F26B6D">
            <w:pPr>
              <w:tabs>
                <w:tab w:val="left" w:pos="-1440"/>
                <w:tab w:val="left" w:pos="-720"/>
              </w:tabs>
              <w:rPr>
                <w:sz w:val="20"/>
                <w:szCs w:val="20"/>
                <w:lang w:val="fr-CA"/>
              </w:rPr>
            </w:pPr>
            <w:r w:rsidRPr="00A73AC6">
              <w:rPr>
                <w:sz w:val="20"/>
                <w:szCs w:val="20"/>
                <w:lang w:val="fr-CA"/>
              </w:rPr>
              <w:tab/>
            </w:r>
            <w:r>
              <w:rPr>
                <w:sz w:val="20"/>
                <w:szCs w:val="20"/>
                <w:lang w:val="fr-CA"/>
              </w:rPr>
              <w:t>c</w:t>
            </w:r>
            <w:r w:rsidRPr="00A73AC6">
              <w:rPr>
                <w:sz w:val="20"/>
                <w:szCs w:val="20"/>
                <w:lang w:val="fr-CA"/>
              </w:rPr>
              <w:t>. (347</w:t>
            </w:r>
            <w:r>
              <w:rPr>
                <w:sz w:val="20"/>
                <w:szCs w:val="20"/>
                <w:lang w:val="fr-CA"/>
              </w:rPr>
              <w:t>42</w:t>
            </w:r>
            <w:r w:rsidRPr="00A73AC6">
              <w:rPr>
                <w:sz w:val="20"/>
                <w:szCs w:val="20"/>
                <w:lang w:val="fr-CA"/>
              </w:rPr>
              <w:t>)</w:t>
            </w:r>
          </w:p>
          <w:p w:rsidR="00F26B6D" w:rsidRPr="00A73AC6" w:rsidRDefault="00F26B6D" w:rsidP="00F26B6D">
            <w:pPr>
              <w:tabs>
                <w:tab w:val="left" w:pos="-1440"/>
                <w:tab w:val="left" w:pos="-720"/>
              </w:tabs>
              <w:rPr>
                <w:sz w:val="20"/>
                <w:szCs w:val="20"/>
                <w:lang w:val="fr-CA"/>
              </w:rPr>
            </w:pPr>
          </w:p>
          <w:p w:rsidR="00F26B6D" w:rsidRPr="00A73AC6" w:rsidRDefault="00F26B6D" w:rsidP="00F26B6D">
            <w:pPr>
              <w:tabs>
                <w:tab w:val="left" w:pos="-1440"/>
                <w:tab w:val="left" w:pos="-720"/>
              </w:tabs>
              <w:rPr>
                <w:b/>
                <w:sz w:val="20"/>
                <w:szCs w:val="20"/>
                <w:lang w:val="fr-CA"/>
              </w:rPr>
            </w:pPr>
            <w:r>
              <w:rPr>
                <w:b/>
                <w:sz w:val="20"/>
                <w:szCs w:val="20"/>
                <w:lang w:val="fr-CA"/>
              </w:rPr>
              <w:t xml:space="preserve">L’Agence du revenu du Québec </w:t>
            </w:r>
            <w:r w:rsidRPr="00A73AC6">
              <w:rPr>
                <w:b/>
                <w:sz w:val="20"/>
                <w:szCs w:val="20"/>
                <w:lang w:val="fr-CA"/>
              </w:rPr>
              <w:t>(</w:t>
            </w:r>
            <w:r>
              <w:rPr>
                <w:b/>
                <w:sz w:val="20"/>
                <w:szCs w:val="20"/>
                <w:lang w:val="fr-CA"/>
              </w:rPr>
              <w:t>Qc</w:t>
            </w:r>
            <w:r w:rsidRPr="00A73AC6">
              <w:rPr>
                <w:b/>
                <w:sz w:val="20"/>
                <w:szCs w:val="20"/>
                <w:lang w:val="fr-CA"/>
              </w:rPr>
              <w:t>)</w:t>
            </w:r>
          </w:p>
          <w:p w:rsidR="00F26B6D" w:rsidRPr="00A73AC6" w:rsidRDefault="00F26B6D" w:rsidP="00F26B6D">
            <w:pPr>
              <w:tabs>
                <w:tab w:val="left" w:pos="-1440"/>
                <w:tab w:val="left" w:pos="-720"/>
              </w:tabs>
              <w:rPr>
                <w:sz w:val="20"/>
                <w:szCs w:val="20"/>
                <w:lang w:val="fr-CA"/>
              </w:rPr>
            </w:pPr>
            <w:r w:rsidRPr="00A73AC6">
              <w:rPr>
                <w:sz w:val="20"/>
                <w:szCs w:val="20"/>
                <w:lang w:val="fr-CA"/>
              </w:rPr>
              <w:tab/>
            </w:r>
            <w:r>
              <w:rPr>
                <w:sz w:val="20"/>
                <w:szCs w:val="20"/>
                <w:lang w:val="fr-CA"/>
              </w:rPr>
              <w:t>Martine Bergeron</w:t>
            </w:r>
          </w:p>
          <w:p w:rsidR="00F26B6D" w:rsidRPr="00A73AC6" w:rsidRDefault="00F26B6D" w:rsidP="00F26B6D">
            <w:pPr>
              <w:tabs>
                <w:tab w:val="left" w:pos="-1440"/>
                <w:tab w:val="left" w:pos="-720"/>
              </w:tabs>
              <w:rPr>
                <w:sz w:val="20"/>
                <w:szCs w:val="20"/>
                <w:lang w:val="fr-CA"/>
              </w:rPr>
            </w:pPr>
            <w:r w:rsidRPr="00A73AC6">
              <w:rPr>
                <w:sz w:val="20"/>
                <w:szCs w:val="20"/>
                <w:lang w:val="fr-CA"/>
              </w:rPr>
              <w:tab/>
            </w:r>
            <w:r>
              <w:rPr>
                <w:sz w:val="20"/>
                <w:szCs w:val="20"/>
                <w:lang w:val="fr-CA"/>
              </w:rPr>
              <w:t>Larivière Meunier</w:t>
            </w:r>
          </w:p>
          <w:p w:rsidR="00F26B6D" w:rsidRPr="00A73AC6" w:rsidRDefault="00F26B6D" w:rsidP="00F26B6D">
            <w:pPr>
              <w:tabs>
                <w:tab w:val="left" w:pos="-1440"/>
                <w:tab w:val="left" w:pos="-720"/>
              </w:tabs>
              <w:rPr>
                <w:sz w:val="20"/>
                <w:szCs w:val="20"/>
                <w:lang w:val="fr-CA"/>
              </w:rPr>
            </w:pPr>
          </w:p>
          <w:p w:rsidR="00F26B6D" w:rsidRPr="00A73AC6" w:rsidRDefault="00F26B6D" w:rsidP="00F26B6D">
            <w:pPr>
              <w:rPr>
                <w:sz w:val="20"/>
                <w:szCs w:val="20"/>
                <w:lang w:val="fr-CA"/>
              </w:rPr>
            </w:pPr>
            <w:r w:rsidRPr="00A73AC6">
              <w:rPr>
                <w:sz w:val="20"/>
                <w:szCs w:val="20"/>
                <w:lang w:val="fr-CA"/>
              </w:rPr>
              <w:t>DATE</w:t>
            </w:r>
            <w:r>
              <w:rPr>
                <w:sz w:val="20"/>
                <w:szCs w:val="20"/>
                <w:lang w:val="fr-CA"/>
              </w:rPr>
              <w:t xml:space="preserve"> DE PRODUCTION</w:t>
            </w:r>
            <w:r w:rsidRPr="00A73AC6">
              <w:rPr>
                <w:sz w:val="20"/>
                <w:szCs w:val="20"/>
                <w:lang w:val="fr-CA"/>
              </w:rPr>
              <w:t xml:space="preserve">: </w:t>
            </w:r>
            <w:r>
              <w:rPr>
                <w:sz w:val="20"/>
                <w:szCs w:val="20"/>
                <w:lang w:val="fr-CA"/>
              </w:rPr>
              <w:t>30</w:t>
            </w:r>
            <w:r w:rsidRPr="00A73AC6">
              <w:rPr>
                <w:sz w:val="20"/>
                <w:szCs w:val="20"/>
                <w:lang w:val="fr-CA"/>
              </w:rPr>
              <w:t>.03.2012</w:t>
            </w:r>
          </w:p>
          <w:p w:rsidR="00F26B6D" w:rsidRPr="00F26B6D" w:rsidRDefault="009134DA" w:rsidP="00ED4143">
            <w:pPr>
              <w:keepNext/>
              <w:keepLines/>
              <w:tabs>
                <w:tab w:val="left" w:pos="-1440"/>
                <w:tab w:val="left" w:pos="-720"/>
              </w:tabs>
              <w:rPr>
                <w:sz w:val="20"/>
                <w:szCs w:val="20"/>
                <w:lang w:val="fr-CA"/>
              </w:rPr>
            </w:pPr>
            <w:r w:rsidRPr="009134DA">
              <w:rPr>
                <w:sz w:val="20"/>
                <w:szCs w:val="20"/>
                <w:lang w:val="fr-CA"/>
              </w:rPr>
              <w:pict>
                <v:rect id="_x0000_i1032" style="width:108pt;height:1pt" o:hrpct="0" o:hralign="center" o:hrstd="t" o:hrnoshade="t" o:hr="t" fillcolor="black [3213]" stroked="f"/>
              </w:pict>
            </w:r>
          </w:p>
        </w:tc>
      </w:tr>
      <w:tr w:rsidR="008B0270" w:rsidRPr="003D4316" w:rsidTr="003B3977">
        <w:trPr>
          <w:cantSplit/>
        </w:trPr>
        <w:tc>
          <w:tcPr>
            <w:tcW w:w="4320" w:type="dxa"/>
            <w:shd w:val="clear" w:color="auto" w:fill="auto"/>
          </w:tcPr>
          <w:p w:rsidR="008B0270" w:rsidRDefault="008B0270" w:rsidP="00ED4143">
            <w:pPr>
              <w:rPr>
                <w:b/>
                <w:sz w:val="20"/>
                <w:szCs w:val="20"/>
                <w:lang w:val="fr-CA"/>
              </w:rPr>
            </w:pPr>
          </w:p>
          <w:p w:rsidR="008B0270" w:rsidRPr="008B0270" w:rsidRDefault="008B0270" w:rsidP="00ED4143">
            <w:pPr>
              <w:rPr>
                <w:b/>
                <w:sz w:val="20"/>
                <w:szCs w:val="20"/>
                <w:lang w:val="fr-CA"/>
              </w:rPr>
            </w:pPr>
            <w:r w:rsidRPr="008B0270">
              <w:rPr>
                <w:b/>
                <w:sz w:val="20"/>
                <w:szCs w:val="20"/>
                <w:lang w:val="fr-CA"/>
              </w:rPr>
              <w:t>Guylaine Gauthier</w:t>
            </w:r>
          </w:p>
          <w:p w:rsidR="008B0270" w:rsidRDefault="008B0270" w:rsidP="00ED4143">
            <w:pPr>
              <w:rPr>
                <w:sz w:val="20"/>
                <w:szCs w:val="20"/>
                <w:lang w:val="fr-CA"/>
              </w:rPr>
            </w:pPr>
            <w:r>
              <w:rPr>
                <w:sz w:val="20"/>
                <w:szCs w:val="20"/>
                <w:lang w:val="fr-CA"/>
              </w:rPr>
              <w:tab/>
            </w:r>
            <w:r w:rsidRPr="003D4316">
              <w:rPr>
                <w:sz w:val="20"/>
                <w:szCs w:val="20"/>
                <w:lang w:val="fr-CA"/>
              </w:rPr>
              <w:t>Guylaine Gauthier</w:t>
            </w:r>
          </w:p>
          <w:p w:rsidR="008B0270" w:rsidRPr="003D4316" w:rsidRDefault="008B0270" w:rsidP="008B0270">
            <w:pPr>
              <w:keepNext/>
              <w:keepLines/>
              <w:tabs>
                <w:tab w:val="left" w:pos="-1440"/>
                <w:tab w:val="left" w:pos="-720"/>
              </w:tabs>
              <w:rPr>
                <w:sz w:val="20"/>
                <w:szCs w:val="20"/>
                <w:lang w:val="fr-CA"/>
              </w:rPr>
            </w:pPr>
          </w:p>
          <w:p w:rsidR="008B0270" w:rsidRPr="003D4316" w:rsidRDefault="008B0270" w:rsidP="008B0270">
            <w:pPr>
              <w:keepNext/>
              <w:keepLines/>
              <w:tabs>
                <w:tab w:val="left" w:pos="-1440"/>
                <w:tab w:val="left" w:pos="-720"/>
              </w:tabs>
              <w:rPr>
                <w:sz w:val="20"/>
                <w:szCs w:val="20"/>
                <w:lang w:val="fr-CA"/>
              </w:rPr>
            </w:pPr>
            <w:r w:rsidRPr="003D4316">
              <w:rPr>
                <w:sz w:val="20"/>
                <w:szCs w:val="20"/>
                <w:lang w:val="fr-CA"/>
              </w:rPr>
              <w:tab/>
              <w:t>c. (34752)</w:t>
            </w:r>
          </w:p>
          <w:p w:rsidR="008B0270" w:rsidRPr="003D4316" w:rsidRDefault="008B0270" w:rsidP="008B0270">
            <w:pPr>
              <w:keepNext/>
              <w:keepLines/>
              <w:tabs>
                <w:tab w:val="left" w:pos="-1440"/>
                <w:tab w:val="left" w:pos="-720"/>
              </w:tabs>
              <w:rPr>
                <w:sz w:val="20"/>
                <w:szCs w:val="20"/>
                <w:lang w:val="fr-CA"/>
              </w:rPr>
            </w:pPr>
          </w:p>
          <w:p w:rsidR="008B0270" w:rsidRPr="003D4316" w:rsidRDefault="008B0270" w:rsidP="008B0270">
            <w:pPr>
              <w:keepNext/>
              <w:keepLines/>
              <w:tabs>
                <w:tab w:val="left" w:pos="-1440"/>
                <w:tab w:val="left" w:pos="-720"/>
              </w:tabs>
              <w:rPr>
                <w:b/>
                <w:sz w:val="20"/>
                <w:szCs w:val="20"/>
                <w:lang w:val="fr-CA"/>
              </w:rPr>
            </w:pPr>
            <w:r w:rsidRPr="003D4316">
              <w:rPr>
                <w:b/>
                <w:sz w:val="20"/>
                <w:szCs w:val="20"/>
                <w:lang w:val="fr-CA"/>
              </w:rPr>
              <w:t>Patrick Richard (Qc)</w:t>
            </w:r>
          </w:p>
          <w:p w:rsidR="008B0270" w:rsidRPr="003D4316" w:rsidRDefault="008B0270" w:rsidP="008B0270">
            <w:pPr>
              <w:keepNext/>
              <w:keepLines/>
              <w:tabs>
                <w:tab w:val="left" w:pos="-1440"/>
                <w:tab w:val="left" w:pos="-720"/>
              </w:tabs>
              <w:rPr>
                <w:sz w:val="20"/>
                <w:szCs w:val="20"/>
                <w:lang w:val="fr-CA"/>
              </w:rPr>
            </w:pPr>
            <w:r w:rsidRPr="003D4316">
              <w:rPr>
                <w:sz w:val="20"/>
                <w:szCs w:val="20"/>
                <w:lang w:val="fr-CA"/>
              </w:rPr>
              <w:tab/>
              <w:t>Daniel Chénard</w:t>
            </w:r>
          </w:p>
          <w:p w:rsidR="008B0270" w:rsidRPr="003D4316" w:rsidRDefault="008B0270" w:rsidP="008B0270">
            <w:pPr>
              <w:keepNext/>
              <w:keepLines/>
              <w:tabs>
                <w:tab w:val="left" w:pos="-1440"/>
                <w:tab w:val="left" w:pos="-720"/>
              </w:tabs>
              <w:rPr>
                <w:sz w:val="20"/>
                <w:szCs w:val="20"/>
                <w:lang w:val="fr-CA"/>
              </w:rPr>
            </w:pPr>
          </w:p>
          <w:p w:rsidR="008B0270" w:rsidRDefault="008B0270" w:rsidP="008B0270">
            <w:pPr>
              <w:rPr>
                <w:sz w:val="20"/>
                <w:szCs w:val="20"/>
                <w:lang w:val="fr-CA"/>
              </w:rPr>
            </w:pPr>
            <w:r w:rsidRPr="00FF7304">
              <w:rPr>
                <w:sz w:val="20"/>
                <w:szCs w:val="20"/>
                <w:lang w:val="fr-CA"/>
              </w:rPr>
              <w:t>DATE DE PRODUCTION : 02.04.2012</w:t>
            </w:r>
          </w:p>
          <w:p w:rsidR="008B0270" w:rsidRPr="008B0270" w:rsidRDefault="009134DA" w:rsidP="008B0270">
            <w:pPr>
              <w:rPr>
                <w:sz w:val="20"/>
                <w:szCs w:val="20"/>
                <w:lang w:val="fr-CA"/>
              </w:rPr>
            </w:pPr>
            <w:r w:rsidRPr="009134DA">
              <w:rPr>
                <w:sz w:val="20"/>
                <w:szCs w:val="20"/>
                <w:lang w:val="fr-CA"/>
              </w:rPr>
              <w:pict>
                <v:rect id="_x0000_i1033" style="width:108pt;height:1pt" o:hrpct="0" o:hralign="center" o:hrstd="t" o:hrnoshade="t" o:hr="t" fillcolor="black [3213]" stroked="f"/>
              </w:pict>
            </w:r>
          </w:p>
        </w:tc>
        <w:tc>
          <w:tcPr>
            <w:tcW w:w="1181" w:type="dxa"/>
            <w:shd w:val="clear" w:color="auto" w:fill="auto"/>
          </w:tcPr>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Default="008B0270" w:rsidP="00242AEE">
            <w:pPr>
              <w:jc w:val="center"/>
              <w:rPr>
                <w:sz w:val="20"/>
                <w:szCs w:val="20"/>
                <w:lang w:val="fr-CA"/>
              </w:rPr>
            </w:pPr>
          </w:p>
          <w:p w:rsidR="008B0270" w:rsidRPr="008B0270" w:rsidRDefault="008B0270" w:rsidP="00242AEE">
            <w:pPr>
              <w:jc w:val="center"/>
              <w:rPr>
                <w:sz w:val="20"/>
                <w:szCs w:val="20"/>
                <w:lang w:val="fr-CA"/>
              </w:rPr>
            </w:pPr>
          </w:p>
        </w:tc>
        <w:tc>
          <w:tcPr>
            <w:tcW w:w="4320" w:type="dxa"/>
            <w:shd w:val="clear" w:color="auto" w:fill="auto"/>
          </w:tcPr>
          <w:p w:rsidR="00F26B6D" w:rsidRDefault="00F26B6D" w:rsidP="008B0270">
            <w:pPr>
              <w:rPr>
                <w:b/>
                <w:sz w:val="20"/>
                <w:szCs w:val="20"/>
                <w:lang w:val="fr-CA"/>
              </w:rPr>
            </w:pPr>
          </w:p>
          <w:p w:rsidR="008B0270" w:rsidRPr="00FF7304" w:rsidRDefault="008B0270" w:rsidP="008B0270">
            <w:pPr>
              <w:rPr>
                <w:b/>
                <w:sz w:val="20"/>
                <w:szCs w:val="20"/>
                <w:lang w:val="fr-CA"/>
              </w:rPr>
            </w:pPr>
            <w:r w:rsidRPr="00FF7304">
              <w:rPr>
                <w:b/>
                <w:sz w:val="20"/>
                <w:szCs w:val="20"/>
                <w:lang w:val="fr-CA"/>
              </w:rPr>
              <w:t>Daniele Campoli</w:t>
            </w:r>
          </w:p>
          <w:p w:rsidR="008B0270" w:rsidRPr="00FF7304" w:rsidRDefault="008B0270" w:rsidP="008B0270">
            <w:pPr>
              <w:tabs>
                <w:tab w:val="left" w:pos="-1440"/>
                <w:tab w:val="left" w:pos="-720"/>
              </w:tabs>
              <w:rPr>
                <w:sz w:val="20"/>
                <w:szCs w:val="20"/>
                <w:lang w:val="fr-CA"/>
              </w:rPr>
            </w:pPr>
            <w:r w:rsidRPr="00FF7304">
              <w:rPr>
                <w:sz w:val="20"/>
                <w:szCs w:val="20"/>
                <w:lang w:val="fr-CA"/>
              </w:rPr>
              <w:tab/>
              <w:t>Kirkor A. Apel</w:t>
            </w:r>
          </w:p>
          <w:p w:rsidR="008B0270" w:rsidRPr="00FF7304" w:rsidRDefault="008B0270" w:rsidP="008B0270">
            <w:pPr>
              <w:tabs>
                <w:tab w:val="left" w:pos="-1440"/>
                <w:tab w:val="left" w:pos="-720"/>
              </w:tabs>
              <w:rPr>
                <w:sz w:val="20"/>
                <w:szCs w:val="20"/>
                <w:lang w:val="fr-CA"/>
              </w:rPr>
            </w:pPr>
          </w:p>
          <w:p w:rsidR="008B0270" w:rsidRPr="00FF7304" w:rsidRDefault="008B0270" w:rsidP="008B0270">
            <w:pPr>
              <w:tabs>
                <w:tab w:val="left" w:pos="-1440"/>
                <w:tab w:val="left" w:pos="-720"/>
              </w:tabs>
              <w:rPr>
                <w:sz w:val="20"/>
                <w:szCs w:val="20"/>
                <w:lang w:val="fr-CA"/>
              </w:rPr>
            </w:pPr>
            <w:r w:rsidRPr="00FF7304">
              <w:rPr>
                <w:sz w:val="20"/>
                <w:szCs w:val="20"/>
                <w:lang w:val="fr-CA"/>
              </w:rPr>
              <w:tab/>
              <w:t>v. (34745)</w:t>
            </w:r>
          </w:p>
          <w:p w:rsidR="008B0270" w:rsidRPr="00FF7304" w:rsidRDefault="008B0270" w:rsidP="008B0270">
            <w:pPr>
              <w:tabs>
                <w:tab w:val="left" w:pos="-1440"/>
                <w:tab w:val="left" w:pos="-720"/>
              </w:tabs>
              <w:rPr>
                <w:sz w:val="20"/>
                <w:szCs w:val="20"/>
                <w:lang w:val="fr-CA"/>
              </w:rPr>
            </w:pPr>
          </w:p>
          <w:p w:rsidR="008B0270" w:rsidRPr="00A935AA" w:rsidRDefault="008B0270" w:rsidP="008B0270">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8B0270" w:rsidRPr="00A935AA" w:rsidRDefault="008B0270" w:rsidP="008B0270">
            <w:pPr>
              <w:tabs>
                <w:tab w:val="left" w:pos="-1440"/>
                <w:tab w:val="left" w:pos="-720"/>
              </w:tabs>
              <w:rPr>
                <w:sz w:val="20"/>
                <w:szCs w:val="20"/>
              </w:rPr>
            </w:pPr>
            <w:r w:rsidRPr="00A935AA">
              <w:rPr>
                <w:sz w:val="20"/>
                <w:szCs w:val="20"/>
              </w:rPr>
              <w:tab/>
            </w:r>
            <w:r>
              <w:rPr>
                <w:sz w:val="20"/>
                <w:szCs w:val="20"/>
              </w:rPr>
              <w:t>Dena Bonnet</w:t>
            </w:r>
          </w:p>
          <w:p w:rsidR="008B0270" w:rsidRPr="00A935AA" w:rsidRDefault="008B0270" w:rsidP="008B0270">
            <w:pPr>
              <w:tabs>
                <w:tab w:val="left" w:pos="-1440"/>
                <w:tab w:val="left" w:pos="-720"/>
              </w:tabs>
              <w:rPr>
                <w:sz w:val="20"/>
                <w:szCs w:val="20"/>
              </w:rPr>
            </w:pPr>
            <w:r w:rsidRPr="00A935AA">
              <w:rPr>
                <w:sz w:val="20"/>
                <w:szCs w:val="20"/>
              </w:rPr>
              <w:tab/>
            </w:r>
            <w:r>
              <w:rPr>
                <w:sz w:val="20"/>
                <w:szCs w:val="20"/>
              </w:rPr>
              <w:t>A.G. of Ontario</w:t>
            </w:r>
          </w:p>
          <w:p w:rsidR="008B0270" w:rsidRPr="00A935AA" w:rsidRDefault="008B0270" w:rsidP="008B0270">
            <w:pPr>
              <w:tabs>
                <w:tab w:val="left" w:pos="-1440"/>
                <w:tab w:val="left" w:pos="-720"/>
              </w:tabs>
              <w:rPr>
                <w:sz w:val="20"/>
                <w:szCs w:val="20"/>
              </w:rPr>
            </w:pPr>
          </w:p>
          <w:p w:rsidR="008B0270" w:rsidRDefault="008B0270" w:rsidP="008B0270">
            <w:pPr>
              <w:keepNext/>
              <w:keepLines/>
              <w:tabs>
                <w:tab w:val="left" w:pos="-1440"/>
                <w:tab w:val="left" w:pos="-720"/>
              </w:tabs>
              <w:rPr>
                <w:sz w:val="20"/>
                <w:szCs w:val="20"/>
              </w:rPr>
            </w:pPr>
            <w:r w:rsidRPr="00A935AA">
              <w:rPr>
                <w:sz w:val="20"/>
                <w:szCs w:val="20"/>
              </w:rPr>
              <w:t xml:space="preserve">FILING DATE: </w:t>
            </w:r>
            <w:r>
              <w:rPr>
                <w:sz w:val="20"/>
                <w:szCs w:val="20"/>
              </w:rPr>
              <w:t>0</w:t>
            </w:r>
            <w:r w:rsidRPr="00A935AA">
              <w:rPr>
                <w:sz w:val="20"/>
                <w:szCs w:val="20"/>
              </w:rPr>
              <w:t>2.0</w:t>
            </w:r>
            <w:r>
              <w:rPr>
                <w:sz w:val="20"/>
                <w:szCs w:val="20"/>
              </w:rPr>
              <w:t>4</w:t>
            </w:r>
            <w:r w:rsidRPr="00A935AA">
              <w:rPr>
                <w:sz w:val="20"/>
                <w:szCs w:val="20"/>
              </w:rPr>
              <w:t>.2</w:t>
            </w:r>
            <w:r>
              <w:rPr>
                <w:sz w:val="20"/>
                <w:szCs w:val="20"/>
              </w:rPr>
              <w:t>012</w:t>
            </w:r>
          </w:p>
          <w:p w:rsidR="008B0270" w:rsidRPr="003D4316" w:rsidRDefault="009134DA" w:rsidP="008B0270">
            <w:pPr>
              <w:keepNext/>
              <w:keepLines/>
              <w:tabs>
                <w:tab w:val="left" w:pos="-1440"/>
                <w:tab w:val="left" w:pos="-720"/>
              </w:tabs>
              <w:rPr>
                <w:b/>
                <w:sz w:val="20"/>
                <w:szCs w:val="20"/>
                <w:lang w:val="fr-CA"/>
              </w:rPr>
            </w:pPr>
            <w:r w:rsidRPr="009134DA">
              <w:rPr>
                <w:sz w:val="20"/>
                <w:szCs w:val="20"/>
                <w:lang w:val="fr-CA"/>
              </w:rPr>
              <w:pict>
                <v:rect id="_x0000_i1034" style="width:108pt;height:1pt" o:hrpct="0" o:hralign="center" o:hrstd="t" o:hrnoshade="t" o:hr="t" fillcolor="black [3213]" stroked="f"/>
              </w:pict>
            </w:r>
          </w:p>
        </w:tc>
      </w:tr>
    </w:tbl>
    <w:p w:rsidR="006C3F47" w:rsidRPr="00FF7304" w:rsidRDefault="006C3F47" w:rsidP="0095096B">
      <w:pPr>
        <w:tabs>
          <w:tab w:val="right" w:pos="9360"/>
        </w:tabs>
        <w:rPr>
          <w:sz w:val="20"/>
          <w:szCs w:val="20"/>
          <w:lang w:val="fr-CA"/>
        </w:rPr>
      </w:pPr>
    </w:p>
    <w:p w:rsidR="00242AEE" w:rsidRPr="00FF7304" w:rsidRDefault="00242AEE" w:rsidP="0095096B">
      <w:pPr>
        <w:tabs>
          <w:tab w:val="right" w:pos="9360"/>
        </w:tabs>
        <w:rPr>
          <w:sz w:val="20"/>
          <w:szCs w:val="20"/>
          <w:lang w:val="fr-CA"/>
        </w:rPr>
      </w:pPr>
    </w:p>
    <w:p w:rsidR="00242AEE" w:rsidRPr="00FF7304" w:rsidRDefault="00242AEE" w:rsidP="0095096B">
      <w:pPr>
        <w:tabs>
          <w:tab w:val="right" w:pos="9360"/>
        </w:tabs>
        <w:rPr>
          <w:sz w:val="20"/>
          <w:szCs w:val="20"/>
          <w:lang w:val="fr-CA"/>
        </w:rPr>
        <w:sectPr w:rsidR="00242AEE" w:rsidRPr="00FF7304" w:rsidSect="00800F8F">
          <w:headerReference w:type="default" r:id="rId16"/>
          <w:footerReference w:type="default" r:id="rId17"/>
          <w:headerReference w:type="first" r:id="rId18"/>
          <w:footerReference w:type="first" r:id="rId19"/>
          <w:pgSz w:w="12240" w:h="15840"/>
          <w:pgMar w:top="720" w:right="965" w:bottom="1080" w:left="1656" w:header="706" w:footer="706" w:gutter="0"/>
          <w:pgNumType w:start="61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B36F3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800F8F" w:rsidP="004B7F60">
      <w:pPr>
        <w:widowControl w:val="0"/>
        <w:rPr>
          <w:b/>
          <w:sz w:val="20"/>
          <w:szCs w:val="20"/>
        </w:rPr>
      </w:pPr>
      <w:r>
        <w:rPr>
          <w:b/>
          <w:sz w:val="20"/>
          <w:szCs w:val="20"/>
        </w:rPr>
        <w:t>AP</w:t>
      </w:r>
      <w:r w:rsidR="004B7F60">
        <w:rPr>
          <w:b/>
          <w:sz w:val="20"/>
          <w:szCs w:val="20"/>
        </w:rPr>
        <w:t>R</w:t>
      </w:r>
      <w:r>
        <w:rPr>
          <w:b/>
          <w:sz w:val="20"/>
          <w:szCs w:val="20"/>
        </w:rPr>
        <w:t>1L</w:t>
      </w:r>
      <w:r w:rsidR="004B7F60" w:rsidRPr="00C50A5C">
        <w:rPr>
          <w:b/>
          <w:sz w:val="20"/>
          <w:szCs w:val="20"/>
        </w:rPr>
        <w:t xml:space="preserve"> </w:t>
      </w:r>
      <w:r>
        <w:rPr>
          <w:b/>
          <w:sz w:val="20"/>
          <w:szCs w:val="20"/>
        </w:rPr>
        <w:t>23</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23</w:t>
      </w:r>
      <w:r w:rsidR="004B7F60">
        <w:rPr>
          <w:b/>
          <w:sz w:val="20"/>
          <w:szCs w:val="20"/>
        </w:rPr>
        <w:t xml:space="preserve"> </w:t>
      </w:r>
      <w:r>
        <w:rPr>
          <w:b/>
          <w:sz w:val="20"/>
          <w:szCs w:val="20"/>
        </w:rPr>
        <w:t>A</w:t>
      </w:r>
      <w:r w:rsidR="004B7F60">
        <w:rPr>
          <w:b/>
          <w:sz w:val="20"/>
          <w:szCs w:val="20"/>
        </w:rPr>
        <w:t>VR</w:t>
      </w:r>
      <w:r>
        <w:rPr>
          <w:b/>
          <w:sz w:val="20"/>
          <w:szCs w:val="20"/>
        </w:rPr>
        <w:t>IL</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F008BF" w:rsidP="004B7F60">
      <w:pPr>
        <w:pStyle w:val="ListParagraph"/>
        <w:widowControl w:val="0"/>
        <w:numPr>
          <w:ilvl w:val="0"/>
          <w:numId w:val="1"/>
        </w:numPr>
        <w:ind w:hanging="720"/>
        <w:jc w:val="both"/>
        <w:rPr>
          <w:sz w:val="20"/>
          <w:szCs w:val="20"/>
        </w:rPr>
      </w:pPr>
      <w:r w:rsidRPr="00F008BF">
        <w:rPr>
          <w:i/>
          <w:sz w:val="20"/>
          <w:szCs w:val="20"/>
        </w:rPr>
        <w:t>Naim Sawaged v. IPC (Investment Planning Counsel) et al.</w:t>
      </w:r>
      <w:r w:rsidRPr="00F008BF">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Pr>
          <w:sz w:val="20"/>
          <w:szCs w:val="20"/>
        </w:rPr>
        <w:t>684</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F008BF" w:rsidP="004B7F60">
      <w:pPr>
        <w:pStyle w:val="ListParagraph"/>
        <w:widowControl w:val="0"/>
        <w:numPr>
          <w:ilvl w:val="0"/>
          <w:numId w:val="1"/>
        </w:numPr>
        <w:ind w:hanging="720"/>
        <w:jc w:val="both"/>
        <w:rPr>
          <w:sz w:val="20"/>
          <w:szCs w:val="20"/>
        </w:rPr>
      </w:pPr>
      <w:r w:rsidRPr="00F008BF">
        <w:rPr>
          <w:i/>
          <w:sz w:val="20"/>
          <w:szCs w:val="20"/>
        </w:rPr>
        <w:t xml:space="preserve">Imperial Tobacco Canada Limited (Successor by Amalgamation to Imasco Limited) v. Her Majesty the Queen </w:t>
      </w:r>
      <w:r w:rsidRPr="00F008BF">
        <w:rPr>
          <w:sz w:val="20"/>
          <w:szCs w:val="20"/>
        </w:rPr>
        <w:t>(F</w:t>
      </w:r>
      <w:r>
        <w:rPr>
          <w:sz w:val="20"/>
          <w:szCs w:val="20"/>
        </w:rPr>
        <w:t>.</w:t>
      </w:r>
      <w:r w:rsidRPr="00F008BF">
        <w:rPr>
          <w:sz w:val="20"/>
          <w:szCs w:val="20"/>
        </w:rPr>
        <w:t>C</w:t>
      </w:r>
      <w:r>
        <w:rPr>
          <w:sz w:val="20"/>
          <w:szCs w:val="20"/>
        </w:rPr>
        <w:t>.</w:t>
      </w:r>
      <w:r w:rsidRPr="00F008BF">
        <w:rPr>
          <w:sz w:val="20"/>
          <w:szCs w:val="20"/>
        </w:rPr>
        <w:t>) (Civil) (By Leave)</w:t>
      </w:r>
      <w:r w:rsidRPr="00C612D0">
        <w:rPr>
          <w:sz w:val="20"/>
          <w:szCs w:val="20"/>
        </w:rPr>
        <w:t xml:space="preserve"> </w:t>
      </w:r>
      <w:r w:rsidR="004B7F60" w:rsidRPr="00C612D0">
        <w:rPr>
          <w:sz w:val="20"/>
          <w:szCs w:val="20"/>
        </w:rPr>
        <w:t>(34</w:t>
      </w:r>
      <w:r>
        <w:rPr>
          <w:sz w:val="20"/>
          <w:szCs w:val="20"/>
        </w:rPr>
        <w:t>606</w:t>
      </w:r>
      <w:r w:rsidR="004B7F60" w:rsidRPr="00C612D0">
        <w:rPr>
          <w:sz w:val="20"/>
          <w:szCs w:val="20"/>
        </w:rPr>
        <w:t>)</w:t>
      </w:r>
    </w:p>
    <w:p w:rsidR="004B7F60" w:rsidRDefault="004B7F60" w:rsidP="004B7F60">
      <w:pPr>
        <w:widowControl w:val="0"/>
        <w:jc w:val="both"/>
        <w:rPr>
          <w:sz w:val="20"/>
          <w:szCs w:val="20"/>
        </w:rPr>
      </w:pPr>
    </w:p>
    <w:p w:rsidR="00F008BF" w:rsidRDefault="00F008BF" w:rsidP="004B7F60">
      <w:pPr>
        <w:widowControl w:val="0"/>
        <w:jc w:val="both"/>
        <w:rPr>
          <w:sz w:val="20"/>
          <w:szCs w:val="20"/>
        </w:rPr>
      </w:pPr>
    </w:p>
    <w:p w:rsidR="00F008BF" w:rsidRPr="00C50A5C" w:rsidRDefault="00F008BF" w:rsidP="00F008B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F008BF" w:rsidRPr="00C50A5C" w:rsidRDefault="00F008BF" w:rsidP="00F008B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F008BF" w:rsidRPr="00C16CB3" w:rsidRDefault="00F008BF" w:rsidP="00F008BF">
      <w:pPr>
        <w:widowControl w:val="0"/>
        <w:jc w:val="both"/>
        <w:rPr>
          <w:sz w:val="20"/>
          <w:szCs w:val="20"/>
          <w:lang w:val="fr-CA"/>
        </w:rPr>
      </w:pPr>
    </w:p>
    <w:p w:rsidR="004B7F60" w:rsidRPr="00F008BF" w:rsidRDefault="00F008BF" w:rsidP="004B7F60">
      <w:pPr>
        <w:pStyle w:val="ListParagraph"/>
        <w:widowControl w:val="0"/>
        <w:numPr>
          <w:ilvl w:val="0"/>
          <w:numId w:val="1"/>
        </w:numPr>
        <w:ind w:hanging="720"/>
        <w:jc w:val="both"/>
        <w:rPr>
          <w:sz w:val="20"/>
          <w:szCs w:val="20"/>
          <w:lang w:val="fr-CA"/>
        </w:rPr>
      </w:pPr>
      <w:r w:rsidRPr="00F008BF">
        <w:rPr>
          <w:i/>
          <w:sz w:val="20"/>
          <w:szCs w:val="20"/>
          <w:lang w:val="fr-CA"/>
        </w:rPr>
        <w:t>Yannick Payette et autre c. Guay inc.</w:t>
      </w:r>
      <w:r w:rsidRPr="00F008BF">
        <w:rPr>
          <w:sz w:val="20"/>
          <w:szCs w:val="20"/>
          <w:lang w:val="fr-CA"/>
        </w:rPr>
        <w:t xml:space="preserve"> (Qc) (Civile) (Autorisation) </w:t>
      </w:r>
      <w:r w:rsidR="004B7F60" w:rsidRPr="00F008BF">
        <w:rPr>
          <w:sz w:val="20"/>
          <w:szCs w:val="20"/>
          <w:lang w:val="fr-CA"/>
        </w:rPr>
        <w:t>(346</w:t>
      </w:r>
      <w:r w:rsidRPr="00F008BF">
        <w:rPr>
          <w:sz w:val="20"/>
          <w:szCs w:val="20"/>
          <w:lang w:val="fr-CA"/>
        </w:rPr>
        <w:t>62</w:t>
      </w:r>
      <w:r w:rsidR="004B7F60" w:rsidRPr="00F008BF">
        <w:rPr>
          <w:sz w:val="20"/>
          <w:szCs w:val="20"/>
          <w:lang w:val="fr-CA"/>
        </w:rPr>
        <w:t>)</w:t>
      </w:r>
    </w:p>
    <w:p w:rsidR="004B7F60" w:rsidRPr="00F008BF" w:rsidRDefault="004B7F60" w:rsidP="004B7F60">
      <w:pPr>
        <w:widowControl w:val="0"/>
        <w:rPr>
          <w:sz w:val="20"/>
          <w:szCs w:val="20"/>
          <w:lang w:val="fr-CA"/>
        </w:rPr>
      </w:pPr>
    </w:p>
    <w:p w:rsidR="004B7F60" w:rsidRPr="00C50A5C" w:rsidRDefault="00F008BF" w:rsidP="004B7F60">
      <w:pPr>
        <w:pStyle w:val="ListParagraph"/>
        <w:widowControl w:val="0"/>
        <w:numPr>
          <w:ilvl w:val="0"/>
          <w:numId w:val="1"/>
        </w:numPr>
        <w:ind w:hanging="720"/>
        <w:jc w:val="both"/>
        <w:rPr>
          <w:sz w:val="20"/>
          <w:szCs w:val="20"/>
        </w:rPr>
      </w:pPr>
      <w:r w:rsidRPr="00F008BF">
        <w:rPr>
          <w:i/>
          <w:sz w:val="20"/>
          <w:szCs w:val="20"/>
        </w:rPr>
        <w:t>Envision Credit Union v. Her Majesty the Queen</w:t>
      </w:r>
      <w:r w:rsidRPr="00F008BF">
        <w:rPr>
          <w:sz w:val="20"/>
          <w:szCs w:val="20"/>
        </w:rPr>
        <w:t xml:space="preserve"> (F</w:t>
      </w:r>
      <w:r>
        <w:rPr>
          <w:sz w:val="20"/>
          <w:szCs w:val="20"/>
        </w:rPr>
        <w:t>.</w:t>
      </w:r>
      <w:r w:rsidRPr="00F008BF">
        <w:rPr>
          <w:sz w:val="20"/>
          <w:szCs w:val="20"/>
        </w:rPr>
        <w:t>C</w:t>
      </w:r>
      <w:r>
        <w:rPr>
          <w:sz w:val="20"/>
          <w:szCs w:val="20"/>
        </w:rPr>
        <w:t>.</w:t>
      </w:r>
      <w:r w:rsidRPr="00F008BF">
        <w:rPr>
          <w:sz w:val="20"/>
          <w:szCs w:val="20"/>
        </w:rPr>
        <w:t>) (Civil) (By Leave)</w:t>
      </w:r>
      <w:r>
        <w:rPr>
          <w:sz w:val="20"/>
          <w:szCs w:val="20"/>
        </w:rPr>
        <w:t xml:space="preserve"> </w:t>
      </w:r>
      <w:r w:rsidR="004B7F60" w:rsidRPr="00C50A5C">
        <w:rPr>
          <w:sz w:val="20"/>
          <w:szCs w:val="20"/>
        </w:rPr>
        <w:t>(3</w:t>
      </w:r>
      <w:r w:rsidR="004B7F60">
        <w:rPr>
          <w:sz w:val="20"/>
          <w:szCs w:val="20"/>
        </w:rPr>
        <w:t>46</w:t>
      </w:r>
      <w:r>
        <w:rPr>
          <w:sz w:val="20"/>
          <w:szCs w:val="20"/>
        </w:rPr>
        <w:t>19</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F008BF" w:rsidRPr="00C50A5C" w:rsidRDefault="00F008BF" w:rsidP="00F008B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Fish</w:t>
      </w:r>
      <w:r w:rsidRPr="00C50A5C">
        <w:rPr>
          <w:b/>
          <w:sz w:val="20"/>
          <w:szCs w:val="20"/>
        </w:rPr>
        <w:t xml:space="preserve"> and </w:t>
      </w:r>
      <w:r>
        <w:rPr>
          <w:b/>
          <w:sz w:val="20"/>
          <w:szCs w:val="20"/>
        </w:rPr>
        <w:t>Cromwell</w:t>
      </w:r>
      <w:r w:rsidRPr="00C50A5C">
        <w:rPr>
          <w:b/>
          <w:sz w:val="20"/>
          <w:szCs w:val="20"/>
        </w:rPr>
        <w:t xml:space="preserve"> JJ.</w:t>
      </w:r>
    </w:p>
    <w:p w:rsidR="00F008BF" w:rsidRPr="00C50A5C" w:rsidRDefault="00F008BF" w:rsidP="00F008B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F008BF" w:rsidRPr="00C16CB3" w:rsidRDefault="00F008BF" w:rsidP="00F008BF">
      <w:pPr>
        <w:widowControl w:val="0"/>
        <w:jc w:val="both"/>
        <w:rPr>
          <w:sz w:val="20"/>
          <w:szCs w:val="20"/>
          <w:lang w:val="fr-CA"/>
        </w:rPr>
      </w:pPr>
    </w:p>
    <w:p w:rsidR="004B7F60" w:rsidRPr="00C612D0" w:rsidRDefault="009A7E26" w:rsidP="004B7F60">
      <w:pPr>
        <w:pStyle w:val="ListParagraph"/>
        <w:widowControl w:val="0"/>
        <w:numPr>
          <w:ilvl w:val="0"/>
          <w:numId w:val="1"/>
        </w:numPr>
        <w:ind w:hanging="720"/>
        <w:jc w:val="both"/>
        <w:rPr>
          <w:sz w:val="20"/>
          <w:szCs w:val="20"/>
          <w:lang w:val="fr-CA"/>
        </w:rPr>
      </w:pPr>
      <w:r w:rsidRPr="009A7E26">
        <w:rPr>
          <w:i/>
          <w:sz w:val="20"/>
          <w:szCs w:val="20"/>
          <w:lang w:val="fr-CA"/>
        </w:rPr>
        <w:t>Samsung Electronics Co., Ltd. et autres c. Option Consommateurs et autre</w:t>
      </w:r>
      <w:r w:rsidRPr="00F008BF">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(346</w:t>
      </w:r>
      <w:r w:rsidR="00F008BF">
        <w:rPr>
          <w:sz w:val="20"/>
          <w:szCs w:val="20"/>
          <w:lang w:val="fr-CA"/>
        </w:rPr>
        <w:t>17</w:t>
      </w:r>
      <w:r w:rsidR="004B7F60" w:rsidRPr="00C612D0">
        <w:rPr>
          <w:sz w:val="20"/>
          <w:szCs w:val="20"/>
          <w:lang w:val="fr-CA"/>
        </w:rPr>
        <w:t>)</w:t>
      </w:r>
    </w:p>
    <w:p w:rsidR="004B7F60" w:rsidRDefault="004B7F60" w:rsidP="004B7F60">
      <w:pPr>
        <w:widowControl w:val="0"/>
        <w:rPr>
          <w:sz w:val="20"/>
          <w:szCs w:val="20"/>
          <w:lang w:val="fr-CA"/>
        </w:rPr>
      </w:pPr>
    </w:p>
    <w:p w:rsidR="00F008BF" w:rsidRDefault="00F008BF" w:rsidP="004B7F60">
      <w:pPr>
        <w:widowControl w:val="0"/>
        <w:rPr>
          <w:sz w:val="20"/>
          <w:szCs w:val="20"/>
          <w:lang w:val="fr-CA"/>
        </w:rPr>
      </w:pPr>
    </w:p>
    <w:p w:rsidR="00F008BF" w:rsidRPr="00C50A5C" w:rsidRDefault="00F008BF" w:rsidP="00F008BF">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F008BF" w:rsidRPr="00C50A5C" w:rsidRDefault="00F008BF" w:rsidP="00F008BF">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F008BF" w:rsidRPr="00C612D0" w:rsidRDefault="00F008BF" w:rsidP="004B7F60">
      <w:pPr>
        <w:widowControl w:val="0"/>
        <w:rPr>
          <w:sz w:val="20"/>
          <w:szCs w:val="20"/>
          <w:lang w:val="fr-CA"/>
        </w:rPr>
      </w:pPr>
    </w:p>
    <w:p w:rsidR="004B7F60" w:rsidRPr="009A7E26" w:rsidRDefault="009A7E26" w:rsidP="004B7F60">
      <w:pPr>
        <w:pStyle w:val="ListParagraph"/>
        <w:widowControl w:val="0"/>
        <w:numPr>
          <w:ilvl w:val="0"/>
          <w:numId w:val="1"/>
        </w:numPr>
        <w:ind w:hanging="720"/>
        <w:jc w:val="both"/>
        <w:rPr>
          <w:sz w:val="20"/>
          <w:szCs w:val="20"/>
        </w:rPr>
      </w:pPr>
      <w:r w:rsidRPr="009A7E26">
        <w:rPr>
          <w:i/>
          <w:sz w:val="20"/>
          <w:szCs w:val="20"/>
        </w:rPr>
        <w:t>Erica Davis v. Corporation of the City of Guelph</w:t>
      </w:r>
      <w:r w:rsidRPr="00F008BF">
        <w:rPr>
          <w:sz w:val="20"/>
          <w:szCs w:val="20"/>
        </w:rPr>
        <w:t xml:space="preserve"> (Ont.) (Civil) (By Leave)</w:t>
      </w:r>
      <w:r w:rsidRPr="009A7E26">
        <w:rPr>
          <w:sz w:val="20"/>
          <w:szCs w:val="20"/>
        </w:rPr>
        <w:t xml:space="preserve"> </w:t>
      </w:r>
      <w:r w:rsidR="004B7F60" w:rsidRPr="009A7E26">
        <w:rPr>
          <w:sz w:val="20"/>
          <w:szCs w:val="20"/>
        </w:rPr>
        <w:t>(34</w:t>
      </w:r>
      <w:r w:rsidR="00F008BF" w:rsidRPr="009A7E26">
        <w:rPr>
          <w:sz w:val="20"/>
          <w:szCs w:val="20"/>
        </w:rPr>
        <w:t>6</w:t>
      </w:r>
      <w:r w:rsidR="004B7F60" w:rsidRPr="009A7E26">
        <w:rPr>
          <w:sz w:val="20"/>
          <w:szCs w:val="20"/>
        </w:rPr>
        <w:t>3</w:t>
      </w:r>
      <w:r w:rsidR="00F008BF" w:rsidRPr="009A7E26">
        <w:rPr>
          <w:sz w:val="20"/>
          <w:szCs w:val="20"/>
        </w:rPr>
        <w:t>7</w:t>
      </w:r>
      <w:r w:rsidR="004B7F60" w:rsidRPr="009A7E26">
        <w:rPr>
          <w:sz w:val="20"/>
          <w:szCs w:val="20"/>
        </w:rPr>
        <w:t>)</w:t>
      </w:r>
    </w:p>
    <w:p w:rsidR="002E2327" w:rsidRPr="00F008BF" w:rsidRDefault="002E2327" w:rsidP="002E2327">
      <w:pPr>
        <w:widowControl w:val="0"/>
        <w:rPr>
          <w:sz w:val="20"/>
          <w:szCs w:val="20"/>
        </w:rPr>
      </w:pPr>
    </w:p>
    <w:p w:rsidR="002E2327" w:rsidRPr="00C50A5C" w:rsidRDefault="009134DA" w:rsidP="002E2327">
      <w:pPr>
        <w:widowControl w:val="0"/>
        <w:rPr>
          <w:sz w:val="20"/>
          <w:szCs w:val="20"/>
        </w:rPr>
      </w:pPr>
      <w:r w:rsidRPr="009134DA">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F008BF" w:rsidRDefault="0044776A" w:rsidP="0044776A">
            <w:pPr>
              <w:keepLines/>
              <w:rPr>
                <w:szCs w:val="24"/>
              </w:rPr>
            </w:pPr>
            <w:r w:rsidRPr="00F008BF">
              <w:rPr>
                <w:b/>
                <w:szCs w:val="24"/>
              </w:rPr>
              <w:t>AUDIENCE ORDONNÉE</w:t>
            </w:r>
            <w:r w:rsidRPr="00F008BF">
              <w:rPr>
                <w:szCs w:val="24"/>
              </w:rPr>
              <w:t xml:space="preserve"> </w:t>
            </w:r>
          </w:p>
        </w:tc>
      </w:tr>
    </w:tbl>
    <w:p w:rsidR="00A935AA" w:rsidRDefault="00A935AA" w:rsidP="0044776A">
      <w:pPr>
        <w:rPr>
          <w:b/>
          <w:sz w:val="20"/>
          <w:szCs w:val="20"/>
        </w:rPr>
      </w:pPr>
    </w:p>
    <w:p w:rsidR="007E16F7" w:rsidRDefault="007E16F7" w:rsidP="001B157C">
      <w:pPr>
        <w:rPr>
          <w:b/>
          <w:sz w:val="20"/>
          <w:szCs w:val="20"/>
        </w:rPr>
      </w:pPr>
      <w:r>
        <w:rPr>
          <w:b/>
          <w:sz w:val="20"/>
          <w:szCs w:val="20"/>
        </w:rPr>
        <w:t xml:space="preserve">APRIL </w:t>
      </w:r>
      <w:r w:rsidR="00E754E5">
        <w:rPr>
          <w:b/>
          <w:sz w:val="20"/>
          <w:szCs w:val="20"/>
        </w:rPr>
        <w:t>26, 2012 / LE 26 AVRIL 2012</w:t>
      </w:r>
    </w:p>
    <w:p w:rsidR="007E16F7" w:rsidRPr="007E16F7" w:rsidRDefault="007E16F7" w:rsidP="001B157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E16F7" w:rsidRPr="00DD16F6" w:rsidTr="007E16F7">
        <w:trPr>
          <w:cantSplit/>
        </w:trPr>
        <w:tc>
          <w:tcPr>
            <w:tcW w:w="1458" w:type="dxa"/>
          </w:tcPr>
          <w:p w:rsidR="007E16F7" w:rsidRPr="00DD16F6" w:rsidRDefault="007E16F7" w:rsidP="007E16F7">
            <w:pPr>
              <w:rPr>
                <w:rFonts w:cs="Times New Roman"/>
                <w:sz w:val="20"/>
                <w:szCs w:val="20"/>
              </w:rPr>
            </w:pPr>
            <w:r>
              <w:rPr>
                <w:rStyle w:val="SCCFileNumberChar"/>
                <w:sz w:val="20"/>
                <w:szCs w:val="20"/>
              </w:rPr>
              <w:t>345</w:t>
            </w:r>
            <w:r w:rsidR="001654B6">
              <w:rPr>
                <w:rStyle w:val="SCCFileNumberChar"/>
                <w:sz w:val="20"/>
                <w:szCs w:val="20"/>
              </w:rPr>
              <w:t>34</w:t>
            </w:r>
          </w:p>
          <w:p w:rsidR="007E16F7" w:rsidRPr="00F008BF" w:rsidRDefault="007E16F7" w:rsidP="007E16F7">
            <w:pPr>
              <w:rPr>
                <w:rFonts w:cs="Times New Roman"/>
                <w:b/>
                <w:sz w:val="20"/>
                <w:szCs w:val="20"/>
              </w:rPr>
            </w:pPr>
          </w:p>
        </w:tc>
        <w:tc>
          <w:tcPr>
            <w:tcW w:w="8118" w:type="dxa"/>
          </w:tcPr>
          <w:p w:rsidR="007E16F7" w:rsidRPr="007E16F7" w:rsidRDefault="007E16F7" w:rsidP="007E16F7">
            <w:pPr>
              <w:pStyle w:val="SCCLsocParty"/>
              <w:jc w:val="both"/>
              <w:rPr>
                <w:rStyle w:val="SCCLsocChar"/>
                <w:sz w:val="20"/>
                <w:szCs w:val="20"/>
                <w:lang w:val="en-CA"/>
              </w:rPr>
            </w:pPr>
            <w:r w:rsidRPr="007E16F7">
              <w:rPr>
                <w:b/>
                <w:sz w:val="20"/>
                <w:szCs w:val="20"/>
                <w:u w:val="single"/>
                <w:lang w:val="en-CA"/>
              </w:rPr>
              <w:t>Daishowa-Marubeni International Ltd. v. Her Majesty the Queen</w:t>
            </w:r>
            <w:r>
              <w:rPr>
                <w:sz w:val="20"/>
                <w:szCs w:val="20"/>
                <w:lang w:val="en-CA"/>
              </w:rPr>
              <w:t xml:space="preserve"> </w:t>
            </w:r>
            <w:r w:rsidRPr="007E16F7">
              <w:rPr>
                <w:sz w:val="20"/>
                <w:lang w:val="en-CA"/>
              </w:rPr>
              <w:t xml:space="preserve">(F.C.) </w:t>
            </w:r>
            <w:r w:rsidRPr="00EA4785">
              <w:rPr>
                <w:sz w:val="20"/>
              </w:rPr>
              <w:t>(Ci</w:t>
            </w:r>
            <w:r>
              <w:rPr>
                <w:sz w:val="20"/>
              </w:rPr>
              <w:t>v</w:t>
            </w:r>
            <w:r w:rsidRPr="00EA4785">
              <w:rPr>
                <w:sz w:val="20"/>
              </w:rPr>
              <w:t>il) (By Leave)</w:t>
            </w:r>
          </w:p>
          <w:p w:rsidR="007E16F7" w:rsidRPr="00DD16F6" w:rsidRDefault="007E16F7" w:rsidP="007E16F7">
            <w:pPr>
              <w:rPr>
                <w:rFonts w:cs="Times New Roman"/>
                <w:sz w:val="20"/>
                <w:szCs w:val="20"/>
              </w:rPr>
            </w:pPr>
          </w:p>
        </w:tc>
      </w:tr>
      <w:tr w:rsidR="007E16F7" w:rsidRPr="00DD16F6" w:rsidTr="007E16F7">
        <w:trPr>
          <w:cantSplit/>
        </w:trPr>
        <w:tc>
          <w:tcPr>
            <w:tcW w:w="1458" w:type="dxa"/>
          </w:tcPr>
          <w:p w:rsidR="007E16F7" w:rsidRPr="00DD16F6" w:rsidRDefault="007E16F7" w:rsidP="007E16F7">
            <w:pPr>
              <w:rPr>
                <w:rFonts w:cs="Times New Roman"/>
                <w:sz w:val="20"/>
                <w:szCs w:val="20"/>
              </w:rPr>
            </w:pPr>
            <w:r w:rsidRPr="00DD16F6">
              <w:rPr>
                <w:rFonts w:cs="Times New Roman"/>
                <w:sz w:val="20"/>
                <w:szCs w:val="20"/>
              </w:rPr>
              <w:t>Coram :</w:t>
            </w:r>
          </w:p>
        </w:tc>
        <w:tc>
          <w:tcPr>
            <w:tcW w:w="8118" w:type="dxa"/>
          </w:tcPr>
          <w:p w:rsidR="007E16F7" w:rsidRPr="00DD16F6" w:rsidRDefault="007E16F7" w:rsidP="007E16F7">
            <w:pPr>
              <w:rPr>
                <w:rFonts w:cs="Times New Roman"/>
                <w:sz w:val="20"/>
                <w:szCs w:val="20"/>
              </w:rPr>
            </w:pPr>
            <w:r w:rsidRPr="001B157C">
              <w:rPr>
                <w:rStyle w:val="SCCCoramChar"/>
                <w:rFonts w:cs="Times New Roman"/>
                <w:sz w:val="20"/>
                <w:szCs w:val="20"/>
                <w:lang w:val="en-CA"/>
              </w:rPr>
              <w:t xml:space="preserve">McLachlin C.J. and </w:t>
            </w:r>
            <w:r>
              <w:rPr>
                <w:rStyle w:val="SCCCoramChar"/>
                <w:rFonts w:cs="Times New Roman"/>
                <w:sz w:val="20"/>
                <w:szCs w:val="20"/>
                <w:lang w:val="en-CA"/>
              </w:rPr>
              <w:t xml:space="preserve">Rothstein </w:t>
            </w:r>
            <w:r w:rsidRPr="001B157C">
              <w:rPr>
                <w:rStyle w:val="SCCCoramChar"/>
                <w:rFonts w:cs="Times New Roman"/>
                <w:sz w:val="20"/>
                <w:szCs w:val="20"/>
                <w:lang w:val="en-CA"/>
              </w:rPr>
              <w:t xml:space="preserve">and </w:t>
            </w:r>
            <w:r>
              <w:rPr>
                <w:rStyle w:val="SCCCoramChar"/>
                <w:rFonts w:cs="Times New Roman"/>
                <w:sz w:val="20"/>
                <w:szCs w:val="20"/>
                <w:lang w:val="en-CA"/>
              </w:rPr>
              <w:t>Moldaver</w:t>
            </w:r>
            <w:r w:rsidRPr="001B157C">
              <w:rPr>
                <w:rStyle w:val="SCCCoramChar"/>
                <w:rFonts w:cs="Times New Roman"/>
                <w:sz w:val="20"/>
                <w:szCs w:val="20"/>
                <w:lang w:val="en-CA"/>
              </w:rPr>
              <w:t> JJ.</w:t>
            </w:r>
          </w:p>
          <w:p w:rsidR="007E16F7" w:rsidRPr="00DD16F6" w:rsidRDefault="007E16F7" w:rsidP="007E16F7">
            <w:pPr>
              <w:rPr>
                <w:rFonts w:cs="Times New Roman"/>
                <w:sz w:val="20"/>
                <w:szCs w:val="20"/>
                <w:u w:val="single"/>
              </w:rPr>
            </w:pPr>
          </w:p>
        </w:tc>
      </w:tr>
      <w:tr w:rsidR="007E16F7" w:rsidRPr="007E16F7" w:rsidTr="007E16F7">
        <w:trPr>
          <w:cantSplit/>
        </w:trPr>
        <w:tc>
          <w:tcPr>
            <w:tcW w:w="9576" w:type="dxa"/>
            <w:gridSpan w:val="2"/>
          </w:tcPr>
          <w:p w:rsidR="007E16F7" w:rsidRPr="00A8540F" w:rsidRDefault="007E16F7" w:rsidP="007E16F7">
            <w:pPr>
              <w:pStyle w:val="SCCShortJudgment"/>
              <w:rPr>
                <w:szCs w:val="20"/>
                <w:lang w:val="fr-CA"/>
              </w:rPr>
            </w:pPr>
            <w:r w:rsidRPr="008D5E7A">
              <w:rPr>
                <w:szCs w:val="20"/>
              </w:rPr>
              <w:t xml:space="preserve">An oral hearing of the application for leave to appeal from the judgment of the Federal Court of Appeal, Number A-287-10, 2011 FCA 267, dated September 23, 2011, is ordered.  </w:t>
            </w:r>
            <w:r w:rsidRPr="00A8540F">
              <w:rPr>
                <w:szCs w:val="20"/>
                <w:lang w:val="fr-CA"/>
              </w:rPr>
              <w:t>The hearing is scheduled for June 4, 2012.</w:t>
            </w:r>
          </w:p>
          <w:p w:rsidR="007E16F7" w:rsidRPr="003E019A" w:rsidRDefault="007E16F7" w:rsidP="007E16F7">
            <w:pPr>
              <w:pStyle w:val="SCCShortJudgment"/>
              <w:ind w:firstLine="0"/>
              <w:rPr>
                <w:rFonts w:cs="Times New Roman"/>
                <w:szCs w:val="20"/>
                <w:lang w:val="fr-CA"/>
              </w:rPr>
            </w:pPr>
          </w:p>
          <w:p w:rsidR="007E16F7" w:rsidRPr="00DD16F6" w:rsidRDefault="007E16F7" w:rsidP="007E16F7">
            <w:pPr>
              <w:pStyle w:val="SCCShortJudgment"/>
              <w:rPr>
                <w:rFonts w:cs="Times New Roman"/>
                <w:szCs w:val="20"/>
                <w:lang w:val="fr-CA"/>
              </w:rPr>
            </w:pPr>
            <w:r w:rsidRPr="008D5E7A">
              <w:rPr>
                <w:szCs w:val="20"/>
                <w:lang w:val="fr-CA"/>
              </w:rPr>
              <w:t>La tenue d’une audience pour décider de la demande d’autorisation d’appel de l’arrêt de la Cour d’appel fédérale, numéro A-287-10, 2011 CAF 267, daté du 23 septembre 2011, est ordonnée.  L’audition est prévue pour le 4 juin 2012.</w:t>
            </w:r>
          </w:p>
        </w:tc>
      </w:tr>
    </w:tbl>
    <w:p w:rsidR="007E16F7" w:rsidRPr="007E16F7" w:rsidRDefault="007E16F7" w:rsidP="001B157C">
      <w:pPr>
        <w:rPr>
          <w:sz w:val="20"/>
          <w:szCs w:val="20"/>
          <w:lang w:val="fr-CA"/>
        </w:rPr>
      </w:pPr>
    </w:p>
    <w:p w:rsidR="007E16F7" w:rsidRPr="000D61DC" w:rsidRDefault="007E16F7" w:rsidP="007E16F7">
      <w:pPr>
        <w:rPr>
          <w:sz w:val="20"/>
          <w:szCs w:val="20"/>
          <w:u w:val="single"/>
        </w:rPr>
      </w:pPr>
      <w:r w:rsidRPr="000D61DC">
        <w:rPr>
          <w:sz w:val="20"/>
          <w:szCs w:val="20"/>
          <w:u w:val="single"/>
        </w:rPr>
        <w:t>CASE SUMMARY</w:t>
      </w:r>
    </w:p>
    <w:p w:rsidR="007E16F7" w:rsidRDefault="007E16F7" w:rsidP="007E16F7">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754E5" w:rsidRPr="009E1C4C" w:rsidTr="00E754E5">
        <w:tc>
          <w:tcPr>
            <w:tcW w:w="5000" w:type="pct"/>
            <w:gridSpan w:val="3"/>
          </w:tcPr>
          <w:p w:rsidR="00E754E5" w:rsidRPr="009E1C4C" w:rsidRDefault="00E754E5" w:rsidP="00E754E5">
            <w:pPr>
              <w:jc w:val="both"/>
              <w:rPr>
                <w:sz w:val="20"/>
                <w:szCs w:val="20"/>
              </w:rPr>
            </w:pPr>
            <w:r w:rsidRPr="009E1C4C">
              <w:rPr>
                <w:sz w:val="20"/>
                <w:szCs w:val="20"/>
              </w:rPr>
              <w:t>Taxation – Income Tax – Assessment – Tax treatment of assumed contingent liabilities – Amount if any to be included in proceeds of disposition in respect of reforestation obligations assumed by  purchasers of sawmill operations – If any amount must be included in proceeds, whether or not to allow an equivalent offsetting deduction or reduction in proceeds for having paid the purchasers to assume the obligations – Standard of appellate review for contractual interpretation issues – Fundamental principles regarding deductibility of taxpayer expenses and when an assumed liability results in an addition to vendor proceeds as opposed to a reduction in the purchase price paid – Whether a liability whose amount is uncertain at the outset is a contingent liability.</w:t>
            </w:r>
          </w:p>
        </w:tc>
      </w:tr>
      <w:tr w:rsidR="00E754E5" w:rsidRPr="009E1C4C" w:rsidTr="00E754E5">
        <w:tc>
          <w:tcPr>
            <w:tcW w:w="5000" w:type="pct"/>
            <w:gridSpan w:val="3"/>
          </w:tcPr>
          <w:p w:rsidR="00E754E5" w:rsidRPr="009E1C4C" w:rsidRDefault="00E754E5" w:rsidP="00091967">
            <w:pPr>
              <w:rPr>
                <w:sz w:val="20"/>
                <w:szCs w:val="20"/>
              </w:rPr>
            </w:pPr>
          </w:p>
        </w:tc>
      </w:tr>
      <w:tr w:rsidR="00E754E5" w:rsidRPr="009E1C4C" w:rsidTr="00E754E5">
        <w:tc>
          <w:tcPr>
            <w:tcW w:w="5000" w:type="pct"/>
            <w:gridSpan w:val="3"/>
          </w:tcPr>
          <w:p w:rsidR="00E754E5" w:rsidRPr="009E1C4C" w:rsidRDefault="00E754E5" w:rsidP="00E754E5">
            <w:pPr>
              <w:jc w:val="both"/>
              <w:rPr>
                <w:sz w:val="20"/>
                <w:szCs w:val="20"/>
              </w:rPr>
            </w:pPr>
            <w:r w:rsidRPr="009E1C4C">
              <w:rPr>
                <w:sz w:val="20"/>
                <w:szCs w:val="20"/>
              </w:rPr>
              <w:t>The applicant operated pulp mills in Alberta and British Columbia.  Two of its divisions carried on harvesting activities. Silviculture liabilities associated with its harvesting rights obliged the applicant to reforest lands. The applicant sold its harvesting divisions to purchasers who assumed the reforestation obligations. The silviculture liabilities were deducted from the gross sales prices.  In its relevant income tax returns, the applicant classified the silviculture liabilities as long</w:t>
            </w:r>
            <w:r w:rsidRPr="009E1C4C">
              <w:rPr>
                <w:sz w:val="20"/>
                <w:szCs w:val="20"/>
              </w:rPr>
              <w:noBreakHyphen/>
              <w:t xml:space="preserve">term liabilities that would not be expended within 12 months following specified dates and current liabilities that would be expended within 12 months following specified dates (October 31, 1999 and December 31, 1999).  The Province of Alberta takes the position that, pursuant to the </w:t>
            </w:r>
            <w:r w:rsidRPr="009E1C4C">
              <w:rPr>
                <w:i/>
                <w:sz w:val="20"/>
                <w:szCs w:val="20"/>
              </w:rPr>
              <w:t>Forests Act</w:t>
            </w:r>
            <w:r w:rsidRPr="009E1C4C">
              <w:rPr>
                <w:sz w:val="20"/>
                <w:szCs w:val="20"/>
              </w:rPr>
              <w:t>, RSA 2000, c.</w:t>
            </w:r>
            <w:r w:rsidRPr="009E1C4C">
              <w:rPr>
                <w:sz w:val="20"/>
                <w:szCs w:val="20"/>
              </w:rPr>
              <w:noBreakHyphen/>
              <w:t>F</w:t>
            </w:r>
            <w:r w:rsidRPr="009E1C4C">
              <w:rPr>
                <w:sz w:val="20"/>
                <w:szCs w:val="20"/>
              </w:rPr>
              <w:noBreakHyphen/>
              <w:t xml:space="preserve">22, and the </w:t>
            </w:r>
            <w:r w:rsidRPr="009E1C4C">
              <w:rPr>
                <w:i/>
                <w:sz w:val="20"/>
                <w:szCs w:val="20"/>
              </w:rPr>
              <w:t>Timber Management Regulations</w:t>
            </w:r>
            <w:r w:rsidRPr="009E1C4C">
              <w:rPr>
                <w:sz w:val="20"/>
                <w:szCs w:val="20"/>
              </w:rPr>
              <w:t>, Alta. Reg. 60</w:t>
            </w:r>
            <w:r w:rsidRPr="009E1C4C">
              <w:rPr>
                <w:sz w:val="20"/>
                <w:szCs w:val="20"/>
              </w:rPr>
              <w:noBreakHyphen/>
              <w:t xml:space="preserve">1973, an assignee of timber rights assumes the reforestation liability corresponding to the forest tenure and the assignor is no longer liable. In reporting its income for the 1999 and 2000 taxation years, the applicant did not include in its proceeds of disposition any amounts pertaining to the silviculture liabilities assumed by the purchasers. The Minister of Revenue reassessed the applicant in respect of both sales by including, in the calculation of  proceeds of the dispositions of the timber resource properties, estimated silviculture liabilities of $11,000,000 in respect of 1999 and $2,966,301 in respect of 2000. </w:t>
            </w:r>
          </w:p>
          <w:p w:rsidR="00E754E5" w:rsidRPr="009E1C4C" w:rsidRDefault="00E754E5" w:rsidP="00091967">
            <w:pPr>
              <w:rPr>
                <w:sz w:val="20"/>
                <w:szCs w:val="20"/>
                <w:lang w:val="en-US"/>
              </w:rPr>
            </w:pPr>
          </w:p>
        </w:tc>
      </w:tr>
      <w:tr w:rsidR="00E754E5" w:rsidRPr="009E1C4C" w:rsidTr="00E754E5">
        <w:tc>
          <w:tcPr>
            <w:tcW w:w="2427" w:type="pct"/>
          </w:tcPr>
          <w:p w:rsidR="00E754E5" w:rsidRPr="009E1C4C" w:rsidRDefault="00E754E5" w:rsidP="00091967">
            <w:pPr>
              <w:rPr>
                <w:sz w:val="20"/>
                <w:szCs w:val="20"/>
              </w:rPr>
            </w:pPr>
            <w:r w:rsidRPr="009E1C4C">
              <w:rPr>
                <w:sz w:val="20"/>
                <w:szCs w:val="20"/>
              </w:rPr>
              <w:t>June 11, 2010</w:t>
            </w:r>
          </w:p>
          <w:p w:rsidR="00E754E5" w:rsidRPr="009E1C4C" w:rsidRDefault="00E754E5" w:rsidP="00091967">
            <w:pPr>
              <w:rPr>
                <w:sz w:val="20"/>
                <w:szCs w:val="20"/>
              </w:rPr>
            </w:pPr>
            <w:r w:rsidRPr="009E1C4C">
              <w:rPr>
                <w:sz w:val="20"/>
                <w:szCs w:val="20"/>
              </w:rPr>
              <w:t>Tax Court of Canada</w:t>
            </w:r>
          </w:p>
          <w:p w:rsidR="00E754E5" w:rsidRPr="009E1C4C" w:rsidRDefault="00E754E5" w:rsidP="00091967">
            <w:pPr>
              <w:rPr>
                <w:sz w:val="20"/>
                <w:szCs w:val="20"/>
              </w:rPr>
            </w:pPr>
            <w:r w:rsidRPr="009E1C4C">
              <w:rPr>
                <w:sz w:val="20"/>
                <w:szCs w:val="20"/>
              </w:rPr>
              <w:t>(Miller J.)</w:t>
            </w:r>
          </w:p>
          <w:p w:rsidR="00E754E5" w:rsidRPr="009E1C4C" w:rsidRDefault="00E754E5" w:rsidP="00091967">
            <w:pPr>
              <w:rPr>
                <w:sz w:val="20"/>
                <w:szCs w:val="20"/>
              </w:rPr>
            </w:pPr>
          </w:p>
        </w:tc>
        <w:tc>
          <w:tcPr>
            <w:tcW w:w="243" w:type="pct"/>
          </w:tcPr>
          <w:p w:rsidR="00E754E5" w:rsidRPr="009E1C4C" w:rsidRDefault="00E754E5" w:rsidP="00091967">
            <w:pPr>
              <w:rPr>
                <w:sz w:val="20"/>
                <w:szCs w:val="20"/>
              </w:rPr>
            </w:pPr>
          </w:p>
        </w:tc>
        <w:tc>
          <w:tcPr>
            <w:tcW w:w="2330" w:type="pct"/>
          </w:tcPr>
          <w:p w:rsidR="00E754E5" w:rsidRPr="009E1C4C" w:rsidRDefault="00E754E5" w:rsidP="00E754E5">
            <w:pPr>
              <w:jc w:val="both"/>
              <w:rPr>
                <w:sz w:val="20"/>
                <w:szCs w:val="20"/>
              </w:rPr>
            </w:pPr>
            <w:r w:rsidRPr="009E1C4C">
              <w:rPr>
                <w:sz w:val="20"/>
                <w:szCs w:val="20"/>
              </w:rPr>
              <w:t>Appeals from reassessments of applicant’s 1999 and 2000 taxation years allowed in part</w:t>
            </w:r>
          </w:p>
          <w:p w:rsidR="00E754E5" w:rsidRPr="009E1C4C" w:rsidRDefault="00E754E5" w:rsidP="00091967">
            <w:pPr>
              <w:rPr>
                <w:sz w:val="20"/>
                <w:szCs w:val="20"/>
              </w:rPr>
            </w:pPr>
          </w:p>
        </w:tc>
      </w:tr>
      <w:tr w:rsidR="00E754E5" w:rsidRPr="009E1C4C" w:rsidTr="00E754E5">
        <w:tc>
          <w:tcPr>
            <w:tcW w:w="2427" w:type="pct"/>
          </w:tcPr>
          <w:p w:rsidR="00E754E5" w:rsidRPr="009E1C4C" w:rsidRDefault="00E754E5" w:rsidP="00091967">
            <w:pPr>
              <w:rPr>
                <w:sz w:val="20"/>
                <w:szCs w:val="20"/>
              </w:rPr>
            </w:pPr>
            <w:r w:rsidRPr="009E1C4C">
              <w:rPr>
                <w:sz w:val="20"/>
                <w:szCs w:val="20"/>
              </w:rPr>
              <w:t>September 23, 2011</w:t>
            </w:r>
          </w:p>
          <w:p w:rsidR="00E754E5" w:rsidRPr="009E1C4C" w:rsidRDefault="00E754E5" w:rsidP="00091967">
            <w:pPr>
              <w:rPr>
                <w:sz w:val="20"/>
                <w:szCs w:val="20"/>
              </w:rPr>
            </w:pPr>
            <w:r w:rsidRPr="009E1C4C">
              <w:rPr>
                <w:sz w:val="20"/>
                <w:szCs w:val="20"/>
              </w:rPr>
              <w:t>Federal Court of Appeal</w:t>
            </w:r>
          </w:p>
          <w:p w:rsidR="00E754E5" w:rsidRPr="009E1C4C" w:rsidRDefault="00E754E5" w:rsidP="00091967">
            <w:pPr>
              <w:rPr>
                <w:sz w:val="20"/>
                <w:szCs w:val="20"/>
                <w:lang w:val="en-US"/>
              </w:rPr>
            </w:pPr>
            <w:r w:rsidRPr="009E1C4C">
              <w:rPr>
                <w:sz w:val="20"/>
                <w:szCs w:val="20"/>
                <w:lang w:val="en-US"/>
              </w:rPr>
              <w:t>(Nadon, Layden</w:t>
            </w:r>
            <w:r w:rsidRPr="009E1C4C">
              <w:rPr>
                <w:sz w:val="20"/>
                <w:szCs w:val="20"/>
                <w:lang w:val="en-US"/>
              </w:rPr>
              <w:noBreakHyphen/>
              <w:t>Stevenson, Mainville [dissenting] JJ.A.)</w:t>
            </w:r>
          </w:p>
          <w:p w:rsidR="00E754E5" w:rsidRPr="009E1C4C" w:rsidRDefault="00E754E5" w:rsidP="00091967">
            <w:pPr>
              <w:rPr>
                <w:sz w:val="20"/>
                <w:szCs w:val="20"/>
                <w:lang w:val="en-US"/>
              </w:rPr>
            </w:pPr>
          </w:p>
        </w:tc>
        <w:tc>
          <w:tcPr>
            <w:tcW w:w="243" w:type="pct"/>
          </w:tcPr>
          <w:p w:rsidR="00E754E5" w:rsidRPr="009E1C4C" w:rsidRDefault="00E754E5" w:rsidP="00091967">
            <w:pPr>
              <w:rPr>
                <w:sz w:val="20"/>
                <w:szCs w:val="20"/>
                <w:lang w:val="en-US"/>
              </w:rPr>
            </w:pPr>
          </w:p>
        </w:tc>
        <w:tc>
          <w:tcPr>
            <w:tcW w:w="2330" w:type="pct"/>
          </w:tcPr>
          <w:p w:rsidR="00E754E5" w:rsidRPr="009E1C4C" w:rsidRDefault="00E754E5" w:rsidP="00091967">
            <w:pPr>
              <w:jc w:val="both"/>
              <w:rPr>
                <w:sz w:val="20"/>
                <w:szCs w:val="20"/>
              </w:rPr>
            </w:pPr>
            <w:r w:rsidRPr="009E1C4C">
              <w:rPr>
                <w:sz w:val="20"/>
                <w:szCs w:val="20"/>
              </w:rPr>
              <w:t>Appeal dismissed and cross</w:t>
            </w:r>
            <w:r w:rsidRPr="009E1C4C">
              <w:rPr>
                <w:sz w:val="20"/>
                <w:szCs w:val="20"/>
              </w:rPr>
              <w:noBreakHyphen/>
              <w:t>appeal allowed in respect to 1999 reassessment.   Appeal allowed and cross</w:t>
            </w:r>
            <w:r w:rsidRPr="009E1C4C">
              <w:rPr>
                <w:sz w:val="20"/>
                <w:szCs w:val="20"/>
              </w:rPr>
              <w:noBreakHyphen/>
              <w:t>appeal dismissed with respect to 2000 reassessment.  Judgment of Tax Court set aside.  Appeal from 1999 reassessment dismissed.  Matter of 2000 taxation year returned to Tax Court for reconsideration</w:t>
            </w:r>
          </w:p>
        </w:tc>
      </w:tr>
    </w:tbl>
    <w:p w:rsidR="00091967" w:rsidRDefault="00091967"/>
    <w:p w:rsidR="00091967" w:rsidRDefault="00091967">
      <w:r>
        <w:br w:type="page"/>
      </w:r>
    </w:p>
    <w:tbl>
      <w:tblPr>
        <w:tblW w:w="4952" w:type="pct"/>
        <w:tblLayout w:type="fixed"/>
        <w:tblCellMar>
          <w:left w:w="0" w:type="dxa"/>
          <w:bottom w:w="99" w:type="dxa"/>
          <w:right w:w="0" w:type="dxa"/>
        </w:tblCellMar>
        <w:tblLook w:val="04A0"/>
      </w:tblPr>
      <w:tblGrid>
        <w:gridCol w:w="4624"/>
        <w:gridCol w:w="463"/>
        <w:gridCol w:w="4440"/>
      </w:tblGrid>
      <w:tr w:rsidR="00E754E5" w:rsidRPr="009E1C4C" w:rsidTr="00091967">
        <w:trPr>
          <w:cantSplit/>
        </w:trPr>
        <w:tc>
          <w:tcPr>
            <w:tcW w:w="2427" w:type="pct"/>
          </w:tcPr>
          <w:p w:rsidR="00E754E5" w:rsidRPr="009E1C4C" w:rsidRDefault="00E754E5" w:rsidP="00091967">
            <w:pPr>
              <w:rPr>
                <w:sz w:val="20"/>
                <w:szCs w:val="20"/>
              </w:rPr>
            </w:pPr>
            <w:r w:rsidRPr="009E1C4C">
              <w:rPr>
                <w:sz w:val="20"/>
                <w:szCs w:val="20"/>
              </w:rPr>
              <w:lastRenderedPageBreak/>
              <w:t>November 21, 2011</w:t>
            </w:r>
          </w:p>
          <w:p w:rsidR="00E754E5" w:rsidRPr="009E1C4C" w:rsidRDefault="00E754E5" w:rsidP="00091967">
            <w:pPr>
              <w:rPr>
                <w:sz w:val="20"/>
                <w:szCs w:val="20"/>
              </w:rPr>
            </w:pPr>
            <w:r w:rsidRPr="009E1C4C">
              <w:rPr>
                <w:sz w:val="20"/>
                <w:szCs w:val="20"/>
              </w:rPr>
              <w:t>Supreme Court of Canada</w:t>
            </w:r>
          </w:p>
        </w:tc>
        <w:tc>
          <w:tcPr>
            <w:tcW w:w="243" w:type="pct"/>
          </w:tcPr>
          <w:p w:rsidR="00E754E5" w:rsidRPr="009E1C4C" w:rsidRDefault="00E754E5" w:rsidP="00091967">
            <w:pPr>
              <w:rPr>
                <w:sz w:val="20"/>
                <w:szCs w:val="20"/>
              </w:rPr>
            </w:pPr>
          </w:p>
        </w:tc>
        <w:tc>
          <w:tcPr>
            <w:tcW w:w="2330" w:type="pct"/>
          </w:tcPr>
          <w:p w:rsidR="00E754E5" w:rsidRPr="009E1C4C" w:rsidRDefault="00E754E5" w:rsidP="00091967">
            <w:pPr>
              <w:rPr>
                <w:sz w:val="20"/>
                <w:szCs w:val="20"/>
              </w:rPr>
            </w:pPr>
            <w:r w:rsidRPr="009E1C4C">
              <w:rPr>
                <w:sz w:val="20"/>
                <w:szCs w:val="20"/>
              </w:rPr>
              <w:t>Application for leave to appeal filed.</w:t>
            </w:r>
          </w:p>
        </w:tc>
      </w:tr>
    </w:tbl>
    <w:p w:rsidR="00091967" w:rsidRPr="00A8540F" w:rsidRDefault="00091967" w:rsidP="001B157C">
      <w:pPr>
        <w:rPr>
          <w:sz w:val="20"/>
          <w:szCs w:val="20"/>
        </w:rPr>
      </w:pPr>
    </w:p>
    <w:p w:rsidR="001B157C" w:rsidRPr="00C50A5C" w:rsidRDefault="009134DA" w:rsidP="001B157C">
      <w:pPr>
        <w:rPr>
          <w:sz w:val="20"/>
          <w:szCs w:val="20"/>
        </w:rPr>
      </w:pPr>
      <w:r w:rsidRPr="009134DA">
        <w:rPr>
          <w:sz w:val="20"/>
          <w:szCs w:val="20"/>
          <w:lang w:val="fr-CA"/>
        </w:rPr>
        <w:pict>
          <v:rect id="_x0000_i1040" style="width:2in;height:1pt" o:hrpct="0" o:hralign="center" o:hrstd="t" o:hrnoshade="t" o:hr="t" fillcolor="black [3213]" stroked="f"/>
        </w:pict>
      </w:r>
    </w:p>
    <w:p w:rsidR="001B157C" w:rsidRDefault="001B157C" w:rsidP="001B157C">
      <w:pPr>
        <w:rPr>
          <w:sz w:val="20"/>
          <w:szCs w:val="20"/>
        </w:rPr>
      </w:pPr>
    </w:p>
    <w:p w:rsidR="001B157C" w:rsidRDefault="001B157C" w:rsidP="001B157C">
      <w:pPr>
        <w:rPr>
          <w:sz w:val="20"/>
          <w:szCs w:val="20"/>
          <w:lang w:val="fr-CA"/>
        </w:rPr>
      </w:pPr>
      <w:r w:rsidRPr="000D61DC">
        <w:rPr>
          <w:sz w:val="20"/>
          <w:szCs w:val="20"/>
          <w:u w:val="single"/>
          <w:lang w:val="fr-CA"/>
        </w:rPr>
        <w:t>RÉSUMÉ DE L’AFFAIRE</w:t>
      </w:r>
    </w:p>
    <w:p w:rsidR="001B157C" w:rsidRDefault="001B157C" w:rsidP="001B157C">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091967" w:rsidRPr="00B36F35" w:rsidTr="00091967">
        <w:tc>
          <w:tcPr>
            <w:tcW w:w="5000" w:type="pct"/>
            <w:gridSpan w:val="3"/>
          </w:tcPr>
          <w:p w:rsidR="00091967" w:rsidRPr="00483574" w:rsidRDefault="00091967" w:rsidP="007B42BE">
            <w:pPr>
              <w:jc w:val="both"/>
              <w:rPr>
                <w:sz w:val="20"/>
                <w:szCs w:val="20"/>
                <w:lang w:val="fr-CA"/>
              </w:rPr>
            </w:pPr>
            <w:r w:rsidRPr="00483574">
              <w:rPr>
                <w:sz w:val="20"/>
                <w:szCs w:val="20"/>
                <w:lang w:val="fr-CA"/>
              </w:rPr>
              <w:t>Droit fiscal – Impôt sur le revenu – Cotisations – Traitement fiscal d'obligations éventuelles prises en charge – Montant à inclure s’il en est dans le produit de disposition à l'égard des obligations relatives au reboisement prises en charge par les acheteurs d'une scierie – Si un montant doit être inclus dans le produit, y a-t-il lieu ou non de permettre une déduction compensatoire ou une réduction du produit pour avoir payé les acheteurs afin qu'ils prennent en charge les obligations? – Norme de révision en appel de questions d'interprétation contractuelle – Principes fondamentaux relatifs à la déductibilité des frais du contribuable et aux situations où une responsabilité prise en charge donne lieu à un majoration du produit de disposition du vendeur par opposition à une réduction du prix d'achat payé – L’obligation dont le montant est incertain au départ est-elle une obligation éventuelle?</w:t>
            </w:r>
          </w:p>
        </w:tc>
      </w:tr>
      <w:tr w:rsidR="00091967" w:rsidRPr="00B36F35" w:rsidTr="00091967">
        <w:tc>
          <w:tcPr>
            <w:tcW w:w="5000" w:type="pct"/>
            <w:gridSpan w:val="3"/>
          </w:tcPr>
          <w:p w:rsidR="00091967" w:rsidRPr="00483574" w:rsidRDefault="00091967" w:rsidP="00091967">
            <w:pPr>
              <w:rPr>
                <w:sz w:val="20"/>
                <w:szCs w:val="20"/>
                <w:lang w:val="fr-CA"/>
              </w:rPr>
            </w:pPr>
          </w:p>
        </w:tc>
      </w:tr>
      <w:tr w:rsidR="00091967" w:rsidRPr="00B36F35" w:rsidTr="00091967">
        <w:tc>
          <w:tcPr>
            <w:tcW w:w="5000" w:type="pct"/>
            <w:gridSpan w:val="3"/>
          </w:tcPr>
          <w:p w:rsidR="00091967" w:rsidRPr="00483574" w:rsidRDefault="00091967" w:rsidP="007B42BE">
            <w:pPr>
              <w:jc w:val="both"/>
              <w:rPr>
                <w:sz w:val="20"/>
                <w:szCs w:val="20"/>
                <w:lang w:val="fr-CA"/>
              </w:rPr>
            </w:pPr>
            <w:r w:rsidRPr="00483574">
              <w:rPr>
                <w:sz w:val="20"/>
                <w:szCs w:val="20"/>
                <w:lang w:val="fr-CA"/>
              </w:rPr>
              <w:t xml:space="preserve">La demanderesse exploitait des scieries en Alberta et en Colombie-Britannique. Deux de ses divisions exerçaient des activités de récolte. Des obligations relatives à la sylviculture liées à ces droits de récolte obligeaient la demanderesse à reboiser des terres. La demanderesse a vendu ses divisions de récolte à des acheteurs qui ont pris en charge les obligations relatives au reboisement. Les obligations relatives à la sylviculture ont été déduites des prix de vente bruts. Dans ses déclarations de revenus pour les années en cause, la demanderesse a caractérisé les obligations relatives à la sylviculture d'obligations à long terme qui ne seraient pas imputées dans les 12 mois suivant des dates déterminées et d'obligations à court terme qui seraient imputées dans les 12 mois suivant des dates déterminées (le 31 octobre 1999 et le 31 décembre 1999). La Province de l'Alberta plaide qu'aux termes de la </w:t>
            </w:r>
            <w:r w:rsidRPr="00483574">
              <w:rPr>
                <w:i/>
                <w:sz w:val="20"/>
                <w:szCs w:val="20"/>
                <w:lang w:val="fr-CA"/>
              </w:rPr>
              <w:t>Forests Act</w:t>
            </w:r>
            <w:r w:rsidRPr="00483574">
              <w:rPr>
                <w:sz w:val="20"/>
                <w:szCs w:val="20"/>
                <w:lang w:val="fr-CA"/>
              </w:rPr>
              <w:t xml:space="preserve">, RSA 2000, ch. F-22, et des </w:t>
            </w:r>
            <w:r w:rsidRPr="00483574">
              <w:rPr>
                <w:i/>
                <w:sz w:val="20"/>
                <w:szCs w:val="20"/>
                <w:lang w:val="fr-CA"/>
              </w:rPr>
              <w:t>Timber Management Regulations</w:t>
            </w:r>
            <w:r w:rsidRPr="00483574">
              <w:rPr>
                <w:sz w:val="20"/>
                <w:szCs w:val="20"/>
                <w:lang w:val="fr-CA"/>
              </w:rPr>
              <w:t xml:space="preserve">, Alta. Reg. 60-1973, le cessionnaire de droit de coupe prend en charge l'obligation relative au reboisement qui correspond à la tenure et le cédant n'est plus responsable. Dans sa déclaration de revenus pour les années d'imposition 1999 et 2000, la demanderesse n'a pas inclus dans ses produits de disposition les montants relatifs aux obligations relatives à la sylviculture prises en charge par les acheteurs. Le ministre du Revenu a établi une nouvelle cotisation de la demanderesse relativement aux deux ventes en incluant, dans le calcul des produits de disposition des avoirs forestiers, des obligations estimatives relatives à la sylviculture de 11 millions de dollars pour l'année 1999 et de 2 966 301 $ pour l'année 2000. </w:t>
            </w:r>
          </w:p>
          <w:p w:rsidR="00091967" w:rsidRPr="00483574" w:rsidRDefault="00091967" w:rsidP="00091967">
            <w:pPr>
              <w:rPr>
                <w:sz w:val="20"/>
                <w:szCs w:val="20"/>
                <w:lang w:val="fr-CA"/>
              </w:rPr>
            </w:pPr>
          </w:p>
        </w:tc>
      </w:tr>
      <w:tr w:rsidR="00091967" w:rsidRPr="00B36F35" w:rsidTr="00091967">
        <w:tc>
          <w:tcPr>
            <w:tcW w:w="2427" w:type="pct"/>
          </w:tcPr>
          <w:p w:rsidR="00091967" w:rsidRPr="00483574" w:rsidRDefault="00091967" w:rsidP="00091967">
            <w:pPr>
              <w:rPr>
                <w:sz w:val="20"/>
                <w:szCs w:val="20"/>
                <w:lang w:val="fr-CA"/>
              </w:rPr>
            </w:pPr>
            <w:r w:rsidRPr="00483574">
              <w:rPr>
                <w:sz w:val="20"/>
                <w:szCs w:val="20"/>
                <w:lang w:val="fr-CA"/>
              </w:rPr>
              <w:t>11 juin 2010</w:t>
            </w:r>
          </w:p>
          <w:p w:rsidR="00091967" w:rsidRPr="00483574" w:rsidRDefault="00091967" w:rsidP="00091967">
            <w:pPr>
              <w:rPr>
                <w:sz w:val="20"/>
                <w:szCs w:val="20"/>
                <w:lang w:val="fr-CA"/>
              </w:rPr>
            </w:pPr>
            <w:r w:rsidRPr="00483574">
              <w:rPr>
                <w:sz w:val="20"/>
                <w:szCs w:val="20"/>
                <w:lang w:val="fr-CA"/>
              </w:rPr>
              <w:t xml:space="preserve">Cour canadienne de l'impôt </w:t>
            </w:r>
          </w:p>
          <w:p w:rsidR="00091967" w:rsidRPr="00483574" w:rsidRDefault="00091967" w:rsidP="00091967">
            <w:pPr>
              <w:rPr>
                <w:sz w:val="20"/>
                <w:szCs w:val="20"/>
                <w:lang w:val="fr-CA"/>
              </w:rPr>
            </w:pPr>
            <w:r w:rsidRPr="00483574">
              <w:rPr>
                <w:sz w:val="20"/>
                <w:szCs w:val="20"/>
                <w:lang w:val="fr-CA"/>
              </w:rPr>
              <w:t>(Juge Miller)</w:t>
            </w:r>
          </w:p>
          <w:p w:rsidR="00091967" w:rsidRPr="00483574" w:rsidRDefault="00091967" w:rsidP="00091967">
            <w:pPr>
              <w:rPr>
                <w:sz w:val="20"/>
                <w:szCs w:val="20"/>
                <w:lang w:val="fr-CA"/>
              </w:rPr>
            </w:pPr>
          </w:p>
        </w:tc>
        <w:tc>
          <w:tcPr>
            <w:tcW w:w="243" w:type="pct"/>
          </w:tcPr>
          <w:p w:rsidR="00091967" w:rsidRPr="00483574" w:rsidRDefault="00091967" w:rsidP="00091967">
            <w:pPr>
              <w:rPr>
                <w:sz w:val="20"/>
                <w:szCs w:val="20"/>
                <w:lang w:val="fr-CA"/>
              </w:rPr>
            </w:pPr>
          </w:p>
        </w:tc>
        <w:tc>
          <w:tcPr>
            <w:tcW w:w="2330" w:type="pct"/>
          </w:tcPr>
          <w:p w:rsidR="00091967" w:rsidRPr="00483574" w:rsidRDefault="00091967" w:rsidP="007B42BE">
            <w:pPr>
              <w:jc w:val="both"/>
              <w:rPr>
                <w:sz w:val="20"/>
                <w:szCs w:val="20"/>
                <w:lang w:val="fr-CA"/>
              </w:rPr>
            </w:pPr>
            <w:r w:rsidRPr="00483574">
              <w:rPr>
                <w:sz w:val="20"/>
                <w:szCs w:val="20"/>
                <w:lang w:val="fr-CA"/>
              </w:rPr>
              <w:t>Appels des nouvelles cotisations relatives aux années d'imposition 1999 et 2000 de la demanderesse, accueillis en partie</w:t>
            </w:r>
          </w:p>
          <w:p w:rsidR="00091967" w:rsidRPr="00483574" w:rsidRDefault="00091967" w:rsidP="00091967">
            <w:pPr>
              <w:rPr>
                <w:sz w:val="20"/>
                <w:szCs w:val="20"/>
                <w:lang w:val="fr-CA"/>
              </w:rPr>
            </w:pPr>
          </w:p>
        </w:tc>
      </w:tr>
      <w:tr w:rsidR="00091967" w:rsidRPr="00B36F35" w:rsidTr="00091967">
        <w:tc>
          <w:tcPr>
            <w:tcW w:w="2427" w:type="pct"/>
          </w:tcPr>
          <w:p w:rsidR="00091967" w:rsidRPr="00483574" w:rsidRDefault="00091967" w:rsidP="00091967">
            <w:pPr>
              <w:rPr>
                <w:sz w:val="20"/>
                <w:szCs w:val="20"/>
                <w:lang w:val="fr-CA"/>
              </w:rPr>
            </w:pPr>
            <w:r w:rsidRPr="00483574">
              <w:rPr>
                <w:sz w:val="20"/>
                <w:szCs w:val="20"/>
                <w:lang w:val="fr-CA"/>
              </w:rPr>
              <w:t>23 septembre 2011</w:t>
            </w:r>
          </w:p>
          <w:p w:rsidR="00091967" w:rsidRPr="00483574" w:rsidRDefault="00091967" w:rsidP="00091967">
            <w:pPr>
              <w:rPr>
                <w:sz w:val="20"/>
                <w:szCs w:val="20"/>
                <w:lang w:val="fr-CA"/>
              </w:rPr>
            </w:pPr>
            <w:r w:rsidRPr="00483574">
              <w:rPr>
                <w:sz w:val="20"/>
                <w:szCs w:val="20"/>
                <w:lang w:val="fr-CA"/>
              </w:rPr>
              <w:t xml:space="preserve">Cour d'appel fédérale </w:t>
            </w:r>
          </w:p>
          <w:p w:rsidR="00091967" w:rsidRPr="00483574" w:rsidRDefault="00091967" w:rsidP="00091967">
            <w:pPr>
              <w:rPr>
                <w:sz w:val="20"/>
                <w:szCs w:val="20"/>
                <w:lang w:val="fr-CA"/>
              </w:rPr>
            </w:pPr>
            <w:r w:rsidRPr="00483574">
              <w:rPr>
                <w:sz w:val="20"/>
                <w:szCs w:val="20"/>
                <w:lang w:val="fr-CA"/>
              </w:rPr>
              <w:t>(Juges Nadon, Layden-Stevenson et Mainville [dissident])</w:t>
            </w:r>
          </w:p>
          <w:p w:rsidR="00091967" w:rsidRPr="00483574" w:rsidRDefault="00091967" w:rsidP="00091967">
            <w:pPr>
              <w:rPr>
                <w:sz w:val="20"/>
                <w:szCs w:val="20"/>
                <w:lang w:val="fr-CA"/>
              </w:rPr>
            </w:pPr>
          </w:p>
        </w:tc>
        <w:tc>
          <w:tcPr>
            <w:tcW w:w="243" w:type="pct"/>
          </w:tcPr>
          <w:p w:rsidR="00091967" w:rsidRPr="00483574" w:rsidRDefault="00091967" w:rsidP="00091967">
            <w:pPr>
              <w:rPr>
                <w:sz w:val="20"/>
                <w:szCs w:val="20"/>
                <w:lang w:val="fr-CA"/>
              </w:rPr>
            </w:pPr>
          </w:p>
        </w:tc>
        <w:tc>
          <w:tcPr>
            <w:tcW w:w="2330" w:type="pct"/>
          </w:tcPr>
          <w:p w:rsidR="00091967" w:rsidRPr="00483574" w:rsidRDefault="00091967" w:rsidP="007B42BE">
            <w:pPr>
              <w:jc w:val="both"/>
              <w:rPr>
                <w:sz w:val="20"/>
                <w:szCs w:val="20"/>
                <w:lang w:val="fr-CA"/>
              </w:rPr>
            </w:pPr>
            <w:r w:rsidRPr="00483574">
              <w:rPr>
                <w:sz w:val="20"/>
                <w:szCs w:val="20"/>
                <w:lang w:val="fr-CA"/>
              </w:rPr>
              <w:t>Appel rejeté et appel incident accueilli à l'égard de la nouvelle cotisation pour 1999. Appel accueilli et appel incident rejeté à l'égard de la nouvelle cotisation pour 2000. Jugement de la Cour de l’impôt, annulé. Appel de la nouvelle cotisation pour 1999, rejeté. Affaire intéressant l’année d'imposition 2000, renvoyée à la Cour de l'impôt pour réexamen</w:t>
            </w:r>
          </w:p>
          <w:p w:rsidR="00091967" w:rsidRPr="00483574" w:rsidRDefault="00091967" w:rsidP="00091967">
            <w:pPr>
              <w:rPr>
                <w:sz w:val="20"/>
                <w:szCs w:val="20"/>
                <w:lang w:val="fr-CA"/>
              </w:rPr>
            </w:pPr>
          </w:p>
        </w:tc>
      </w:tr>
      <w:tr w:rsidR="00091967" w:rsidRPr="00483574" w:rsidTr="00091967">
        <w:tc>
          <w:tcPr>
            <w:tcW w:w="2427" w:type="pct"/>
          </w:tcPr>
          <w:p w:rsidR="00091967" w:rsidRPr="00483574" w:rsidRDefault="00091967" w:rsidP="00091967">
            <w:pPr>
              <w:rPr>
                <w:sz w:val="20"/>
                <w:szCs w:val="20"/>
                <w:lang w:val="fr-CA"/>
              </w:rPr>
            </w:pPr>
            <w:r w:rsidRPr="00483574">
              <w:rPr>
                <w:sz w:val="20"/>
                <w:szCs w:val="20"/>
                <w:lang w:val="fr-CA"/>
              </w:rPr>
              <w:t>21 novembre 2011</w:t>
            </w:r>
          </w:p>
          <w:p w:rsidR="00091967" w:rsidRPr="00483574" w:rsidRDefault="00091967" w:rsidP="00091967">
            <w:pPr>
              <w:rPr>
                <w:sz w:val="20"/>
                <w:szCs w:val="20"/>
                <w:lang w:val="fr-CA"/>
              </w:rPr>
            </w:pPr>
            <w:r w:rsidRPr="00483574">
              <w:rPr>
                <w:sz w:val="20"/>
                <w:szCs w:val="20"/>
                <w:lang w:val="fr-CA"/>
              </w:rPr>
              <w:t>Cour suprême du Canada</w:t>
            </w:r>
          </w:p>
        </w:tc>
        <w:tc>
          <w:tcPr>
            <w:tcW w:w="243" w:type="pct"/>
          </w:tcPr>
          <w:p w:rsidR="00091967" w:rsidRPr="00483574" w:rsidRDefault="00091967" w:rsidP="00091967">
            <w:pPr>
              <w:rPr>
                <w:sz w:val="20"/>
                <w:szCs w:val="20"/>
                <w:lang w:val="fr-CA"/>
              </w:rPr>
            </w:pPr>
          </w:p>
        </w:tc>
        <w:tc>
          <w:tcPr>
            <w:tcW w:w="2330" w:type="pct"/>
          </w:tcPr>
          <w:p w:rsidR="00091967" w:rsidRPr="00483574" w:rsidRDefault="00091967" w:rsidP="00091967">
            <w:pPr>
              <w:rPr>
                <w:sz w:val="20"/>
                <w:szCs w:val="20"/>
                <w:lang w:val="fr-CA"/>
              </w:rPr>
            </w:pPr>
            <w:r w:rsidRPr="00483574">
              <w:rPr>
                <w:sz w:val="20"/>
                <w:szCs w:val="20"/>
                <w:lang w:val="fr-CA"/>
              </w:rPr>
              <w:t>Demande d'autorisation d'appel, déposée.</w:t>
            </w:r>
          </w:p>
        </w:tc>
      </w:tr>
    </w:tbl>
    <w:p w:rsidR="00091967" w:rsidRDefault="00091967" w:rsidP="001B157C">
      <w:pPr>
        <w:rPr>
          <w:sz w:val="20"/>
          <w:szCs w:val="20"/>
          <w:lang w:val="fr-CA"/>
        </w:rPr>
      </w:pPr>
    </w:p>
    <w:p w:rsidR="001B157C" w:rsidRDefault="009134DA" w:rsidP="001B157C">
      <w:pPr>
        <w:rPr>
          <w:sz w:val="20"/>
          <w:szCs w:val="20"/>
          <w:lang w:val="fr-CA"/>
        </w:rPr>
      </w:pPr>
      <w:r w:rsidRPr="009134DA">
        <w:rPr>
          <w:sz w:val="20"/>
          <w:szCs w:val="20"/>
          <w:lang w:val="fr-CA"/>
        </w:rPr>
        <w:pict>
          <v:rect id="_x0000_i1041" style="width:2in;height:1pt" o:hrpct="0" o:hralign="center" o:hrstd="t" o:hrnoshade="t" o:hr="t" fillcolor="black [3213]" stroked="f"/>
        </w:pict>
      </w:r>
    </w:p>
    <w:p w:rsidR="00091967" w:rsidRDefault="00091967" w:rsidP="001B157C">
      <w:pPr>
        <w:rPr>
          <w:sz w:val="20"/>
          <w:szCs w:val="20"/>
          <w:lang w:val="fr-CA"/>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4"/>
          <w:footerReference w:type="default" r:id="rId25"/>
          <w:headerReference w:type="first" r:id="rId26"/>
          <w:footerReference w:type="first" r:id="rId2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B36F35"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APRIL 2</w:t>
      </w:r>
      <w:r w:rsidR="001823C0">
        <w:rPr>
          <w:b/>
          <w:sz w:val="20"/>
          <w:szCs w:val="20"/>
        </w:rPr>
        <w:t>6</w:t>
      </w:r>
      <w:r w:rsidRPr="00C50A5C">
        <w:rPr>
          <w:b/>
          <w:sz w:val="20"/>
          <w:szCs w:val="20"/>
        </w:rPr>
        <w:t>, 201</w:t>
      </w:r>
      <w:r w:rsidR="001823C0">
        <w:rPr>
          <w:b/>
          <w:sz w:val="20"/>
          <w:szCs w:val="20"/>
        </w:rPr>
        <w:t>2</w:t>
      </w:r>
      <w:r w:rsidRPr="00C50A5C">
        <w:rPr>
          <w:b/>
          <w:sz w:val="20"/>
          <w:szCs w:val="20"/>
        </w:rPr>
        <w:t xml:space="preserve"> / LE 2</w:t>
      </w:r>
      <w:r w:rsidR="001823C0">
        <w:rPr>
          <w:b/>
          <w:sz w:val="20"/>
          <w:szCs w:val="20"/>
        </w:rPr>
        <w:t>6</w:t>
      </w:r>
      <w:r w:rsidRPr="00C50A5C">
        <w:rPr>
          <w:b/>
          <w:sz w:val="20"/>
          <w:szCs w:val="20"/>
        </w:rPr>
        <w:t xml:space="preserve"> AVRIL 201</w:t>
      </w:r>
      <w:r w:rsidR="001823C0">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38CA" w:rsidRPr="006338CA" w:rsidTr="009F03EB">
        <w:trPr>
          <w:cantSplit/>
        </w:trPr>
        <w:tc>
          <w:tcPr>
            <w:tcW w:w="1458" w:type="dxa"/>
          </w:tcPr>
          <w:p w:rsidR="006338CA" w:rsidRPr="006338CA" w:rsidRDefault="006338CA" w:rsidP="009F03EB">
            <w:pPr>
              <w:rPr>
                <w:sz w:val="20"/>
                <w:szCs w:val="20"/>
              </w:rPr>
            </w:pPr>
            <w:r w:rsidRPr="006338CA">
              <w:rPr>
                <w:rStyle w:val="SCCFileNumberChar"/>
                <w:sz w:val="20"/>
                <w:szCs w:val="20"/>
              </w:rPr>
              <w:t>34418</w:t>
            </w:r>
          </w:p>
          <w:p w:rsidR="006338CA" w:rsidRPr="006338CA" w:rsidRDefault="006338CA" w:rsidP="009F03EB">
            <w:pPr>
              <w:rPr>
                <w:b/>
                <w:sz w:val="20"/>
                <w:szCs w:val="20"/>
                <w:lang w:val="fr-CA"/>
              </w:rPr>
            </w:pPr>
          </w:p>
        </w:tc>
        <w:tc>
          <w:tcPr>
            <w:tcW w:w="8118" w:type="dxa"/>
          </w:tcPr>
          <w:p w:rsidR="006338CA" w:rsidRPr="006338CA" w:rsidRDefault="006338CA" w:rsidP="009F03EB">
            <w:pPr>
              <w:jc w:val="both"/>
              <w:rPr>
                <w:sz w:val="20"/>
                <w:szCs w:val="20"/>
              </w:rPr>
            </w:pPr>
            <w:r w:rsidRPr="006338CA">
              <w:rPr>
                <w:rStyle w:val="SCCLsocChar"/>
                <w:sz w:val="20"/>
                <w:szCs w:val="20"/>
                <w:lang w:val="en-CA"/>
              </w:rPr>
              <w:t>Public Mobile v. Globalive Wireless Management Corp.</w:t>
            </w:r>
            <w:r>
              <w:rPr>
                <w:rStyle w:val="SCCLsocChar"/>
                <w:sz w:val="20"/>
                <w:szCs w:val="20"/>
                <w:lang w:val="en-CA"/>
              </w:rPr>
              <w:t xml:space="preserve"> and</w:t>
            </w:r>
            <w:r w:rsidRPr="006338CA">
              <w:rPr>
                <w:rStyle w:val="SCCLsocChar"/>
                <w:sz w:val="20"/>
                <w:szCs w:val="20"/>
                <w:lang w:val="en-CA"/>
              </w:rPr>
              <w:t xml:space="preserve"> Attorney General of Canada</w:t>
            </w:r>
            <w:r w:rsidRPr="006338CA">
              <w:rPr>
                <w:sz w:val="20"/>
                <w:szCs w:val="20"/>
              </w:rPr>
              <w:t xml:space="preserve"> (F.C.) (Civil) (By Leave)</w:t>
            </w:r>
          </w:p>
          <w:p w:rsidR="006338CA" w:rsidRPr="006338CA" w:rsidRDefault="006338CA" w:rsidP="009F03EB">
            <w:pPr>
              <w:rPr>
                <w:sz w:val="20"/>
                <w:szCs w:val="20"/>
              </w:rPr>
            </w:pPr>
          </w:p>
        </w:tc>
      </w:tr>
      <w:tr w:rsidR="006338CA" w:rsidRPr="006338CA" w:rsidTr="009F03EB">
        <w:trPr>
          <w:cantSplit/>
        </w:trPr>
        <w:tc>
          <w:tcPr>
            <w:tcW w:w="1458" w:type="dxa"/>
          </w:tcPr>
          <w:p w:rsidR="006338CA" w:rsidRPr="006338CA" w:rsidRDefault="006338CA" w:rsidP="009F03EB">
            <w:pPr>
              <w:rPr>
                <w:sz w:val="20"/>
                <w:szCs w:val="20"/>
              </w:rPr>
            </w:pPr>
            <w:r w:rsidRPr="006338CA">
              <w:rPr>
                <w:sz w:val="20"/>
                <w:szCs w:val="20"/>
              </w:rPr>
              <w:t>Coram :</w:t>
            </w:r>
          </w:p>
        </w:tc>
        <w:tc>
          <w:tcPr>
            <w:tcW w:w="8118" w:type="dxa"/>
          </w:tcPr>
          <w:p w:rsidR="006338CA" w:rsidRPr="006338CA" w:rsidRDefault="006338CA" w:rsidP="009F03EB">
            <w:pPr>
              <w:rPr>
                <w:sz w:val="20"/>
                <w:szCs w:val="20"/>
              </w:rPr>
            </w:pPr>
            <w:r w:rsidRPr="006338CA">
              <w:rPr>
                <w:rStyle w:val="SCCCoramChar"/>
                <w:sz w:val="20"/>
                <w:szCs w:val="20"/>
                <w:lang w:val="en-CA"/>
              </w:rPr>
              <w:t>McLachlin C.J. and Rothstein and Moldaver JJ.</w:t>
            </w:r>
          </w:p>
          <w:p w:rsidR="006338CA" w:rsidRPr="006338CA" w:rsidRDefault="006338CA" w:rsidP="009F03EB">
            <w:pPr>
              <w:rPr>
                <w:sz w:val="20"/>
                <w:szCs w:val="20"/>
                <w:u w:val="single"/>
              </w:rPr>
            </w:pPr>
          </w:p>
        </w:tc>
      </w:tr>
      <w:tr w:rsidR="006338CA" w:rsidRPr="00B36F35" w:rsidTr="009F03EB">
        <w:trPr>
          <w:cantSplit/>
        </w:trPr>
        <w:tc>
          <w:tcPr>
            <w:tcW w:w="9576" w:type="dxa"/>
            <w:gridSpan w:val="2"/>
          </w:tcPr>
          <w:p w:rsidR="006338CA" w:rsidRPr="006338CA" w:rsidRDefault="006338CA" w:rsidP="009F03EB">
            <w:pPr>
              <w:pStyle w:val="SCCShortJudgment"/>
              <w:rPr>
                <w:szCs w:val="20"/>
              </w:rPr>
            </w:pPr>
            <w:r w:rsidRPr="006338CA">
              <w:rPr>
                <w:szCs w:val="20"/>
              </w:rPr>
              <w:t>The application for leave to appeal from the judgment of the Federal Court of Appeal, Numbers A-78-11 and A-79-11, 2011 FCA 194, dated June 8, 2011, is dismissed with costs.</w:t>
            </w:r>
          </w:p>
          <w:p w:rsidR="006338CA" w:rsidRPr="006338CA" w:rsidRDefault="006338CA" w:rsidP="009F03EB">
            <w:pPr>
              <w:pStyle w:val="SCCShortJudgment"/>
              <w:ind w:firstLine="0"/>
              <w:rPr>
                <w:szCs w:val="20"/>
              </w:rPr>
            </w:pPr>
          </w:p>
          <w:p w:rsidR="006338CA" w:rsidRPr="006338CA" w:rsidRDefault="006338CA" w:rsidP="009F03EB">
            <w:pPr>
              <w:pStyle w:val="SCCShortJudgment"/>
              <w:rPr>
                <w:szCs w:val="20"/>
                <w:lang w:val="fr-CA"/>
              </w:rPr>
            </w:pPr>
            <w:r w:rsidRPr="006338CA">
              <w:rPr>
                <w:szCs w:val="20"/>
                <w:lang w:val="fr-CA"/>
              </w:rPr>
              <w:t>La demande d’autorisation d’appel de l’arrêt de la Cour d’appel fédérale, numéros A-78-11 et A-79-11, 2011 CAF 194, daté du 8 juin 2011, est rejetée avec dépens.</w:t>
            </w:r>
          </w:p>
        </w:tc>
      </w:tr>
    </w:tbl>
    <w:p w:rsidR="001823C0" w:rsidRPr="006338CA" w:rsidRDefault="001823C0" w:rsidP="008D292F">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7304" w:rsidRPr="00F24723" w:rsidTr="00936316">
        <w:tc>
          <w:tcPr>
            <w:tcW w:w="5000" w:type="pct"/>
            <w:gridSpan w:val="3"/>
          </w:tcPr>
          <w:p w:rsidR="00FF7304" w:rsidRPr="00F24723" w:rsidRDefault="00FF7304" w:rsidP="00936316">
            <w:pPr>
              <w:jc w:val="both"/>
              <w:rPr>
                <w:rFonts w:eastAsia="Calibri"/>
                <w:sz w:val="20"/>
              </w:rPr>
            </w:pPr>
            <w:r w:rsidRPr="00F24723">
              <w:rPr>
                <w:rFonts w:eastAsia="Calibri"/>
                <w:sz w:val="20"/>
              </w:rPr>
              <w:t xml:space="preserve">Administrative law – Judicial Review – Standard of Review –  Judicial review of decisions by Governor in Council – Telecommunications common carriers – Canadian ownership and control – Standard of review applicable to decision by Governor in Council varying finding by the Canadian Radio-television and Telecommunications Commission – Whether question of “control in fact” of a corporation by non-Canadians under s. 16 of the </w:t>
            </w:r>
            <w:r w:rsidRPr="00F24723">
              <w:rPr>
                <w:rFonts w:eastAsia="Calibri"/>
                <w:i/>
                <w:sz w:val="20"/>
              </w:rPr>
              <w:t>Telecommunications Act</w:t>
            </w:r>
            <w:r w:rsidRPr="00F24723">
              <w:rPr>
                <w:rFonts w:eastAsia="Calibri"/>
                <w:sz w:val="20"/>
              </w:rPr>
              <w:t xml:space="preserve">, S.C. 1993, c. 38, is a policy decision or  factual in nature.  </w:t>
            </w:r>
          </w:p>
        </w:tc>
      </w:tr>
      <w:tr w:rsidR="00FF7304" w:rsidRPr="00F24723" w:rsidTr="00936316">
        <w:tc>
          <w:tcPr>
            <w:tcW w:w="5000" w:type="pct"/>
            <w:gridSpan w:val="3"/>
          </w:tcPr>
          <w:p w:rsidR="00FF7304" w:rsidRPr="00F24723" w:rsidRDefault="00FF7304" w:rsidP="00936316">
            <w:pPr>
              <w:jc w:val="both"/>
              <w:rPr>
                <w:rFonts w:eastAsia="Calibri"/>
                <w:sz w:val="20"/>
              </w:rPr>
            </w:pPr>
          </w:p>
        </w:tc>
      </w:tr>
      <w:tr w:rsidR="00FF7304" w:rsidRPr="00F24723" w:rsidTr="00936316">
        <w:tc>
          <w:tcPr>
            <w:tcW w:w="5000" w:type="pct"/>
            <w:gridSpan w:val="3"/>
          </w:tcPr>
          <w:p w:rsidR="00FF7304" w:rsidRPr="00F24723" w:rsidRDefault="00FF7304" w:rsidP="00936316">
            <w:pPr>
              <w:jc w:val="both"/>
              <w:rPr>
                <w:rFonts w:eastAsia="Calibri"/>
                <w:sz w:val="20"/>
              </w:rPr>
            </w:pPr>
            <w:r w:rsidRPr="00F24723">
              <w:rPr>
                <w:rFonts w:eastAsia="Calibri"/>
                <w:sz w:val="20"/>
              </w:rPr>
              <w:t xml:space="preserve">Globalive Wireless Management Corp. was granted spectrum licences to operate wireless services in Canada.  Under the </w:t>
            </w:r>
            <w:r w:rsidRPr="00F24723">
              <w:rPr>
                <w:rFonts w:eastAsia="Calibri"/>
                <w:i/>
                <w:sz w:val="20"/>
              </w:rPr>
              <w:t>Telecommunications Act</w:t>
            </w:r>
            <w:r w:rsidRPr="00F24723">
              <w:rPr>
                <w:rFonts w:eastAsia="Calibri"/>
                <w:sz w:val="20"/>
              </w:rPr>
              <w:t>, S.C. 1993, c. 38, the Canadian Radio-television and Telecommunications Commission convened a hearing into Globalive’s ownership structure and issued Telecom Decision 2009-678 holding that Globalive is controlled by a non-Canadian and therefore not eligible to operate as a telecommunications common carrier in Canada. The Governor in Council issued an Order in Council varying the commission’s decision and permitting Globalive to operate in Canada.  The applicant sought judicial review of the Order in Council. The applications judge quashed the Order in Council.  The respondents appealed and the appeals were consolidated and granted.  The Order in Council was reinstated.</w:t>
            </w:r>
          </w:p>
          <w:p w:rsidR="00FF7304" w:rsidRPr="00F24723" w:rsidRDefault="00FF7304" w:rsidP="00936316">
            <w:pPr>
              <w:jc w:val="both"/>
              <w:rPr>
                <w:rFonts w:eastAsia="Calibri"/>
                <w:sz w:val="20"/>
              </w:rPr>
            </w:pPr>
          </w:p>
        </w:tc>
      </w:tr>
      <w:tr w:rsidR="00FF7304" w:rsidRPr="00F24723" w:rsidTr="00936316">
        <w:tc>
          <w:tcPr>
            <w:tcW w:w="2427" w:type="pct"/>
          </w:tcPr>
          <w:p w:rsidR="00FF7304" w:rsidRPr="00F24723" w:rsidRDefault="00FF7304" w:rsidP="00936316">
            <w:pPr>
              <w:jc w:val="both"/>
              <w:rPr>
                <w:rFonts w:eastAsia="Calibri"/>
                <w:sz w:val="20"/>
              </w:rPr>
            </w:pPr>
            <w:r w:rsidRPr="00F24723">
              <w:rPr>
                <w:rFonts w:eastAsia="Calibri"/>
                <w:sz w:val="20"/>
              </w:rPr>
              <w:t>February 4, 2011</w:t>
            </w:r>
          </w:p>
          <w:p w:rsidR="00FF7304" w:rsidRPr="00F24723" w:rsidRDefault="00FF7304" w:rsidP="00936316">
            <w:pPr>
              <w:jc w:val="both"/>
              <w:rPr>
                <w:rFonts w:eastAsia="Calibri"/>
                <w:sz w:val="20"/>
              </w:rPr>
            </w:pPr>
            <w:r w:rsidRPr="00F24723">
              <w:rPr>
                <w:rFonts w:eastAsia="Calibri"/>
                <w:sz w:val="20"/>
              </w:rPr>
              <w:t>Federal Court</w:t>
            </w:r>
          </w:p>
          <w:p w:rsidR="00FF7304" w:rsidRPr="00F24723" w:rsidRDefault="00FF7304" w:rsidP="00936316">
            <w:pPr>
              <w:jc w:val="both"/>
              <w:rPr>
                <w:rFonts w:eastAsia="Calibri"/>
                <w:sz w:val="20"/>
              </w:rPr>
            </w:pPr>
            <w:r w:rsidRPr="00F24723">
              <w:rPr>
                <w:rFonts w:eastAsia="Calibri"/>
                <w:sz w:val="20"/>
              </w:rPr>
              <w:t>(Hughes J.)</w:t>
            </w:r>
          </w:p>
          <w:p w:rsidR="00FF7304" w:rsidRPr="00F24723" w:rsidRDefault="00FF7304" w:rsidP="00936316">
            <w:pPr>
              <w:jc w:val="both"/>
              <w:rPr>
                <w:rFonts w:eastAsia="Calibri"/>
                <w:sz w:val="20"/>
              </w:rPr>
            </w:pPr>
            <w:r w:rsidRPr="00F24723">
              <w:rPr>
                <w:rFonts w:eastAsia="Calibri"/>
                <w:sz w:val="20"/>
              </w:rPr>
              <w:t>2011 FC 130</w:t>
            </w:r>
          </w:p>
          <w:p w:rsidR="00FF7304" w:rsidRPr="00F24723" w:rsidRDefault="00FF7304" w:rsidP="00936316">
            <w:pPr>
              <w:jc w:val="both"/>
              <w:rPr>
                <w:rFonts w:eastAsia="Calibri"/>
                <w:sz w:val="20"/>
              </w:rPr>
            </w:pPr>
          </w:p>
        </w:tc>
        <w:tc>
          <w:tcPr>
            <w:tcW w:w="243" w:type="pct"/>
          </w:tcPr>
          <w:p w:rsidR="00FF7304" w:rsidRPr="00F24723" w:rsidRDefault="00FF7304" w:rsidP="00936316">
            <w:pPr>
              <w:jc w:val="both"/>
              <w:rPr>
                <w:rFonts w:eastAsia="Calibri"/>
                <w:sz w:val="20"/>
              </w:rPr>
            </w:pPr>
          </w:p>
        </w:tc>
        <w:tc>
          <w:tcPr>
            <w:tcW w:w="2330" w:type="pct"/>
          </w:tcPr>
          <w:p w:rsidR="00FF7304" w:rsidRPr="00F24723" w:rsidRDefault="00FF7304" w:rsidP="00936316">
            <w:pPr>
              <w:jc w:val="both"/>
              <w:rPr>
                <w:rFonts w:eastAsia="Calibri"/>
                <w:sz w:val="20"/>
              </w:rPr>
            </w:pPr>
            <w:r w:rsidRPr="00F24723">
              <w:rPr>
                <w:rFonts w:eastAsia="Calibri"/>
                <w:sz w:val="20"/>
              </w:rPr>
              <w:t>Application for Judicial Review allowed; Decision of Governor in Council P.C. 2009-2008 dated December 10, 2009 declared null and void, and quashed</w:t>
            </w:r>
          </w:p>
          <w:p w:rsidR="00FF7304" w:rsidRPr="00F24723" w:rsidRDefault="00FF7304" w:rsidP="00936316">
            <w:pPr>
              <w:jc w:val="both"/>
              <w:rPr>
                <w:rFonts w:eastAsia="Calibri"/>
                <w:sz w:val="20"/>
              </w:rPr>
            </w:pPr>
          </w:p>
        </w:tc>
      </w:tr>
      <w:tr w:rsidR="00FF7304" w:rsidRPr="00F24723" w:rsidTr="00936316">
        <w:tc>
          <w:tcPr>
            <w:tcW w:w="2427" w:type="pct"/>
          </w:tcPr>
          <w:p w:rsidR="00FF7304" w:rsidRPr="00F24723" w:rsidRDefault="00FF7304" w:rsidP="00936316">
            <w:pPr>
              <w:jc w:val="both"/>
              <w:rPr>
                <w:rFonts w:eastAsia="Calibri"/>
                <w:sz w:val="20"/>
              </w:rPr>
            </w:pPr>
            <w:r w:rsidRPr="00F24723">
              <w:rPr>
                <w:rFonts w:eastAsia="Calibri"/>
                <w:sz w:val="20"/>
              </w:rPr>
              <w:t>June 8, 2011</w:t>
            </w:r>
          </w:p>
          <w:p w:rsidR="00FF7304" w:rsidRPr="00F24723" w:rsidRDefault="00FF7304" w:rsidP="00936316">
            <w:pPr>
              <w:jc w:val="both"/>
              <w:rPr>
                <w:rFonts w:eastAsia="Calibri"/>
                <w:sz w:val="20"/>
              </w:rPr>
            </w:pPr>
            <w:r w:rsidRPr="00F24723">
              <w:rPr>
                <w:rFonts w:eastAsia="Calibri"/>
                <w:sz w:val="20"/>
              </w:rPr>
              <w:t>Federal Court of Appeal</w:t>
            </w:r>
          </w:p>
          <w:p w:rsidR="00FF7304" w:rsidRPr="00F24723" w:rsidRDefault="00FF7304" w:rsidP="00936316">
            <w:pPr>
              <w:jc w:val="both"/>
              <w:rPr>
                <w:rFonts w:eastAsia="Calibri"/>
                <w:sz w:val="20"/>
              </w:rPr>
            </w:pPr>
            <w:r w:rsidRPr="00F24723">
              <w:rPr>
                <w:rFonts w:eastAsia="Calibri"/>
                <w:sz w:val="20"/>
              </w:rPr>
              <w:t>(Sexton, Dawson, Stratas JJ.A.)</w:t>
            </w:r>
          </w:p>
          <w:p w:rsidR="00FF7304" w:rsidRPr="00F24723" w:rsidRDefault="00FF7304" w:rsidP="00936316">
            <w:pPr>
              <w:jc w:val="both"/>
              <w:rPr>
                <w:rFonts w:eastAsia="Calibri"/>
                <w:sz w:val="20"/>
              </w:rPr>
            </w:pPr>
            <w:r w:rsidRPr="00F24723">
              <w:rPr>
                <w:rFonts w:eastAsia="Calibri"/>
                <w:sz w:val="20"/>
              </w:rPr>
              <w:t>2011 FCA 194</w:t>
            </w:r>
          </w:p>
          <w:p w:rsidR="00FF7304" w:rsidRPr="00F24723" w:rsidRDefault="00FF7304" w:rsidP="00936316">
            <w:pPr>
              <w:jc w:val="both"/>
              <w:rPr>
                <w:rFonts w:eastAsia="Calibri"/>
                <w:sz w:val="20"/>
              </w:rPr>
            </w:pPr>
            <w:r w:rsidRPr="00F24723">
              <w:rPr>
                <w:rFonts w:eastAsia="Calibri"/>
                <w:sz w:val="20"/>
              </w:rPr>
              <w:t>A-78-11; A-79-11</w:t>
            </w:r>
          </w:p>
          <w:p w:rsidR="00FF7304" w:rsidRPr="00F24723" w:rsidRDefault="00FF7304" w:rsidP="00936316">
            <w:pPr>
              <w:jc w:val="both"/>
              <w:rPr>
                <w:rFonts w:eastAsia="Calibri"/>
                <w:sz w:val="20"/>
              </w:rPr>
            </w:pPr>
          </w:p>
        </w:tc>
        <w:tc>
          <w:tcPr>
            <w:tcW w:w="243" w:type="pct"/>
          </w:tcPr>
          <w:p w:rsidR="00FF7304" w:rsidRPr="00F24723" w:rsidRDefault="00FF7304" w:rsidP="00936316">
            <w:pPr>
              <w:jc w:val="both"/>
              <w:rPr>
                <w:rFonts w:eastAsia="Calibri"/>
                <w:sz w:val="20"/>
              </w:rPr>
            </w:pPr>
          </w:p>
        </w:tc>
        <w:tc>
          <w:tcPr>
            <w:tcW w:w="2330" w:type="pct"/>
          </w:tcPr>
          <w:p w:rsidR="00FF7304" w:rsidRPr="00F24723" w:rsidRDefault="00FF7304" w:rsidP="00936316">
            <w:pPr>
              <w:jc w:val="both"/>
              <w:rPr>
                <w:rFonts w:eastAsia="Calibri"/>
                <w:sz w:val="20"/>
              </w:rPr>
            </w:pPr>
            <w:r w:rsidRPr="00F24723">
              <w:rPr>
                <w:rFonts w:eastAsia="Calibri"/>
                <w:sz w:val="20"/>
              </w:rPr>
              <w:t>Appeals allowed, Order in Council restored</w:t>
            </w:r>
          </w:p>
          <w:p w:rsidR="00FF7304" w:rsidRPr="00F24723" w:rsidRDefault="00FF7304" w:rsidP="00936316">
            <w:pPr>
              <w:jc w:val="both"/>
              <w:rPr>
                <w:rFonts w:eastAsia="Calibri"/>
                <w:sz w:val="20"/>
              </w:rPr>
            </w:pPr>
          </w:p>
        </w:tc>
      </w:tr>
      <w:tr w:rsidR="00FF7304" w:rsidRPr="00F24723" w:rsidTr="00936316">
        <w:tc>
          <w:tcPr>
            <w:tcW w:w="2427" w:type="pct"/>
          </w:tcPr>
          <w:p w:rsidR="00FF7304" w:rsidRPr="00F24723" w:rsidRDefault="00FF7304" w:rsidP="00936316">
            <w:pPr>
              <w:jc w:val="both"/>
              <w:rPr>
                <w:rFonts w:eastAsia="Calibri"/>
                <w:sz w:val="20"/>
              </w:rPr>
            </w:pPr>
            <w:r w:rsidRPr="00F24723">
              <w:rPr>
                <w:rFonts w:eastAsia="Calibri"/>
                <w:sz w:val="20"/>
              </w:rPr>
              <w:t>September 2, 2011</w:t>
            </w:r>
          </w:p>
          <w:p w:rsidR="00FF7304" w:rsidRPr="00F24723" w:rsidRDefault="00FF7304" w:rsidP="00936316">
            <w:pPr>
              <w:jc w:val="both"/>
              <w:rPr>
                <w:rFonts w:eastAsia="Calibri"/>
                <w:sz w:val="20"/>
              </w:rPr>
            </w:pPr>
            <w:r w:rsidRPr="00F24723">
              <w:rPr>
                <w:rFonts w:eastAsia="Calibri"/>
                <w:sz w:val="20"/>
              </w:rPr>
              <w:t>Supreme Court of Canada</w:t>
            </w:r>
          </w:p>
        </w:tc>
        <w:tc>
          <w:tcPr>
            <w:tcW w:w="243" w:type="pct"/>
          </w:tcPr>
          <w:p w:rsidR="00FF7304" w:rsidRPr="00F24723" w:rsidRDefault="00FF7304" w:rsidP="00936316">
            <w:pPr>
              <w:jc w:val="both"/>
              <w:rPr>
                <w:rFonts w:eastAsia="Calibri"/>
                <w:sz w:val="20"/>
              </w:rPr>
            </w:pPr>
          </w:p>
        </w:tc>
        <w:tc>
          <w:tcPr>
            <w:tcW w:w="2330" w:type="pct"/>
          </w:tcPr>
          <w:p w:rsidR="00FF7304" w:rsidRPr="00F24723" w:rsidRDefault="00FF7304" w:rsidP="00936316">
            <w:pPr>
              <w:jc w:val="both"/>
              <w:rPr>
                <w:rFonts w:eastAsia="Calibri"/>
                <w:sz w:val="20"/>
              </w:rPr>
            </w:pPr>
            <w:r w:rsidRPr="00F24723">
              <w:rPr>
                <w:rFonts w:eastAsia="Calibri"/>
                <w:sz w:val="20"/>
              </w:rPr>
              <w:t>Application for leave to appeal filed</w:t>
            </w:r>
          </w:p>
          <w:p w:rsidR="00FF7304" w:rsidRPr="00F24723" w:rsidRDefault="00FF7304" w:rsidP="00936316">
            <w:pPr>
              <w:jc w:val="both"/>
              <w:rPr>
                <w:rFonts w:eastAsia="Calibri"/>
                <w:sz w:val="20"/>
              </w:rPr>
            </w:pPr>
          </w:p>
        </w:tc>
      </w:tr>
    </w:tbl>
    <w:p w:rsidR="001823C0" w:rsidRDefault="001823C0" w:rsidP="008D292F">
      <w:pPr>
        <w:rPr>
          <w:sz w:val="20"/>
          <w:szCs w:val="20"/>
        </w:rPr>
      </w:pPr>
    </w:p>
    <w:p w:rsidR="001823C0" w:rsidRPr="00C50A5C" w:rsidRDefault="009134DA" w:rsidP="001823C0">
      <w:pPr>
        <w:rPr>
          <w:sz w:val="20"/>
          <w:szCs w:val="20"/>
        </w:rPr>
      </w:pPr>
      <w:r w:rsidRPr="009134DA">
        <w:rPr>
          <w:sz w:val="20"/>
          <w:szCs w:val="20"/>
          <w:lang w:val="fr-CA"/>
        </w:rPr>
        <w:pict>
          <v:rect id="_x0000_i1044" style="width:2in;height:1pt" o:hrpct="0" o:hralign="center" o:hrstd="t" o:hrnoshade="t" o:hr="t" fillcolor="black [3213]" stroked="f"/>
        </w:pict>
      </w:r>
    </w:p>
    <w:p w:rsidR="001823C0" w:rsidRDefault="001823C0" w:rsidP="001823C0">
      <w:pPr>
        <w:rPr>
          <w:sz w:val="20"/>
          <w:szCs w:val="20"/>
        </w:rPr>
      </w:pPr>
    </w:p>
    <w:p w:rsidR="006338CA" w:rsidRDefault="006338CA">
      <w:pPr>
        <w:rPr>
          <w:sz w:val="20"/>
          <w:szCs w:val="20"/>
          <w:u w:val="single"/>
          <w:lang w:val="fr-CA"/>
        </w:rPr>
      </w:pPr>
      <w:r>
        <w:rPr>
          <w:sz w:val="20"/>
          <w:szCs w:val="20"/>
          <w:u w:val="single"/>
          <w:lang w:val="fr-CA"/>
        </w:rPr>
        <w:br w:type="page"/>
      </w:r>
    </w:p>
    <w:p w:rsidR="001823C0" w:rsidRPr="001B157C" w:rsidRDefault="001823C0" w:rsidP="001823C0">
      <w:pPr>
        <w:rPr>
          <w:sz w:val="20"/>
          <w:szCs w:val="20"/>
          <w:u w:val="single"/>
          <w:lang w:val="fr-CA"/>
        </w:rPr>
      </w:pPr>
      <w:r w:rsidRPr="001B157C">
        <w:rPr>
          <w:sz w:val="20"/>
          <w:szCs w:val="20"/>
          <w:u w:val="single"/>
          <w:lang w:val="fr-CA"/>
        </w:rPr>
        <w:lastRenderedPageBreak/>
        <w:t>RÉSUMÉ DE L’AFFAIRE</w:t>
      </w:r>
    </w:p>
    <w:p w:rsidR="001823C0" w:rsidRDefault="001823C0"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7304" w:rsidRPr="00B36F35" w:rsidTr="00936316">
        <w:tc>
          <w:tcPr>
            <w:tcW w:w="5000" w:type="pct"/>
            <w:gridSpan w:val="3"/>
          </w:tcPr>
          <w:p w:rsidR="00FF7304" w:rsidRPr="00F24723" w:rsidRDefault="00FF7304" w:rsidP="00936316">
            <w:pPr>
              <w:jc w:val="both"/>
              <w:rPr>
                <w:rFonts w:eastAsia="Calibri"/>
                <w:sz w:val="20"/>
                <w:lang w:val="fr-CA"/>
              </w:rPr>
            </w:pPr>
            <w:r w:rsidRPr="00F24723">
              <w:rPr>
                <w:rFonts w:eastAsia="Calibri"/>
                <w:sz w:val="20"/>
                <w:lang w:val="fr-CA"/>
              </w:rPr>
              <w:t xml:space="preserve">Droit administratif – Contrôle judiciaire – Norme de Contrôle – Contrôle judiciaire de décisions rendues par la gouverneure en conseil – Entreprise de télécommunication – Propriété et contrôle canadiens – Norme de contrôle applicable à la décision de la gouverneure en conseil modifiant la conclusion tirée par le </w:t>
            </w:r>
            <w:r w:rsidRPr="00F24723">
              <w:rPr>
                <w:rFonts w:eastAsia="Calibri"/>
                <w:sz w:val="20"/>
                <w:lang w:val="fr-FR"/>
              </w:rPr>
              <w:t>Conseil de la radiodiffusion et des télécommunications canadiennes</w:t>
            </w:r>
            <w:r w:rsidRPr="00F24723">
              <w:rPr>
                <w:rFonts w:eastAsia="Calibri"/>
                <w:sz w:val="20"/>
                <w:lang w:val="fr-CA"/>
              </w:rPr>
              <w:t xml:space="preserve"> – La question du « contrôle de fait » d’une société par des non-Canadiens dont parle l’art. 16 de la </w:t>
            </w:r>
            <w:r w:rsidRPr="00F24723">
              <w:rPr>
                <w:rFonts w:eastAsia="Calibri"/>
                <w:i/>
                <w:iCs/>
                <w:spacing w:val="-3"/>
                <w:sz w:val="20"/>
                <w:lang w:val="fr-FR"/>
              </w:rPr>
              <w:t>Loi sur les télécommunications</w:t>
            </w:r>
            <w:r w:rsidRPr="00F24723">
              <w:rPr>
                <w:rFonts w:eastAsia="Calibri"/>
                <w:sz w:val="20"/>
                <w:lang w:val="fr-CA"/>
              </w:rPr>
              <w:t>, L.C. 1993, ch. 38, est</w:t>
            </w:r>
            <w:r w:rsidRPr="00F24723">
              <w:rPr>
                <w:rFonts w:eastAsia="Calibri"/>
                <w:sz w:val="20"/>
                <w:lang w:val="fr-CA"/>
              </w:rPr>
              <w:noBreakHyphen/>
              <w:t xml:space="preserve">elle une question de nature politique ou une question de nature factuelle?  </w:t>
            </w:r>
          </w:p>
        </w:tc>
      </w:tr>
      <w:tr w:rsidR="00FF7304" w:rsidRPr="00B36F35" w:rsidTr="00936316">
        <w:tc>
          <w:tcPr>
            <w:tcW w:w="5000" w:type="pct"/>
            <w:gridSpan w:val="3"/>
          </w:tcPr>
          <w:p w:rsidR="00FF7304" w:rsidRPr="00F24723" w:rsidRDefault="00FF7304" w:rsidP="00936316">
            <w:pPr>
              <w:jc w:val="both"/>
              <w:rPr>
                <w:rFonts w:eastAsia="Calibri"/>
                <w:sz w:val="20"/>
                <w:lang w:val="fr-CA"/>
              </w:rPr>
            </w:pPr>
          </w:p>
        </w:tc>
      </w:tr>
      <w:tr w:rsidR="00FF7304" w:rsidRPr="00F24723" w:rsidTr="00936316">
        <w:tc>
          <w:tcPr>
            <w:tcW w:w="5000" w:type="pct"/>
            <w:gridSpan w:val="3"/>
          </w:tcPr>
          <w:p w:rsidR="00FF7304" w:rsidRPr="00F24723" w:rsidRDefault="00FF7304" w:rsidP="00936316">
            <w:pPr>
              <w:jc w:val="both"/>
              <w:rPr>
                <w:rFonts w:eastAsia="Calibri"/>
                <w:sz w:val="20"/>
                <w:lang w:val="fr-CA"/>
              </w:rPr>
            </w:pPr>
            <w:r w:rsidRPr="00F24723">
              <w:rPr>
                <w:rFonts w:eastAsia="Calibri"/>
                <w:sz w:val="20"/>
                <w:lang w:val="fr-CA"/>
              </w:rPr>
              <w:t xml:space="preserve">Globalive Wireless Management Corp. a obtenu des licences du spectre relativement à l’exploitation de services sans fil au Canada.  En conformité avec la </w:t>
            </w:r>
            <w:r w:rsidRPr="00F24723">
              <w:rPr>
                <w:rFonts w:eastAsia="Calibri"/>
                <w:i/>
                <w:iCs/>
                <w:spacing w:val="-3"/>
                <w:sz w:val="20"/>
                <w:lang w:val="fr-FR"/>
              </w:rPr>
              <w:t>Loi sur les télécommunications</w:t>
            </w:r>
            <w:r w:rsidRPr="00F24723">
              <w:rPr>
                <w:rFonts w:eastAsia="Calibri"/>
                <w:sz w:val="20"/>
                <w:lang w:val="fr-CA"/>
              </w:rPr>
              <w:t xml:space="preserve">, L.C. 1993, ch. 38, le </w:t>
            </w:r>
            <w:r w:rsidRPr="00F24723">
              <w:rPr>
                <w:rFonts w:eastAsia="Calibri"/>
                <w:sz w:val="20"/>
                <w:lang w:val="fr-FR"/>
              </w:rPr>
              <w:t xml:space="preserve">Conseil de la radiodiffusion et des télécommunications canadiennes a convoqué une audience concernant la structure du capital social de </w:t>
            </w:r>
            <w:r w:rsidRPr="00F24723">
              <w:rPr>
                <w:rFonts w:eastAsia="Calibri"/>
                <w:sz w:val="20"/>
                <w:lang w:val="fr-CA"/>
              </w:rPr>
              <w:t>Globalive et a rendu la Décision de télécom CRTC 2009-678 portant que Globalive est contrôlée par un non</w:t>
            </w:r>
            <w:r w:rsidRPr="00F24723">
              <w:rPr>
                <w:rFonts w:eastAsia="Calibri"/>
                <w:sz w:val="20"/>
                <w:lang w:val="fr-CA"/>
              </w:rPr>
              <w:noBreakHyphen/>
              <w:t xml:space="preserve">Canadien et qu’elle n’est donc pas </w:t>
            </w:r>
            <w:r w:rsidRPr="00F24723">
              <w:rPr>
                <w:rFonts w:eastAsia="Calibri"/>
                <w:sz w:val="20"/>
                <w:lang w:val="fr-FR"/>
              </w:rPr>
              <w:t>admissible à opérer comme entreprise de télécommunication au Canada</w:t>
            </w:r>
            <w:r w:rsidRPr="00F24723">
              <w:rPr>
                <w:rFonts w:eastAsia="Calibri"/>
                <w:sz w:val="20"/>
                <w:lang w:val="fr-CA"/>
              </w:rPr>
              <w:t>.  Par décret, la gouverneure en conseil a modifié la décision rendue par le Conseil et a autorisé Globalive à opérer au Canada.  La demanderesse a demandé le contrôle judiciaire du décret.  Le juge qui a entendu la demande a annulé le décret.  Les défendeurs ont interjeté appel et les appels ont été réunis et accueillis.  Le décret a été rétabli.</w:t>
            </w:r>
          </w:p>
          <w:p w:rsidR="00FF7304" w:rsidRPr="00F24723" w:rsidRDefault="00FF7304" w:rsidP="00936316">
            <w:pPr>
              <w:jc w:val="both"/>
              <w:rPr>
                <w:rFonts w:eastAsia="Calibri"/>
                <w:sz w:val="20"/>
                <w:lang w:val="fr-CA"/>
              </w:rPr>
            </w:pPr>
          </w:p>
        </w:tc>
      </w:tr>
      <w:tr w:rsidR="00FF7304" w:rsidRPr="00B36F35" w:rsidTr="00936316">
        <w:tc>
          <w:tcPr>
            <w:tcW w:w="2427" w:type="pct"/>
          </w:tcPr>
          <w:p w:rsidR="00FF7304" w:rsidRPr="00F24723" w:rsidRDefault="00FF7304" w:rsidP="00936316">
            <w:pPr>
              <w:jc w:val="both"/>
              <w:rPr>
                <w:rFonts w:eastAsia="Calibri"/>
                <w:sz w:val="20"/>
                <w:lang w:val="fr-CA"/>
              </w:rPr>
            </w:pPr>
            <w:r w:rsidRPr="00F24723">
              <w:rPr>
                <w:rFonts w:eastAsia="Calibri"/>
                <w:sz w:val="20"/>
                <w:lang w:val="fr-CA"/>
              </w:rPr>
              <w:t>4 février 2011</w:t>
            </w:r>
          </w:p>
          <w:p w:rsidR="00FF7304" w:rsidRPr="00F24723" w:rsidRDefault="00FF7304" w:rsidP="00936316">
            <w:pPr>
              <w:jc w:val="both"/>
              <w:rPr>
                <w:rFonts w:eastAsia="Calibri"/>
                <w:sz w:val="20"/>
                <w:lang w:val="fr-CA"/>
              </w:rPr>
            </w:pPr>
            <w:r w:rsidRPr="00F24723">
              <w:rPr>
                <w:rFonts w:eastAsia="Calibri"/>
                <w:sz w:val="20"/>
                <w:lang w:val="fr-CA"/>
              </w:rPr>
              <w:t>Cour fédérale</w:t>
            </w:r>
          </w:p>
          <w:p w:rsidR="00FF7304" w:rsidRPr="00F24723" w:rsidRDefault="00FF7304" w:rsidP="00936316">
            <w:pPr>
              <w:jc w:val="both"/>
              <w:rPr>
                <w:rFonts w:eastAsia="Calibri"/>
                <w:sz w:val="20"/>
                <w:lang w:val="fr-CA"/>
              </w:rPr>
            </w:pPr>
            <w:r w:rsidRPr="00F24723">
              <w:rPr>
                <w:rFonts w:eastAsia="Calibri"/>
                <w:sz w:val="20"/>
                <w:lang w:val="fr-CA"/>
              </w:rPr>
              <w:t>(Juge Hughes)</w:t>
            </w:r>
          </w:p>
          <w:p w:rsidR="00FF7304" w:rsidRPr="00F24723" w:rsidRDefault="00FF7304" w:rsidP="00936316">
            <w:pPr>
              <w:jc w:val="both"/>
              <w:rPr>
                <w:rFonts w:eastAsia="Calibri"/>
                <w:sz w:val="20"/>
                <w:lang w:val="fr-CA"/>
              </w:rPr>
            </w:pPr>
            <w:r w:rsidRPr="00F24723">
              <w:rPr>
                <w:rFonts w:eastAsia="Calibri"/>
                <w:sz w:val="20"/>
                <w:lang w:val="fr-CA"/>
              </w:rPr>
              <w:t>2011 CF 130</w:t>
            </w:r>
          </w:p>
          <w:p w:rsidR="00FF7304" w:rsidRPr="00F24723" w:rsidRDefault="00FF7304" w:rsidP="00936316">
            <w:pPr>
              <w:jc w:val="both"/>
              <w:rPr>
                <w:rFonts w:eastAsia="Calibri"/>
                <w:sz w:val="20"/>
                <w:lang w:val="fr-CA"/>
              </w:rPr>
            </w:pPr>
          </w:p>
        </w:tc>
        <w:tc>
          <w:tcPr>
            <w:tcW w:w="243" w:type="pct"/>
          </w:tcPr>
          <w:p w:rsidR="00FF7304" w:rsidRPr="00F24723" w:rsidRDefault="00FF7304" w:rsidP="00936316">
            <w:pPr>
              <w:jc w:val="both"/>
              <w:rPr>
                <w:rFonts w:eastAsia="Calibri"/>
                <w:sz w:val="20"/>
                <w:lang w:val="fr-CA"/>
              </w:rPr>
            </w:pPr>
          </w:p>
        </w:tc>
        <w:tc>
          <w:tcPr>
            <w:tcW w:w="2330" w:type="pct"/>
          </w:tcPr>
          <w:p w:rsidR="00FF7304" w:rsidRPr="00F24723" w:rsidRDefault="00FF7304" w:rsidP="00936316">
            <w:pPr>
              <w:jc w:val="both"/>
              <w:rPr>
                <w:rFonts w:eastAsia="Calibri"/>
                <w:sz w:val="20"/>
                <w:lang w:val="fr-CA"/>
              </w:rPr>
            </w:pPr>
            <w:r w:rsidRPr="00F24723">
              <w:rPr>
                <w:rFonts w:eastAsia="Calibri"/>
                <w:sz w:val="20"/>
                <w:lang w:val="fr-CA"/>
              </w:rPr>
              <w:t>Demande de contrôle judiciaire accueillie; décret de la gouverneure en conseil C.P. 2009-2008 daté du 10 décembre 2009 est déclaré invalide et est annulé</w:t>
            </w:r>
          </w:p>
          <w:p w:rsidR="00FF7304" w:rsidRPr="00F24723" w:rsidRDefault="00FF7304" w:rsidP="00936316">
            <w:pPr>
              <w:jc w:val="both"/>
              <w:rPr>
                <w:rFonts w:eastAsia="Calibri"/>
                <w:sz w:val="20"/>
                <w:lang w:val="fr-CA"/>
              </w:rPr>
            </w:pPr>
          </w:p>
        </w:tc>
      </w:tr>
      <w:tr w:rsidR="00FF7304" w:rsidRPr="00F24723" w:rsidTr="00936316">
        <w:tc>
          <w:tcPr>
            <w:tcW w:w="2427" w:type="pct"/>
          </w:tcPr>
          <w:p w:rsidR="00FF7304" w:rsidRPr="00F24723" w:rsidRDefault="00FF7304" w:rsidP="00936316">
            <w:pPr>
              <w:jc w:val="both"/>
              <w:rPr>
                <w:rFonts w:eastAsia="Calibri"/>
                <w:sz w:val="20"/>
                <w:lang w:val="fr-CA"/>
              </w:rPr>
            </w:pPr>
            <w:r w:rsidRPr="00F24723">
              <w:rPr>
                <w:rFonts w:eastAsia="Calibri"/>
                <w:sz w:val="20"/>
                <w:lang w:val="fr-CA"/>
              </w:rPr>
              <w:t>8 juin 2011</w:t>
            </w:r>
          </w:p>
          <w:p w:rsidR="00FF7304" w:rsidRPr="00F24723" w:rsidRDefault="00FF7304" w:rsidP="00936316">
            <w:pPr>
              <w:jc w:val="both"/>
              <w:rPr>
                <w:rFonts w:eastAsia="Calibri"/>
                <w:sz w:val="20"/>
                <w:lang w:val="fr-CA"/>
              </w:rPr>
            </w:pPr>
            <w:r w:rsidRPr="00F24723">
              <w:rPr>
                <w:rFonts w:eastAsia="Calibri"/>
                <w:sz w:val="20"/>
                <w:lang w:val="fr-CA"/>
              </w:rPr>
              <w:t>Cour d’appel fédérale</w:t>
            </w:r>
          </w:p>
          <w:p w:rsidR="00FF7304" w:rsidRPr="00F24723" w:rsidRDefault="00FF7304" w:rsidP="00936316">
            <w:pPr>
              <w:jc w:val="both"/>
              <w:rPr>
                <w:rFonts w:eastAsia="Calibri"/>
                <w:sz w:val="20"/>
                <w:lang w:val="fr-CA"/>
              </w:rPr>
            </w:pPr>
            <w:r w:rsidRPr="00F24723">
              <w:rPr>
                <w:rFonts w:eastAsia="Calibri"/>
                <w:sz w:val="20"/>
                <w:lang w:val="fr-CA"/>
              </w:rPr>
              <w:t>(Juges Sexton, Dawson et Stratas)</w:t>
            </w:r>
          </w:p>
          <w:p w:rsidR="00FF7304" w:rsidRPr="00F24723" w:rsidRDefault="00FF7304" w:rsidP="00936316">
            <w:pPr>
              <w:jc w:val="both"/>
              <w:rPr>
                <w:rFonts w:eastAsia="Calibri"/>
                <w:sz w:val="20"/>
                <w:lang w:val="fr-CA"/>
              </w:rPr>
            </w:pPr>
            <w:r w:rsidRPr="00F24723">
              <w:rPr>
                <w:rFonts w:eastAsia="Calibri"/>
                <w:sz w:val="20"/>
                <w:lang w:val="fr-CA"/>
              </w:rPr>
              <w:t>2011 CAF 194</w:t>
            </w:r>
          </w:p>
          <w:p w:rsidR="00FF7304" w:rsidRPr="00F24723" w:rsidRDefault="00FF7304" w:rsidP="00936316">
            <w:pPr>
              <w:jc w:val="both"/>
              <w:rPr>
                <w:rFonts w:eastAsia="Calibri"/>
                <w:sz w:val="20"/>
                <w:lang w:val="fr-CA"/>
              </w:rPr>
            </w:pPr>
            <w:r w:rsidRPr="00F24723">
              <w:rPr>
                <w:rFonts w:eastAsia="Calibri"/>
                <w:sz w:val="20"/>
                <w:lang w:val="fr-CA"/>
              </w:rPr>
              <w:t>A-78-11; A-79-11</w:t>
            </w:r>
          </w:p>
          <w:p w:rsidR="00FF7304" w:rsidRPr="00F24723" w:rsidRDefault="00FF7304" w:rsidP="00936316">
            <w:pPr>
              <w:jc w:val="both"/>
              <w:rPr>
                <w:rFonts w:eastAsia="Calibri"/>
                <w:sz w:val="20"/>
                <w:lang w:val="fr-CA"/>
              </w:rPr>
            </w:pPr>
          </w:p>
        </w:tc>
        <w:tc>
          <w:tcPr>
            <w:tcW w:w="243" w:type="pct"/>
          </w:tcPr>
          <w:p w:rsidR="00FF7304" w:rsidRPr="00F24723" w:rsidRDefault="00FF7304" w:rsidP="00936316">
            <w:pPr>
              <w:jc w:val="both"/>
              <w:rPr>
                <w:rFonts w:eastAsia="Calibri"/>
                <w:sz w:val="20"/>
                <w:lang w:val="fr-CA"/>
              </w:rPr>
            </w:pPr>
          </w:p>
        </w:tc>
        <w:tc>
          <w:tcPr>
            <w:tcW w:w="2330" w:type="pct"/>
          </w:tcPr>
          <w:p w:rsidR="00FF7304" w:rsidRPr="00F24723" w:rsidRDefault="00FF7304" w:rsidP="00936316">
            <w:pPr>
              <w:jc w:val="both"/>
              <w:rPr>
                <w:rFonts w:eastAsia="Calibri"/>
                <w:sz w:val="20"/>
                <w:lang w:val="fr-CA"/>
              </w:rPr>
            </w:pPr>
            <w:r w:rsidRPr="00F24723">
              <w:rPr>
                <w:rFonts w:eastAsia="Calibri"/>
                <w:sz w:val="20"/>
                <w:lang w:val="fr-CA"/>
              </w:rPr>
              <w:t>Appels accueillis, décret rétabli</w:t>
            </w:r>
          </w:p>
          <w:p w:rsidR="00FF7304" w:rsidRPr="00F24723" w:rsidRDefault="00FF7304" w:rsidP="00936316">
            <w:pPr>
              <w:jc w:val="both"/>
              <w:rPr>
                <w:rFonts w:eastAsia="Calibri"/>
                <w:sz w:val="20"/>
                <w:lang w:val="fr-CA"/>
              </w:rPr>
            </w:pPr>
          </w:p>
        </w:tc>
      </w:tr>
      <w:tr w:rsidR="00FF7304" w:rsidRPr="00F24723" w:rsidTr="00936316">
        <w:tc>
          <w:tcPr>
            <w:tcW w:w="2427" w:type="pct"/>
          </w:tcPr>
          <w:p w:rsidR="00FF7304" w:rsidRPr="00F24723" w:rsidRDefault="00FF7304" w:rsidP="00936316">
            <w:pPr>
              <w:jc w:val="both"/>
              <w:rPr>
                <w:rFonts w:eastAsia="Calibri"/>
                <w:sz w:val="20"/>
                <w:lang w:val="fr-CA"/>
              </w:rPr>
            </w:pPr>
            <w:r w:rsidRPr="00F24723">
              <w:rPr>
                <w:rFonts w:eastAsia="Calibri"/>
                <w:sz w:val="20"/>
                <w:lang w:val="fr-CA"/>
              </w:rPr>
              <w:t>2 septembre 2011</w:t>
            </w:r>
          </w:p>
          <w:p w:rsidR="00FF7304" w:rsidRPr="00F24723" w:rsidRDefault="00FF7304" w:rsidP="00936316">
            <w:pPr>
              <w:jc w:val="both"/>
              <w:rPr>
                <w:rFonts w:eastAsia="Calibri"/>
                <w:sz w:val="20"/>
                <w:lang w:val="fr-CA"/>
              </w:rPr>
            </w:pPr>
            <w:r w:rsidRPr="00F24723">
              <w:rPr>
                <w:rFonts w:eastAsia="Calibri"/>
                <w:sz w:val="20"/>
                <w:lang w:val="fr-CA"/>
              </w:rPr>
              <w:t>Cour suprême du Canada</w:t>
            </w:r>
          </w:p>
        </w:tc>
        <w:tc>
          <w:tcPr>
            <w:tcW w:w="243" w:type="pct"/>
          </w:tcPr>
          <w:p w:rsidR="00FF7304" w:rsidRPr="00F24723" w:rsidRDefault="00FF7304" w:rsidP="00936316">
            <w:pPr>
              <w:jc w:val="both"/>
              <w:rPr>
                <w:rFonts w:eastAsia="Calibri"/>
                <w:sz w:val="20"/>
                <w:lang w:val="fr-CA"/>
              </w:rPr>
            </w:pPr>
          </w:p>
        </w:tc>
        <w:tc>
          <w:tcPr>
            <w:tcW w:w="2330" w:type="pct"/>
          </w:tcPr>
          <w:p w:rsidR="00FF7304" w:rsidRPr="00F24723" w:rsidRDefault="00FF7304" w:rsidP="00936316">
            <w:pPr>
              <w:jc w:val="both"/>
              <w:rPr>
                <w:rFonts w:eastAsia="Calibri"/>
                <w:sz w:val="20"/>
                <w:lang w:val="fr-CA"/>
              </w:rPr>
            </w:pPr>
            <w:r w:rsidRPr="00F24723">
              <w:rPr>
                <w:rFonts w:eastAsia="Calibri"/>
                <w:sz w:val="20"/>
                <w:lang w:val="fr-CA"/>
              </w:rPr>
              <w:t>Demande d’autorisation d’appel, déposée</w:t>
            </w:r>
          </w:p>
          <w:p w:rsidR="00FF7304" w:rsidRPr="00F24723" w:rsidRDefault="00FF7304" w:rsidP="00936316">
            <w:pPr>
              <w:jc w:val="both"/>
              <w:rPr>
                <w:rFonts w:eastAsia="Calibri"/>
                <w:sz w:val="20"/>
                <w:lang w:val="fr-CA"/>
              </w:rPr>
            </w:pPr>
          </w:p>
        </w:tc>
      </w:tr>
    </w:tbl>
    <w:p w:rsidR="001823C0" w:rsidRDefault="001823C0" w:rsidP="008D292F">
      <w:pPr>
        <w:rPr>
          <w:sz w:val="20"/>
          <w:szCs w:val="20"/>
        </w:rPr>
      </w:pPr>
    </w:p>
    <w:p w:rsidR="001823C0" w:rsidRDefault="009134DA" w:rsidP="008D292F">
      <w:pPr>
        <w:rPr>
          <w:sz w:val="20"/>
          <w:szCs w:val="20"/>
        </w:rPr>
      </w:pPr>
      <w:r w:rsidRPr="009134DA">
        <w:rPr>
          <w:sz w:val="20"/>
          <w:szCs w:val="20"/>
          <w:lang w:val="fr-CA"/>
        </w:rPr>
        <w:pict>
          <v:rect id="_x0000_i1045" style="width:2in;height:1pt" o:hrpct="0" o:hralign="center" o:hrstd="t" o:hrnoshade="t" o:hr="t" fillcolor="black [3213]" stroked="f"/>
        </w:pict>
      </w:r>
    </w:p>
    <w:p w:rsidR="001823C0" w:rsidRDefault="001823C0"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38CA" w:rsidRPr="007D1F17" w:rsidTr="009F03EB">
        <w:trPr>
          <w:cantSplit/>
        </w:trPr>
        <w:tc>
          <w:tcPr>
            <w:tcW w:w="1458" w:type="dxa"/>
          </w:tcPr>
          <w:p w:rsidR="006338CA" w:rsidRPr="007D1F17" w:rsidRDefault="006338CA" w:rsidP="009F03EB">
            <w:pPr>
              <w:rPr>
                <w:sz w:val="20"/>
                <w:szCs w:val="20"/>
              </w:rPr>
            </w:pPr>
            <w:r w:rsidRPr="007D1F17">
              <w:rPr>
                <w:rStyle w:val="SCCFileNumberChar"/>
                <w:sz w:val="20"/>
                <w:szCs w:val="20"/>
              </w:rPr>
              <w:t>34454</w:t>
            </w:r>
          </w:p>
          <w:p w:rsidR="006338CA" w:rsidRPr="007D1F17" w:rsidRDefault="006338CA" w:rsidP="009F03EB">
            <w:pPr>
              <w:rPr>
                <w:b/>
                <w:sz w:val="20"/>
                <w:szCs w:val="20"/>
                <w:lang w:val="fr-CA"/>
              </w:rPr>
            </w:pPr>
          </w:p>
        </w:tc>
        <w:tc>
          <w:tcPr>
            <w:tcW w:w="8118" w:type="dxa"/>
          </w:tcPr>
          <w:p w:rsidR="006338CA" w:rsidRPr="007D1F17" w:rsidRDefault="006338CA" w:rsidP="009F03EB">
            <w:pPr>
              <w:jc w:val="both"/>
              <w:rPr>
                <w:sz w:val="20"/>
                <w:szCs w:val="20"/>
              </w:rPr>
            </w:pPr>
            <w:r w:rsidRPr="007D1F17">
              <w:rPr>
                <w:rStyle w:val="SCCLsocChar"/>
                <w:sz w:val="20"/>
                <w:szCs w:val="20"/>
                <w:lang w:val="en-CA"/>
              </w:rPr>
              <w:t>Tove Reece, Zoocheck Canada Incorporated and People for the Ethical Treatment of Animals, Inc. v. City of Edmonton</w:t>
            </w:r>
            <w:r w:rsidRPr="007D1F17">
              <w:rPr>
                <w:sz w:val="20"/>
                <w:szCs w:val="20"/>
              </w:rPr>
              <w:t xml:space="preserve"> (Alta.) (Civil) (By Leave)</w:t>
            </w:r>
          </w:p>
          <w:p w:rsidR="006338CA" w:rsidRPr="007D1F17" w:rsidRDefault="006338CA" w:rsidP="009F03EB">
            <w:pPr>
              <w:rPr>
                <w:sz w:val="20"/>
                <w:szCs w:val="20"/>
              </w:rPr>
            </w:pPr>
          </w:p>
        </w:tc>
      </w:tr>
      <w:tr w:rsidR="006338CA" w:rsidRPr="007D1F17" w:rsidTr="009F03EB">
        <w:trPr>
          <w:cantSplit/>
        </w:trPr>
        <w:tc>
          <w:tcPr>
            <w:tcW w:w="1458" w:type="dxa"/>
          </w:tcPr>
          <w:p w:rsidR="006338CA" w:rsidRPr="007D1F17" w:rsidRDefault="006338CA" w:rsidP="009F03EB">
            <w:pPr>
              <w:rPr>
                <w:sz w:val="20"/>
                <w:szCs w:val="20"/>
              </w:rPr>
            </w:pPr>
            <w:r w:rsidRPr="007D1F17">
              <w:rPr>
                <w:sz w:val="20"/>
                <w:szCs w:val="20"/>
              </w:rPr>
              <w:t>Coram :</w:t>
            </w:r>
          </w:p>
        </w:tc>
        <w:tc>
          <w:tcPr>
            <w:tcW w:w="8118" w:type="dxa"/>
          </w:tcPr>
          <w:p w:rsidR="006338CA" w:rsidRPr="007D1F17" w:rsidRDefault="006338CA" w:rsidP="009F03EB">
            <w:pPr>
              <w:rPr>
                <w:sz w:val="20"/>
                <w:szCs w:val="20"/>
              </w:rPr>
            </w:pPr>
            <w:r w:rsidRPr="007D1F17">
              <w:rPr>
                <w:rStyle w:val="SCCCoramChar"/>
                <w:sz w:val="20"/>
                <w:szCs w:val="20"/>
                <w:lang w:val="en-CA"/>
              </w:rPr>
              <w:t>McLachlin C.J. and Rothstein and Moldaver JJ.</w:t>
            </w:r>
          </w:p>
          <w:p w:rsidR="006338CA" w:rsidRPr="007D1F17" w:rsidRDefault="006338CA" w:rsidP="009F03EB">
            <w:pPr>
              <w:rPr>
                <w:sz w:val="20"/>
                <w:szCs w:val="20"/>
                <w:u w:val="single"/>
              </w:rPr>
            </w:pPr>
          </w:p>
        </w:tc>
      </w:tr>
      <w:tr w:rsidR="006338CA" w:rsidRPr="00B36F35" w:rsidTr="009F03EB">
        <w:trPr>
          <w:cantSplit/>
        </w:trPr>
        <w:tc>
          <w:tcPr>
            <w:tcW w:w="9576" w:type="dxa"/>
            <w:gridSpan w:val="2"/>
          </w:tcPr>
          <w:p w:rsidR="006338CA" w:rsidRPr="007D1F17" w:rsidRDefault="006338CA" w:rsidP="009F03EB">
            <w:pPr>
              <w:pStyle w:val="SCCShortJudgment"/>
              <w:rPr>
                <w:szCs w:val="20"/>
              </w:rPr>
            </w:pPr>
            <w:r w:rsidRPr="007D1F17">
              <w:rPr>
                <w:szCs w:val="20"/>
              </w:rPr>
              <w:t>The application for leave to appeal from the judgment of the Court of Appeal of Alberta (Edmonton), Number 1003-0264-AC, 2011 ABCA 238, dated August 4, 2011, is dismissed with costs.</w:t>
            </w:r>
          </w:p>
          <w:p w:rsidR="006338CA" w:rsidRPr="007D1F17" w:rsidRDefault="006338CA" w:rsidP="009F03EB">
            <w:pPr>
              <w:pStyle w:val="SCCShortJudgment"/>
              <w:ind w:firstLine="0"/>
              <w:rPr>
                <w:szCs w:val="20"/>
              </w:rPr>
            </w:pPr>
          </w:p>
          <w:p w:rsidR="006338CA" w:rsidRPr="007D1F17" w:rsidRDefault="006338CA" w:rsidP="009F03EB">
            <w:pPr>
              <w:pStyle w:val="SCCShortJudgment"/>
              <w:rPr>
                <w:szCs w:val="20"/>
                <w:lang w:val="fr-CA"/>
              </w:rPr>
            </w:pPr>
            <w:r w:rsidRPr="007D1F17">
              <w:rPr>
                <w:szCs w:val="20"/>
                <w:lang w:val="fr-CA"/>
              </w:rPr>
              <w:t>La demande d’autorisation d’appel de l’arrêt de la Cour d’appel de l’Alberta (Edmonton), numéro 1003-0264-AC, 2011 ABCA 238, daté du 4 août 2011, est rejetée avec dépens.</w:t>
            </w:r>
          </w:p>
        </w:tc>
      </w:tr>
    </w:tbl>
    <w:p w:rsidR="001823C0" w:rsidRPr="006338CA"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4063" w:rsidRPr="00F24723" w:rsidTr="00936316">
        <w:tc>
          <w:tcPr>
            <w:tcW w:w="5000" w:type="pct"/>
            <w:gridSpan w:val="3"/>
          </w:tcPr>
          <w:p w:rsidR="00F24063" w:rsidRPr="00F24723" w:rsidRDefault="00F24063" w:rsidP="00936316">
            <w:pPr>
              <w:jc w:val="both"/>
              <w:rPr>
                <w:rFonts w:eastAsia="Calibri"/>
                <w:sz w:val="20"/>
              </w:rPr>
            </w:pPr>
            <w:r w:rsidRPr="00F24723">
              <w:rPr>
                <w:rFonts w:eastAsia="Calibri"/>
                <w:sz w:val="20"/>
              </w:rPr>
              <w:t xml:space="preserve">Civil procedure ― Pleadings ― Abuse of process ― Parties ― Public interest standing ― Judgments and orders ― Declaratory relief ― Applicants commenced an originating notice for an order that the City of Edmonton was in violation of s. 2 of the </w:t>
            </w:r>
            <w:r w:rsidRPr="00F24723">
              <w:rPr>
                <w:rFonts w:eastAsia="Calibri"/>
                <w:i/>
                <w:sz w:val="20"/>
              </w:rPr>
              <w:t>Animal Protection Act</w:t>
            </w:r>
            <w:r w:rsidRPr="00F24723">
              <w:rPr>
                <w:rFonts w:eastAsia="Calibri"/>
                <w:sz w:val="20"/>
              </w:rPr>
              <w:t>, R.S.A. 2000, c. A</w:t>
            </w:r>
            <w:r w:rsidRPr="00F24723">
              <w:rPr>
                <w:rFonts w:eastAsia="Calibri"/>
                <w:sz w:val="20"/>
              </w:rPr>
              <w:noBreakHyphen/>
              <w:t xml:space="preserve">41 ― City’s application to strike the originating </w:t>
            </w:r>
            <w:r w:rsidRPr="00F24723">
              <w:rPr>
                <w:rFonts w:eastAsia="Calibri"/>
                <w:sz w:val="20"/>
              </w:rPr>
              <w:lastRenderedPageBreak/>
              <w:t xml:space="preserve">notice granted ―  Majority of the Court of Appeal dismissed the appeal  ―  Whether the Court of Appeal erred by characterizing the issue as one of abuse of process rather than standing ― Whether the Court of Appeal erred by concluding that a penal statute, such as the </w:t>
            </w:r>
            <w:r w:rsidRPr="00F24723">
              <w:rPr>
                <w:rFonts w:eastAsia="Calibri"/>
                <w:i/>
                <w:sz w:val="20"/>
              </w:rPr>
              <w:t>Animal Protection Act</w:t>
            </w:r>
            <w:r w:rsidRPr="00F24723">
              <w:rPr>
                <w:rFonts w:eastAsia="Calibri"/>
                <w:sz w:val="20"/>
              </w:rPr>
              <w:t>, cannot give rise to a private right of action ― Whether the Court of Appeal erred by failing to consider whether the applicants had public interest standing to pursue this claim.</w:t>
            </w:r>
          </w:p>
        </w:tc>
      </w:tr>
      <w:tr w:rsidR="00F24063" w:rsidRPr="00F24723" w:rsidTr="00936316">
        <w:tc>
          <w:tcPr>
            <w:tcW w:w="5000" w:type="pct"/>
            <w:gridSpan w:val="3"/>
          </w:tcPr>
          <w:p w:rsidR="00F24063" w:rsidRPr="00F24723" w:rsidRDefault="00F24063" w:rsidP="00936316">
            <w:pPr>
              <w:jc w:val="both"/>
              <w:rPr>
                <w:rFonts w:eastAsia="Calibri"/>
                <w:sz w:val="20"/>
              </w:rPr>
            </w:pPr>
          </w:p>
        </w:tc>
      </w:tr>
      <w:tr w:rsidR="00F24063" w:rsidRPr="00F24723" w:rsidTr="00936316">
        <w:tc>
          <w:tcPr>
            <w:tcW w:w="5000" w:type="pct"/>
            <w:gridSpan w:val="3"/>
          </w:tcPr>
          <w:p w:rsidR="00F24063" w:rsidRPr="00F24723" w:rsidRDefault="00F24063" w:rsidP="00936316">
            <w:pPr>
              <w:jc w:val="both"/>
              <w:rPr>
                <w:rFonts w:eastAsia="Calibri"/>
                <w:sz w:val="20"/>
              </w:rPr>
            </w:pPr>
            <w:r w:rsidRPr="00F24723">
              <w:rPr>
                <w:rFonts w:eastAsia="Calibri"/>
                <w:sz w:val="20"/>
              </w:rPr>
              <w:t xml:space="preserve">The respondent, the City of Edmonton operates a zoo which houses one Asian elephant named Lucy.  Her presence at the zoo has been controversial for a long time.  The applicants mounted a campaign to have Lucy moved.  They complained to the Edmonton Humane Society (they are charged with enforcing the </w:t>
            </w:r>
            <w:r w:rsidRPr="00F24723">
              <w:rPr>
                <w:rFonts w:eastAsia="Calibri"/>
                <w:i/>
                <w:sz w:val="20"/>
              </w:rPr>
              <w:t>Animal Protection Act</w:t>
            </w:r>
            <w:r w:rsidRPr="00F24723">
              <w:rPr>
                <w:rFonts w:eastAsia="Calibri"/>
                <w:sz w:val="20"/>
              </w:rPr>
              <w:t>, R.S.A. 2000, c.A</w:t>
            </w:r>
            <w:r w:rsidRPr="00F24723">
              <w:rPr>
                <w:rFonts w:eastAsia="Calibri"/>
                <w:sz w:val="20"/>
              </w:rPr>
              <w:noBreakHyphen/>
              <w:t xml:space="preserve">41). The Humane Society investigated and concluded it was not in Lucy’s best interests to be moved.  </w:t>
            </w:r>
          </w:p>
          <w:p w:rsidR="00F24063" w:rsidRPr="00F24723" w:rsidRDefault="00F24063" w:rsidP="00936316">
            <w:pPr>
              <w:jc w:val="both"/>
              <w:rPr>
                <w:rFonts w:eastAsia="Calibri"/>
                <w:sz w:val="20"/>
              </w:rPr>
            </w:pPr>
          </w:p>
          <w:p w:rsidR="00F24063" w:rsidRPr="00F24723" w:rsidRDefault="00F24063" w:rsidP="00936316">
            <w:pPr>
              <w:jc w:val="both"/>
              <w:rPr>
                <w:rFonts w:eastAsia="Calibri"/>
                <w:sz w:val="20"/>
              </w:rPr>
            </w:pPr>
            <w:r w:rsidRPr="00F24723">
              <w:rPr>
                <w:rFonts w:eastAsia="Calibri"/>
                <w:sz w:val="20"/>
              </w:rPr>
              <w:t>The applicants commenced an originating notice for an order that the City was in violation of the APA.  The Court of Queen’s Bench of Alberta granted the City’s application to strike the originating notice.  The majority of the Court of Appeal (Chief Justice Fraser dissented) dismissed the appeal concluding that the chambers judge came to the correct conclusion.</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August 20, 2010</w:t>
            </w:r>
          </w:p>
          <w:p w:rsidR="00F24063" w:rsidRPr="00F24723" w:rsidRDefault="00F24063" w:rsidP="00936316">
            <w:pPr>
              <w:jc w:val="both"/>
              <w:rPr>
                <w:rFonts w:eastAsia="Calibri"/>
                <w:sz w:val="20"/>
              </w:rPr>
            </w:pPr>
            <w:r w:rsidRPr="00F24723">
              <w:rPr>
                <w:rFonts w:eastAsia="Calibri"/>
                <w:sz w:val="20"/>
              </w:rPr>
              <w:t>Court of Queen’s Bench of Alberta</w:t>
            </w:r>
          </w:p>
          <w:p w:rsidR="00F24063" w:rsidRPr="00F24723" w:rsidRDefault="00F24063" w:rsidP="00936316">
            <w:pPr>
              <w:jc w:val="both"/>
              <w:rPr>
                <w:rFonts w:eastAsia="Calibri"/>
                <w:sz w:val="20"/>
              </w:rPr>
            </w:pPr>
            <w:r w:rsidRPr="00F24723">
              <w:rPr>
                <w:rFonts w:eastAsia="Calibri"/>
                <w:sz w:val="20"/>
              </w:rPr>
              <w:t>(Rooke A.C.J.)</w:t>
            </w:r>
          </w:p>
          <w:p w:rsidR="00F24063" w:rsidRPr="00F24723" w:rsidRDefault="00F24063" w:rsidP="00936316">
            <w:pPr>
              <w:jc w:val="both"/>
              <w:rPr>
                <w:rFonts w:eastAsia="Calibri"/>
                <w:sz w:val="20"/>
              </w:rPr>
            </w:pPr>
            <w:r w:rsidRPr="00F24723">
              <w:rPr>
                <w:rFonts w:eastAsia="Calibri"/>
                <w:sz w:val="20"/>
              </w:rPr>
              <w:t>2010 ABQB 538</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City of Edmonton’s application granted; Applicants’ originating notice struck.</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August 4, 2011</w:t>
            </w:r>
          </w:p>
          <w:p w:rsidR="00F24063" w:rsidRPr="00F24723" w:rsidRDefault="00F24063" w:rsidP="00936316">
            <w:pPr>
              <w:jc w:val="both"/>
              <w:rPr>
                <w:rFonts w:eastAsia="Calibri"/>
                <w:sz w:val="20"/>
              </w:rPr>
            </w:pPr>
            <w:r w:rsidRPr="00F24723">
              <w:rPr>
                <w:rFonts w:eastAsia="Calibri"/>
                <w:sz w:val="20"/>
              </w:rPr>
              <w:t>Court of Appeal of Alberta (Edmonton)</w:t>
            </w:r>
          </w:p>
          <w:p w:rsidR="00F24063" w:rsidRPr="00F24723" w:rsidRDefault="00F24063" w:rsidP="00936316">
            <w:pPr>
              <w:jc w:val="both"/>
              <w:rPr>
                <w:rFonts w:eastAsia="Calibri"/>
                <w:sz w:val="20"/>
              </w:rPr>
            </w:pPr>
            <w:r w:rsidRPr="00F24723">
              <w:rPr>
                <w:rFonts w:eastAsia="Calibri"/>
                <w:sz w:val="20"/>
              </w:rPr>
              <w:t>(Fraser C.J. (dissenting) and Costigan and Slatter JJ.A.)</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Appeal dismissed.</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September 28, 2011</w:t>
            </w:r>
          </w:p>
          <w:p w:rsidR="00F24063" w:rsidRPr="00F24723" w:rsidRDefault="00F24063" w:rsidP="00936316">
            <w:pPr>
              <w:jc w:val="both"/>
              <w:rPr>
                <w:rFonts w:eastAsia="Calibri"/>
                <w:sz w:val="20"/>
              </w:rPr>
            </w:pPr>
            <w:r w:rsidRPr="00F24723">
              <w:rPr>
                <w:rFonts w:eastAsia="Calibri"/>
                <w:sz w:val="20"/>
              </w:rPr>
              <w:t>Supreme Court of Canada</w:t>
            </w: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Application for leave to appeal filed</w:t>
            </w:r>
          </w:p>
          <w:p w:rsidR="00F24063" w:rsidRPr="00F24723" w:rsidRDefault="00F24063"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46"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24063" w:rsidRPr="00B36F35" w:rsidTr="00936316">
        <w:tc>
          <w:tcPr>
            <w:tcW w:w="5000" w:type="pct"/>
            <w:gridSpan w:val="3"/>
          </w:tcPr>
          <w:p w:rsidR="00F24063" w:rsidRPr="00F24723" w:rsidRDefault="00F24063" w:rsidP="00936316">
            <w:pPr>
              <w:jc w:val="both"/>
              <w:rPr>
                <w:rFonts w:eastAsia="Calibri"/>
                <w:sz w:val="20"/>
                <w:lang w:val="fr-CA"/>
              </w:rPr>
            </w:pPr>
            <w:r w:rsidRPr="00F24723">
              <w:rPr>
                <w:rFonts w:eastAsia="Calibri"/>
                <w:sz w:val="20"/>
                <w:lang w:val="fr-CA"/>
              </w:rPr>
              <w:t xml:space="preserve">Procédure civile ― Actes de procédure ― Abus de procédure ― Parties ― Qualité pour agir dans l'intérêt public ― Jugements et ordonnances ― Jugement déclaratoire ― Les demanderesses ont introduit un avis introductif d'instance pour obtenir une ordonnance déclarant que la Cité d'Edmonton contrevenait à l'art. 2 de la </w:t>
            </w:r>
            <w:r w:rsidRPr="00F24723">
              <w:rPr>
                <w:rFonts w:eastAsia="Calibri"/>
                <w:i/>
                <w:sz w:val="20"/>
                <w:lang w:val="fr-CA"/>
              </w:rPr>
              <w:t>Animal Protection Act</w:t>
            </w:r>
            <w:r w:rsidRPr="00F24723">
              <w:rPr>
                <w:rFonts w:eastAsia="Calibri"/>
                <w:sz w:val="20"/>
                <w:lang w:val="fr-CA"/>
              </w:rPr>
              <w:t xml:space="preserve">, R.S.A. 2000, ch. A-41  ― La demande de la municipalité en radiation de l’avis introductif d'instance a été accueillie ― Les juges majoritaires de la Cour d'appel ont rejeté l'appel ― La Cour d'appel a-t-elle eu tort de qualifier la question en litige comme en étant une d’abus de procédure plutôt que d’une question de qualité pour agir? ― La Cour d'appel a-t-elle eu tort de conclure qu’une loi pénale, comme la </w:t>
            </w:r>
            <w:r w:rsidRPr="00F24723">
              <w:rPr>
                <w:rFonts w:eastAsia="Calibri"/>
                <w:i/>
                <w:sz w:val="20"/>
                <w:lang w:val="fr-CA"/>
              </w:rPr>
              <w:t>Animal Protection Act</w:t>
            </w:r>
            <w:r w:rsidRPr="00F24723">
              <w:rPr>
                <w:rFonts w:eastAsia="Calibri"/>
                <w:sz w:val="20"/>
                <w:lang w:val="fr-CA"/>
              </w:rPr>
              <w:t>, ne pouvait donner naissance à un droit d'action privé? ― La Cour d'appel a-t-elle eu tort de ne pas considérer la question de savoir si les demanderesses avaient la qualité pour poursuivre cette cause d'action dans l'intérêt public?</w:t>
            </w:r>
          </w:p>
        </w:tc>
      </w:tr>
      <w:tr w:rsidR="00F24063" w:rsidRPr="00B36F35" w:rsidTr="00936316">
        <w:tc>
          <w:tcPr>
            <w:tcW w:w="5000" w:type="pct"/>
            <w:gridSpan w:val="3"/>
          </w:tcPr>
          <w:p w:rsidR="00F24063" w:rsidRPr="00F24723" w:rsidRDefault="00F24063" w:rsidP="00936316">
            <w:pPr>
              <w:jc w:val="both"/>
              <w:rPr>
                <w:rFonts w:eastAsia="Calibri"/>
                <w:sz w:val="20"/>
                <w:lang w:val="fr-CA"/>
              </w:rPr>
            </w:pPr>
          </w:p>
        </w:tc>
      </w:tr>
      <w:tr w:rsidR="00F24063" w:rsidRPr="00B36F35" w:rsidTr="00936316">
        <w:tc>
          <w:tcPr>
            <w:tcW w:w="5000" w:type="pct"/>
            <w:gridSpan w:val="3"/>
          </w:tcPr>
          <w:p w:rsidR="00F24063" w:rsidRPr="00F24723" w:rsidRDefault="00F24063" w:rsidP="00936316">
            <w:pPr>
              <w:jc w:val="both"/>
              <w:rPr>
                <w:rFonts w:eastAsia="Calibri"/>
                <w:sz w:val="20"/>
                <w:lang w:val="fr-CA"/>
              </w:rPr>
            </w:pPr>
            <w:r w:rsidRPr="00F24723">
              <w:rPr>
                <w:rFonts w:eastAsia="Calibri"/>
                <w:sz w:val="20"/>
                <w:lang w:val="fr-CA"/>
              </w:rPr>
              <w:t xml:space="preserve">La Cité d’Edmonton intimée exploite un zoo qui héberge une éléphante d'Asie nommée Lucy. Sa présence au zoo suscite la controverse depuis longtemps. Les demanderesses ont lancé une campagne pour que Lucy soit déplacée. Elles ont porté plainte à l’Edmonton Humane Society (l'organisme chargé de l'exécution de la </w:t>
            </w:r>
            <w:r w:rsidRPr="00F24723">
              <w:rPr>
                <w:rFonts w:eastAsia="Calibri"/>
                <w:i/>
                <w:sz w:val="20"/>
                <w:lang w:val="fr-CA"/>
              </w:rPr>
              <w:t>Animal Protection Act</w:t>
            </w:r>
            <w:r w:rsidRPr="00F24723">
              <w:rPr>
                <w:rFonts w:eastAsia="Calibri"/>
                <w:sz w:val="20"/>
                <w:lang w:val="fr-CA"/>
              </w:rPr>
              <w:t xml:space="preserve">, R.S.A. 2000, ch. A-41). La Humane Society a fait enquête et a conclu qu'il valait mieux pour Lucy qu’elle ne soit pas déplacée.  </w:t>
            </w:r>
          </w:p>
          <w:p w:rsidR="00F24063" w:rsidRPr="00F24723" w:rsidRDefault="00F24063" w:rsidP="00936316">
            <w:pPr>
              <w:jc w:val="both"/>
              <w:rPr>
                <w:rFonts w:eastAsia="Calibri"/>
                <w:sz w:val="20"/>
                <w:lang w:val="fr-CA"/>
              </w:rPr>
            </w:pPr>
          </w:p>
          <w:p w:rsidR="00F24063" w:rsidRPr="00F24723" w:rsidRDefault="00F24063" w:rsidP="00936316">
            <w:pPr>
              <w:jc w:val="both"/>
              <w:rPr>
                <w:rFonts w:eastAsia="Calibri"/>
                <w:sz w:val="20"/>
                <w:lang w:val="fr-CA"/>
              </w:rPr>
            </w:pPr>
            <w:r w:rsidRPr="00F24723">
              <w:rPr>
                <w:rFonts w:eastAsia="Calibri"/>
                <w:sz w:val="20"/>
                <w:lang w:val="fr-CA"/>
              </w:rPr>
              <w:t xml:space="preserve">Les demanderesses ont introduit un avis introductif d'instance pour obtenir une ordonnance déclarant que la municipalité contrevenait à l’APA. La Cour du Banc de la Reine de l'Alberta a accueilli la demande de la municipalité </w:t>
            </w:r>
            <w:r w:rsidRPr="00F24723">
              <w:rPr>
                <w:rFonts w:eastAsia="Calibri"/>
                <w:sz w:val="20"/>
                <w:lang w:val="fr-CA"/>
              </w:rPr>
              <w:lastRenderedPageBreak/>
              <w:t xml:space="preserve">en radiation de l'avis introductif d'instance. Les juges majoritaires de la Cour d'appel (la juge en chef Fraser ayant exprimé sa dissidence) ont rejeté l'appel, concluant que le juge en chambre en était venu à la bonne conclusion. </w:t>
            </w:r>
          </w:p>
          <w:p w:rsidR="00F24063" w:rsidRPr="00F24723" w:rsidRDefault="00F24063" w:rsidP="00936316">
            <w:pPr>
              <w:jc w:val="both"/>
              <w:rPr>
                <w:rFonts w:eastAsia="Calibri"/>
                <w:sz w:val="20"/>
                <w:lang w:val="fr-CA"/>
              </w:rPr>
            </w:pPr>
          </w:p>
        </w:tc>
      </w:tr>
      <w:tr w:rsidR="00F24063" w:rsidRPr="00B36F35" w:rsidTr="00936316">
        <w:tc>
          <w:tcPr>
            <w:tcW w:w="2427" w:type="pct"/>
          </w:tcPr>
          <w:p w:rsidR="00F24063" w:rsidRPr="00F24723" w:rsidRDefault="00F24063" w:rsidP="00936316">
            <w:pPr>
              <w:jc w:val="both"/>
              <w:rPr>
                <w:rFonts w:eastAsia="Calibri"/>
                <w:sz w:val="20"/>
                <w:lang w:val="fr-CA"/>
              </w:rPr>
            </w:pPr>
            <w:r w:rsidRPr="00F24723">
              <w:rPr>
                <w:rFonts w:eastAsia="Calibri"/>
                <w:sz w:val="20"/>
                <w:lang w:val="fr-CA"/>
              </w:rPr>
              <w:lastRenderedPageBreak/>
              <w:t>20 août 2010</w:t>
            </w:r>
          </w:p>
          <w:p w:rsidR="00F24063" w:rsidRPr="00F24723" w:rsidRDefault="00F24063" w:rsidP="00936316">
            <w:pPr>
              <w:jc w:val="both"/>
              <w:rPr>
                <w:rFonts w:eastAsia="Calibri"/>
                <w:sz w:val="20"/>
                <w:lang w:val="fr-CA"/>
              </w:rPr>
            </w:pPr>
            <w:r w:rsidRPr="00F24723">
              <w:rPr>
                <w:rFonts w:eastAsia="Calibri"/>
                <w:sz w:val="20"/>
                <w:lang w:val="fr-CA"/>
              </w:rPr>
              <w:t xml:space="preserve">Cours du Banc de la Reine de l'Alberta </w:t>
            </w:r>
          </w:p>
          <w:p w:rsidR="00F24063" w:rsidRPr="00F24723" w:rsidRDefault="00F24063" w:rsidP="00936316">
            <w:pPr>
              <w:jc w:val="both"/>
              <w:rPr>
                <w:rFonts w:eastAsia="Calibri"/>
                <w:sz w:val="20"/>
                <w:lang w:val="fr-CA"/>
              </w:rPr>
            </w:pPr>
            <w:r w:rsidRPr="00F24723">
              <w:rPr>
                <w:rFonts w:eastAsia="Calibri"/>
                <w:sz w:val="20"/>
                <w:lang w:val="fr-CA"/>
              </w:rPr>
              <w:t>(Juge en chef adjoint Rooke)</w:t>
            </w:r>
          </w:p>
          <w:p w:rsidR="00F24063" w:rsidRPr="00F24723" w:rsidRDefault="00F24063" w:rsidP="00936316">
            <w:pPr>
              <w:jc w:val="both"/>
              <w:rPr>
                <w:rFonts w:eastAsia="Calibri"/>
                <w:sz w:val="20"/>
                <w:lang w:val="fr-CA"/>
              </w:rPr>
            </w:pPr>
            <w:r w:rsidRPr="00F24723">
              <w:rPr>
                <w:rFonts w:eastAsia="Calibri"/>
                <w:sz w:val="20"/>
                <w:lang w:val="fr-CA"/>
              </w:rPr>
              <w:t>2010 ABQB 538</w:t>
            </w:r>
          </w:p>
          <w:p w:rsidR="00F24063" w:rsidRPr="00F24723" w:rsidRDefault="00F24063" w:rsidP="00936316">
            <w:pPr>
              <w:jc w:val="both"/>
              <w:rPr>
                <w:rFonts w:eastAsia="Calibri"/>
                <w:sz w:val="20"/>
                <w:lang w:val="fr-CA"/>
              </w:rPr>
            </w:pP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sz w:val="20"/>
                <w:lang w:val="fr-CA"/>
              </w:rPr>
            </w:pPr>
            <w:r w:rsidRPr="00F24723">
              <w:rPr>
                <w:rFonts w:eastAsia="Calibri"/>
                <w:sz w:val="20"/>
                <w:lang w:val="fr-CA"/>
              </w:rPr>
              <w:t xml:space="preserve">Demande de la Cité d'Edmonton, accueillie; avis introductif d'instance des demanderesses, radié. </w:t>
            </w:r>
          </w:p>
          <w:p w:rsidR="00F24063" w:rsidRPr="00F24723" w:rsidRDefault="00F24063" w:rsidP="00936316">
            <w:pPr>
              <w:jc w:val="both"/>
              <w:rPr>
                <w:rFonts w:eastAsia="Calibri"/>
                <w:sz w:val="20"/>
                <w:lang w:val="fr-CA"/>
              </w:rPr>
            </w:pPr>
          </w:p>
        </w:tc>
      </w:tr>
      <w:tr w:rsidR="00F24063" w:rsidRPr="00F24723" w:rsidTr="00936316">
        <w:tc>
          <w:tcPr>
            <w:tcW w:w="2427" w:type="pct"/>
          </w:tcPr>
          <w:p w:rsidR="00F24063" w:rsidRPr="00F24723" w:rsidRDefault="00F24063" w:rsidP="00936316">
            <w:pPr>
              <w:jc w:val="both"/>
              <w:rPr>
                <w:rFonts w:eastAsia="Calibri"/>
                <w:sz w:val="20"/>
                <w:lang w:val="fr-CA"/>
              </w:rPr>
            </w:pPr>
            <w:r w:rsidRPr="00F24723">
              <w:rPr>
                <w:rFonts w:eastAsia="Calibri"/>
                <w:sz w:val="20"/>
                <w:lang w:val="fr-CA"/>
              </w:rPr>
              <w:t>4 août 2011</w:t>
            </w:r>
          </w:p>
          <w:p w:rsidR="00F24063" w:rsidRPr="00F24723" w:rsidRDefault="00F24063" w:rsidP="00936316">
            <w:pPr>
              <w:jc w:val="both"/>
              <w:rPr>
                <w:rFonts w:eastAsia="Calibri"/>
                <w:sz w:val="20"/>
                <w:lang w:val="fr-CA"/>
              </w:rPr>
            </w:pPr>
            <w:r w:rsidRPr="00F24723">
              <w:rPr>
                <w:rFonts w:eastAsia="Calibri"/>
                <w:sz w:val="20"/>
                <w:lang w:val="fr-CA"/>
              </w:rPr>
              <w:t>Cour d'appel de l'Alberta (Edmonton)</w:t>
            </w:r>
          </w:p>
          <w:p w:rsidR="00F24063" w:rsidRPr="00F24723" w:rsidRDefault="00F24063" w:rsidP="00936316">
            <w:pPr>
              <w:jc w:val="both"/>
              <w:rPr>
                <w:rFonts w:eastAsia="Calibri"/>
                <w:sz w:val="20"/>
                <w:lang w:val="fr-CA"/>
              </w:rPr>
            </w:pPr>
            <w:r w:rsidRPr="00F24723">
              <w:rPr>
                <w:rFonts w:eastAsia="Calibri"/>
                <w:sz w:val="20"/>
                <w:lang w:val="fr-CA"/>
              </w:rPr>
              <w:t>(Juge en chef Fraser (dissidente), juges Costigan et Slatter)</w:t>
            </w:r>
          </w:p>
          <w:p w:rsidR="00F24063" w:rsidRPr="00F24723" w:rsidRDefault="00F24063" w:rsidP="00936316">
            <w:pPr>
              <w:jc w:val="both"/>
              <w:rPr>
                <w:rFonts w:eastAsia="Calibri"/>
                <w:sz w:val="20"/>
                <w:lang w:val="fr-CA"/>
              </w:rPr>
            </w:pP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sz w:val="20"/>
                <w:lang w:val="fr-CA"/>
              </w:rPr>
            </w:pPr>
            <w:r w:rsidRPr="00F24723">
              <w:rPr>
                <w:rFonts w:eastAsia="Calibri"/>
                <w:sz w:val="20"/>
                <w:lang w:val="fr-CA"/>
              </w:rPr>
              <w:t>Appel rejeté.</w:t>
            </w:r>
          </w:p>
          <w:p w:rsidR="00F24063" w:rsidRPr="00F24723" w:rsidRDefault="00F24063" w:rsidP="00936316">
            <w:pPr>
              <w:jc w:val="both"/>
              <w:rPr>
                <w:rFonts w:eastAsia="Calibri"/>
                <w:sz w:val="20"/>
                <w:lang w:val="fr-CA"/>
              </w:rPr>
            </w:pPr>
          </w:p>
        </w:tc>
      </w:tr>
      <w:tr w:rsidR="00F24063" w:rsidRPr="00F24723" w:rsidTr="00936316">
        <w:tc>
          <w:tcPr>
            <w:tcW w:w="2427" w:type="pct"/>
          </w:tcPr>
          <w:p w:rsidR="00F24063" w:rsidRPr="00F24723" w:rsidRDefault="00F24063" w:rsidP="00936316">
            <w:pPr>
              <w:jc w:val="both"/>
              <w:rPr>
                <w:rFonts w:eastAsia="Calibri"/>
                <w:sz w:val="20"/>
                <w:lang w:val="fr-CA"/>
              </w:rPr>
            </w:pPr>
            <w:r w:rsidRPr="00F24723">
              <w:rPr>
                <w:rFonts w:eastAsia="Calibri"/>
                <w:sz w:val="20"/>
                <w:lang w:val="fr-CA"/>
              </w:rPr>
              <w:t>28 septembre 2011</w:t>
            </w:r>
          </w:p>
          <w:p w:rsidR="00F24063" w:rsidRPr="00F24723" w:rsidRDefault="00F24063" w:rsidP="00936316">
            <w:pPr>
              <w:jc w:val="both"/>
              <w:rPr>
                <w:rFonts w:eastAsia="Calibri"/>
                <w:sz w:val="20"/>
                <w:lang w:val="fr-CA"/>
              </w:rPr>
            </w:pPr>
            <w:r w:rsidRPr="00F24723">
              <w:rPr>
                <w:rFonts w:eastAsia="Calibri"/>
                <w:sz w:val="20"/>
                <w:lang w:val="fr-CA"/>
              </w:rPr>
              <w:t>Cour suprême du Canada</w:t>
            </w: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sz w:val="20"/>
                <w:lang w:val="fr-CA"/>
              </w:rPr>
            </w:pPr>
            <w:r w:rsidRPr="00F24723">
              <w:rPr>
                <w:rFonts w:eastAsia="Calibri"/>
                <w:sz w:val="20"/>
                <w:lang w:val="fr-CA"/>
              </w:rPr>
              <w:t>Demande d'autorisation d'appel, déposée</w:t>
            </w:r>
          </w:p>
          <w:p w:rsidR="00F24063" w:rsidRPr="00F24723" w:rsidRDefault="00F24063" w:rsidP="00936316">
            <w:pPr>
              <w:jc w:val="both"/>
              <w:rPr>
                <w:rFonts w:eastAsia="Calibri"/>
                <w:sz w:val="20"/>
                <w:lang w:val="fr-CA"/>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47"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32D1" w:rsidRPr="00B36F35" w:rsidTr="009F03EB">
        <w:trPr>
          <w:cantSplit/>
        </w:trPr>
        <w:tc>
          <w:tcPr>
            <w:tcW w:w="1458" w:type="dxa"/>
          </w:tcPr>
          <w:p w:rsidR="00DF32D1" w:rsidRPr="007D1F17" w:rsidRDefault="00DF32D1" w:rsidP="009F03EB">
            <w:pPr>
              <w:rPr>
                <w:sz w:val="20"/>
                <w:szCs w:val="20"/>
              </w:rPr>
            </w:pPr>
            <w:r w:rsidRPr="007D1F17">
              <w:rPr>
                <w:rStyle w:val="SCCFileNumberChar"/>
                <w:sz w:val="20"/>
                <w:szCs w:val="20"/>
              </w:rPr>
              <w:t>34460</w:t>
            </w:r>
          </w:p>
          <w:p w:rsidR="00DF32D1" w:rsidRPr="007D1F17" w:rsidRDefault="00DF32D1" w:rsidP="009F03EB">
            <w:pPr>
              <w:rPr>
                <w:b/>
                <w:sz w:val="20"/>
                <w:szCs w:val="20"/>
                <w:lang w:val="fr-CA"/>
              </w:rPr>
            </w:pPr>
          </w:p>
        </w:tc>
        <w:tc>
          <w:tcPr>
            <w:tcW w:w="8118" w:type="dxa"/>
          </w:tcPr>
          <w:p w:rsidR="00DF32D1" w:rsidRPr="007D1F17" w:rsidRDefault="00DF32D1" w:rsidP="009F03EB">
            <w:pPr>
              <w:jc w:val="both"/>
              <w:rPr>
                <w:sz w:val="20"/>
                <w:szCs w:val="20"/>
                <w:lang w:val="fr-CA"/>
              </w:rPr>
            </w:pPr>
            <w:r w:rsidRPr="007D1F17">
              <w:rPr>
                <w:rStyle w:val="SCCLsocChar"/>
                <w:sz w:val="20"/>
                <w:szCs w:val="20"/>
              </w:rPr>
              <w:t>Louise St-Hilaire, Luc Lacasse</w:t>
            </w:r>
            <w:r>
              <w:rPr>
                <w:rStyle w:val="SCCLsocChar"/>
                <w:sz w:val="20"/>
                <w:szCs w:val="20"/>
              </w:rPr>
              <w:t xml:space="preserve"> et</w:t>
            </w:r>
            <w:r w:rsidRPr="007D1F17">
              <w:rPr>
                <w:rStyle w:val="SCCLsocChar"/>
                <w:sz w:val="20"/>
                <w:szCs w:val="20"/>
              </w:rPr>
              <w:t xml:space="preserve"> Fréderic Lacasse c. Mario Hébert, Centre Hospitalier affilié Universitaire de Québec-Hôpital de l'Enfant-Jésus, Robert Tremblay</w:t>
            </w:r>
            <w:r>
              <w:rPr>
                <w:rStyle w:val="SCCLsocChar"/>
                <w:sz w:val="20"/>
                <w:szCs w:val="20"/>
              </w:rPr>
              <w:t xml:space="preserve"> et</w:t>
            </w:r>
            <w:r w:rsidRPr="007D1F17">
              <w:rPr>
                <w:rStyle w:val="SCCLsocChar"/>
                <w:sz w:val="20"/>
                <w:szCs w:val="20"/>
              </w:rPr>
              <w:t xml:space="preserve"> Christine Savard</w:t>
            </w:r>
            <w:r w:rsidRPr="007D1F17">
              <w:rPr>
                <w:sz w:val="20"/>
                <w:szCs w:val="20"/>
                <w:lang w:val="fr-CA"/>
              </w:rPr>
              <w:t xml:space="preserve"> (Qc) (Civile) (Autorisation)</w:t>
            </w:r>
          </w:p>
          <w:p w:rsidR="00DF32D1" w:rsidRPr="007D1F17" w:rsidRDefault="00DF32D1" w:rsidP="009F03EB">
            <w:pPr>
              <w:rPr>
                <w:sz w:val="20"/>
                <w:szCs w:val="20"/>
                <w:lang w:val="fr-CA"/>
              </w:rPr>
            </w:pPr>
          </w:p>
        </w:tc>
      </w:tr>
      <w:tr w:rsidR="00DF32D1" w:rsidRPr="00B36F35" w:rsidTr="009F03EB">
        <w:trPr>
          <w:cantSplit/>
        </w:trPr>
        <w:tc>
          <w:tcPr>
            <w:tcW w:w="1458" w:type="dxa"/>
          </w:tcPr>
          <w:p w:rsidR="00DF32D1" w:rsidRPr="007D1F17" w:rsidRDefault="00DF32D1" w:rsidP="009F03EB">
            <w:pPr>
              <w:rPr>
                <w:sz w:val="20"/>
                <w:szCs w:val="20"/>
              </w:rPr>
            </w:pPr>
            <w:r w:rsidRPr="007D1F17">
              <w:rPr>
                <w:sz w:val="20"/>
                <w:szCs w:val="20"/>
              </w:rPr>
              <w:t>Coram :</w:t>
            </w:r>
          </w:p>
        </w:tc>
        <w:tc>
          <w:tcPr>
            <w:tcW w:w="8118" w:type="dxa"/>
          </w:tcPr>
          <w:p w:rsidR="00DF32D1" w:rsidRPr="007D1F17" w:rsidRDefault="00DF32D1" w:rsidP="009F03EB">
            <w:pPr>
              <w:rPr>
                <w:sz w:val="20"/>
                <w:szCs w:val="20"/>
                <w:lang w:val="fr-CA"/>
              </w:rPr>
            </w:pPr>
            <w:r w:rsidRPr="007D1F17">
              <w:rPr>
                <w:rStyle w:val="SCCCoramChar"/>
                <w:sz w:val="20"/>
                <w:szCs w:val="20"/>
              </w:rPr>
              <w:t>Les juges LeBel, Abella et Cromwell</w:t>
            </w:r>
          </w:p>
          <w:p w:rsidR="00DF32D1" w:rsidRPr="007D1F17" w:rsidRDefault="00DF32D1" w:rsidP="009F03EB">
            <w:pPr>
              <w:rPr>
                <w:sz w:val="20"/>
                <w:szCs w:val="20"/>
                <w:u w:val="single"/>
                <w:lang w:val="fr-CA"/>
              </w:rPr>
            </w:pPr>
          </w:p>
        </w:tc>
      </w:tr>
      <w:tr w:rsidR="00DF32D1" w:rsidRPr="001E5150" w:rsidTr="009F03EB">
        <w:trPr>
          <w:cantSplit/>
        </w:trPr>
        <w:tc>
          <w:tcPr>
            <w:tcW w:w="9576" w:type="dxa"/>
            <w:gridSpan w:val="2"/>
          </w:tcPr>
          <w:p w:rsidR="00511C61" w:rsidRDefault="00511C61" w:rsidP="009F03EB">
            <w:pPr>
              <w:pStyle w:val="SCCShortJudgment"/>
              <w:rPr>
                <w:szCs w:val="20"/>
                <w:lang w:val="fr-CA"/>
              </w:rPr>
            </w:pPr>
            <w:r w:rsidRPr="007D1F17">
              <w:rPr>
                <w:szCs w:val="20"/>
                <w:lang w:val="fr-CA"/>
              </w:rPr>
              <w:t>La requête en prorogation du délai de signification et de dépôt de la demande d’autorisation d’appel est accueillie. La demande d’autorisation d’appel de l’arrêt de la Cour d’appel du Québec (Québec), numéro 200-09-06692-096, 2011 QCCA 1521, daté du 27 juillet 2011, est rejetée avec dépens en faveur des intimés Centre Hospitalier affilié Universitaire de Québec-Hôpital de l’Enfant-Jésus et Robert Tremblay.</w:t>
            </w:r>
          </w:p>
          <w:p w:rsidR="00511C61" w:rsidRPr="00511C61" w:rsidRDefault="00511C61" w:rsidP="009F03EB">
            <w:pPr>
              <w:pStyle w:val="SCCShortJudgment"/>
              <w:rPr>
                <w:szCs w:val="20"/>
                <w:lang w:val="fr-CA"/>
              </w:rPr>
            </w:pPr>
          </w:p>
          <w:p w:rsidR="00DF32D1" w:rsidRPr="00612A6D" w:rsidRDefault="00DF32D1" w:rsidP="00511C61">
            <w:pPr>
              <w:pStyle w:val="SCCShortJudgment"/>
              <w:rPr>
                <w:szCs w:val="20"/>
              </w:rPr>
            </w:pPr>
            <w:r w:rsidRPr="007D1F17">
              <w:rPr>
                <w:szCs w:val="20"/>
              </w:rPr>
              <w:t>The motion for an extension of time to serve and file the application for leave to appeal is granted. The application for leave to appeal from the judgment of the Court of Appeal of Quebec (Québec), Number 200-09-06692-096, 2011 QCCA 1521, dated July 27, 2011, is dismissed with costs to the respondents Centre Hospitalier affilié Universitaire de Québec-Hôpital de l’Enfant-Jésus and Robert Tremblay.</w:t>
            </w:r>
          </w:p>
        </w:tc>
      </w:tr>
    </w:tbl>
    <w:p w:rsidR="001823C0" w:rsidRPr="00612A6D" w:rsidRDefault="001823C0" w:rsidP="001823C0">
      <w:pPr>
        <w:rPr>
          <w:sz w:val="20"/>
          <w:szCs w:val="20"/>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4063" w:rsidRPr="00F24723" w:rsidTr="00936316">
        <w:tc>
          <w:tcPr>
            <w:tcW w:w="5000" w:type="pct"/>
            <w:gridSpan w:val="3"/>
          </w:tcPr>
          <w:p w:rsidR="00F24063" w:rsidRPr="00F24723" w:rsidRDefault="00F24063" w:rsidP="00936316">
            <w:pPr>
              <w:jc w:val="both"/>
              <w:rPr>
                <w:rFonts w:eastAsia="Calibri"/>
                <w:sz w:val="20"/>
              </w:rPr>
            </w:pPr>
            <w:r w:rsidRPr="00F24723">
              <w:rPr>
                <w:rFonts w:eastAsia="Calibri"/>
                <w:sz w:val="20"/>
              </w:rPr>
              <w:t xml:space="preserve">Civil procedure – Costs – Claim for award of extrajudicial fees as compensatory damages in context of action in medical liability allowed in part – Whether principles identified in </w:t>
            </w:r>
            <w:r w:rsidRPr="00F24723">
              <w:rPr>
                <w:rFonts w:eastAsia="Calibri"/>
                <w:i/>
                <w:sz w:val="20"/>
              </w:rPr>
              <w:t>Viel v. Entreprises immobilières du terroir ltée</w:t>
            </w:r>
            <w:r w:rsidRPr="00F24723">
              <w:rPr>
                <w:rFonts w:eastAsia="Calibri"/>
                <w:sz w:val="20"/>
              </w:rPr>
              <w:t>, [2002] R.J.Q. 1262 (C.A.), applicable in this case and correct – Whether those principles properly applied.</w:t>
            </w:r>
          </w:p>
        </w:tc>
      </w:tr>
      <w:tr w:rsidR="00F24063" w:rsidRPr="00F24723" w:rsidTr="00936316">
        <w:tc>
          <w:tcPr>
            <w:tcW w:w="5000" w:type="pct"/>
            <w:gridSpan w:val="3"/>
          </w:tcPr>
          <w:p w:rsidR="00F24063" w:rsidRPr="00F24723" w:rsidRDefault="00F24063" w:rsidP="00936316">
            <w:pPr>
              <w:jc w:val="both"/>
              <w:rPr>
                <w:rFonts w:eastAsia="Calibri"/>
                <w:sz w:val="20"/>
              </w:rPr>
            </w:pPr>
          </w:p>
        </w:tc>
      </w:tr>
      <w:tr w:rsidR="00F24063" w:rsidRPr="00F24723" w:rsidTr="00936316">
        <w:tc>
          <w:tcPr>
            <w:tcW w:w="5000" w:type="pct"/>
            <w:gridSpan w:val="3"/>
          </w:tcPr>
          <w:p w:rsidR="00F24063" w:rsidRPr="00F24723" w:rsidRDefault="00F24063" w:rsidP="00936316">
            <w:pPr>
              <w:jc w:val="both"/>
              <w:rPr>
                <w:rFonts w:eastAsia="Calibri"/>
                <w:sz w:val="20"/>
              </w:rPr>
            </w:pPr>
            <w:r w:rsidRPr="00F24723">
              <w:rPr>
                <w:rFonts w:eastAsia="Calibri"/>
                <w:sz w:val="20"/>
              </w:rPr>
              <w:t>In 2007, the applicants, who were the wife and children of the late Patrice Lacasse, brought an action in damages against the respondents claiming more than $1.5 million.  They alleged that the hospital, Dr. Hébert and technologists Ms. Savard and Mr. Tremblay were liable for Mr. Lacasse’s death while he was hospitalized.  There was an agreement providing that the family’s attorneys would be paid on a percentage basis according to the outcome of the action.  The family eventually amended its motion to institute proceedings to claim reimbursement of its extrajudicial fees.</w:t>
            </w:r>
          </w:p>
          <w:p w:rsidR="00F24063" w:rsidRPr="00F24723" w:rsidRDefault="00F24063" w:rsidP="00936316">
            <w:pPr>
              <w:jc w:val="both"/>
              <w:rPr>
                <w:rFonts w:eastAsia="Calibri"/>
                <w:sz w:val="20"/>
              </w:rPr>
            </w:pPr>
          </w:p>
          <w:p w:rsidR="00F24063" w:rsidRPr="00F24723" w:rsidRDefault="00F24063" w:rsidP="00936316">
            <w:pPr>
              <w:jc w:val="both"/>
              <w:rPr>
                <w:rFonts w:eastAsia="Calibri"/>
                <w:sz w:val="20"/>
              </w:rPr>
            </w:pPr>
            <w:r w:rsidRPr="00F24723">
              <w:rPr>
                <w:rFonts w:eastAsia="Calibri"/>
                <w:sz w:val="20"/>
              </w:rPr>
              <w:t xml:space="preserve">Godbout J. of the Superior Court dismissed the action against Ms. Savard but found the hospital, Mr. Tremblay and Dr. Hébert solidarily liable and ordered them to pay more than $800,000.  However, he dismissed the claim for reimbursement of extrajudicial fees.  He noted that, according to </w:t>
            </w:r>
            <w:r w:rsidRPr="00F24723">
              <w:rPr>
                <w:rFonts w:eastAsia="Calibri"/>
                <w:i/>
                <w:sz w:val="20"/>
              </w:rPr>
              <w:t>Viel v. Entreprises immobilières du terroir ltée</w:t>
            </w:r>
            <w:r w:rsidRPr="00F24723">
              <w:rPr>
                <w:rFonts w:eastAsia="Calibri"/>
                <w:sz w:val="20"/>
              </w:rPr>
              <w:t xml:space="preserve">, [2002] R.J.Q. 1262 (C.A.), only abuse of the right to sue can be punished through an award of such damages.  In his </w:t>
            </w:r>
            <w:r w:rsidRPr="00F24723">
              <w:rPr>
                <w:rFonts w:eastAsia="Calibri"/>
                <w:sz w:val="20"/>
              </w:rPr>
              <w:lastRenderedPageBreak/>
              <w:t>opinion, there was no abuse in this case.  On appeal, the Court of Appeal allowed Dr. Hébert’s appeal and attributed full liability to the hospital and Mr. Tremblay but dismissed the family’s incidental appeal concerning the extrajudicial fees.</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lastRenderedPageBreak/>
              <w:t>April 14, 2009</w:t>
            </w:r>
          </w:p>
          <w:p w:rsidR="00F24063" w:rsidRPr="00F24723" w:rsidRDefault="00F24063" w:rsidP="00936316">
            <w:pPr>
              <w:jc w:val="both"/>
              <w:rPr>
                <w:rFonts w:eastAsia="Calibri"/>
                <w:sz w:val="20"/>
              </w:rPr>
            </w:pPr>
            <w:r w:rsidRPr="00F24723">
              <w:rPr>
                <w:rFonts w:eastAsia="Calibri"/>
                <w:sz w:val="20"/>
              </w:rPr>
              <w:t>Quebec Superior Court</w:t>
            </w:r>
          </w:p>
          <w:p w:rsidR="00F24063" w:rsidRPr="00F24723" w:rsidRDefault="00F24063" w:rsidP="00936316">
            <w:pPr>
              <w:jc w:val="both"/>
              <w:rPr>
                <w:rFonts w:eastAsia="Calibri"/>
                <w:sz w:val="20"/>
              </w:rPr>
            </w:pPr>
            <w:r w:rsidRPr="00F24723">
              <w:rPr>
                <w:rFonts w:eastAsia="Calibri"/>
                <w:sz w:val="20"/>
              </w:rPr>
              <w:t>(Godbout J.)</w:t>
            </w:r>
          </w:p>
          <w:p w:rsidR="00F24063" w:rsidRPr="00F24723" w:rsidRDefault="00F24063" w:rsidP="00936316">
            <w:pPr>
              <w:jc w:val="both"/>
              <w:rPr>
                <w:rFonts w:eastAsia="Calibri"/>
                <w:sz w:val="20"/>
              </w:rPr>
            </w:pPr>
            <w:r w:rsidRPr="00F24723">
              <w:rPr>
                <w:rFonts w:eastAsia="Calibri"/>
                <w:sz w:val="20"/>
              </w:rPr>
              <w:t>2009 QCCS 1622</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Motion to institute proceedings allowed in part; claim for extrajudicial fees dismissed</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July 27, 2011</w:t>
            </w:r>
          </w:p>
          <w:p w:rsidR="00F24063" w:rsidRPr="00F24723" w:rsidRDefault="00F24063" w:rsidP="00936316">
            <w:pPr>
              <w:jc w:val="both"/>
              <w:rPr>
                <w:rFonts w:eastAsia="Calibri"/>
                <w:sz w:val="20"/>
              </w:rPr>
            </w:pPr>
            <w:r w:rsidRPr="00F24723">
              <w:rPr>
                <w:rFonts w:eastAsia="Calibri"/>
                <w:sz w:val="20"/>
              </w:rPr>
              <w:t>Quebec Court of Appeal (Québec)</w:t>
            </w:r>
          </w:p>
          <w:p w:rsidR="00F24063" w:rsidRPr="00F24723" w:rsidRDefault="00F24063" w:rsidP="00936316">
            <w:pPr>
              <w:jc w:val="both"/>
              <w:rPr>
                <w:rFonts w:eastAsia="Calibri"/>
                <w:sz w:val="20"/>
              </w:rPr>
            </w:pPr>
            <w:r w:rsidRPr="00F24723">
              <w:rPr>
                <w:rFonts w:eastAsia="Calibri"/>
                <w:sz w:val="20"/>
              </w:rPr>
              <w:t>(Pelletier, Morin and Dufresne JJ.A.)</w:t>
            </w:r>
          </w:p>
          <w:p w:rsidR="00F24063" w:rsidRPr="00F24723" w:rsidRDefault="00F24063" w:rsidP="00936316">
            <w:pPr>
              <w:jc w:val="both"/>
              <w:rPr>
                <w:rFonts w:eastAsia="Calibri"/>
                <w:sz w:val="20"/>
              </w:rPr>
            </w:pPr>
            <w:r w:rsidRPr="00F24723">
              <w:rPr>
                <w:rFonts w:eastAsia="Calibri"/>
                <w:sz w:val="20"/>
              </w:rPr>
              <w:t>2011 QCCA 1521</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Appeal of respondent Mario Hébert concerning apportionment of liability allowed; incidental appeal concerning claim for extrajudicial fees dismissed</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September 29, 2011</w:t>
            </w:r>
          </w:p>
          <w:p w:rsidR="00F24063" w:rsidRPr="00F24723" w:rsidRDefault="00F24063" w:rsidP="00936316">
            <w:pPr>
              <w:jc w:val="both"/>
              <w:rPr>
                <w:rFonts w:eastAsia="Calibri"/>
                <w:sz w:val="20"/>
              </w:rPr>
            </w:pPr>
            <w:r w:rsidRPr="00F24723">
              <w:rPr>
                <w:rFonts w:eastAsia="Calibri"/>
                <w:sz w:val="20"/>
              </w:rPr>
              <w:t>Supreme Court of Canada</w:t>
            </w: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 xml:space="preserve">Application for leave to appeal and motion to extend time to serve and file application for leave to appeal filed </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48"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4063" w:rsidRPr="00B36F35" w:rsidTr="00936316">
        <w:tc>
          <w:tcPr>
            <w:tcW w:w="5000" w:type="pct"/>
            <w:gridSpan w:val="3"/>
          </w:tcPr>
          <w:p w:rsidR="00F24063" w:rsidRPr="00F24723" w:rsidRDefault="00F24063" w:rsidP="00936316">
            <w:pPr>
              <w:jc w:val="both"/>
              <w:rPr>
                <w:rFonts w:eastAsia="Calibri"/>
                <w:sz w:val="20"/>
                <w:lang w:val="fr-CA"/>
              </w:rPr>
            </w:pPr>
            <w:r w:rsidRPr="00F24723">
              <w:rPr>
                <w:rFonts w:eastAsia="Calibri"/>
                <w:sz w:val="20"/>
                <w:lang w:val="fr-CA"/>
              </w:rPr>
              <w:t>Procédure civile – Dépens – Demande de condamnation au paiment des honoraires extrajudiciaires à titre de dommages</w:t>
            </w:r>
            <w:r w:rsidRPr="00F24723">
              <w:rPr>
                <w:rFonts w:eastAsia="Calibri"/>
                <w:sz w:val="20"/>
                <w:lang w:val="fr-CA"/>
              </w:rPr>
              <w:noBreakHyphen/>
              <w:t xml:space="preserve">intérêts compensatoires dans le cadre d’une action en responsabilité médicale accueillie en partie  – Les principes dégagés dans l’arrêt </w:t>
            </w:r>
            <w:r w:rsidRPr="00F24723">
              <w:rPr>
                <w:rFonts w:eastAsia="Calibri"/>
                <w:i/>
                <w:sz w:val="20"/>
                <w:lang w:val="fr-CA"/>
              </w:rPr>
              <w:t>Viel c. Entreprises immobilières du terroir ltée</w:t>
            </w:r>
            <w:r w:rsidRPr="00F24723">
              <w:rPr>
                <w:rFonts w:eastAsia="Calibri"/>
                <w:sz w:val="20"/>
                <w:lang w:val="fr-CA"/>
              </w:rPr>
              <w:t>, [2002] R.J.Q. 1262 (C.A.), s’appliquent</w:t>
            </w:r>
            <w:r w:rsidRPr="00F24723">
              <w:rPr>
                <w:rFonts w:eastAsia="Calibri"/>
                <w:sz w:val="20"/>
                <w:lang w:val="fr-CA"/>
              </w:rPr>
              <w:noBreakHyphen/>
              <w:t>ils en l’espèce et sont</w:t>
            </w:r>
            <w:r w:rsidRPr="00F24723">
              <w:rPr>
                <w:rFonts w:eastAsia="Calibri"/>
                <w:sz w:val="20"/>
                <w:lang w:val="fr-CA"/>
              </w:rPr>
              <w:noBreakHyphen/>
              <w:t>ils bien fondés? – Ont</w:t>
            </w:r>
            <w:r w:rsidRPr="00F24723">
              <w:rPr>
                <w:rFonts w:eastAsia="Calibri"/>
                <w:sz w:val="20"/>
                <w:lang w:val="fr-CA"/>
              </w:rPr>
              <w:noBreakHyphen/>
              <w:t>il bien été appliqués?</w:t>
            </w:r>
          </w:p>
        </w:tc>
      </w:tr>
      <w:tr w:rsidR="00F24063" w:rsidRPr="00B36F35" w:rsidTr="00936316">
        <w:tc>
          <w:tcPr>
            <w:tcW w:w="5000" w:type="pct"/>
            <w:gridSpan w:val="3"/>
          </w:tcPr>
          <w:p w:rsidR="00F24063" w:rsidRPr="00F24723" w:rsidRDefault="00F24063" w:rsidP="00936316">
            <w:pPr>
              <w:jc w:val="both"/>
              <w:rPr>
                <w:rFonts w:eastAsia="Calibri"/>
                <w:sz w:val="20"/>
                <w:lang w:val="fr-CA"/>
              </w:rPr>
            </w:pPr>
          </w:p>
        </w:tc>
      </w:tr>
      <w:tr w:rsidR="00F24063" w:rsidRPr="00B36F35" w:rsidTr="00936316">
        <w:tc>
          <w:tcPr>
            <w:tcW w:w="5000" w:type="pct"/>
            <w:gridSpan w:val="3"/>
          </w:tcPr>
          <w:p w:rsidR="00F24063" w:rsidRPr="00F24723" w:rsidRDefault="00F24063" w:rsidP="00936316">
            <w:pPr>
              <w:jc w:val="both"/>
              <w:rPr>
                <w:rFonts w:eastAsia="Calibri"/>
                <w:sz w:val="20"/>
                <w:lang w:val="fr-CA"/>
              </w:rPr>
            </w:pPr>
            <w:r w:rsidRPr="00F24723">
              <w:rPr>
                <w:rFonts w:eastAsia="Calibri"/>
                <w:sz w:val="20"/>
                <w:lang w:val="fr-CA"/>
              </w:rPr>
              <w:t>En 2007, les demandeurs, qui sont l’épouse et les enfants de feu Patrice Lacasse, intentent une action en dommages</w:t>
            </w:r>
            <w:r w:rsidRPr="00F24723">
              <w:rPr>
                <w:rFonts w:eastAsia="Calibri"/>
                <w:sz w:val="20"/>
                <w:lang w:val="fr-CA"/>
              </w:rPr>
              <w:noBreakHyphen/>
              <w:t>intérêts contre les intimés dans laquelle ils leur réclament plus de 1,5 million de dollars. Ils allèguent que l’hôpital, le Dr Hébert ainsi que les technologues Savard et Tremblay son responsable de la mort de M. Lacasse lors de l’hospitalisation de celui</w:t>
            </w:r>
            <w:r w:rsidRPr="00F24723">
              <w:rPr>
                <w:rFonts w:eastAsia="Calibri"/>
                <w:sz w:val="20"/>
                <w:lang w:val="fr-CA"/>
              </w:rPr>
              <w:noBreakHyphen/>
              <w:t>ci. Par convention, il est prévu que les procureurs de la famille seront rémunérés à pourcentage, suivant l’issue de l’action. Éventuellement, la famille amende sa requête introductive d’instance pour réclamer le remboursement de ses honoraires extrajudiciaires.</w:t>
            </w:r>
          </w:p>
          <w:p w:rsidR="00F24063" w:rsidRPr="00F24723" w:rsidRDefault="00F24063" w:rsidP="00936316">
            <w:pPr>
              <w:jc w:val="both"/>
              <w:rPr>
                <w:rFonts w:eastAsia="Calibri"/>
                <w:sz w:val="20"/>
                <w:lang w:val="fr-CA"/>
              </w:rPr>
            </w:pPr>
          </w:p>
          <w:p w:rsidR="00F24063" w:rsidRPr="00F24723" w:rsidRDefault="00F24063" w:rsidP="00936316">
            <w:pPr>
              <w:jc w:val="both"/>
              <w:rPr>
                <w:rFonts w:eastAsia="Calibri"/>
                <w:sz w:val="20"/>
                <w:lang w:val="fr-CA"/>
              </w:rPr>
            </w:pPr>
            <w:r w:rsidRPr="00F24723">
              <w:rPr>
                <w:rFonts w:eastAsia="Calibri"/>
                <w:sz w:val="20"/>
                <w:lang w:val="fr-CA"/>
              </w:rPr>
              <w:t xml:space="preserve">Le juge Godbout de la Cour supérieure rejette l’action contre Mme Savard, mais conclut à la responsabilité solidaire de l’hôpital, de M. Tremblay et du Dr Hébert et il leur ordonne de payer plus de 800 000 $. Il rejette toutefois la demande de remboursement des honoraires extrajudiciaires. Il rappelle qu’en application de l’arrêt </w:t>
            </w:r>
            <w:r w:rsidRPr="00F24723">
              <w:rPr>
                <w:rFonts w:eastAsia="Calibri"/>
                <w:i/>
                <w:sz w:val="20"/>
                <w:lang w:val="fr-CA"/>
              </w:rPr>
              <w:t>Viel c. Entreprises immobilières du terroir ltée</w:t>
            </w:r>
            <w:r w:rsidRPr="00F24723">
              <w:rPr>
                <w:rFonts w:eastAsia="Calibri"/>
                <w:sz w:val="20"/>
                <w:lang w:val="fr-CA"/>
              </w:rPr>
              <w:t>, [2002] R.J.Q. 1262 (C.A.), seul l’abus du droit d’ester en justice peut être sanctionné par l’octroi de tels dommages</w:t>
            </w:r>
            <w:r w:rsidRPr="00F24723">
              <w:rPr>
                <w:rFonts w:eastAsia="Calibri"/>
                <w:sz w:val="20"/>
                <w:lang w:val="fr-CA"/>
              </w:rPr>
              <w:noBreakHyphen/>
              <w:t>intérêts. Selon lui, il n’y a pas d’abus en l’espèce. En appel, la Cour d’appel accueille l’appel du Dr Hébert et attribue la totalité de la responsabilité à l’hôpital et à M. Tremblay, mais rejette l’appel incident de la famille concernant les honoraires extrajudiciaires.</w:t>
            </w:r>
          </w:p>
          <w:p w:rsidR="00F24063" w:rsidRPr="00F24723" w:rsidRDefault="00F24063" w:rsidP="00936316">
            <w:pPr>
              <w:jc w:val="both"/>
              <w:rPr>
                <w:rFonts w:eastAsia="Calibri"/>
                <w:sz w:val="20"/>
                <w:lang w:val="fr-CA"/>
              </w:rPr>
            </w:pPr>
          </w:p>
        </w:tc>
      </w:tr>
      <w:tr w:rsidR="00F24063" w:rsidRPr="00B36F35" w:rsidTr="00936316">
        <w:tc>
          <w:tcPr>
            <w:tcW w:w="2427" w:type="pct"/>
          </w:tcPr>
          <w:p w:rsidR="00F24063" w:rsidRPr="00F24723" w:rsidRDefault="00F24063" w:rsidP="00936316">
            <w:pPr>
              <w:jc w:val="both"/>
              <w:rPr>
                <w:rFonts w:eastAsia="Calibri"/>
                <w:sz w:val="20"/>
                <w:lang w:val="fr-CA"/>
              </w:rPr>
            </w:pPr>
            <w:r w:rsidRPr="00F24723">
              <w:rPr>
                <w:rFonts w:eastAsia="Calibri"/>
                <w:sz w:val="20"/>
                <w:lang w:val="fr-CA"/>
              </w:rPr>
              <w:t>Le 14 avril 2009</w:t>
            </w:r>
          </w:p>
          <w:p w:rsidR="00F24063" w:rsidRPr="00F24723" w:rsidRDefault="00F24063" w:rsidP="00936316">
            <w:pPr>
              <w:jc w:val="both"/>
              <w:rPr>
                <w:rFonts w:eastAsia="Calibri"/>
                <w:sz w:val="20"/>
                <w:lang w:val="fr-CA"/>
              </w:rPr>
            </w:pPr>
            <w:r w:rsidRPr="00F24723">
              <w:rPr>
                <w:rFonts w:eastAsia="Calibri"/>
                <w:sz w:val="20"/>
                <w:lang w:val="fr-CA"/>
              </w:rPr>
              <w:t>Cour supérieure du Québec</w:t>
            </w:r>
          </w:p>
          <w:p w:rsidR="00F24063" w:rsidRPr="00F24723" w:rsidRDefault="00F24063" w:rsidP="00936316">
            <w:pPr>
              <w:jc w:val="both"/>
              <w:rPr>
                <w:rFonts w:eastAsia="Calibri"/>
                <w:sz w:val="20"/>
                <w:lang w:val="fr-CA"/>
              </w:rPr>
            </w:pPr>
            <w:r w:rsidRPr="00F24723">
              <w:rPr>
                <w:rFonts w:eastAsia="Calibri"/>
                <w:sz w:val="20"/>
                <w:lang w:val="fr-CA"/>
              </w:rPr>
              <w:t>(Le juge Godbout)</w:t>
            </w:r>
          </w:p>
          <w:p w:rsidR="00F24063" w:rsidRPr="00F24723" w:rsidRDefault="00F24063" w:rsidP="00936316">
            <w:pPr>
              <w:jc w:val="both"/>
              <w:rPr>
                <w:rFonts w:eastAsia="Calibri"/>
                <w:sz w:val="20"/>
                <w:lang w:val="fr-CA"/>
              </w:rPr>
            </w:pPr>
            <w:r w:rsidRPr="00F24723">
              <w:rPr>
                <w:rFonts w:eastAsia="Calibri"/>
                <w:sz w:val="20"/>
                <w:lang w:val="fr-CA"/>
              </w:rPr>
              <w:t>2009 QCCS 1622</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lang w:val="fr-CA"/>
              </w:rPr>
            </w:pPr>
            <w:r w:rsidRPr="00F24723">
              <w:rPr>
                <w:rFonts w:eastAsia="Calibri"/>
                <w:sz w:val="20"/>
                <w:lang w:val="fr-CA"/>
              </w:rPr>
              <w:t>Requête introductive d’instance accueillie en partie; demande d’honoraires extrajudiciaires rejetée</w:t>
            </w:r>
          </w:p>
          <w:p w:rsidR="00F24063" w:rsidRPr="00F24723" w:rsidRDefault="00F24063" w:rsidP="00936316">
            <w:pPr>
              <w:jc w:val="both"/>
              <w:rPr>
                <w:rFonts w:eastAsia="Calibri"/>
                <w:sz w:val="20"/>
                <w:lang w:val="fr-CA"/>
              </w:rPr>
            </w:pPr>
          </w:p>
        </w:tc>
      </w:tr>
      <w:tr w:rsidR="00F24063" w:rsidRPr="00B36F35" w:rsidTr="00B34EC9">
        <w:trPr>
          <w:cantSplit/>
        </w:trPr>
        <w:tc>
          <w:tcPr>
            <w:tcW w:w="2427" w:type="pct"/>
          </w:tcPr>
          <w:p w:rsidR="00F24063" w:rsidRPr="00F24723" w:rsidRDefault="00F24063" w:rsidP="00936316">
            <w:pPr>
              <w:jc w:val="both"/>
              <w:rPr>
                <w:rFonts w:eastAsia="Calibri"/>
                <w:sz w:val="20"/>
                <w:lang w:val="fr-CA"/>
              </w:rPr>
            </w:pPr>
            <w:r w:rsidRPr="00F24723">
              <w:rPr>
                <w:rFonts w:eastAsia="Calibri"/>
                <w:sz w:val="20"/>
                <w:lang w:val="fr-CA"/>
              </w:rPr>
              <w:lastRenderedPageBreak/>
              <w:t>Le 27 juillet 2011</w:t>
            </w:r>
          </w:p>
          <w:p w:rsidR="00F24063" w:rsidRPr="00F24723" w:rsidRDefault="00F24063" w:rsidP="00936316">
            <w:pPr>
              <w:jc w:val="both"/>
              <w:rPr>
                <w:rFonts w:eastAsia="Calibri"/>
                <w:sz w:val="20"/>
                <w:lang w:val="fr-CA"/>
              </w:rPr>
            </w:pPr>
            <w:r w:rsidRPr="00F24723">
              <w:rPr>
                <w:rFonts w:eastAsia="Calibri"/>
                <w:sz w:val="20"/>
                <w:lang w:val="fr-CA"/>
              </w:rPr>
              <w:t>Cour d’appel du Québec (Québec)</w:t>
            </w:r>
          </w:p>
          <w:p w:rsidR="00F24063" w:rsidRPr="00F24723" w:rsidRDefault="00F24063" w:rsidP="00936316">
            <w:pPr>
              <w:jc w:val="both"/>
              <w:rPr>
                <w:rFonts w:eastAsia="Calibri"/>
                <w:sz w:val="20"/>
                <w:lang w:val="fr-CA"/>
              </w:rPr>
            </w:pPr>
            <w:r w:rsidRPr="00F24723">
              <w:rPr>
                <w:rFonts w:eastAsia="Calibri"/>
                <w:sz w:val="20"/>
                <w:lang w:val="fr-CA"/>
              </w:rPr>
              <w:t>(Les juges Pelletier, Morin et Dufresne)</w:t>
            </w:r>
          </w:p>
          <w:p w:rsidR="00F24063" w:rsidRPr="00F24723" w:rsidRDefault="00F24063" w:rsidP="00936316">
            <w:pPr>
              <w:jc w:val="both"/>
              <w:rPr>
                <w:rFonts w:eastAsia="Calibri"/>
                <w:sz w:val="20"/>
                <w:lang w:val="fr-CA"/>
              </w:rPr>
            </w:pPr>
            <w:r w:rsidRPr="00F24723">
              <w:rPr>
                <w:rFonts w:eastAsia="Calibri"/>
                <w:sz w:val="20"/>
                <w:lang w:val="fr-CA"/>
              </w:rPr>
              <w:t>2011 QCCA 1521</w:t>
            </w:r>
          </w:p>
          <w:p w:rsidR="00F24063" w:rsidRPr="00F24723" w:rsidRDefault="00F24063" w:rsidP="00936316">
            <w:pPr>
              <w:jc w:val="both"/>
              <w:rPr>
                <w:rFonts w:eastAsia="Calibri"/>
                <w:sz w:val="20"/>
                <w:lang w:val="fr-CA"/>
              </w:rPr>
            </w:pP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sz w:val="20"/>
                <w:lang w:val="fr-CA"/>
              </w:rPr>
            </w:pPr>
            <w:r w:rsidRPr="00F24723">
              <w:rPr>
                <w:rFonts w:eastAsia="Calibri"/>
                <w:sz w:val="20"/>
                <w:lang w:val="fr-CA"/>
              </w:rPr>
              <w:t>Appel de l’intimé Mario Hébert sur le partage de la responsabilité accueilli; appel incident sur la demande d’honoraires extrajudiciares rejeté</w:t>
            </w:r>
          </w:p>
          <w:p w:rsidR="00F24063" w:rsidRPr="00F24723" w:rsidRDefault="00F24063" w:rsidP="00936316">
            <w:pPr>
              <w:jc w:val="both"/>
              <w:rPr>
                <w:rFonts w:eastAsia="Calibri"/>
                <w:sz w:val="20"/>
                <w:lang w:val="fr-CA"/>
              </w:rPr>
            </w:pPr>
          </w:p>
        </w:tc>
      </w:tr>
      <w:tr w:rsidR="00F24063" w:rsidRPr="00B36F35" w:rsidTr="00B34EC9">
        <w:trPr>
          <w:cantSplit/>
        </w:trPr>
        <w:tc>
          <w:tcPr>
            <w:tcW w:w="2427" w:type="pct"/>
          </w:tcPr>
          <w:p w:rsidR="00F24063" w:rsidRPr="00F24723" w:rsidRDefault="00F24063" w:rsidP="00936316">
            <w:pPr>
              <w:jc w:val="both"/>
              <w:rPr>
                <w:rFonts w:eastAsia="Calibri"/>
                <w:sz w:val="20"/>
                <w:lang w:val="fr-CA"/>
              </w:rPr>
            </w:pPr>
            <w:r w:rsidRPr="00F24723">
              <w:rPr>
                <w:rFonts w:eastAsia="Calibri"/>
                <w:sz w:val="20"/>
                <w:lang w:val="fr-CA"/>
              </w:rPr>
              <w:t>Le 29 septembre 2011</w:t>
            </w:r>
          </w:p>
          <w:p w:rsidR="00F24063" w:rsidRPr="00F24723" w:rsidRDefault="00F24063" w:rsidP="00936316">
            <w:pPr>
              <w:jc w:val="both"/>
              <w:rPr>
                <w:rFonts w:eastAsia="Calibri"/>
                <w:sz w:val="20"/>
                <w:lang w:val="fr-CA"/>
              </w:rPr>
            </w:pPr>
            <w:r w:rsidRPr="00F24723">
              <w:rPr>
                <w:rFonts w:eastAsia="Calibri"/>
                <w:sz w:val="20"/>
                <w:lang w:val="fr-CA"/>
              </w:rPr>
              <w:t>Cour suprême du Canada</w:t>
            </w: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sz w:val="20"/>
                <w:lang w:val="fr-CA"/>
              </w:rPr>
            </w:pPr>
            <w:r w:rsidRPr="00F24723">
              <w:rPr>
                <w:rFonts w:eastAsia="Calibri"/>
                <w:sz w:val="20"/>
                <w:lang w:val="fr-CA"/>
              </w:rPr>
              <w:t xml:space="preserve">Demande d'autorisation d'appel et requête en prorogation du délai de signification et dépôt d’une demande d’autorisation d’appel déposées </w:t>
            </w:r>
          </w:p>
        </w:tc>
      </w:tr>
    </w:tbl>
    <w:p w:rsidR="001823C0" w:rsidRPr="00F24063"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49"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34EC9" w:rsidRPr="007D1F17" w:rsidTr="009F03EB">
        <w:trPr>
          <w:cantSplit/>
        </w:trPr>
        <w:tc>
          <w:tcPr>
            <w:tcW w:w="1458" w:type="dxa"/>
          </w:tcPr>
          <w:p w:rsidR="00B34EC9" w:rsidRPr="007D1F17" w:rsidRDefault="00B34EC9" w:rsidP="009F03EB">
            <w:pPr>
              <w:rPr>
                <w:sz w:val="20"/>
                <w:szCs w:val="20"/>
              </w:rPr>
            </w:pPr>
            <w:r w:rsidRPr="007D1F17">
              <w:rPr>
                <w:rStyle w:val="SCCFileNumberChar"/>
                <w:sz w:val="20"/>
                <w:szCs w:val="20"/>
              </w:rPr>
              <w:t>34470</w:t>
            </w:r>
          </w:p>
          <w:p w:rsidR="00B34EC9" w:rsidRPr="007D1F17" w:rsidRDefault="00B34EC9" w:rsidP="009F03EB">
            <w:pPr>
              <w:rPr>
                <w:b/>
                <w:sz w:val="20"/>
                <w:szCs w:val="20"/>
                <w:lang w:val="fr-CA"/>
              </w:rPr>
            </w:pPr>
          </w:p>
        </w:tc>
        <w:tc>
          <w:tcPr>
            <w:tcW w:w="8118" w:type="dxa"/>
          </w:tcPr>
          <w:p w:rsidR="00B34EC9" w:rsidRPr="007D1F17" w:rsidRDefault="00B34EC9" w:rsidP="009F03EB">
            <w:pPr>
              <w:jc w:val="both"/>
              <w:rPr>
                <w:sz w:val="20"/>
                <w:szCs w:val="20"/>
              </w:rPr>
            </w:pPr>
            <w:r w:rsidRPr="007D1F17">
              <w:rPr>
                <w:rStyle w:val="SCCLsocChar"/>
                <w:sz w:val="20"/>
                <w:szCs w:val="20"/>
                <w:lang w:val="en-CA"/>
              </w:rPr>
              <w:t>Rachidi Ekanza Ezokola v. Minister of Citizenship and Immigration</w:t>
            </w:r>
            <w:r w:rsidRPr="007D1F17">
              <w:rPr>
                <w:sz w:val="20"/>
                <w:szCs w:val="20"/>
              </w:rPr>
              <w:t xml:space="preserve"> (F</w:t>
            </w:r>
            <w:r>
              <w:rPr>
                <w:szCs w:val="20"/>
              </w:rPr>
              <w:t>.</w:t>
            </w:r>
            <w:r w:rsidRPr="007D1F17">
              <w:rPr>
                <w:sz w:val="20"/>
                <w:szCs w:val="20"/>
              </w:rPr>
              <w:t>C</w:t>
            </w:r>
            <w:r>
              <w:rPr>
                <w:szCs w:val="20"/>
              </w:rPr>
              <w:t>.</w:t>
            </w:r>
            <w:r w:rsidRPr="007D1F17">
              <w:rPr>
                <w:sz w:val="20"/>
                <w:szCs w:val="20"/>
              </w:rPr>
              <w:t>) (Civil) (By Leave)</w:t>
            </w:r>
          </w:p>
          <w:p w:rsidR="00B34EC9" w:rsidRPr="007D1F17" w:rsidRDefault="00B34EC9" w:rsidP="009F03EB">
            <w:pPr>
              <w:rPr>
                <w:sz w:val="20"/>
                <w:szCs w:val="20"/>
              </w:rPr>
            </w:pPr>
          </w:p>
        </w:tc>
      </w:tr>
      <w:tr w:rsidR="00B34EC9" w:rsidRPr="007D1F17" w:rsidTr="009F03EB">
        <w:trPr>
          <w:cantSplit/>
        </w:trPr>
        <w:tc>
          <w:tcPr>
            <w:tcW w:w="1458" w:type="dxa"/>
          </w:tcPr>
          <w:p w:rsidR="00B34EC9" w:rsidRPr="007D1F17" w:rsidRDefault="00B34EC9" w:rsidP="009F03EB">
            <w:pPr>
              <w:rPr>
                <w:sz w:val="20"/>
                <w:szCs w:val="20"/>
              </w:rPr>
            </w:pPr>
            <w:r w:rsidRPr="007D1F17">
              <w:rPr>
                <w:sz w:val="20"/>
                <w:szCs w:val="20"/>
              </w:rPr>
              <w:t>Coram :</w:t>
            </w:r>
          </w:p>
        </w:tc>
        <w:tc>
          <w:tcPr>
            <w:tcW w:w="8118" w:type="dxa"/>
          </w:tcPr>
          <w:p w:rsidR="00B34EC9" w:rsidRPr="007D1F17" w:rsidRDefault="00B34EC9" w:rsidP="009F03EB">
            <w:pPr>
              <w:rPr>
                <w:sz w:val="20"/>
                <w:szCs w:val="20"/>
              </w:rPr>
            </w:pPr>
            <w:r w:rsidRPr="007D1F17">
              <w:rPr>
                <w:rStyle w:val="SCCCoramChar"/>
                <w:sz w:val="20"/>
                <w:szCs w:val="20"/>
                <w:lang w:val="en-CA"/>
              </w:rPr>
              <w:t>McLachlin C.J. and Rothstein and Moldaver JJ.</w:t>
            </w:r>
          </w:p>
          <w:p w:rsidR="00B34EC9" w:rsidRPr="007D1F17" w:rsidRDefault="00B34EC9" w:rsidP="009F03EB">
            <w:pPr>
              <w:rPr>
                <w:sz w:val="20"/>
                <w:szCs w:val="20"/>
                <w:u w:val="single"/>
              </w:rPr>
            </w:pPr>
          </w:p>
        </w:tc>
      </w:tr>
      <w:tr w:rsidR="00B34EC9" w:rsidRPr="00B36F35" w:rsidTr="009F03EB">
        <w:trPr>
          <w:cantSplit/>
        </w:trPr>
        <w:tc>
          <w:tcPr>
            <w:tcW w:w="9576" w:type="dxa"/>
            <w:gridSpan w:val="2"/>
          </w:tcPr>
          <w:p w:rsidR="00B34EC9" w:rsidRPr="007D1F17" w:rsidRDefault="00B34EC9" w:rsidP="009F03EB">
            <w:pPr>
              <w:pStyle w:val="SCCShortJudgment"/>
              <w:rPr>
                <w:szCs w:val="20"/>
              </w:rPr>
            </w:pPr>
            <w:r w:rsidRPr="007D1F17">
              <w:rPr>
                <w:szCs w:val="20"/>
              </w:rPr>
              <w:t>The application for leave to appeal from the judgment of the Federal Court of Appeal, Number A-281-10, 2011 FCA 224, dated July 15, 2011, is granted with costs in the cause.</w:t>
            </w:r>
          </w:p>
          <w:p w:rsidR="00B34EC9" w:rsidRPr="007D1F17" w:rsidRDefault="00B34EC9" w:rsidP="009F03EB">
            <w:pPr>
              <w:pStyle w:val="SCCShortJudgment"/>
              <w:ind w:firstLine="0"/>
              <w:rPr>
                <w:szCs w:val="20"/>
              </w:rPr>
            </w:pPr>
          </w:p>
          <w:p w:rsidR="00B34EC9" w:rsidRPr="007D1F17" w:rsidRDefault="00B34EC9" w:rsidP="009F03EB">
            <w:pPr>
              <w:pStyle w:val="SCCShortJudgment"/>
              <w:rPr>
                <w:szCs w:val="20"/>
                <w:lang w:val="fr-CA"/>
              </w:rPr>
            </w:pPr>
            <w:r w:rsidRPr="007D1F17">
              <w:rPr>
                <w:szCs w:val="20"/>
                <w:lang w:val="fr-CA"/>
              </w:rPr>
              <w:t>La demande d’autorisation d’appel de l’arrêt de la Cour d’appel fédérale, numéro A-281-10, 2011 CAF 224, daté du 15 juillet 2011, est accueillie avec dépens suivant l’issue de la cause.</w:t>
            </w:r>
          </w:p>
        </w:tc>
      </w:tr>
    </w:tbl>
    <w:p w:rsidR="001823C0" w:rsidRPr="00B34EC9"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4063" w:rsidRPr="00F24723" w:rsidTr="00936316">
        <w:tc>
          <w:tcPr>
            <w:tcW w:w="5000" w:type="pct"/>
            <w:gridSpan w:val="3"/>
          </w:tcPr>
          <w:p w:rsidR="00F24063" w:rsidRPr="00F24723" w:rsidRDefault="00F24063" w:rsidP="00936316">
            <w:pPr>
              <w:shd w:val="clear" w:color="auto" w:fill="FFFFFF"/>
              <w:spacing w:before="100" w:beforeAutospacing="1" w:after="100" w:afterAutospacing="1"/>
              <w:jc w:val="both"/>
              <w:rPr>
                <w:sz w:val="20"/>
                <w:lang w:eastAsia="en-CA"/>
              </w:rPr>
            </w:pPr>
            <w:bookmarkStart w:id="1" w:name="_GoBack"/>
            <w:r w:rsidRPr="00F24723">
              <w:rPr>
                <w:sz w:val="20"/>
                <w:lang w:eastAsia="en-CA"/>
              </w:rPr>
              <w:t xml:space="preserve">Immigration — Refugee Status — Decision of Immigration and Refugee Board excluding Applicant from definition of “refugee” as defined in Article 1F(a) of the </w:t>
            </w:r>
            <w:r w:rsidRPr="00F24723">
              <w:rPr>
                <w:i/>
                <w:sz w:val="20"/>
                <w:lang w:eastAsia="en-CA"/>
              </w:rPr>
              <w:t>United Nations Convention Relating to the Status of Refugees</w:t>
            </w:r>
            <w:r w:rsidRPr="00F24723">
              <w:rPr>
                <w:sz w:val="20"/>
                <w:lang w:eastAsia="en-CA"/>
              </w:rPr>
              <w:t xml:space="preserve">, July 28, 1951, [1969] Can. T.S. No. 6, on basis of complicity by association in war crimes and crimes against humanity — Test for complicity — Scope of “personal and knowing participation” test established by Federal Court of Appeal in </w:t>
            </w:r>
            <w:r w:rsidRPr="00F24723">
              <w:rPr>
                <w:i/>
                <w:sz w:val="20"/>
                <w:lang w:eastAsia="en-CA"/>
              </w:rPr>
              <w:t>Ramirez v. Canada (Minister of Employment and Immigration)</w:t>
            </w:r>
            <w:r w:rsidRPr="00F24723">
              <w:rPr>
                <w:sz w:val="20"/>
                <w:lang w:eastAsia="en-CA"/>
              </w:rPr>
              <w:t xml:space="preserve">, [1992] 2 F.C. 306; [1992] F.C.J. No. 109 (QL) (F.C.A.) — Whether Federal Court of Appeal adopted an unduly broad and overly vague definition of complicity that fails to account for major international developments and divergences in domestic case law — Whether Federal Court of Appeal drew its conclusions on the basis of an erroneous interpretation of Articles 25, 28 and 30 of the </w:t>
            </w:r>
            <w:r w:rsidRPr="00F24723">
              <w:rPr>
                <w:i/>
                <w:sz w:val="20"/>
                <w:lang w:eastAsia="en-CA"/>
              </w:rPr>
              <w:t>Rome Statute establishing the International Criminal Court</w:t>
            </w:r>
            <w:r w:rsidRPr="00F24723">
              <w:rPr>
                <w:sz w:val="20"/>
                <w:lang w:eastAsia="en-CA"/>
              </w:rPr>
              <w:t xml:space="preserve">, A/CONF. 183/9, 17 July 1998 — Whether Federal Court of Appeal erred in its analysis of the domestic statutory framework in which 1F(a) of the </w:t>
            </w:r>
            <w:r w:rsidRPr="00F24723">
              <w:rPr>
                <w:i/>
                <w:sz w:val="20"/>
                <w:lang w:eastAsia="en-CA"/>
              </w:rPr>
              <w:t>United Nations Convention Relating to the Status of Refugees</w:t>
            </w:r>
            <w:r w:rsidRPr="00F24723">
              <w:rPr>
                <w:sz w:val="20"/>
                <w:lang w:eastAsia="en-CA"/>
              </w:rPr>
              <w:t xml:space="preserve"> is embedded — </w:t>
            </w:r>
            <w:r w:rsidRPr="00F24723">
              <w:rPr>
                <w:i/>
                <w:sz w:val="20"/>
                <w:lang w:eastAsia="en-CA"/>
              </w:rPr>
              <w:t>Immigration and Refugee Protection Act</w:t>
            </w:r>
            <w:r w:rsidRPr="00F24723">
              <w:rPr>
                <w:sz w:val="20"/>
                <w:lang w:eastAsia="en-CA"/>
              </w:rPr>
              <w:t>, S.C. 2001, c. 27</w:t>
            </w:r>
            <w:bookmarkEnd w:id="1"/>
            <w:r w:rsidRPr="00F24723">
              <w:rPr>
                <w:sz w:val="20"/>
                <w:lang w:eastAsia="en-CA"/>
              </w:rPr>
              <w:t>.</w:t>
            </w:r>
          </w:p>
        </w:tc>
      </w:tr>
      <w:tr w:rsidR="00F24063" w:rsidRPr="00F24723" w:rsidTr="00936316">
        <w:tc>
          <w:tcPr>
            <w:tcW w:w="5000" w:type="pct"/>
            <w:gridSpan w:val="3"/>
          </w:tcPr>
          <w:p w:rsidR="00F24063" w:rsidRPr="00F24723" w:rsidRDefault="00F24063" w:rsidP="00936316">
            <w:pPr>
              <w:jc w:val="both"/>
              <w:rPr>
                <w:rFonts w:eastAsia="Calibri"/>
                <w:sz w:val="20"/>
              </w:rPr>
            </w:pPr>
          </w:p>
        </w:tc>
      </w:tr>
      <w:tr w:rsidR="00F24063" w:rsidRPr="00F24723" w:rsidTr="00936316">
        <w:tc>
          <w:tcPr>
            <w:tcW w:w="5000" w:type="pct"/>
            <w:gridSpan w:val="3"/>
          </w:tcPr>
          <w:p w:rsidR="00F24063" w:rsidRPr="00F24723" w:rsidRDefault="00F24063" w:rsidP="00936316">
            <w:pPr>
              <w:jc w:val="both"/>
              <w:rPr>
                <w:rFonts w:eastAsia="Calibri"/>
                <w:color w:val="000000"/>
                <w:sz w:val="20"/>
              </w:rPr>
            </w:pPr>
            <w:r w:rsidRPr="00F24723">
              <w:rPr>
                <w:rFonts w:eastAsia="Calibri"/>
                <w:sz w:val="20"/>
              </w:rPr>
              <w:t xml:space="preserve">The Applicant was the economic adviser and second counsellor of embassy to the Permanent Mission of the Democratic Republic of Congo (the “DRC”) to the United Nations starting on December 1, 2004, and held that position until a few days before he arrived in Canada on January 17, 2008 to claim refugee protection, with his wife and eight children.  </w:t>
            </w:r>
            <w:r w:rsidRPr="00F24723">
              <w:rPr>
                <w:rFonts w:eastAsia="Calibri"/>
                <w:color w:val="000000"/>
                <w:sz w:val="20"/>
              </w:rPr>
              <w:t>Prior to serving as a diplomat with the DRC’s Permanent Mission to the United Nations, the Applicant had been a public servant in the DRC since January 1999, acting principally as an economic advisor.</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September 23, 2009</w:t>
            </w:r>
          </w:p>
          <w:p w:rsidR="00F24063" w:rsidRPr="00F24723" w:rsidRDefault="00F24063" w:rsidP="00936316">
            <w:pPr>
              <w:jc w:val="both"/>
              <w:rPr>
                <w:rFonts w:eastAsia="Calibri"/>
                <w:sz w:val="20"/>
              </w:rPr>
            </w:pPr>
            <w:r w:rsidRPr="00F24723">
              <w:rPr>
                <w:rFonts w:eastAsia="Calibri"/>
                <w:sz w:val="20"/>
              </w:rPr>
              <w:t>Immigration and Refugee Board (Refugee Protection Division)</w:t>
            </w:r>
          </w:p>
          <w:p w:rsidR="00F24063" w:rsidRPr="00F24723" w:rsidRDefault="00F24063" w:rsidP="00936316">
            <w:pPr>
              <w:jc w:val="both"/>
              <w:rPr>
                <w:rFonts w:eastAsia="Calibri"/>
                <w:sz w:val="20"/>
              </w:rPr>
            </w:pPr>
            <w:r w:rsidRPr="00F24723">
              <w:rPr>
                <w:rFonts w:eastAsia="Calibri"/>
                <w:sz w:val="20"/>
              </w:rPr>
              <w:t>Decision Number MA8-00814</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color w:val="000000"/>
                <w:sz w:val="20"/>
              </w:rPr>
            </w:pPr>
            <w:r w:rsidRPr="00F24723">
              <w:rPr>
                <w:rFonts w:eastAsia="Calibri"/>
                <w:color w:val="000000"/>
                <w:sz w:val="20"/>
              </w:rPr>
              <w:t>Decision of the Immigration and Refugee Board</w:t>
            </w:r>
            <w:r w:rsidRPr="00F24723">
              <w:rPr>
                <w:rFonts w:eastAsia="Calibri"/>
                <w:sz w:val="20"/>
              </w:rPr>
              <w:t xml:space="preserve"> </w:t>
            </w:r>
            <w:r w:rsidRPr="00F24723">
              <w:rPr>
                <w:rFonts w:eastAsia="Calibri"/>
                <w:color w:val="000000"/>
                <w:sz w:val="20"/>
              </w:rPr>
              <w:t xml:space="preserve">excluding the Applicant from the definition of “refugee” pursuant to Article 1F(a) of the </w:t>
            </w:r>
            <w:r w:rsidRPr="00F24723">
              <w:rPr>
                <w:rFonts w:eastAsia="Calibri"/>
                <w:iCs/>
                <w:sz w:val="20"/>
              </w:rPr>
              <w:t>United Nations Convention Relating to the Status of Refugees</w:t>
            </w:r>
            <w:r w:rsidRPr="00F24723">
              <w:rPr>
                <w:rFonts w:eastAsia="Calibri"/>
                <w:color w:val="000000"/>
                <w:sz w:val="20"/>
              </w:rPr>
              <w:t xml:space="preserve"> on the basis of complicity by association in war crimes and crimes against humanity committed by the Democratic Republic of Congo.</w:t>
            </w:r>
          </w:p>
          <w:p w:rsidR="00F24063" w:rsidRPr="00F24723" w:rsidRDefault="00F24063" w:rsidP="00936316">
            <w:pPr>
              <w:jc w:val="both"/>
              <w:rPr>
                <w:rFonts w:eastAsia="Calibri"/>
                <w:color w:val="000000"/>
                <w:sz w:val="20"/>
              </w:rPr>
            </w:pPr>
          </w:p>
        </w:tc>
      </w:tr>
      <w:tr w:rsidR="00F24063" w:rsidRPr="00F24723" w:rsidTr="009F03EB">
        <w:trPr>
          <w:cantSplit/>
        </w:trPr>
        <w:tc>
          <w:tcPr>
            <w:tcW w:w="2427" w:type="pct"/>
          </w:tcPr>
          <w:p w:rsidR="00F24063" w:rsidRPr="00F24723" w:rsidRDefault="00F24063" w:rsidP="00936316">
            <w:pPr>
              <w:jc w:val="both"/>
              <w:rPr>
                <w:rFonts w:eastAsia="Calibri"/>
                <w:sz w:val="20"/>
              </w:rPr>
            </w:pPr>
            <w:r w:rsidRPr="00F24723">
              <w:rPr>
                <w:rFonts w:eastAsia="Calibri"/>
                <w:sz w:val="20"/>
              </w:rPr>
              <w:lastRenderedPageBreak/>
              <w:t>June 17, 2010</w:t>
            </w:r>
          </w:p>
          <w:p w:rsidR="00F24063" w:rsidRPr="00F24723" w:rsidRDefault="00F24063" w:rsidP="00936316">
            <w:pPr>
              <w:jc w:val="both"/>
              <w:rPr>
                <w:rFonts w:eastAsia="Calibri"/>
                <w:sz w:val="20"/>
              </w:rPr>
            </w:pPr>
            <w:r w:rsidRPr="00F24723">
              <w:rPr>
                <w:rFonts w:eastAsia="Calibri"/>
                <w:sz w:val="20"/>
              </w:rPr>
              <w:t>Federal Court</w:t>
            </w:r>
          </w:p>
          <w:p w:rsidR="00F24063" w:rsidRPr="00F24723" w:rsidRDefault="00F24063" w:rsidP="00936316">
            <w:pPr>
              <w:jc w:val="both"/>
              <w:rPr>
                <w:rFonts w:eastAsia="Calibri"/>
                <w:sz w:val="20"/>
              </w:rPr>
            </w:pPr>
            <w:r w:rsidRPr="00F24723">
              <w:rPr>
                <w:rFonts w:eastAsia="Calibri"/>
                <w:sz w:val="20"/>
              </w:rPr>
              <w:t>(Mainville J.)</w:t>
            </w:r>
          </w:p>
          <w:p w:rsidR="00F24063" w:rsidRPr="00F24723" w:rsidRDefault="00F24063" w:rsidP="00936316">
            <w:pPr>
              <w:jc w:val="both"/>
              <w:rPr>
                <w:rFonts w:eastAsia="Calibri"/>
                <w:sz w:val="20"/>
              </w:rPr>
            </w:pPr>
            <w:r w:rsidRPr="00F24723">
              <w:rPr>
                <w:rFonts w:eastAsia="Calibri"/>
                <w:sz w:val="20"/>
              </w:rPr>
              <w:t xml:space="preserve">Neutral citation: </w:t>
            </w:r>
            <w:r w:rsidRPr="00F24723">
              <w:rPr>
                <w:rFonts w:eastAsia="Calibri"/>
                <w:color w:val="000000"/>
                <w:sz w:val="20"/>
              </w:rPr>
              <w:t>2010 FC 662</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color w:val="000000"/>
                <w:sz w:val="20"/>
              </w:rPr>
            </w:pPr>
            <w:r w:rsidRPr="00F24723">
              <w:rPr>
                <w:rFonts w:eastAsia="Calibri"/>
                <w:color w:val="000000"/>
                <w:sz w:val="20"/>
              </w:rPr>
              <w:t xml:space="preserve">Application for judicial review of the Immigration and Refugee Board’s decision allowed.  Matter referred back to the Board to be heard </w:t>
            </w:r>
            <w:r w:rsidRPr="00F24723">
              <w:rPr>
                <w:rFonts w:eastAsia="Calibri"/>
                <w:i/>
                <w:color w:val="000000"/>
                <w:sz w:val="20"/>
              </w:rPr>
              <w:t>de novo</w:t>
            </w:r>
            <w:r w:rsidRPr="00F24723">
              <w:rPr>
                <w:rFonts w:eastAsia="Calibri"/>
                <w:color w:val="000000"/>
                <w:sz w:val="20"/>
              </w:rPr>
              <w:t xml:space="preserve"> by a different panel to determine whether the Applicant was an accomplice to the crimes committed by the Democratic Republic of Congo in accordance with the “personal nexus” test.</w:t>
            </w:r>
          </w:p>
          <w:p w:rsidR="00F24063" w:rsidRPr="00F24723" w:rsidRDefault="00F24063" w:rsidP="00936316">
            <w:pPr>
              <w:jc w:val="both"/>
              <w:rPr>
                <w:rFonts w:eastAsia="Calibri"/>
                <w:sz w:val="20"/>
              </w:rPr>
            </w:pPr>
          </w:p>
        </w:tc>
      </w:tr>
      <w:tr w:rsidR="00F24063" w:rsidRPr="00F24723" w:rsidTr="009F03EB">
        <w:trPr>
          <w:cantSplit/>
        </w:trPr>
        <w:tc>
          <w:tcPr>
            <w:tcW w:w="2427" w:type="pct"/>
          </w:tcPr>
          <w:p w:rsidR="00F24063" w:rsidRPr="00F24723" w:rsidRDefault="00F24063" w:rsidP="00936316">
            <w:pPr>
              <w:jc w:val="both"/>
              <w:rPr>
                <w:rFonts w:eastAsia="Calibri"/>
                <w:sz w:val="20"/>
              </w:rPr>
            </w:pPr>
            <w:r w:rsidRPr="00F24723">
              <w:rPr>
                <w:rFonts w:eastAsia="Calibri"/>
                <w:sz w:val="20"/>
              </w:rPr>
              <w:t>July 15, 2011</w:t>
            </w:r>
          </w:p>
          <w:p w:rsidR="00F24063" w:rsidRPr="00F24723" w:rsidRDefault="00F24063" w:rsidP="00936316">
            <w:pPr>
              <w:jc w:val="both"/>
              <w:rPr>
                <w:rFonts w:eastAsia="Calibri"/>
                <w:sz w:val="20"/>
              </w:rPr>
            </w:pPr>
            <w:r w:rsidRPr="00F24723">
              <w:rPr>
                <w:rFonts w:eastAsia="Calibri"/>
                <w:sz w:val="20"/>
              </w:rPr>
              <w:t>Federal Court of Appeal</w:t>
            </w:r>
          </w:p>
          <w:p w:rsidR="00F24063" w:rsidRPr="00F24723" w:rsidRDefault="00F24063" w:rsidP="00936316">
            <w:pPr>
              <w:jc w:val="both"/>
              <w:rPr>
                <w:rFonts w:eastAsia="Calibri"/>
                <w:sz w:val="20"/>
              </w:rPr>
            </w:pPr>
            <w:r w:rsidRPr="00F24723">
              <w:rPr>
                <w:rFonts w:eastAsia="Calibri"/>
                <w:sz w:val="20"/>
              </w:rPr>
              <w:t>(Noël, Nadon and Pelletier JJ.A.)</w:t>
            </w:r>
          </w:p>
          <w:p w:rsidR="00F24063" w:rsidRPr="00F24723" w:rsidRDefault="00F24063" w:rsidP="00936316">
            <w:pPr>
              <w:jc w:val="both"/>
              <w:rPr>
                <w:rFonts w:eastAsia="Calibri"/>
                <w:color w:val="000000"/>
                <w:sz w:val="20"/>
              </w:rPr>
            </w:pPr>
            <w:r w:rsidRPr="00F24723">
              <w:rPr>
                <w:rFonts w:eastAsia="Calibri"/>
                <w:sz w:val="20"/>
              </w:rPr>
              <w:t xml:space="preserve">Neutral </w:t>
            </w:r>
            <w:r w:rsidRPr="00F24723">
              <w:rPr>
                <w:rFonts w:eastAsia="Calibri"/>
                <w:color w:val="000000"/>
                <w:sz w:val="20"/>
              </w:rPr>
              <w:t>citation: 2011 FCA 224</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color w:val="000000"/>
                <w:sz w:val="20"/>
              </w:rPr>
            </w:pPr>
            <w:r w:rsidRPr="00F24723">
              <w:rPr>
                <w:rFonts w:eastAsia="Calibri"/>
                <w:color w:val="000000"/>
                <w:sz w:val="20"/>
              </w:rPr>
              <w:t xml:space="preserve">Appeal from Federal Court’s decision allowed.  Matter remitted to the Board to be heard </w:t>
            </w:r>
            <w:r w:rsidRPr="00F24723">
              <w:rPr>
                <w:rFonts w:eastAsia="Calibri"/>
                <w:i/>
                <w:color w:val="000000"/>
                <w:sz w:val="20"/>
              </w:rPr>
              <w:t>de novo</w:t>
            </w:r>
            <w:r w:rsidRPr="00F24723">
              <w:rPr>
                <w:rFonts w:eastAsia="Calibri"/>
                <w:color w:val="000000"/>
                <w:sz w:val="20"/>
              </w:rPr>
              <w:t xml:space="preserve"> by a different panel to determine whether the Applicant was an accomplice to the crimes committed by the Democratic Republic of Congo in accordance with the “personal and knowing participation” test.</w:t>
            </w:r>
          </w:p>
          <w:p w:rsidR="00F24063" w:rsidRPr="00F24723" w:rsidRDefault="00F24063" w:rsidP="00936316">
            <w:pPr>
              <w:jc w:val="both"/>
              <w:rPr>
                <w:rFonts w:eastAsia="Calibri"/>
                <w:color w:val="000000"/>
                <w:sz w:val="20"/>
              </w:rPr>
            </w:pPr>
          </w:p>
        </w:tc>
      </w:tr>
      <w:tr w:rsidR="00F24063" w:rsidRPr="00F24723" w:rsidTr="009F03EB">
        <w:trPr>
          <w:cantSplit/>
        </w:trPr>
        <w:tc>
          <w:tcPr>
            <w:tcW w:w="2427" w:type="pct"/>
          </w:tcPr>
          <w:p w:rsidR="00F24063" w:rsidRPr="00F24723" w:rsidRDefault="00F24063" w:rsidP="00936316">
            <w:pPr>
              <w:jc w:val="both"/>
              <w:rPr>
                <w:rFonts w:eastAsia="Calibri"/>
                <w:sz w:val="20"/>
              </w:rPr>
            </w:pPr>
            <w:r w:rsidRPr="00F24723">
              <w:rPr>
                <w:rFonts w:eastAsia="Calibri"/>
                <w:sz w:val="20"/>
              </w:rPr>
              <w:t>September 29, 2011</w:t>
            </w:r>
          </w:p>
          <w:p w:rsidR="00F24063" w:rsidRPr="00F24723" w:rsidRDefault="00F24063" w:rsidP="00936316">
            <w:pPr>
              <w:jc w:val="both"/>
              <w:rPr>
                <w:rFonts w:eastAsia="Calibri"/>
                <w:sz w:val="20"/>
              </w:rPr>
            </w:pPr>
            <w:r w:rsidRPr="00F24723">
              <w:rPr>
                <w:rFonts w:eastAsia="Calibri"/>
                <w:sz w:val="20"/>
              </w:rPr>
              <w:t>Supreme Court of Canada</w:t>
            </w: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Application for leave to appeal filed.</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50"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24063" w:rsidRPr="00B36F35" w:rsidTr="00936316">
        <w:tc>
          <w:tcPr>
            <w:tcW w:w="5000" w:type="pct"/>
            <w:gridSpan w:val="3"/>
          </w:tcPr>
          <w:p w:rsidR="00F24063" w:rsidRPr="00F24723" w:rsidRDefault="00F24063" w:rsidP="00936316">
            <w:pPr>
              <w:shd w:val="clear" w:color="auto" w:fill="FFFFFF"/>
              <w:spacing w:before="100" w:beforeAutospacing="1" w:after="100" w:afterAutospacing="1"/>
              <w:jc w:val="both"/>
              <w:rPr>
                <w:sz w:val="20"/>
                <w:lang w:val="fr-CA" w:eastAsia="en-CA"/>
              </w:rPr>
            </w:pPr>
            <w:r w:rsidRPr="00F24723">
              <w:rPr>
                <w:sz w:val="20"/>
                <w:lang w:val="fr-CA" w:eastAsia="en-CA"/>
              </w:rPr>
              <w:t>Immigration — Statut de réfugié — Décision de la Commission de l'immigration et du statut de réfugié de refuser au demandeur le statut de refugié au sens de l'alinéa 1F</w:t>
            </w:r>
            <w:r w:rsidRPr="00F24723">
              <w:rPr>
                <w:i/>
                <w:sz w:val="20"/>
                <w:lang w:val="fr-CA" w:eastAsia="en-CA"/>
              </w:rPr>
              <w:t>a</w:t>
            </w:r>
            <w:r w:rsidRPr="00F24723">
              <w:rPr>
                <w:sz w:val="20"/>
                <w:lang w:val="fr-CA" w:eastAsia="en-CA"/>
              </w:rPr>
              <w:t>) de la</w:t>
            </w:r>
            <w:r w:rsidRPr="00F24723">
              <w:rPr>
                <w:i/>
                <w:sz w:val="20"/>
                <w:lang w:val="fr-CA" w:eastAsia="en-CA"/>
              </w:rPr>
              <w:t xml:space="preserve"> Convention des Nations Unies relative au statut des réfugiés</w:t>
            </w:r>
            <w:r w:rsidRPr="00F24723">
              <w:rPr>
                <w:sz w:val="20"/>
                <w:lang w:val="fr-CA" w:eastAsia="en-CA"/>
              </w:rPr>
              <w:t>, 28 juillet 1951, [1969] R.T. Can. n</w:t>
            </w:r>
            <w:r w:rsidRPr="00F24723">
              <w:rPr>
                <w:sz w:val="20"/>
                <w:vertAlign w:val="superscript"/>
                <w:lang w:val="fr-CA" w:eastAsia="en-CA"/>
              </w:rPr>
              <w:t>o</w:t>
            </w:r>
            <w:r w:rsidRPr="00F24723">
              <w:rPr>
                <w:sz w:val="20"/>
                <w:lang w:val="fr-CA" w:eastAsia="en-CA"/>
              </w:rPr>
              <w:t xml:space="preserve"> 6, pour cause de complicité par association à des crimes de guerre et à des crimes contre l’humanité — Critère de complicité — Portée du critère de la « participation personnelle et consciente » établi par la Cour d’appel fédérale dans l’arrêt </w:t>
            </w:r>
            <w:r w:rsidRPr="00F24723">
              <w:rPr>
                <w:i/>
                <w:sz w:val="20"/>
                <w:lang w:val="fr-CA" w:eastAsia="en-CA"/>
              </w:rPr>
              <w:t>Ramirez c. Canada (Ministre de l’Emploi et de l’Immigration)</w:t>
            </w:r>
            <w:r w:rsidRPr="00F24723">
              <w:rPr>
                <w:sz w:val="20"/>
                <w:lang w:val="fr-CA" w:eastAsia="en-CA"/>
              </w:rPr>
              <w:t xml:space="preserve">, [1992] 2 C.F. 306; [1992] F.C.J. No. 109 (QL) (CAF) — La Cour d’appel fédérale a-t-elle adopté une définition indûment large et trop vague de la complicité qui ne prend pas en compte d’importants développements internationaux et des divergences dans la jurisprudence interne? — La Cour d’appel fédérale a-t-elle tiré ses conclusions sur le fondement d’une interprétation erronée des articles 25, 28 et 30 du </w:t>
            </w:r>
            <w:r w:rsidRPr="00F24723">
              <w:rPr>
                <w:i/>
                <w:sz w:val="20"/>
                <w:lang w:val="fr-CA" w:eastAsia="en-CA"/>
              </w:rPr>
              <w:t>Statut de Rome de la Cour pénale internationale</w:t>
            </w:r>
            <w:r w:rsidRPr="00F24723">
              <w:rPr>
                <w:sz w:val="20"/>
                <w:lang w:val="fr-CA" w:eastAsia="en-CA"/>
              </w:rPr>
              <w:t xml:space="preserve">, A/CONF. 183/9, 17 juillet 1998? — La Cour d’appel fédérale s’est-elle trompée dans son analyse du cadre législatif interne dans lequel est incorporé l’alinéa 1Fa) de la </w:t>
            </w:r>
            <w:r w:rsidRPr="00F24723">
              <w:rPr>
                <w:i/>
                <w:sz w:val="20"/>
                <w:lang w:val="fr-CA" w:eastAsia="en-CA"/>
              </w:rPr>
              <w:t>Convention des Nations Unies relative au statut des réfugiés</w:t>
            </w:r>
            <w:r w:rsidRPr="00F24723">
              <w:rPr>
                <w:sz w:val="20"/>
                <w:lang w:val="fr-CA" w:eastAsia="en-CA"/>
              </w:rPr>
              <w:t xml:space="preserve">? — </w:t>
            </w:r>
            <w:r w:rsidRPr="00F24723">
              <w:rPr>
                <w:i/>
                <w:sz w:val="20"/>
                <w:lang w:val="fr-CA" w:eastAsia="en-CA"/>
              </w:rPr>
              <w:t>Loi sur l’immigration et la protection des réfugiés</w:t>
            </w:r>
            <w:r w:rsidRPr="00F24723">
              <w:rPr>
                <w:sz w:val="20"/>
                <w:lang w:val="fr-CA" w:eastAsia="en-CA"/>
              </w:rPr>
              <w:t>, L.C. 2001, c. 27.</w:t>
            </w:r>
          </w:p>
        </w:tc>
      </w:tr>
      <w:tr w:rsidR="00F24063" w:rsidRPr="00B36F35" w:rsidTr="00936316">
        <w:tc>
          <w:tcPr>
            <w:tcW w:w="5000" w:type="pct"/>
            <w:gridSpan w:val="3"/>
          </w:tcPr>
          <w:p w:rsidR="00F24063" w:rsidRPr="00F24723" w:rsidRDefault="00F24063" w:rsidP="00936316">
            <w:pPr>
              <w:jc w:val="both"/>
              <w:rPr>
                <w:rFonts w:eastAsia="Calibri"/>
                <w:sz w:val="20"/>
                <w:lang w:val="fr-CA"/>
              </w:rPr>
            </w:pPr>
          </w:p>
        </w:tc>
      </w:tr>
      <w:tr w:rsidR="00F24063" w:rsidRPr="00B36F35" w:rsidTr="00936316">
        <w:tc>
          <w:tcPr>
            <w:tcW w:w="5000" w:type="pct"/>
            <w:gridSpan w:val="3"/>
          </w:tcPr>
          <w:p w:rsidR="00F24063" w:rsidRPr="00F24723" w:rsidRDefault="00F24063" w:rsidP="00936316">
            <w:pPr>
              <w:jc w:val="both"/>
              <w:rPr>
                <w:rFonts w:eastAsia="Calibri"/>
                <w:sz w:val="20"/>
                <w:lang w:val="fr-CA"/>
              </w:rPr>
            </w:pPr>
            <w:r w:rsidRPr="00F24723">
              <w:rPr>
                <w:rFonts w:eastAsia="Calibri"/>
                <w:sz w:val="20"/>
                <w:lang w:val="fr-CA"/>
              </w:rPr>
              <w:t>Le demandeur était le conseiller économique et deuxième conseiller d'ambassade à la Mission permanente de la République démocratique du Congo (la « RDC ») auprès des Nations Unies depuis le 1</w:t>
            </w:r>
            <w:r w:rsidRPr="00F24723">
              <w:rPr>
                <w:rFonts w:eastAsia="Calibri"/>
                <w:sz w:val="20"/>
                <w:vertAlign w:val="superscript"/>
                <w:lang w:val="fr-CA"/>
              </w:rPr>
              <w:t>er</w:t>
            </w:r>
            <w:r w:rsidRPr="00F24723">
              <w:rPr>
                <w:rFonts w:eastAsia="Calibri"/>
                <w:sz w:val="20"/>
                <w:lang w:val="fr-CA"/>
              </w:rPr>
              <w:t> décembre 2004, et il a occupé ce poste jusqu'à quelques jours avant son arrivée au Canada le 17 janvier 2008 afin d'y faire une demande d'asile avec son épouse et ses huit enfants. Avant d'occuper le poste de diplomate à la mission permanente de la RDC auprès des Nations Unies, le demandeur avait occupé un poste de fonctionnaire dans la RDC depuis 1999, principalement à titre de conseiller économique</w:t>
            </w:r>
            <w:r w:rsidRPr="00F24723">
              <w:rPr>
                <w:rFonts w:eastAsia="Calibri"/>
                <w:color w:val="000000"/>
                <w:sz w:val="20"/>
                <w:lang w:val="fr-CA"/>
              </w:rPr>
              <w:t>.</w:t>
            </w:r>
          </w:p>
          <w:p w:rsidR="00F24063" w:rsidRPr="00F24723" w:rsidRDefault="00F24063" w:rsidP="00936316">
            <w:pPr>
              <w:jc w:val="both"/>
              <w:rPr>
                <w:rFonts w:eastAsia="Calibri"/>
                <w:sz w:val="20"/>
                <w:lang w:val="fr-CA"/>
              </w:rPr>
            </w:pPr>
          </w:p>
        </w:tc>
      </w:tr>
      <w:tr w:rsidR="00F24063" w:rsidRPr="00B36F35" w:rsidTr="00936316">
        <w:tc>
          <w:tcPr>
            <w:tcW w:w="2427" w:type="pct"/>
          </w:tcPr>
          <w:p w:rsidR="00F24063" w:rsidRPr="00F24723" w:rsidRDefault="00F24063" w:rsidP="00936316">
            <w:pPr>
              <w:jc w:val="both"/>
              <w:rPr>
                <w:rFonts w:eastAsia="Calibri"/>
                <w:sz w:val="20"/>
                <w:lang w:val="fr-CA"/>
              </w:rPr>
            </w:pPr>
            <w:r w:rsidRPr="00F24723">
              <w:rPr>
                <w:rFonts w:eastAsia="Calibri"/>
                <w:sz w:val="20"/>
                <w:lang w:val="fr-CA"/>
              </w:rPr>
              <w:t>23 septembre 2009</w:t>
            </w:r>
          </w:p>
          <w:p w:rsidR="00F24063" w:rsidRPr="00F24723" w:rsidRDefault="00F24063" w:rsidP="00936316">
            <w:pPr>
              <w:jc w:val="both"/>
              <w:rPr>
                <w:rFonts w:eastAsia="Calibri"/>
                <w:sz w:val="20"/>
                <w:lang w:val="fr-CA"/>
              </w:rPr>
            </w:pPr>
            <w:r w:rsidRPr="00F24723">
              <w:rPr>
                <w:rFonts w:eastAsia="Calibri"/>
                <w:sz w:val="20"/>
                <w:lang w:val="fr-CA"/>
              </w:rPr>
              <w:t>Commission de l’immigration et du statut de réfugié (Section de la protection des réfugiés)</w:t>
            </w:r>
          </w:p>
          <w:p w:rsidR="00F24063" w:rsidRPr="00F24723" w:rsidRDefault="00F24063" w:rsidP="00936316">
            <w:pPr>
              <w:jc w:val="both"/>
              <w:rPr>
                <w:rFonts w:eastAsia="Calibri"/>
                <w:sz w:val="20"/>
                <w:lang w:val="fr-CA"/>
              </w:rPr>
            </w:pPr>
            <w:r w:rsidRPr="00F24723">
              <w:rPr>
                <w:rFonts w:eastAsia="Calibri"/>
                <w:sz w:val="20"/>
                <w:lang w:val="fr-CA"/>
              </w:rPr>
              <w:t>Décision numéro MA8-00814</w:t>
            </w:r>
          </w:p>
          <w:p w:rsidR="00F24063" w:rsidRPr="00F24723" w:rsidRDefault="00F24063" w:rsidP="00936316">
            <w:pPr>
              <w:jc w:val="both"/>
              <w:rPr>
                <w:rFonts w:eastAsia="Calibri"/>
                <w:sz w:val="20"/>
                <w:lang w:val="fr-CA"/>
              </w:rPr>
            </w:pP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color w:val="000000"/>
                <w:sz w:val="20"/>
                <w:lang w:val="fr-CA"/>
              </w:rPr>
            </w:pPr>
            <w:r w:rsidRPr="00F24723">
              <w:rPr>
                <w:rFonts w:eastAsia="Calibri"/>
                <w:color w:val="000000"/>
                <w:sz w:val="20"/>
                <w:lang w:val="fr-CA"/>
              </w:rPr>
              <w:t>Décision de la Commission de l’immigration et du statut de réfugié de ne pas reconnaître au demandeur le statut de réfugié au sens de l’alinéa 1F</w:t>
            </w:r>
            <w:r w:rsidRPr="00F24723">
              <w:rPr>
                <w:rFonts w:eastAsia="Calibri"/>
                <w:i/>
                <w:color w:val="000000"/>
                <w:sz w:val="20"/>
                <w:lang w:val="fr-CA"/>
              </w:rPr>
              <w:t>a</w:t>
            </w:r>
            <w:r w:rsidRPr="00F24723">
              <w:rPr>
                <w:rFonts w:eastAsia="Calibri"/>
                <w:color w:val="000000"/>
                <w:sz w:val="20"/>
                <w:lang w:val="fr-CA"/>
              </w:rPr>
              <w:t xml:space="preserve">) de la </w:t>
            </w:r>
            <w:r w:rsidRPr="00F24723">
              <w:rPr>
                <w:rFonts w:eastAsia="Calibri"/>
                <w:i/>
                <w:color w:val="000000"/>
                <w:sz w:val="20"/>
                <w:lang w:val="fr-CA"/>
              </w:rPr>
              <w:t>Convention des Nations Unies relative au statut des réfugiés</w:t>
            </w:r>
            <w:r w:rsidRPr="00F24723">
              <w:rPr>
                <w:rFonts w:eastAsia="Calibri"/>
                <w:color w:val="000000"/>
                <w:sz w:val="20"/>
                <w:lang w:val="fr-CA"/>
              </w:rPr>
              <w:t xml:space="preserve"> pour cause de complicité par association à des crimes de guerre et à des crimes contre l’humanité commis par la République démocratique du Congo.</w:t>
            </w:r>
          </w:p>
          <w:p w:rsidR="00F24063" w:rsidRPr="00F24723" w:rsidRDefault="00F24063" w:rsidP="00936316">
            <w:pPr>
              <w:jc w:val="both"/>
              <w:rPr>
                <w:rFonts w:eastAsia="Calibri"/>
                <w:color w:val="000000"/>
                <w:sz w:val="20"/>
                <w:lang w:val="fr-CA"/>
              </w:rPr>
            </w:pPr>
          </w:p>
        </w:tc>
      </w:tr>
      <w:tr w:rsidR="00F24063" w:rsidRPr="00B36F35" w:rsidTr="009F03EB">
        <w:trPr>
          <w:cantSplit/>
        </w:trPr>
        <w:tc>
          <w:tcPr>
            <w:tcW w:w="2427" w:type="pct"/>
          </w:tcPr>
          <w:p w:rsidR="00F24063" w:rsidRPr="00F24723" w:rsidRDefault="00F24063" w:rsidP="00936316">
            <w:pPr>
              <w:jc w:val="both"/>
              <w:rPr>
                <w:rFonts w:eastAsia="Calibri"/>
                <w:sz w:val="20"/>
                <w:lang w:val="fr-CA"/>
              </w:rPr>
            </w:pPr>
            <w:r w:rsidRPr="00F24723">
              <w:rPr>
                <w:rFonts w:eastAsia="Calibri"/>
                <w:sz w:val="20"/>
                <w:lang w:val="fr-CA"/>
              </w:rPr>
              <w:lastRenderedPageBreak/>
              <w:t>17 juin 2010</w:t>
            </w:r>
          </w:p>
          <w:p w:rsidR="00F24063" w:rsidRPr="00F24723" w:rsidRDefault="00F24063" w:rsidP="00936316">
            <w:pPr>
              <w:jc w:val="both"/>
              <w:rPr>
                <w:rFonts w:eastAsia="Calibri"/>
                <w:sz w:val="20"/>
                <w:lang w:val="fr-CA"/>
              </w:rPr>
            </w:pPr>
            <w:r w:rsidRPr="00F24723">
              <w:rPr>
                <w:rFonts w:eastAsia="Calibri"/>
                <w:sz w:val="20"/>
                <w:lang w:val="fr-CA"/>
              </w:rPr>
              <w:t>Cour fédérale</w:t>
            </w:r>
          </w:p>
          <w:p w:rsidR="00F24063" w:rsidRPr="00F24723" w:rsidRDefault="00F24063" w:rsidP="00936316">
            <w:pPr>
              <w:jc w:val="both"/>
              <w:rPr>
                <w:rFonts w:eastAsia="Calibri"/>
                <w:sz w:val="20"/>
                <w:lang w:val="fr-CA"/>
              </w:rPr>
            </w:pPr>
            <w:r w:rsidRPr="00F24723">
              <w:rPr>
                <w:rFonts w:eastAsia="Calibri"/>
                <w:sz w:val="20"/>
                <w:lang w:val="fr-CA"/>
              </w:rPr>
              <w:t>(Juge Mainville)</w:t>
            </w:r>
          </w:p>
          <w:p w:rsidR="00F24063" w:rsidRPr="00F24723" w:rsidRDefault="00F24063" w:rsidP="00936316">
            <w:pPr>
              <w:jc w:val="both"/>
              <w:rPr>
                <w:rFonts w:eastAsia="Calibri"/>
                <w:sz w:val="20"/>
                <w:lang w:val="fr-CA"/>
              </w:rPr>
            </w:pPr>
            <w:r w:rsidRPr="00F24723">
              <w:rPr>
                <w:rFonts w:eastAsia="Calibri"/>
                <w:sz w:val="20"/>
                <w:lang w:val="fr-CA"/>
              </w:rPr>
              <w:t xml:space="preserve">Référence neutre : </w:t>
            </w:r>
            <w:r w:rsidRPr="00F24723">
              <w:rPr>
                <w:rFonts w:eastAsia="Calibri"/>
                <w:color w:val="000000"/>
                <w:sz w:val="20"/>
                <w:lang w:val="fr-CA"/>
              </w:rPr>
              <w:t>2010 FC 662</w:t>
            </w:r>
          </w:p>
          <w:p w:rsidR="00F24063" w:rsidRPr="00F24723" w:rsidRDefault="00F24063" w:rsidP="00936316">
            <w:pPr>
              <w:jc w:val="both"/>
              <w:rPr>
                <w:rFonts w:eastAsia="Calibri"/>
                <w:sz w:val="20"/>
                <w:lang w:val="fr-CA"/>
              </w:rPr>
            </w:pP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color w:val="000000"/>
                <w:sz w:val="20"/>
                <w:lang w:val="fr-CA"/>
              </w:rPr>
            </w:pPr>
            <w:r w:rsidRPr="00F24723">
              <w:rPr>
                <w:rFonts w:eastAsia="Calibri"/>
                <w:color w:val="000000"/>
                <w:sz w:val="20"/>
                <w:lang w:val="fr-CA"/>
              </w:rPr>
              <w:t>Demande de contrôle judiciaire de la décision de la Commission de l’immigration et du statut de réfugié, accueillie. Le dossier est renvoyé à la Commission de l’immigration et du statut de réfugié pour en saisir un autre tribunal qui devra l’examiner à nouveau et déterminer si le demandeur s’est rendu complice des crimes commis par la République démocratique du Congo en fonction du critère du « lien personnel ».</w:t>
            </w:r>
          </w:p>
          <w:p w:rsidR="00F24063" w:rsidRPr="00F24723" w:rsidRDefault="00F24063" w:rsidP="00936316">
            <w:pPr>
              <w:jc w:val="both"/>
              <w:rPr>
                <w:rFonts w:eastAsia="Calibri"/>
                <w:sz w:val="20"/>
                <w:lang w:val="fr-CA"/>
              </w:rPr>
            </w:pPr>
          </w:p>
        </w:tc>
      </w:tr>
      <w:tr w:rsidR="00F24063" w:rsidRPr="00B36F35" w:rsidTr="009F03EB">
        <w:trPr>
          <w:cantSplit/>
        </w:trPr>
        <w:tc>
          <w:tcPr>
            <w:tcW w:w="2427" w:type="pct"/>
          </w:tcPr>
          <w:p w:rsidR="00F24063" w:rsidRPr="00F24723" w:rsidRDefault="00F24063" w:rsidP="00936316">
            <w:pPr>
              <w:jc w:val="both"/>
              <w:rPr>
                <w:rFonts w:eastAsia="Calibri"/>
                <w:sz w:val="20"/>
                <w:lang w:val="fr-CA"/>
              </w:rPr>
            </w:pPr>
            <w:r w:rsidRPr="00F24723">
              <w:rPr>
                <w:rFonts w:eastAsia="Calibri"/>
                <w:sz w:val="20"/>
                <w:lang w:val="fr-CA"/>
              </w:rPr>
              <w:t>15 juillet 2011</w:t>
            </w:r>
          </w:p>
          <w:p w:rsidR="00F24063" w:rsidRPr="00F24723" w:rsidRDefault="00F24063" w:rsidP="00936316">
            <w:pPr>
              <w:jc w:val="both"/>
              <w:rPr>
                <w:rFonts w:eastAsia="Calibri"/>
                <w:sz w:val="20"/>
                <w:lang w:val="fr-CA"/>
              </w:rPr>
            </w:pPr>
            <w:r w:rsidRPr="00F24723">
              <w:rPr>
                <w:rFonts w:eastAsia="Calibri"/>
                <w:sz w:val="20"/>
                <w:lang w:val="fr-CA"/>
              </w:rPr>
              <w:t>Cour d’appel fédérale</w:t>
            </w:r>
          </w:p>
          <w:p w:rsidR="00F24063" w:rsidRPr="00F24723" w:rsidRDefault="00F24063" w:rsidP="00936316">
            <w:pPr>
              <w:jc w:val="both"/>
              <w:rPr>
                <w:rFonts w:eastAsia="Calibri"/>
                <w:sz w:val="20"/>
                <w:lang w:val="fr-CA"/>
              </w:rPr>
            </w:pPr>
            <w:r w:rsidRPr="00F24723">
              <w:rPr>
                <w:rFonts w:eastAsia="Calibri"/>
                <w:sz w:val="20"/>
                <w:lang w:val="fr-CA"/>
              </w:rPr>
              <w:t>(Juges Noël, Nadon et Pelletier)</w:t>
            </w:r>
          </w:p>
          <w:p w:rsidR="00F24063" w:rsidRPr="00F24723" w:rsidRDefault="00F24063" w:rsidP="00936316">
            <w:pPr>
              <w:jc w:val="both"/>
              <w:rPr>
                <w:rFonts w:eastAsia="Calibri"/>
                <w:color w:val="000000"/>
                <w:sz w:val="20"/>
                <w:lang w:val="fr-CA"/>
              </w:rPr>
            </w:pPr>
            <w:r w:rsidRPr="00F24723">
              <w:rPr>
                <w:rFonts w:eastAsia="Calibri"/>
                <w:sz w:val="20"/>
                <w:lang w:val="fr-CA"/>
              </w:rPr>
              <w:t>Référence neutre :</w:t>
            </w:r>
            <w:r w:rsidRPr="00F24723">
              <w:rPr>
                <w:rFonts w:eastAsia="Calibri"/>
                <w:color w:val="000000"/>
                <w:sz w:val="20"/>
                <w:lang w:val="fr-CA"/>
              </w:rPr>
              <w:t xml:space="preserve"> 2011 FCA 224</w:t>
            </w:r>
          </w:p>
          <w:p w:rsidR="00F24063" w:rsidRPr="00F24723" w:rsidRDefault="00F24063" w:rsidP="00936316">
            <w:pPr>
              <w:jc w:val="both"/>
              <w:rPr>
                <w:rFonts w:eastAsia="Calibri"/>
                <w:sz w:val="20"/>
                <w:lang w:val="fr-CA"/>
              </w:rPr>
            </w:pP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color w:val="000000"/>
                <w:sz w:val="20"/>
                <w:lang w:val="fr-CA"/>
              </w:rPr>
            </w:pPr>
            <w:r w:rsidRPr="00F24723">
              <w:rPr>
                <w:rFonts w:eastAsia="Calibri"/>
                <w:color w:val="000000"/>
                <w:sz w:val="20"/>
                <w:lang w:val="fr-CA"/>
              </w:rPr>
              <w:t>Appel de la décision de la Cour fédérale, accueilli. Le dossier est renvoyé à la Commission de l’immigration et du statut de réfugié pour en saisir un autre tribunal qui devra l’examiner à nouveau et déterminer si le demandeur s’est rendu complice des crimes commis par la République démocratique du Congo en fonction du critère de la « participation personnelle et consciente ».</w:t>
            </w:r>
          </w:p>
          <w:p w:rsidR="00F24063" w:rsidRPr="00F24723" w:rsidRDefault="00F24063" w:rsidP="00936316">
            <w:pPr>
              <w:jc w:val="both"/>
              <w:rPr>
                <w:rFonts w:eastAsia="Calibri"/>
                <w:color w:val="000000"/>
                <w:sz w:val="20"/>
                <w:lang w:val="fr-CA"/>
              </w:rPr>
            </w:pPr>
          </w:p>
        </w:tc>
      </w:tr>
      <w:tr w:rsidR="00F24063" w:rsidRPr="00F24723" w:rsidTr="009F03EB">
        <w:trPr>
          <w:cantSplit/>
        </w:trPr>
        <w:tc>
          <w:tcPr>
            <w:tcW w:w="2427" w:type="pct"/>
          </w:tcPr>
          <w:p w:rsidR="00F24063" w:rsidRPr="00F24723" w:rsidRDefault="00F24063" w:rsidP="00936316">
            <w:pPr>
              <w:jc w:val="both"/>
              <w:rPr>
                <w:rFonts w:eastAsia="Calibri"/>
                <w:sz w:val="20"/>
                <w:lang w:val="fr-CA"/>
              </w:rPr>
            </w:pPr>
            <w:r w:rsidRPr="00F24723">
              <w:rPr>
                <w:rFonts w:eastAsia="Calibri"/>
                <w:sz w:val="20"/>
                <w:lang w:val="fr-CA"/>
              </w:rPr>
              <w:t>29 septembre 2011</w:t>
            </w:r>
          </w:p>
          <w:p w:rsidR="00F24063" w:rsidRPr="00F24723" w:rsidRDefault="00F24063" w:rsidP="00936316">
            <w:pPr>
              <w:jc w:val="both"/>
              <w:rPr>
                <w:rFonts w:eastAsia="Calibri"/>
                <w:sz w:val="20"/>
                <w:lang w:val="fr-CA"/>
              </w:rPr>
            </w:pPr>
            <w:r w:rsidRPr="00F24723">
              <w:rPr>
                <w:rFonts w:eastAsia="Calibri"/>
                <w:sz w:val="20"/>
                <w:lang w:val="fr-CA"/>
              </w:rPr>
              <w:t>Cour suprême du Canada</w:t>
            </w:r>
          </w:p>
        </w:tc>
        <w:tc>
          <w:tcPr>
            <w:tcW w:w="243" w:type="pct"/>
          </w:tcPr>
          <w:p w:rsidR="00F24063" w:rsidRPr="00F24723" w:rsidRDefault="00F24063" w:rsidP="00936316">
            <w:pPr>
              <w:jc w:val="both"/>
              <w:rPr>
                <w:rFonts w:eastAsia="Calibri"/>
                <w:sz w:val="20"/>
                <w:lang w:val="fr-CA"/>
              </w:rPr>
            </w:pPr>
          </w:p>
        </w:tc>
        <w:tc>
          <w:tcPr>
            <w:tcW w:w="2330" w:type="pct"/>
          </w:tcPr>
          <w:p w:rsidR="00F24063" w:rsidRPr="00F24723" w:rsidRDefault="00F24063" w:rsidP="00936316">
            <w:pPr>
              <w:jc w:val="both"/>
              <w:rPr>
                <w:rFonts w:eastAsia="Calibri"/>
                <w:sz w:val="20"/>
                <w:lang w:val="fr-CA"/>
              </w:rPr>
            </w:pPr>
            <w:r w:rsidRPr="00F24723">
              <w:rPr>
                <w:rFonts w:eastAsia="Calibri"/>
                <w:sz w:val="20"/>
                <w:lang w:val="fr-CA"/>
              </w:rPr>
              <w:t>Demande d’autorisation d’appel, déposée.</w:t>
            </w: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51"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F03EB" w:rsidRPr="009F03EB" w:rsidTr="009F03EB">
        <w:trPr>
          <w:cantSplit/>
        </w:trPr>
        <w:tc>
          <w:tcPr>
            <w:tcW w:w="1458" w:type="dxa"/>
          </w:tcPr>
          <w:p w:rsidR="009F03EB" w:rsidRPr="009F03EB" w:rsidRDefault="009F03EB" w:rsidP="009F03EB">
            <w:pPr>
              <w:rPr>
                <w:sz w:val="20"/>
                <w:szCs w:val="20"/>
              </w:rPr>
            </w:pPr>
            <w:r w:rsidRPr="009F03EB">
              <w:rPr>
                <w:rStyle w:val="SCCFileNumberChar"/>
                <w:sz w:val="20"/>
                <w:szCs w:val="20"/>
              </w:rPr>
              <w:t>34496</w:t>
            </w:r>
          </w:p>
          <w:p w:rsidR="009F03EB" w:rsidRPr="009F03EB" w:rsidRDefault="009F03EB" w:rsidP="009F03EB">
            <w:pPr>
              <w:rPr>
                <w:b/>
                <w:sz w:val="20"/>
                <w:szCs w:val="20"/>
                <w:lang w:val="fr-CA"/>
              </w:rPr>
            </w:pPr>
          </w:p>
        </w:tc>
        <w:tc>
          <w:tcPr>
            <w:tcW w:w="8118" w:type="dxa"/>
          </w:tcPr>
          <w:p w:rsidR="009F03EB" w:rsidRPr="009F03EB" w:rsidRDefault="009F03EB" w:rsidP="009F03EB">
            <w:pPr>
              <w:jc w:val="both"/>
              <w:rPr>
                <w:sz w:val="20"/>
                <w:szCs w:val="20"/>
              </w:rPr>
            </w:pPr>
            <w:r w:rsidRPr="009F03EB">
              <w:rPr>
                <w:rStyle w:val="SCCLsocChar"/>
                <w:sz w:val="20"/>
                <w:szCs w:val="20"/>
                <w:lang w:val="en-CA"/>
              </w:rPr>
              <w:t>Eleanor D. Baines v. Minister of Human Resources and Skills Development</w:t>
            </w:r>
            <w:r w:rsidRPr="009F03EB">
              <w:rPr>
                <w:sz w:val="20"/>
                <w:szCs w:val="20"/>
              </w:rPr>
              <w:t xml:space="preserve"> (F.C.) (Civil) (By Leave)</w:t>
            </w:r>
          </w:p>
          <w:p w:rsidR="009F03EB" w:rsidRPr="009F03EB" w:rsidRDefault="009F03EB" w:rsidP="009F03EB">
            <w:pPr>
              <w:rPr>
                <w:sz w:val="20"/>
                <w:szCs w:val="20"/>
              </w:rPr>
            </w:pPr>
          </w:p>
        </w:tc>
      </w:tr>
      <w:tr w:rsidR="009F03EB" w:rsidRPr="009F03EB" w:rsidTr="009F03EB">
        <w:trPr>
          <w:cantSplit/>
        </w:trPr>
        <w:tc>
          <w:tcPr>
            <w:tcW w:w="1458" w:type="dxa"/>
          </w:tcPr>
          <w:p w:rsidR="009F03EB" w:rsidRPr="009F03EB" w:rsidRDefault="009F03EB" w:rsidP="009F03EB">
            <w:pPr>
              <w:rPr>
                <w:sz w:val="20"/>
                <w:szCs w:val="20"/>
              </w:rPr>
            </w:pPr>
            <w:r w:rsidRPr="009F03EB">
              <w:rPr>
                <w:sz w:val="20"/>
                <w:szCs w:val="20"/>
              </w:rPr>
              <w:t>Coram :</w:t>
            </w:r>
          </w:p>
        </w:tc>
        <w:tc>
          <w:tcPr>
            <w:tcW w:w="8118" w:type="dxa"/>
          </w:tcPr>
          <w:p w:rsidR="009F03EB" w:rsidRPr="009F03EB" w:rsidRDefault="009F03EB" w:rsidP="009F03EB">
            <w:pPr>
              <w:rPr>
                <w:sz w:val="20"/>
                <w:szCs w:val="20"/>
              </w:rPr>
            </w:pPr>
            <w:r w:rsidRPr="009F03EB">
              <w:rPr>
                <w:rStyle w:val="SCCCoramChar"/>
                <w:sz w:val="20"/>
                <w:szCs w:val="20"/>
                <w:lang w:val="en-CA"/>
              </w:rPr>
              <w:t>McLachlin C.J. and Rothstein and Moldaver JJ.</w:t>
            </w:r>
          </w:p>
          <w:p w:rsidR="009F03EB" w:rsidRPr="009F03EB" w:rsidRDefault="009F03EB" w:rsidP="009F03EB">
            <w:pPr>
              <w:rPr>
                <w:sz w:val="20"/>
                <w:szCs w:val="20"/>
                <w:u w:val="single"/>
              </w:rPr>
            </w:pPr>
          </w:p>
        </w:tc>
      </w:tr>
      <w:tr w:rsidR="009F03EB" w:rsidRPr="00B36F35" w:rsidTr="009F03EB">
        <w:trPr>
          <w:cantSplit/>
        </w:trPr>
        <w:tc>
          <w:tcPr>
            <w:tcW w:w="9576" w:type="dxa"/>
            <w:gridSpan w:val="2"/>
          </w:tcPr>
          <w:p w:rsidR="009F03EB" w:rsidRPr="009F03EB" w:rsidRDefault="009F03EB" w:rsidP="009F03EB">
            <w:pPr>
              <w:pStyle w:val="SCCShortJudgment"/>
              <w:rPr>
                <w:szCs w:val="20"/>
              </w:rPr>
            </w:pPr>
            <w:r w:rsidRPr="009F03EB">
              <w:rPr>
                <w:szCs w:val="20"/>
              </w:rPr>
              <w:t>The motion for an extension of time to serve and file the application for leave to appeal is granted.  The application for leave to appeal from the judgment of the Federal Court of Appeal, Number A-71-10, 2011 FCA 158, dated May 9, 2011, is dismissed without costs.</w:t>
            </w:r>
          </w:p>
          <w:p w:rsidR="009F03EB" w:rsidRPr="009F03EB" w:rsidRDefault="009F03EB" w:rsidP="009F03EB">
            <w:pPr>
              <w:pStyle w:val="SCCShortJudgment"/>
              <w:ind w:firstLine="0"/>
              <w:rPr>
                <w:szCs w:val="20"/>
              </w:rPr>
            </w:pPr>
          </w:p>
          <w:p w:rsidR="009F03EB" w:rsidRPr="009F03EB" w:rsidRDefault="009F03EB" w:rsidP="009F03EB">
            <w:pPr>
              <w:pStyle w:val="SCCShortJudgment"/>
              <w:rPr>
                <w:szCs w:val="20"/>
                <w:lang w:val="fr-CA"/>
              </w:rPr>
            </w:pPr>
            <w:r w:rsidRPr="009F03EB">
              <w:rPr>
                <w:szCs w:val="20"/>
                <w:lang w:val="fr-CA"/>
              </w:rPr>
              <w:t>La requête en prorogation du délai de signification et de dépôt de la demande d’autorisation d’appel est accueillie. La demande d’autorisation d’appel de l’arrêt de la Cour d’appel fédérale, numéro A-71-10, 2011 CAF 158, daté du 9 mai 2011, est rejetée sans dépens.</w:t>
            </w:r>
          </w:p>
        </w:tc>
      </w:tr>
    </w:tbl>
    <w:p w:rsidR="001823C0" w:rsidRPr="009F03EB"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4063" w:rsidRPr="00F24723" w:rsidTr="00936316">
        <w:tc>
          <w:tcPr>
            <w:tcW w:w="5000" w:type="pct"/>
            <w:gridSpan w:val="3"/>
          </w:tcPr>
          <w:p w:rsidR="00F24063" w:rsidRPr="00F24723" w:rsidRDefault="00F24063" w:rsidP="00936316">
            <w:pPr>
              <w:jc w:val="both"/>
              <w:rPr>
                <w:rFonts w:eastAsia="Calibri"/>
                <w:sz w:val="20"/>
              </w:rPr>
            </w:pPr>
            <w:r w:rsidRPr="00F24723">
              <w:rPr>
                <w:rFonts w:eastAsia="Calibri"/>
                <w:sz w:val="20"/>
              </w:rPr>
              <w:t>Pensions – Disability – Legislation – Interpretation – Limitation of actions – Administrative law – Judicial review – Whether the Minister based the denial of the applicant’s first application for disability benefits on a reviewable error about the reliability of the technology provided as objective evidence by her physician – Whether the Minister’s failure to disclose the real reason the applicant’s first application was denied, deprived her of the possibility of answering their concerns in her request for reconsideration and amounted to a breach of procedural fairness – Whether the administrative and judicial bodies erred in their interpretation of whether the applicant could rely on incapacity to excuse her delay in appealing the first application – Whether the administrative and judicial bodies erred in finding that they did not have the jurisdiction to provide a remedy for the errors in the treatment of the first application.</w:t>
            </w:r>
          </w:p>
        </w:tc>
      </w:tr>
      <w:tr w:rsidR="00F24063" w:rsidRPr="00F24723" w:rsidTr="00936316">
        <w:tc>
          <w:tcPr>
            <w:tcW w:w="5000" w:type="pct"/>
            <w:gridSpan w:val="3"/>
          </w:tcPr>
          <w:p w:rsidR="00F24063" w:rsidRPr="00F24723" w:rsidRDefault="00F24063" w:rsidP="00936316">
            <w:pPr>
              <w:jc w:val="both"/>
              <w:rPr>
                <w:rFonts w:eastAsia="Calibri"/>
                <w:sz w:val="20"/>
              </w:rPr>
            </w:pPr>
          </w:p>
        </w:tc>
      </w:tr>
      <w:tr w:rsidR="00F24063" w:rsidRPr="00F24723" w:rsidTr="00936316">
        <w:tc>
          <w:tcPr>
            <w:tcW w:w="5000" w:type="pct"/>
            <w:gridSpan w:val="3"/>
          </w:tcPr>
          <w:p w:rsidR="00F24063" w:rsidRPr="00F24723" w:rsidRDefault="00F24063" w:rsidP="00936316">
            <w:pPr>
              <w:jc w:val="both"/>
              <w:rPr>
                <w:rFonts w:eastAsia="Calibri"/>
                <w:sz w:val="20"/>
              </w:rPr>
            </w:pPr>
            <w:r w:rsidRPr="00F24723">
              <w:rPr>
                <w:rFonts w:eastAsia="Calibri"/>
                <w:sz w:val="20"/>
              </w:rPr>
              <w:t xml:space="preserve">The applicant applied unsuccessfully for disability benefits under the </w:t>
            </w:r>
            <w:r w:rsidRPr="00F24723">
              <w:rPr>
                <w:rFonts w:eastAsia="Calibri"/>
                <w:i/>
                <w:sz w:val="20"/>
              </w:rPr>
              <w:t>Canada Pension Plan</w:t>
            </w:r>
            <w:r w:rsidRPr="00F24723">
              <w:rPr>
                <w:rFonts w:eastAsia="Calibri"/>
                <w:sz w:val="20"/>
              </w:rPr>
              <w:t>, R.S.C. 1985, c. C</w:t>
            </w:r>
            <w:r w:rsidRPr="00F24723">
              <w:rPr>
                <w:rFonts w:eastAsia="Calibri"/>
                <w:sz w:val="20"/>
              </w:rPr>
              <w:noBreakHyphen/>
              <w:t xml:space="preserve">8 (“CPP”) following injuries she suffered in a car accident in 2000 (the “First Application”).  Her application was denied by the Minister on the ground that she had not demonstrated a severe and prolonged disability. Her request for a </w:t>
            </w:r>
            <w:r w:rsidRPr="00F24723">
              <w:rPr>
                <w:rFonts w:eastAsia="Calibri"/>
                <w:sz w:val="20"/>
              </w:rPr>
              <w:lastRenderedPageBreak/>
              <w:t>reconsideration ended in the same result, and she did not appeal that decision.</w:t>
            </w:r>
          </w:p>
          <w:p w:rsidR="00F24063" w:rsidRPr="00F24723" w:rsidRDefault="00F24063" w:rsidP="00936316">
            <w:pPr>
              <w:jc w:val="both"/>
              <w:rPr>
                <w:rFonts w:eastAsia="Calibri"/>
                <w:sz w:val="20"/>
              </w:rPr>
            </w:pPr>
          </w:p>
          <w:p w:rsidR="00F24063" w:rsidRPr="00F24723" w:rsidRDefault="00F24063" w:rsidP="00936316">
            <w:pPr>
              <w:jc w:val="both"/>
              <w:rPr>
                <w:rFonts w:eastAsia="Calibri"/>
                <w:sz w:val="20"/>
              </w:rPr>
            </w:pPr>
            <w:r w:rsidRPr="00F24723">
              <w:rPr>
                <w:rFonts w:eastAsia="Calibri"/>
                <w:sz w:val="20"/>
              </w:rPr>
              <w:t xml:space="preserve">The applicant was successful in her second application in January, 2007 (the “Second Application”).  The Minister’s decision granted disability benefits and applied the “late application provision” within the CPP to arrive at a deemed date of disability of October, 2005. Implicit in that decision was the applicant was deemed to be disabled on or before December 2001, which is when she last met her minimum qualifying period. The applicant requested a reconsideration that her benefits be made payable from the time of her First Application. That request was denied on the basis that the benefits had been made retroactive to fifteen months prior to the date of making the Second Application, the maximum period of retroactivity permitted under s. 42(2)(b) of the CPP for a late application.  </w:t>
            </w:r>
          </w:p>
          <w:p w:rsidR="00F24063" w:rsidRPr="00F24723" w:rsidRDefault="00F24063" w:rsidP="00936316">
            <w:pPr>
              <w:jc w:val="both"/>
              <w:rPr>
                <w:rFonts w:eastAsia="Calibri"/>
                <w:sz w:val="20"/>
              </w:rPr>
            </w:pPr>
          </w:p>
          <w:p w:rsidR="00F24063" w:rsidRPr="00F24723" w:rsidRDefault="00F24063" w:rsidP="00936316">
            <w:pPr>
              <w:jc w:val="both"/>
              <w:rPr>
                <w:rFonts w:eastAsia="Calibri"/>
                <w:sz w:val="20"/>
              </w:rPr>
            </w:pPr>
            <w:r w:rsidRPr="00F24723">
              <w:rPr>
                <w:rFonts w:eastAsia="Calibri"/>
                <w:sz w:val="20"/>
              </w:rPr>
              <w:t>The applicant unsuccessfully appealed the denial of full retroactivity to the Review Tribunal and the Pension Appeals Board. Both determined that she had been granted the maximum amount of retroactive benefits under the statute, and that they did not have the jurisdiction to consider anything with respect of her First Application. The Board rejected arguments that the applicant should receive retroactive payments due to her incapacity to appeal or departmental error. The Board confirmed that an extension of the appeal period for the First Application could only be made by the Commissioner of the Review Tribunal. That Office rejected her request for an extension on the basis that it might result in impermissible, inconsistent decisions on the issue of her disability. The Federal Court of Appeal dismissed an application for judicial review of the Pension Appeal Board’s decision.</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lastRenderedPageBreak/>
              <w:t>December 2, 2009</w:t>
            </w:r>
          </w:p>
          <w:p w:rsidR="00F24063" w:rsidRPr="00F24723" w:rsidRDefault="00F24063" w:rsidP="00936316">
            <w:pPr>
              <w:jc w:val="both"/>
              <w:rPr>
                <w:rFonts w:eastAsia="Calibri"/>
                <w:sz w:val="20"/>
              </w:rPr>
            </w:pPr>
            <w:r w:rsidRPr="00F24723">
              <w:rPr>
                <w:rFonts w:eastAsia="Calibri"/>
                <w:sz w:val="20"/>
              </w:rPr>
              <w:t>Pension Appeals Board</w:t>
            </w:r>
          </w:p>
          <w:p w:rsidR="00F24063" w:rsidRPr="00F24723" w:rsidRDefault="00F24063" w:rsidP="00936316">
            <w:pPr>
              <w:jc w:val="both"/>
              <w:rPr>
                <w:rFonts w:eastAsia="Calibri"/>
                <w:sz w:val="20"/>
              </w:rPr>
            </w:pPr>
            <w:r w:rsidRPr="00F24723">
              <w:rPr>
                <w:rFonts w:eastAsia="Calibri"/>
                <w:sz w:val="20"/>
              </w:rPr>
              <w:t>(Cunningham A.C.J., Chadwick and Helper JJ. )</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Appeal from the decision of the Review Tribunal dismissed</w:t>
            </w:r>
          </w:p>
          <w:p w:rsidR="00F24063" w:rsidRPr="00F24723" w:rsidRDefault="00F24063" w:rsidP="00936316">
            <w:pPr>
              <w:jc w:val="both"/>
              <w:rPr>
                <w:rFonts w:eastAsia="Calibri"/>
                <w:sz w:val="20"/>
              </w:rPr>
            </w:pP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May 9, 2011</w:t>
            </w:r>
          </w:p>
          <w:p w:rsidR="00F24063" w:rsidRPr="00F24723" w:rsidRDefault="00F24063" w:rsidP="00936316">
            <w:pPr>
              <w:jc w:val="both"/>
              <w:rPr>
                <w:rFonts w:eastAsia="Calibri"/>
                <w:sz w:val="20"/>
              </w:rPr>
            </w:pPr>
            <w:r w:rsidRPr="00F24723">
              <w:rPr>
                <w:rFonts w:eastAsia="Calibri"/>
                <w:sz w:val="20"/>
              </w:rPr>
              <w:t>Federal Court of Appeal</w:t>
            </w:r>
          </w:p>
          <w:p w:rsidR="00F24063" w:rsidRPr="00F24723" w:rsidRDefault="00F24063" w:rsidP="00936316">
            <w:pPr>
              <w:jc w:val="both"/>
              <w:rPr>
                <w:rFonts w:eastAsia="Calibri"/>
                <w:sz w:val="20"/>
              </w:rPr>
            </w:pPr>
            <w:r w:rsidRPr="00F24723">
              <w:rPr>
                <w:rFonts w:eastAsia="Calibri"/>
                <w:sz w:val="20"/>
              </w:rPr>
              <w:t>(Sexton, Dawson, and Stratas JJ.A.)</w:t>
            </w:r>
          </w:p>
          <w:p w:rsidR="00F24063" w:rsidRPr="00F24723" w:rsidRDefault="00F24063" w:rsidP="00936316">
            <w:pPr>
              <w:jc w:val="both"/>
              <w:rPr>
                <w:rFonts w:eastAsia="Calibri"/>
                <w:sz w:val="20"/>
              </w:rPr>
            </w:pPr>
            <w:r w:rsidRPr="00F24723">
              <w:rPr>
                <w:rFonts w:eastAsia="Calibri"/>
                <w:sz w:val="20"/>
              </w:rPr>
              <w:t>2011 FCA 158; A</w:t>
            </w:r>
            <w:r w:rsidRPr="00F24723">
              <w:rPr>
                <w:rFonts w:eastAsia="Calibri"/>
                <w:sz w:val="20"/>
              </w:rPr>
              <w:noBreakHyphen/>
              <w:t>71</w:t>
            </w:r>
            <w:r w:rsidRPr="00F24723">
              <w:rPr>
                <w:rFonts w:eastAsia="Calibri"/>
                <w:sz w:val="20"/>
              </w:rPr>
              <w:noBreakHyphen/>
              <w:t>10</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 xml:space="preserve">Application for judicial review dismissed </w:t>
            </w: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June 29, 2011</w:t>
            </w:r>
          </w:p>
          <w:p w:rsidR="00F24063" w:rsidRPr="00F24723" w:rsidRDefault="00F24063" w:rsidP="00936316">
            <w:pPr>
              <w:jc w:val="both"/>
              <w:rPr>
                <w:rFonts w:eastAsia="Calibri"/>
                <w:sz w:val="20"/>
              </w:rPr>
            </w:pPr>
            <w:r w:rsidRPr="00F24723">
              <w:rPr>
                <w:rFonts w:eastAsia="Calibri"/>
                <w:sz w:val="20"/>
              </w:rPr>
              <w:t>Supreme Court of Canada</w:t>
            </w:r>
          </w:p>
          <w:p w:rsidR="00F24063" w:rsidRPr="00F24723" w:rsidRDefault="00F24063" w:rsidP="00936316">
            <w:pPr>
              <w:jc w:val="both"/>
              <w:rPr>
                <w:rFonts w:eastAsia="Calibri"/>
                <w:sz w:val="20"/>
              </w:rPr>
            </w:pP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Application for leave to appeal filed</w:t>
            </w:r>
          </w:p>
        </w:tc>
      </w:tr>
      <w:tr w:rsidR="00F24063" w:rsidRPr="00F24723" w:rsidTr="00936316">
        <w:tc>
          <w:tcPr>
            <w:tcW w:w="2427" w:type="pct"/>
          </w:tcPr>
          <w:p w:rsidR="00F24063" w:rsidRPr="00F24723" w:rsidRDefault="00F24063" w:rsidP="00936316">
            <w:pPr>
              <w:jc w:val="both"/>
              <w:rPr>
                <w:rFonts w:eastAsia="Calibri"/>
                <w:sz w:val="20"/>
              </w:rPr>
            </w:pPr>
            <w:r w:rsidRPr="00F24723">
              <w:rPr>
                <w:rFonts w:eastAsia="Calibri"/>
                <w:sz w:val="20"/>
              </w:rPr>
              <w:t>November 15, 2011</w:t>
            </w:r>
          </w:p>
          <w:p w:rsidR="00F24063" w:rsidRPr="00F24723" w:rsidRDefault="00F24063" w:rsidP="00936316">
            <w:pPr>
              <w:jc w:val="both"/>
              <w:rPr>
                <w:rFonts w:eastAsia="Calibri"/>
                <w:sz w:val="20"/>
              </w:rPr>
            </w:pPr>
            <w:r w:rsidRPr="00F24723">
              <w:rPr>
                <w:rFonts w:eastAsia="Calibri"/>
                <w:sz w:val="20"/>
              </w:rPr>
              <w:t>Supreme Court of Canada</w:t>
            </w:r>
          </w:p>
        </w:tc>
        <w:tc>
          <w:tcPr>
            <w:tcW w:w="243" w:type="pct"/>
          </w:tcPr>
          <w:p w:rsidR="00F24063" w:rsidRPr="00F24723" w:rsidRDefault="00F24063" w:rsidP="00936316">
            <w:pPr>
              <w:jc w:val="both"/>
              <w:rPr>
                <w:rFonts w:eastAsia="Calibri"/>
                <w:sz w:val="20"/>
              </w:rPr>
            </w:pPr>
          </w:p>
        </w:tc>
        <w:tc>
          <w:tcPr>
            <w:tcW w:w="2330" w:type="pct"/>
          </w:tcPr>
          <w:p w:rsidR="00F24063" w:rsidRPr="00F24723" w:rsidRDefault="00F24063" w:rsidP="00936316">
            <w:pPr>
              <w:jc w:val="both"/>
              <w:rPr>
                <w:rFonts w:eastAsia="Calibri"/>
                <w:sz w:val="20"/>
              </w:rPr>
            </w:pPr>
            <w:r w:rsidRPr="00F24723">
              <w:rPr>
                <w:rFonts w:eastAsia="Calibri"/>
                <w:sz w:val="20"/>
              </w:rPr>
              <w:t>Motion for extension of time to serve and file the application for leave to appeal filed</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52"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D2BB9" w:rsidRPr="00B36F35" w:rsidTr="00936316">
        <w:tc>
          <w:tcPr>
            <w:tcW w:w="5000" w:type="pct"/>
            <w:gridSpan w:val="3"/>
          </w:tcPr>
          <w:p w:rsidR="007D2BB9" w:rsidRPr="00F24723" w:rsidRDefault="007D2BB9" w:rsidP="00936316">
            <w:pPr>
              <w:jc w:val="both"/>
              <w:rPr>
                <w:rFonts w:eastAsia="Calibri"/>
                <w:sz w:val="20"/>
                <w:lang w:val="fr-CA"/>
              </w:rPr>
            </w:pPr>
            <w:r w:rsidRPr="00F24723">
              <w:rPr>
                <w:rFonts w:eastAsia="Calibri"/>
                <w:sz w:val="20"/>
                <w:lang w:val="fr-CA"/>
              </w:rPr>
              <w:t>Pensions – Invalidité – Législation – Interprétation – Prescription – Droit administratif – Contrôle judiciaire – En rejetant la première demande de prestations d’invalidité de la demanderesse, le ministre a</w:t>
            </w:r>
            <w:r w:rsidRPr="00F24723">
              <w:rPr>
                <w:rFonts w:eastAsia="Calibri"/>
                <w:sz w:val="20"/>
                <w:lang w:val="fr-CA"/>
              </w:rPr>
              <w:noBreakHyphen/>
              <w:t>t</w:t>
            </w:r>
            <w:r w:rsidRPr="00F24723">
              <w:rPr>
                <w:rFonts w:eastAsia="Calibri"/>
                <w:sz w:val="20"/>
                <w:lang w:val="fr-CA"/>
              </w:rPr>
              <w:noBreakHyphen/>
              <w:t>il commis une erreur susceptible de révision portant sur la fiabilité de la technologie fournie en tant que preuve objective par son médecin? – Le fait que le ministre n’ait pas révélé la véritable raison pour laquelle il a rejeté la première demande de la demanderesse a</w:t>
            </w:r>
            <w:r w:rsidRPr="00F24723">
              <w:rPr>
                <w:rFonts w:eastAsia="Calibri"/>
                <w:sz w:val="20"/>
                <w:lang w:val="fr-CA"/>
              </w:rPr>
              <w:noBreakHyphen/>
              <w:t>t</w:t>
            </w:r>
            <w:r w:rsidRPr="00F24723">
              <w:rPr>
                <w:rFonts w:eastAsia="Calibri"/>
                <w:sz w:val="20"/>
                <w:lang w:val="fr-CA"/>
              </w:rPr>
              <w:noBreakHyphen/>
              <w:t>il privé cette dernière de la possibilité de répondre à ses préoccupations dans sa demande de réexamen et équivalait</w:t>
            </w:r>
            <w:r w:rsidRPr="00F24723">
              <w:rPr>
                <w:rFonts w:eastAsia="Calibri"/>
                <w:sz w:val="20"/>
                <w:lang w:val="fr-CA"/>
              </w:rPr>
              <w:noBreakHyphen/>
              <w:t>il à un manquement à l’équité procédurale? – Les organismes administratifs et judiciaires ont</w:t>
            </w:r>
            <w:r w:rsidRPr="00F24723">
              <w:rPr>
                <w:rFonts w:eastAsia="Calibri"/>
                <w:sz w:val="20"/>
                <w:lang w:val="fr-CA"/>
              </w:rPr>
              <w:noBreakHyphen/>
              <w:t>ils commis une erreur dans leur appréciation de la question de savoir si la demanderesse pouvait s’appuyer sur l’incapacité pour excuser son retard à interjeter appel relativement à la première demande? – Les organismes administratifs et judiciaires ont</w:t>
            </w:r>
            <w:r w:rsidRPr="00F24723">
              <w:rPr>
                <w:rFonts w:eastAsia="Calibri"/>
                <w:sz w:val="20"/>
                <w:lang w:val="fr-CA"/>
              </w:rPr>
              <w:noBreakHyphen/>
              <w:t>ils eu tort de conclure qu’ils n’avaient pas compétence pour redresser les erreurs commises dans le traitement de la première demande?</w:t>
            </w:r>
          </w:p>
        </w:tc>
      </w:tr>
      <w:tr w:rsidR="007D2BB9" w:rsidRPr="00B36F35" w:rsidTr="00936316">
        <w:tc>
          <w:tcPr>
            <w:tcW w:w="5000" w:type="pct"/>
            <w:gridSpan w:val="3"/>
          </w:tcPr>
          <w:p w:rsidR="007D2BB9" w:rsidRPr="00F24723" w:rsidRDefault="007D2BB9" w:rsidP="00936316">
            <w:pPr>
              <w:jc w:val="both"/>
              <w:rPr>
                <w:rFonts w:eastAsia="Calibri"/>
                <w:sz w:val="20"/>
                <w:lang w:val="fr-CA"/>
              </w:rPr>
            </w:pPr>
          </w:p>
        </w:tc>
      </w:tr>
      <w:tr w:rsidR="007D2BB9" w:rsidRPr="00B36F35" w:rsidTr="00936316">
        <w:tc>
          <w:tcPr>
            <w:tcW w:w="5000" w:type="pct"/>
            <w:gridSpan w:val="3"/>
          </w:tcPr>
          <w:p w:rsidR="007D2BB9" w:rsidRPr="00F24723" w:rsidRDefault="007D2BB9" w:rsidP="00936316">
            <w:pPr>
              <w:jc w:val="both"/>
              <w:rPr>
                <w:rFonts w:eastAsia="Calibri"/>
                <w:sz w:val="20"/>
                <w:lang w:val="fr-CA"/>
              </w:rPr>
            </w:pPr>
            <w:r w:rsidRPr="00F24723">
              <w:rPr>
                <w:rFonts w:eastAsia="Calibri"/>
                <w:sz w:val="20"/>
                <w:lang w:val="fr-CA"/>
              </w:rPr>
              <w:t xml:space="preserve">La demanderesse a présenté sans succès une demande de prestations d’invalidité en vertu du </w:t>
            </w:r>
            <w:r w:rsidRPr="00F24723">
              <w:rPr>
                <w:rFonts w:eastAsia="Calibri"/>
                <w:i/>
                <w:sz w:val="20"/>
                <w:lang w:val="fr-CA"/>
              </w:rPr>
              <w:t>Régime de pensions du Canada</w:t>
            </w:r>
            <w:r w:rsidRPr="00F24723">
              <w:rPr>
                <w:rFonts w:eastAsia="Calibri"/>
                <w:sz w:val="20"/>
                <w:lang w:val="fr-CA"/>
              </w:rPr>
              <w:t>, L.R.C. 1985, ch. C</w:t>
            </w:r>
            <w:r w:rsidRPr="00F24723">
              <w:rPr>
                <w:rFonts w:eastAsia="Calibri"/>
                <w:sz w:val="20"/>
                <w:lang w:val="fr-CA"/>
              </w:rPr>
              <w:noBreakHyphen/>
              <w:t xml:space="preserve">8 (« RPP ») à la suite de blessures qu’elle avait subies dans un accident de la route </w:t>
            </w:r>
            <w:r w:rsidRPr="00F24723">
              <w:rPr>
                <w:rFonts w:eastAsia="Calibri"/>
                <w:sz w:val="20"/>
                <w:lang w:val="fr-CA"/>
              </w:rPr>
              <w:lastRenderedPageBreak/>
              <w:t>survenu en 2000 (la « première demande »). Sa demande a été rejetée par le ministre au motif qu’elle n’avait pas fait la preuve qu’elle souffrait d’une invalidité grave et prolongée. Sa demande de réexamen a connu le même sort et elle n’a pas interjeté appel de cette décision.</w:t>
            </w:r>
          </w:p>
          <w:p w:rsidR="007D2BB9" w:rsidRPr="00F24723" w:rsidRDefault="007D2BB9" w:rsidP="00936316">
            <w:pPr>
              <w:jc w:val="both"/>
              <w:rPr>
                <w:rFonts w:eastAsia="Calibri"/>
                <w:sz w:val="20"/>
                <w:lang w:val="fr-CA"/>
              </w:rPr>
            </w:pPr>
          </w:p>
          <w:p w:rsidR="007D2BB9" w:rsidRPr="00F24723" w:rsidRDefault="007D2BB9" w:rsidP="00936316">
            <w:pPr>
              <w:jc w:val="both"/>
              <w:rPr>
                <w:rFonts w:eastAsia="Calibri"/>
                <w:sz w:val="20"/>
                <w:lang w:val="fr-CA"/>
              </w:rPr>
            </w:pPr>
            <w:r w:rsidRPr="00F24723">
              <w:rPr>
                <w:rFonts w:eastAsia="Calibri"/>
                <w:sz w:val="20"/>
                <w:lang w:val="fr-CA"/>
              </w:rPr>
              <w:t>La demanderesse a eu gain de cause dans sa deuxième demande, présentée en janvier 2007 (la « deuxième demande »). Le ministre a rendu une décision qui accordait des prestations d’invalidité et a appliqué les « dispositions relatives aux demandes tardives » du RPP pour conclure à une date d’invalidité présumée d’octobre 2005. Il était implicite dans cette décision que la demanderesse était présumée invalide en ou avant décembre 2001, c’est</w:t>
            </w:r>
            <w:r w:rsidRPr="00F24723">
              <w:rPr>
                <w:rFonts w:eastAsia="Calibri"/>
                <w:sz w:val="20"/>
                <w:lang w:val="fr-CA"/>
              </w:rPr>
              <w:noBreakHyphen/>
              <w:t>à</w:t>
            </w:r>
            <w:r w:rsidRPr="00F24723">
              <w:rPr>
                <w:rFonts w:eastAsia="Calibri"/>
                <w:sz w:val="20"/>
                <w:lang w:val="fr-CA"/>
              </w:rPr>
              <w:noBreakHyphen/>
              <w:t>dire le mois au cours duquel elle a satisfait pour la dernière fois aux conditions de sa période minimale d’admissibilité. La demanderesse a demandé un réexamen pour que ses prestations soient payables à compter de la date de sa première demande. Cette demande a été rejetée au motif que les prestations avaient été rendues rétroactives à quinze mois avant la date de la deuxième demande, soit le délai de rétroactivité maximal permis par l’al. 42(2)</w:t>
            </w:r>
            <w:r w:rsidRPr="00F24723">
              <w:rPr>
                <w:rFonts w:eastAsia="Calibri"/>
                <w:i/>
                <w:sz w:val="20"/>
                <w:lang w:val="fr-CA"/>
              </w:rPr>
              <w:t>b</w:t>
            </w:r>
            <w:r w:rsidRPr="00F24723">
              <w:rPr>
                <w:rFonts w:eastAsia="Calibri"/>
                <w:sz w:val="20"/>
                <w:lang w:val="fr-CA"/>
              </w:rPr>
              <w:t xml:space="preserve">) de la RPP pour une demande tardive.  </w:t>
            </w:r>
          </w:p>
          <w:p w:rsidR="007D2BB9" w:rsidRPr="00F24723" w:rsidRDefault="007D2BB9" w:rsidP="00936316">
            <w:pPr>
              <w:jc w:val="both"/>
              <w:rPr>
                <w:rFonts w:eastAsia="Calibri"/>
                <w:sz w:val="20"/>
                <w:lang w:val="fr-CA"/>
              </w:rPr>
            </w:pPr>
          </w:p>
          <w:p w:rsidR="007D2BB9" w:rsidRPr="00F24723" w:rsidRDefault="007D2BB9" w:rsidP="00936316">
            <w:pPr>
              <w:jc w:val="both"/>
              <w:rPr>
                <w:rFonts w:eastAsia="Calibri"/>
                <w:sz w:val="20"/>
                <w:lang w:val="fr-CA"/>
              </w:rPr>
            </w:pPr>
            <w:r w:rsidRPr="00F24723">
              <w:rPr>
                <w:rFonts w:eastAsia="Calibri"/>
                <w:sz w:val="20"/>
                <w:lang w:val="fr-CA"/>
              </w:rPr>
              <w:t>La demanderesse a interjeté appel sans succès du refus de la pleine rétroactivité au tribunal de révision et à la Commission d’appel des pensions. Les deux ont conclu que la demanderesse s’était vu accorder le montant maximal de prestations rétroactives en vertu de la loi et qu’ils n’avaient pas compétence pour considérer quoi que ce soit relativement à sa première demande. La Commission a rejeté les arguments selon lesquels la demanderesse devrait recevoir des paiements rétroactifs en raison de son incapacité à interjeter appel ou d’une erreur du ministère. La Commission a confirmé que seul le commissaire des tribunaux de révision pouvait proroger le délai d’appel de la première décision. Ce bureau a rejeté sa demande de prorogation au motif qu’une telle prorogation pouvait donner lieu à des décisions contradictoires sur la question de son invalidité, ce qui ne saurait être permis. La Cour d’appel fédérale a rejeté une demande de contrôle judiciaire de la décision de la Commission d’appel des pensions.</w:t>
            </w:r>
          </w:p>
          <w:p w:rsidR="007D2BB9" w:rsidRPr="00F24723" w:rsidRDefault="007D2BB9" w:rsidP="00936316">
            <w:pPr>
              <w:jc w:val="both"/>
              <w:rPr>
                <w:rFonts w:eastAsia="Calibri"/>
                <w:sz w:val="20"/>
                <w:lang w:val="fr-CA"/>
              </w:rPr>
            </w:pPr>
          </w:p>
        </w:tc>
      </w:tr>
      <w:tr w:rsidR="007D2BB9" w:rsidRPr="00B36F35" w:rsidTr="00936316">
        <w:tc>
          <w:tcPr>
            <w:tcW w:w="2427" w:type="pct"/>
          </w:tcPr>
          <w:p w:rsidR="007D2BB9" w:rsidRPr="00F24723" w:rsidRDefault="007D2BB9" w:rsidP="00936316">
            <w:pPr>
              <w:jc w:val="both"/>
              <w:rPr>
                <w:rFonts w:eastAsia="Calibri"/>
                <w:sz w:val="20"/>
                <w:lang w:val="fr-CA"/>
              </w:rPr>
            </w:pPr>
            <w:r w:rsidRPr="00F24723">
              <w:rPr>
                <w:rFonts w:eastAsia="Calibri"/>
                <w:sz w:val="20"/>
                <w:lang w:val="fr-CA"/>
              </w:rPr>
              <w:lastRenderedPageBreak/>
              <w:t>2 décembre 2009</w:t>
            </w:r>
          </w:p>
          <w:p w:rsidR="007D2BB9" w:rsidRPr="00F24723" w:rsidRDefault="007D2BB9" w:rsidP="00936316">
            <w:pPr>
              <w:jc w:val="both"/>
              <w:rPr>
                <w:rFonts w:eastAsia="Calibri"/>
                <w:sz w:val="20"/>
                <w:lang w:val="fr-CA"/>
              </w:rPr>
            </w:pPr>
            <w:r w:rsidRPr="00F24723">
              <w:rPr>
                <w:rFonts w:eastAsia="Calibri"/>
                <w:sz w:val="20"/>
                <w:lang w:val="fr-CA"/>
              </w:rPr>
              <w:t>Commission d’appel des pensions</w:t>
            </w:r>
          </w:p>
          <w:p w:rsidR="007D2BB9" w:rsidRPr="00F24723" w:rsidRDefault="007D2BB9" w:rsidP="00936316">
            <w:pPr>
              <w:jc w:val="both"/>
              <w:rPr>
                <w:rFonts w:eastAsia="Calibri"/>
                <w:sz w:val="20"/>
                <w:lang w:val="fr-CA"/>
              </w:rPr>
            </w:pPr>
            <w:r w:rsidRPr="00F24723">
              <w:rPr>
                <w:rFonts w:eastAsia="Calibri"/>
                <w:sz w:val="20"/>
                <w:lang w:val="fr-CA"/>
              </w:rPr>
              <w:t>(Juge en chef adjoint Cunningham, juges Chadwick et Helper)</w:t>
            </w:r>
          </w:p>
          <w:p w:rsidR="007D2BB9" w:rsidRPr="00F24723" w:rsidRDefault="007D2BB9" w:rsidP="00936316">
            <w:pPr>
              <w:jc w:val="both"/>
              <w:rPr>
                <w:rFonts w:eastAsia="Calibri"/>
                <w:sz w:val="20"/>
                <w:lang w:val="fr-CA"/>
              </w:rPr>
            </w:pPr>
          </w:p>
        </w:tc>
        <w:tc>
          <w:tcPr>
            <w:tcW w:w="243" w:type="pct"/>
          </w:tcPr>
          <w:p w:rsidR="007D2BB9" w:rsidRPr="00F24723" w:rsidRDefault="007D2BB9" w:rsidP="00936316">
            <w:pPr>
              <w:jc w:val="both"/>
              <w:rPr>
                <w:rFonts w:eastAsia="Calibri"/>
                <w:sz w:val="20"/>
                <w:lang w:val="fr-CA"/>
              </w:rPr>
            </w:pPr>
          </w:p>
        </w:tc>
        <w:tc>
          <w:tcPr>
            <w:tcW w:w="2330" w:type="pct"/>
          </w:tcPr>
          <w:p w:rsidR="007D2BB9" w:rsidRPr="00F24723" w:rsidRDefault="007D2BB9" w:rsidP="00936316">
            <w:pPr>
              <w:jc w:val="both"/>
              <w:rPr>
                <w:rFonts w:eastAsia="Calibri"/>
                <w:sz w:val="20"/>
                <w:lang w:val="fr-CA"/>
              </w:rPr>
            </w:pPr>
            <w:r w:rsidRPr="00F24723">
              <w:rPr>
                <w:rFonts w:eastAsia="Calibri"/>
                <w:sz w:val="20"/>
                <w:lang w:val="fr-CA"/>
              </w:rPr>
              <w:t>Appel de la décision du tribunal de révision, rejeté</w:t>
            </w:r>
          </w:p>
          <w:p w:rsidR="007D2BB9" w:rsidRPr="00F24723" w:rsidRDefault="007D2BB9" w:rsidP="00936316">
            <w:pPr>
              <w:jc w:val="both"/>
              <w:rPr>
                <w:rFonts w:eastAsia="Calibri"/>
                <w:sz w:val="20"/>
                <w:lang w:val="fr-CA"/>
              </w:rPr>
            </w:pPr>
          </w:p>
        </w:tc>
      </w:tr>
      <w:tr w:rsidR="007D2BB9" w:rsidRPr="00B36F35" w:rsidTr="00936316">
        <w:tc>
          <w:tcPr>
            <w:tcW w:w="2427" w:type="pct"/>
          </w:tcPr>
          <w:p w:rsidR="007D2BB9" w:rsidRPr="00F24723" w:rsidRDefault="007D2BB9" w:rsidP="00936316">
            <w:pPr>
              <w:jc w:val="both"/>
              <w:rPr>
                <w:rFonts w:eastAsia="Calibri"/>
                <w:sz w:val="20"/>
                <w:lang w:val="fr-CA"/>
              </w:rPr>
            </w:pPr>
            <w:r w:rsidRPr="00F24723">
              <w:rPr>
                <w:rFonts w:eastAsia="Calibri"/>
                <w:sz w:val="20"/>
                <w:lang w:val="fr-CA"/>
              </w:rPr>
              <w:t>9 mai 2011</w:t>
            </w:r>
          </w:p>
          <w:p w:rsidR="007D2BB9" w:rsidRPr="00F24723" w:rsidRDefault="007D2BB9" w:rsidP="00936316">
            <w:pPr>
              <w:jc w:val="both"/>
              <w:rPr>
                <w:rFonts w:eastAsia="Calibri"/>
                <w:sz w:val="20"/>
                <w:lang w:val="fr-CA"/>
              </w:rPr>
            </w:pPr>
            <w:r w:rsidRPr="00F24723">
              <w:rPr>
                <w:rFonts w:eastAsia="Calibri"/>
                <w:sz w:val="20"/>
                <w:lang w:val="fr-CA"/>
              </w:rPr>
              <w:t>Cour d’appel fédérale</w:t>
            </w:r>
          </w:p>
          <w:p w:rsidR="007D2BB9" w:rsidRPr="00F24723" w:rsidRDefault="007D2BB9" w:rsidP="00936316">
            <w:pPr>
              <w:jc w:val="both"/>
              <w:rPr>
                <w:rFonts w:eastAsia="Calibri"/>
                <w:sz w:val="20"/>
                <w:lang w:val="fr-CA"/>
              </w:rPr>
            </w:pPr>
            <w:r w:rsidRPr="00F24723">
              <w:rPr>
                <w:rFonts w:eastAsia="Calibri"/>
                <w:sz w:val="20"/>
                <w:lang w:val="fr-CA"/>
              </w:rPr>
              <w:t>(Juges Sexton, Dawson et Stratas)</w:t>
            </w:r>
          </w:p>
          <w:p w:rsidR="007D2BB9" w:rsidRPr="00F24723" w:rsidRDefault="007D2BB9" w:rsidP="00936316">
            <w:pPr>
              <w:jc w:val="both"/>
              <w:rPr>
                <w:rFonts w:eastAsia="Calibri"/>
                <w:sz w:val="20"/>
                <w:lang w:val="fr-CA"/>
              </w:rPr>
            </w:pPr>
            <w:r w:rsidRPr="00F24723">
              <w:rPr>
                <w:rFonts w:eastAsia="Calibri"/>
                <w:sz w:val="20"/>
                <w:lang w:val="fr-CA"/>
              </w:rPr>
              <w:t>2011 FCA 158; A</w:t>
            </w:r>
            <w:r w:rsidRPr="00F24723">
              <w:rPr>
                <w:rFonts w:eastAsia="Calibri"/>
                <w:sz w:val="20"/>
                <w:lang w:val="fr-CA"/>
              </w:rPr>
              <w:noBreakHyphen/>
              <w:t>71</w:t>
            </w:r>
            <w:r w:rsidRPr="00F24723">
              <w:rPr>
                <w:rFonts w:eastAsia="Calibri"/>
                <w:sz w:val="20"/>
                <w:lang w:val="fr-CA"/>
              </w:rPr>
              <w:noBreakHyphen/>
              <w:t>10</w:t>
            </w:r>
          </w:p>
          <w:p w:rsidR="007D2BB9" w:rsidRPr="00F24723" w:rsidRDefault="007D2BB9" w:rsidP="00936316">
            <w:pPr>
              <w:jc w:val="both"/>
              <w:rPr>
                <w:rFonts w:eastAsia="Calibri"/>
                <w:sz w:val="20"/>
                <w:lang w:val="fr-CA"/>
              </w:rPr>
            </w:pPr>
          </w:p>
        </w:tc>
        <w:tc>
          <w:tcPr>
            <w:tcW w:w="243" w:type="pct"/>
          </w:tcPr>
          <w:p w:rsidR="007D2BB9" w:rsidRPr="00F24723" w:rsidRDefault="007D2BB9" w:rsidP="00936316">
            <w:pPr>
              <w:jc w:val="both"/>
              <w:rPr>
                <w:rFonts w:eastAsia="Calibri"/>
                <w:sz w:val="20"/>
                <w:lang w:val="fr-CA"/>
              </w:rPr>
            </w:pPr>
          </w:p>
        </w:tc>
        <w:tc>
          <w:tcPr>
            <w:tcW w:w="2330" w:type="pct"/>
          </w:tcPr>
          <w:p w:rsidR="007D2BB9" w:rsidRPr="00F24723" w:rsidRDefault="007D2BB9" w:rsidP="00936316">
            <w:pPr>
              <w:jc w:val="both"/>
              <w:rPr>
                <w:rFonts w:eastAsia="Calibri"/>
                <w:sz w:val="20"/>
                <w:lang w:val="fr-CA"/>
              </w:rPr>
            </w:pPr>
            <w:r w:rsidRPr="00F24723">
              <w:rPr>
                <w:rFonts w:eastAsia="Calibri"/>
                <w:sz w:val="20"/>
                <w:lang w:val="fr-CA"/>
              </w:rPr>
              <w:t xml:space="preserve">Demande de contrôle judiciaire, rejetée </w:t>
            </w:r>
          </w:p>
        </w:tc>
      </w:tr>
      <w:tr w:rsidR="007D2BB9" w:rsidRPr="00F24723" w:rsidTr="00936316">
        <w:tc>
          <w:tcPr>
            <w:tcW w:w="2427" w:type="pct"/>
          </w:tcPr>
          <w:p w:rsidR="007D2BB9" w:rsidRPr="00F24723" w:rsidRDefault="007D2BB9" w:rsidP="00936316">
            <w:pPr>
              <w:jc w:val="both"/>
              <w:rPr>
                <w:rFonts w:eastAsia="Calibri"/>
                <w:sz w:val="20"/>
                <w:lang w:val="fr-CA"/>
              </w:rPr>
            </w:pPr>
            <w:r w:rsidRPr="00F24723">
              <w:rPr>
                <w:rFonts w:eastAsia="Calibri"/>
                <w:sz w:val="20"/>
                <w:lang w:val="fr-CA"/>
              </w:rPr>
              <w:t>29 juin 2011</w:t>
            </w:r>
          </w:p>
          <w:p w:rsidR="007D2BB9" w:rsidRPr="00F24723" w:rsidRDefault="007D2BB9" w:rsidP="00936316">
            <w:pPr>
              <w:jc w:val="both"/>
              <w:rPr>
                <w:rFonts w:eastAsia="Calibri"/>
                <w:sz w:val="20"/>
                <w:lang w:val="fr-CA"/>
              </w:rPr>
            </w:pPr>
            <w:r w:rsidRPr="00F24723">
              <w:rPr>
                <w:rFonts w:eastAsia="Calibri"/>
                <w:sz w:val="20"/>
                <w:lang w:val="fr-CA"/>
              </w:rPr>
              <w:t>Cour suprême du Canada</w:t>
            </w:r>
          </w:p>
          <w:p w:rsidR="007D2BB9" w:rsidRPr="00F24723" w:rsidRDefault="007D2BB9" w:rsidP="00936316">
            <w:pPr>
              <w:jc w:val="both"/>
              <w:rPr>
                <w:rFonts w:eastAsia="Calibri"/>
                <w:sz w:val="20"/>
                <w:lang w:val="fr-CA"/>
              </w:rPr>
            </w:pPr>
          </w:p>
        </w:tc>
        <w:tc>
          <w:tcPr>
            <w:tcW w:w="243" w:type="pct"/>
          </w:tcPr>
          <w:p w:rsidR="007D2BB9" w:rsidRPr="00F24723" w:rsidRDefault="007D2BB9" w:rsidP="00936316">
            <w:pPr>
              <w:jc w:val="both"/>
              <w:rPr>
                <w:rFonts w:eastAsia="Calibri"/>
                <w:sz w:val="20"/>
                <w:lang w:val="fr-CA"/>
              </w:rPr>
            </w:pPr>
          </w:p>
        </w:tc>
        <w:tc>
          <w:tcPr>
            <w:tcW w:w="2330" w:type="pct"/>
          </w:tcPr>
          <w:p w:rsidR="007D2BB9" w:rsidRPr="00F24723" w:rsidRDefault="007D2BB9" w:rsidP="00936316">
            <w:pPr>
              <w:jc w:val="both"/>
              <w:rPr>
                <w:rFonts w:eastAsia="Calibri"/>
                <w:sz w:val="20"/>
                <w:lang w:val="fr-CA"/>
              </w:rPr>
            </w:pPr>
            <w:r w:rsidRPr="00F24723">
              <w:rPr>
                <w:rFonts w:eastAsia="Calibri"/>
                <w:sz w:val="20"/>
                <w:lang w:val="fr-CA"/>
              </w:rPr>
              <w:t>Demande d’autorisation d’appel, déposée</w:t>
            </w:r>
          </w:p>
        </w:tc>
      </w:tr>
      <w:tr w:rsidR="007D2BB9" w:rsidRPr="00B36F35" w:rsidTr="00936316">
        <w:tc>
          <w:tcPr>
            <w:tcW w:w="2427" w:type="pct"/>
          </w:tcPr>
          <w:p w:rsidR="007D2BB9" w:rsidRPr="00F24723" w:rsidRDefault="007D2BB9" w:rsidP="00936316">
            <w:pPr>
              <w:jc w:val="both"/>
              <w:rPr>
                <w:rFonts w:eastAsia="Calibri"/>
                <w:sz w:val="20"/>
                <w:lang w:val="fr-CA"/>
              </w:rPr>
            </w:pPr>
            <w:r w:rsidRPr="00F24723">
              <w:rPr>
                <w:rFonts w:eastAsia="Calibri"/>
                <w:sz w:val="20"/>
                <w:lang w:val="fr-CA"/>
              </w:rPr>
              <w:t>15 novembre 2011</w:t>
            </w:r>
          </w:p>
          <w:p w:rsidR="007D2BB9" w:rsidRPr="00F24723" w:rsidRDefault="007D2BB9" w:rsidP="00936316">
            <w:pPr>
              <w:jc w:val="both"/>
              <w:rPr>
                <w:rFonts w:eastAsia="Calibri"/>
                <w:sz w:val="20"/>
                <w:lang w:val="fr-CA"/>
              </w:rPr>
            </w:pPr>
            <w:r w:rsidRPr="00F24723">
              <w:rPr>
                <w:rFonts w:eastAsia="Calibri"/>
                <w:sz w:val="20"/>
                <w:lang w:val="fr-CA"/>
              </w:rPr>
              <w:t>Cour suprême du Canada</w:t>
            </w:r>
          </w:p>
        </w:tc>
        <w:tc>
          <w:tcPr>
            <w:tcW w:w="243" w:type="pct"/>
          </w:tcPr>
          <w:p w:rsidR="007D2BB9" w:rsidRPr="00F24723" w:rsidRDefault="007D2BB9" w:rsidP="00936316">
            <w:pPr>
              <w:jc w:val="both"/>
              <w:rPr>
                <w:rFonts w:eastAsia="Calibri"/>
                <w:sz w:val="20"/>
                <w:lang w:val="fr-CA"/>
              </w:rPr>
            </w:pPr>
          </w:p>
        </w:tc>
        <w:tc>
          <w:tcPr>
            <w:tcW w:w="2330" w:type="pct"/>
          </w:tcPr>
          <w:p w:rsidR="007D2BB9" w:rsidRPr="00F24723" w:rsidRDefault="007D2BB9" w:rsidP="00936316">
            <w:pPr>
              <w:jc w:val="both"/>
              <w:rPr>
                <w:rFonts w:eastAsia="Calibri"/>
                <w:sz w:val="20"/>
                <w:lang w:val="fr-CA"/>
              </w:rPr>
            </w:pPr>
            <w:r w:rsidRPr="00F24723">
              <w:rPr>
                <w:rFonts w:eastAsia="Calibri"/>
                <w:sz w:val="20"/>
                <w:lang w:val="fr-CA"/>
              </w:rPr>
              <w:t>Requête en prorogation du délai de signification et de dépôt de la demande d’autorisation d’appel, déposée</w:t>
            </w:r>
          </w:p>
        </w:tc>
      </w:tr>
    </w:tbl>
    <w:p w:rsidR="001823C0" w:rsidRPr="00F24063"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53"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F03EB" w:rsidRPr="009F03EB" w:rsidTr="009F03EB">
        <w:trPr>
          <w:cantSplit/>
        </w:trPr>
        <w:tc>
          <w:tcPr>
            <w:tcW w:w="1458" w:type="dxa"/>
          </w:tcPr>
          <w:p w:rsidR="009F03EB" w:rsidRPr="009F03EB" w:rsidRDefault="009F03EB" w:rsidP="009F03EB">
            <w:pPr>
              <w:rPr>
                <w:sz w:val="20"/>
                <w:szCs w:val="20"/>
              </w:rPr>
            </w:pPr>
            <w:r w:rsidRPr="009F03EB">
              <w:rPr>
                <w:rStyle w:val="SCCFileNumberChar"/>
                <w:sz w:val="20"/>
                <w:szCs w:val="20"/>
              </w:rPr>
              <w:t>34501</w:t>
            </w:r>
          </w:p>
          <w:p w:rsidR="009F03EB" w:rsidRPr="009F03EB" w:rsidRDefault="009F03EB" w:rsidP="009F03EB">
            <w:pPr>
              <w:rPr>
                <w:b/>
                <w:sz w:val="20"/>
                <w:szCs w:val="20"/>
                <w:lang w:val="fr-CA"/>
              </w:rPr>
            </w:pPr>
          </w:p>
        </w:tc>
        <w:tc>
          <w:tcPr>
            <w:tcW w:w="8118" w:type="dxa"/>
          </w:tcPr>
          <w:p w:rsidR="009F03EB" w:rsidRPr="009F03EB" w:rsidRDefault="009F03EB" w:rsidP="009F03EB">
            <w:pPr>
              <w:jc w:val="both"/>
              <w:rPr>
                <w:sz w:val="20"/>
                <w:szCs w:val="20"/>
              </w:rPr>
            </w:pPr>
            <w:r w:rsidRPr="009F03EB">
              <w:rPr>
                <w:rStyle w:val="SCCLsocChar"/>
                <w:sz w:val="20"/>
                <w:szCs w:val="20"/>
                <w:lang w:val="en-CA"/>
              </w:rPr>
              <w:t>Tissa Amaratunga v. Northwest Atlantic Fisheries Organization, a body corporate</w:t>
            </w:r>
            <w:r w:rsidRPr="009F03EB">
              <w:rPr>
                <w:sz w:val="20"/>
                <w:szCs w:val="20"/>
              </w:rPr>
              <w:t xml:space="preserve"> (N.S.) (Civil) (By Leave)</w:t>
            </w:r>
          </w:p>
          <w:p w:rsidR="009F03EB" w:rsidRPr="009F03EB" w:rsidRDefault="009F03EB" w:rsidP="009F03EB">
            <w:pPr>
              <w:rPr>
                <w:sz w:val="20"/>
                <w:szCs w:val="20"/>
              </w:rPr>
            </w:pPr>
          </w:p>
        </w:tc>
      </w:tr>
      <w:tr w:rsidR="009F03EB" w:rsidRPr="009F03EB" w:rsidTr="009F03EB">
        <w:trPr>
          <w:cantSplit/>
        </w:trPr>
        <w:tc>
          <w:tcPr>
            <w:tcW w:w="1458" w:type="dxa"/>
          </w:tcPr>
          <w:p w:rsidR="009F03EB" w:rsidRPr="009F03EB" w:rsidRDefault="009F03EB" w:rsidP="009F03EB">
            <w:pPr>
              <w:rPr>
                <w:sz w:val="20"/>
                <w:szCs w:val="20"/>
              </w:rPr>
            </w:pPr>
            <w:r w:rsidRPr="009F03EB">
              <w:rPr>
                <w:sz w:val="20"/>
                <w:szCs w:val="20"/>
              </w:rPr>
              <w:t>Coram :</w:t>
            </w:r>
          </w:p>
        </w:tc>
        <w:tc>
          <w:tcPr>
            <w:tcW w:w="8118" w:type="dxa"/>
          </w:tcPr>
          <w:p w:rsidR="009F03EB" w:rsidRPr="009F03EB" w:rsidRDefault="009F03EB" w:rsidP="009F03EB">
            <w:pPr>
              <w:rPr>
                <w:sz w:val="20"/>
                <w:szCs w:val="20"/>
              </w:rPr>
            </w:pPr>
            <w:r w:rsidRPr="009F03EB">
              <w:rPr>
                <w:rStyle w:val="SCCCoramChar"/>
                <w:sz w:val="20"/>
                <w:szCs w:val="20"/>
                <w:lang w:val="en-CA"/>
              </w:rPr>
              <w:t>McLachlin C.J. and Rothstein and Moldaver JJ.</w:t>
            </w:r>
          </w:p>
          <w:p w:rsidR="009F03EB" w:rsidRPr="009F03EB" w:rsidRDefault="009F03EB" w:rsidP="009F03EB">
            <w:pPr>
              <w:rPr>
                <w:sz w:val="20"/>
                <w:szCs w:val="20"/>
                <w:u w:val="single"/>
              </w:rPr>
            </w:pPr>
          </w:p>
        </w:tc>
      </w:tr>
      <w:tr w:rsidR="009F03EB" w:rsidRPr="00B36F35" w:rsidTr="009F03EB">
        <w:trPr>
          <w:cantSplit/>
        </w:trPr>
        <w:tc>
          <w:tcPr>
            <w:tcW w:w="9576" w:type="dxa"/>
            <w:gridSpan w:val="2"/>
          </w:tcPr>
          <w:p w:rsidR="009F03EB" w:rsidRPr="009F03EB" w:rsidRDefault="009F03EB" w:rsidP="009F03EB">
            <w:pPr>
              <w:pStyle w:val="SCCShortJudgment"/>
              <w:rPr>
                <w:szCs w:val="20"/>
              </w:rPr>
            </w:pPr>
            <w:r w:rsidRPr="009F03EB">
              <w:rPr>
                <w:szCs w:val="20"/>
              </w:rPr>
              <w:lastRenderedPageBreak/>
              <w:t>The application for leave to appeal from the judgment of the Nova Scotia Court of Appeal, Number CA 343395, 2011 NSCA 73, dated August 23, 2011, is granted with costs in the cause.</w:t>
            </w:r>
          </w:p>
          <w:p w:rsidR="009F03EB" w:rsidRPr="009F03EB" w:rsidRDefault="009F03EB" w:rsidP="009F03EB">
            <w:pPr>
              <w:pStyle w:val="SCCShortJudgment"/>
              <w:ind w:firstLine="0"/>
              <w:rPr>
                <w:szCs w:val="20"/>
              </w:rPr>
            </w:pPr>
          </w:p>
          <w:p w:rsidR="009F03EB" w:rsidRPr="009F03EB" w:rsidRDefault="009F03EB" w:rsidP="009F03EB">
            <w:pPr>
              <w:pStyle w:val="SCCShortJudgment"/>
              <w:rPr>
                <w:szCs w:val="20"/>
                <w:lang w:val="fr-CA"/>
              </w:rPr>
            </w:pPr>
            <w:r w:rsidRPr="009F03EB">
              <w:rPr>
                <w:szCs w:val="20"/>
                <w:lang w:val="fr-CA"/>
              </w:rPr>
              <w:t>La demande d’autorisation d’appel de l’arrêt de la Cour d’appel de la Nouvelle-Écosse, numéro CA 343395, 2011 NSCA 73, daté du 23 août 2011, est accueillie avec dépens suivant l’issue de la cause.</w:t>
            </w:r>
          </w:p>
        </w:tc>
      </w:tr>
    </w:tbl>
    <w:p w:rsidR="001823C0" w:rsidRPr="009F03EB"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2BB9" w:rsidRPr="00F24723" w:rsidTr="00936316">
        <w:trPr>
          <w:trHeight w:val="1872"/>
        </w:trPr>
        <w:tc>
          <w:tcPr>
            <w:tcW w:w="5000" w:type="pct"/>
            <w:gridSpan w:val="3"/>
          </w:tcPr>
          <w:p w:rsidR="007D2BB9" w:rsidRPr="00F24723" w:rsidRDefault="007D2BB9" w:rsidP="00936316">
            <w:pPr>
              <w:jc w:val="both"/>
              <w:rPr>
                <w:rFonts w:eastAsia="Calibri"/>
                <w:sz w:val="20"/>
              </w:rPr>
            </w:pPr>
            <w:r w:rsidRPr="00F24723">
              <w:rPr>
                <w:rFonts w:eastAsia="Calibri"/>
                <w:sz w:val="20"/>
              </w:rPr>
              <w:t xml:space="preserve">Public international law ― Jurisdictional immunity ― NAFO asserted immunity from the jurisdiction of Canadian courts with regard to the action brought by the applicant ― Court of Appeal concluded Nova Scotia courts had no jurisdiction to adjudicate matters, contrary to the decision of the Supreme Court of Nova Scotia ― Whether the Court of Appeal erred in law by interpreting the </w:t>
            </w:r>
            <w:r w:rsidRPr="00F24723">
              <w:rPr>
                <w:rFonts w:eastAsia="Calibri"/>
                <w:i/>
                <w:sz w:val="20"/>
              </w:rPr>
              <w:t xml:space="preserve">Foreign Missions and International Organizations Act </w:t>
            </w:r>
            <w:r w:rsidRPr="00F24723">
              <w:rPr>
                <w:rFonts w:eastAsia="Calibri"/>
                <w:sz w:val="20"/>
              </w:rPr>
              <w:t>(“</w:t>
            </w:r>
            <w:r w:rsidRPr="00F24723">
              <w:rPr>
                <w:rFonts w:eastAsia="Calibri"/>
                <w:i/>
                <w:sz w:val="20"/>
              </w:rPr>
              <w:t>FMIO</w:t>
            </w:r>
            <w:r w:rsidRPr="00F24723">
              <w:rPr>
                <w:rFonts w:eastAsia="Calibri"/>
                <w:sz w:val="20"/>
              </w:rPr>
              <w:t xml:space="preserve">”) and the NAFO Immunity Order without consideration of the </w:t>
            </w:r>
            <w:r w:rsidRPr="00F24723">
              <w:rPr>
                <w:rFonts w:eastAsia="Calibri"/>
                <w:i/>
                <w:sz w:val="20"/>
              </w:rPr>
              <w:t xml:space="preserve">International Bill of Human Rights, </w:t>
            </w:r>
            <w:r w:rsidRPr="00F24723">
              <w:rPr>
                <w:rFonts w:eastAsia="Calibri"/>
                <w:sz w:val="20"/>
              </w:rPr>
              <w:t xml:space="preserve">and without consideration of the obligations of Canada under conventional international law? ― Whether the Court of Appeal erred in law by interpreting the </w:t>
            </w:r>
            <w:r w:rsidRPr="00F24723">
              <w:rPr>
                <w:rFonts w:eastAsia="Calibri"/>
                <w:i/>
                <w:sz w:val="20"/>
              </w:rPr>
              <w:t xml:space="preserve">FMIO </w:t>
            </w:r>
            <w:r w:rsidRPr="00F24723">
              <w:rPr>
                <w:rFonts w:eastAsia="Calibri"/>
                <w:sz w:val="20"/>
              </w:rPr>
              <w:t xml:space="preserve">and the NAFO Immunity Order without consideration of the fundamental principle of common law, </w:t>
            </w:r>
            <w:r w:rsidRPr="00F24723">
              <w:rPr>
                <w:rFonts w:eastAsia="Calibri"/>
                <w:i/>
                <w:sz w:val="20"/>
              </w:rPr>
              <w:t>Ubi, jus, ibi remedium</w:t>
            </w:r>
            <w:r w:rsidRPr="00F24723">
              <w:rPr>
                <w:rFonts w:eastAsia="Calibri"/>
                <w:sz w:val="20"/>
              </w:rPr>
              <w:t xml:space="preserve"> ― Whether the Court of Appeal erred in law by interpreting the word “required” in s. 3(1) of the </w:t>
            </w:r>
            <w:r w:rsidRPr="00F24723">
              <w:rPr>
                <w:rFonts w:eastAsia="Calibri"/>
                <w:i/>
                <w:sz w:val="20"/>
              </w:rPr>
              <w:t xml:space="preserve">NAFO Immunity Order </w:t>
            </w:r>
            <w:r w:rsidRPr="00F24723">
              <w:rPr>
                <w:rFonts w:eastAsia="Calibri"/>
                <w:sz w:val="20"/>
              </w:rPr>
              <w:t xml:space="preserve"> broadly, so as to provide immunity from the jurisdiction of the court ― Whether the Court of Appeal erred in law by holding that a conclusion by the lower court that “just cause [for the dismissal of the Applicant] is not asserted by NAFO” was a palpable and overriding error of fact requiring intervention by the Court of Appeal ― Whether the Court of Appeal erred in law by holding, without consideration or reasons, that the NAFO Immunity Order provided immunity to NAFO from the jurisdiction of the court with respect to the concurrent claim of the Applicant for payment of the balance of Separation Indemnity explicitly due under the Staff Rules of NAFO, or alternatively, pursuant to a contract subsequent to the dismissal from service of the Applicant?</w:t>
            </w:r>
          </w:p>
          <w:p w:rsidR="007D2BB9" w:rsidRPr="00F24723" w:rsidRDefault="007D2BB9" w:rsidP="00936316">
            <w:pPr>
              <w:jc w:val="both"/>
              <w:rPr>
                <w:rFonts w:eastAsia="Calibri"/>
                <w:sz w:val="20"/>
              </w:rPr>
            </w:pPr>
          </w:p>
        </w:tc>
      </w:tr>
      <w:tr w:rsidR="007D2BB9" w:rsidRPr="00F24723" w:rsidTr="00936316">
        <w:trPr>
          <w:trHeight w:val="2160"/>
        </w:trPr>
        <w:tc>
          <w:tcPr>
            <w:tcW w:w="5000" w:type="pct"/>
            <w:gridSpan w:val="3"/>
          </w:tcPr>
          <w:p w:rsidR="007D2BB9" w:rsidRPr="00F24723" w:rsidRDefault="007D2BB9" w:rsidP="00936316">
            <w:pPr>
              <w:jc w:val="both"/>
              <w:rPr>
                <w:color w:val="000000"/>
                <w:sz w:val="20"/>
              </w:rPr>
            </w:pPr>
            <w:r w:rsidRPr="00F24723">
              <w:rPr>
                <w:color w:val="000000"/>
                <w:sz w:val="20"/>
              </w:rPr>
              <w:t>The respondent, Northwest Atlantic Fisheries Organization (“NAFO”) is an international body comprised of 13 signatories representing approximately two dozen independent countries, including Canada.  Headquartered in Dartmouth, Nova Scotia, its mandate is to manage and preserve fishing resources in the northwest Atlantic Ocean.</w:t>
            </w:r>
          </w:p>
          <w:p w:rsidR="007D2BB9" w:rsidRPr="00F24723" w:rsidRDefault="007D2BB9" w:rsidP="00936316">
            <w:pPr>
              <w:jc w:val="both"/>
              <w:rPr>
                <w:color w:val="000000"/>
                <w:sz w:val="20"/>
              </w:rPr>
            </w:pPr>
          </w:p>
          <w:p w:rsidR="007D2BB9" w:rsidRPr="00F24723" w:rsidRDefault="007D2BB9" w:rsidP="00936316">
            <w:pPr>
              <w:jc w:val="both"/>
              <w:rPr>
                <w:color w:val="000000"/>
                <w:sz w:val="20"/>
              </w:rPr>
            </w:pPr>
            <w:r w:rsidRPr="00F24723">
              <w:rPr>
                <w:color w:val="000000"/>
                <w:sz w:val="20"/>
              </w:rPr>
              <w:t xml:space="preserve">The applicant, Tissa Amaratunga, began working for NAFO at its headquarters in 1988 in a senior management position.  He continued in this capacity until June 2005 when his employment was terminated.  He commenced a wrongful dismissal suit in response in the Supreme Court of Nova Scotia.  NAFO claimed immunity as an international organization and asked the Supreme Court of Nova Scotia to declare itself without jurisdiction to adjudicate the matter.  </w:t>
            </w:r>
          </w:p>
          <w:p w:rsidR="007D2BB9" w:rsidRPr="00F24723" w:rsidRDefault="007D2BB9" w:rsidP="00936316">
            <w:pPr>
              <w:jc w:val="both"/>
              <w:rPr>
                <w:color w:val="000000"/>
                <w:sz w:val="20"/>
              </w:rPr>
            </w:pPr>
          </w:p>
          <w:p w:rsidR="007D2BB9" w:rsidRPr="00F24723" w:rsidRDefault="007D2BB9" w:rsidP="00936316">
            <w:pPr>
              <w:jc w:val="both"/>
              <w:rPr>
                <w:color w:val="000000"/>
                <w:sz w:val="20"/>
              </w:rPr>
            </w:pPr>
            <w:r w:rsidRPr="00F24723">
              <w:rPr>
                <w:color w:val="000000"/>
                <w:sz w:val="20"/>
              </w:rPr>
              <w:t xml:space="preserve">Its claim was based in part on an immunity order issued by the Government of Canada pursuant to the </w:t>
            </w:r>
            <w:r w:rsidRPr="00F24723">
              <w:rPr>
                <w:i/>
                <w:iCs/>
                <w:color w:val="000000"/>
                <w:sz w:val="20"/>
              </w:rPr>
              <w:t>Privileges and Immunities (International Organizations) Act</w:t>
            </w:r>
            <w:r w:rsidRPr="00F24723">
              <w:rPr>
                <w:color w:val="000000"/>
                <w:sz w:val="20"/>
              </w:rPr>
              <w:t>, R.S.C. 1985, c. P</w:t>
            </w:r>
            <w:r w:rsidRPr="00F24723">
              <w:rPr>
                <w:color w:val="000000"/>
                <w:sz w:val="20"/>
              </w:rPr>
              <w:noBreakHyphen/>
              <w:t xml:space="preserve">22. This provision remains in effect pursuant to successor legislation, the </w:t>
            </w:r>
            <w:r w:rsidRPr="00F24723">
              <w:rPr>
                <w:i/>
                <w:iCs/>
                <w:color w:val="000000"/>
                <w:sz w:val="20"/>
              </w:rPr>
              <w:t>Foreign Missions and International Organizations Act</w:t>
            </w:r>
            <w:r w:rsidRPr="00F24723">
              <w:rPr>
                <w:color w:val="000000"/>
                <w:sz w:val="20"/>
              </w:rPr>
              <w:t xml:space="preserve">, S.C. 1991, c. 41. </w:t>
            </w:r>
            <w:r w:rsidRPr="00F24723">
              <w:rPr>
                <w:sz w:val="20"/>
              </w:rPr>
              <w:t xml:space="preserve">Wright J. of the Supreme Court of Nova Scotia dismissed NAFO’s motion and ordered that the matter could proceed to trial on the merits of the issues raised in the Statement of Claim.  The Court of Appeal allowed the appeal and determined the Supreme Court of Nova Scotia had no jurisdiction to adjudicate this matter.  </w:t>
            </w:r>
          </w:p>
          <w:p w:rsidR="007D2BB9" w:rsidRPr="00F24723" w:rsidRDefault="007D2BB9" w:rsidP="00936316">
            <w:pPr>
              <w:jc w:val="both"/>
              <w:rPr>
                <w:rFonts w:eastAsia="Calibri"/>
                <w:sz w:val="20"/>
              </w:rPr>
            </w:pPr>
          </w:p>
        </w:tc>
      </w:tr>
      <w:tr w:rsidR="007D2BB9" w:rsidRPr="00F24723" w:rsidTr="00936316">
        <w:tc>
          <w:tcPr>
            <w:tcW w:w="2427" w:type="pct"/>
          </w:tcPr>
          <w:p w:rsidR="007D2BB9" w:rsidRPr="00F24723" w:rsidRDefault="007D2BB9" w:rsidP="00936316">
            <w:pPr>
              <w:jc w:val="both"/>
              <w:rPr>
                <w:rFonts w:eastAsia="Calibri"/>
                <w:sz w:val="20"/>
              </w:rPr>
            </w:pPr>
            <w:r w:rsidRPr="00F24723">
              <w:rPr>
                <w:rFonts w:eastAsia="Calibri"/>
                <w:sz w:val="20"/>
              </w:rPr>
              <w:t>September 30, 2010</w:t>
            </w:r>
          </w:p>
          <w:p w:rsidR="007D2BB9" w:rsidRPr="00F24723" w:rsidRDefault="007D2BB9" w:rsidP="00936316">
            <w:pPr>
              <w:jc w:val="both"/>
              <w:rPr>
                <w:rFonts w:eastAsia="Calibri"/>
                <w:sz w:val="20"/>
              </w:rPr>
            </w:pPr>
            <w:r w:rsidRPr="00F24723">
              <w:rPr>
                <w:rFonts w:eastAsia="Calibri"/>
                <w:sz w:val="20"/>
              </w:rPr>
              <w:t>Supreme Court of Nova Scotia, Trial Division</w:t>
            </w:r>
          </w:p>
          <w:p w:rsidR="007D2BB9" w:rsidRPr="00F24723" w:rsidRDefault="007D2BB9" w:rsidP="00936316">
            <w:pPr>
              <w:jc w:val="both"/>
              <w:rPr>
                <w:rFonts w:eastAsia="Calibri"/>
                <w:sz w:val="20"/>
              </w:rPr>
            </w:pPr>
            <w:r w:rsidRPr="00F24723">
              <w:rPr>
                <w:rFonts w:eastAsia="Calibri"/>
                <w:sz w:val="20"/>
              </w:rPr>
              <w:t>(Wright J.)</w:t>
            </w:r>
          </w:p>
          <w:p w:rsidR="007D2BB9" w:rsidRPr="00F24723" w:rsidRDefault="007D2BB9" w:rsidP="00936316">
            <w:pPr>
              <w:jc w:val="both"/>
              <w:rPr>
                <w:rFonts w:eastAsia="Calibri"/>
                <w:sz w:val="20"/>
              </w:rPr>
            </w:pPr>
            <w:r w:rsidRPr="00F24723">
              <w:rPr>
                <w:rFonts w:eastAsia="Calibri"/>
                <w:sz w:val="20"/>
              </w:rPr>
              <w:t>2010 NSSC 346</w:t>
            </w:r>
          </w:p>
          <w:p w:rsidR="007D2BB9" w:rsidRPr="00F24723" w:rsidRDefault="007D2BB9" w:rsidP="00936316">
            <w:pPr>
              <w:jc w:val="both"/>
              <w:rPr>
                <w:rFonts w:eastAsia="Calibri"/>
                <w:sz w:val="20"/>
              </w:rPr>
            </w:pPr>
          </w:p>
        </w:tc>
        <w:tc>
          <w:tcPr>
            <w:tcW w:w="243" w:type="pct"/>
          </w:tcPr>
          <w:p w:rsidR="007D2BB9" w:rsidRPr="00F24723" w:rsidRDefault="007D2BB9" w:rsidP="00936316">
            <w:pPr>
              <w:jc w:val="both"/>
              <w:rPr>
                <w:rFonts w:eastAsia="Calibri"/>
                <w:sz w:val="20"/>
              </w:rPr>
            </w:pPr>
          </w:p>
        </w:tc>
        <w:tc>
          <w:tcPr>
            <w:tcW w:w="2330" w:type="pct"/>
          </w:tcPr>
          <w:p w:rsidR="007D2BB9" w:rsidRPr="00F24723" w:rsidRDefault="007D2BB9" w:rsidP="00936316">
            <w:pPr>
              <w:jc w:val="both"/>
              <w:rPr>
                <w:rFonts w:eastAsia="Calibri"/>
                <w:sz w:val="20"/>
              </w:rPr>
            </w:pPr>
            <w:r w:rsidRPr="00F24723">
              <w:rPr>
                <w:rFonts w:eastAsia="Calibri"/>
                <w:sz w:val="20"/>
              </w:rPr>
              <w:t>NAFO’s request for an order for a declaration for immunity from claims raised in the applicable action and that the N.S. Supreme Court is without jurisdiction to consider the issues raised in such action, dismissed; applicant can proceed to trial on merits of issues raised in Statement of Claim.</w:t>
            </w:r>
          </w:p>
          <w:p w:rsidR="007D2BB9" w:rsidRPr="00F24723" w:rsidRDefault="007D2BB9" w:rsidP="00936316">
            <w:pPr>
              <w:jc w:val="both"/>
              <w:rPr>
                <w:rFonts w:eastAsia="Calibri"/>
                <w:sz w:val="20"/>
              </w:rPr>
            </w:pPr>
          </w:p>
        </w:tc>
      </w:tr>
      <w:tr w:rsidR="007D2BB9" w:rsidRPr="00F24723" w:rsidTr="009F03EB">
        <w:trPr>
          <w:cantSplit/>
        </w:trPr>
        <w:tc>
          <w:tcPr>
            <w:tcW w:w="2427" w:type="pct"/>
          </w:tcPr>
          <w:p w:rsidR="007D2BB9" w:rsidRPr="00F24723" w:rsidRDefault="007D2BB9" w:rsidP="00936316">
            <w:pPr>
              <w:jc w:val="both"/>
              <w:rPr>
                <w:rFonts w:eastAsia="Calibri"/>
                <w:sz w:val="20"/>
              </w:rPr>
            </w:pPr>
            <w:r w:rsidRPr="00F24723">
              <w:rPr>
                <w:rFonts w:eastAsia="Calibri"/>
                <w:sz w:val="20"/>
              </w:rPr>
              <w:lastRenderedPageBreak/>
              <w:t>August 23, 2011</w:t>
            </w:r>
          </w:p>
          <w:p w:rsidR="007D2BB9" w:rsidRPr="00F24723" w:rsidRDefault="007D2BB9" w:rsidP="00936316">
            <w:pPr>
              <w:jc w:val="both"/>
              <w:rPr>
                <w:rFonts w:eastAsia="Calibri"/>
                <w:sz w:val="20"/>
              </w:rPr>
            </w:pPr>
            <w:r w:rsidRPr="00F24723">
              <w:rPr>
                <w:rFonts w:eastAsia="Calibri"/>
                <w:sz w:val="20"/>
              </w:rPr>
              <w:t>Nova Scotia Court of Appeal</w:t>
            </w:r>
          </w:p>
          <w:p w:rsidR="007D2BB9" w:rsidRPr="00F24723" w:rsidRDefault="007D2BB9" w:rsidP="00936316">
            <w:pPr>
              <w:jc w:val="both"/>
              <w:rPr>
                <w:rFonts w:eastAsia="Calibri"/>
                <w:sz w:val="20"/>
              </w:rPr>
            </w:pPr>
            <w:r w:rsidRPr="00F24723">
              <w:rPr>
                <w:rFonts w:eastAsia="Calibri"/>
                <w:sz w:val="20"/>
              </w:rPr>
              <w:t>(MacDonald, C.J. and Beveridge and Bryson JJ.A.)</w:t>
            </w:r>
          </w:p>
          <w:p w:rsidR="007D2BB9" w:rsidRPr="00F24723" w:rsidRDefault="007D2BB9" w:rsidP="00936316">
            <w:pPr>
              <w:jc w:val="both"/>
              <w:rPr>
                <w:rFonts w:eastAsia="Calibri"/>
                <w:sz w:val="20"/>
              </w:rPr>
            </w:pPr>
            <w:r w:rsidRPr="00F24723">
              <w:rPr>
                <w:rFonts w:eastAsia="Calibri"/>
                <w:sz w:val="20"/>
              </w:rPr>
              <w:t>2011 NSCA 73</w:t>
            </w:r>
          </w:p>
          <w:p w:rsidR="007D2BB9" w:rsidRPr="00F24723" w:rsidRDefault="007D2BB9" w:rsidP="00936316">
            <w:pPr>
              <w:jc w:val="both"/>
              <w:rPr>
                <w:rFonts w:eastAsia="Calibri"/>
                <w:sz w:val="20"/>
              </w:rPr>
            </w:pPr>
          </w:p>
        </w:tc>
        <w:tc>
          <w:tcPr>
            <w:tcW w:w="243" w:type="pct"/>
          </w:tcPr>
          <w:p w:rsidR="007D2BB9" w:rsidRPr="00F24723" w:rsidRDefault="007D2BB9" w:rsidP="00936316">
            <w:pPr>
              <w:jc w:val="both"/>
              <w:rPr>
                <w:rFonts w:eastAsia="Calibri"/>
                <w:sz w:val="20"/>
              </w:rPr>
            </w:pPr>
          </w:p>
        </w:tc>
        <w:tc>
          <w:tcPr>
            <w:tcW w:w="2330" w:type="pct"/>
          </w:tcPr>
          <w:p w:rsidR="007D2BB9" w:rsidRPr="00F24723" w:rsidRDefault="007D2BB9" w:rsidP="00936316">
            <w:pPr>
              <w:jc w:val="both"/>
              <w:rPr>
                <w:rFonts w:eastAsia="Calibri"/>
                <w:sz w:val="20"/>
              </w:rPr>
            </w:pPr>
            <w:r w:rsidRPr="00F24723">
              <w:rPr>
                <w:rFonts w:eastAsia="Calibri"/>
                <w:sz w:val="20"/>
              </w:rPr>
              <w:t>Appeal allowed; Supreme Court of Nova Scotia has no jurisdiction to adjudicate matter</w:t>
            </w:r>
          </w:p>
          <w:p w:rsidR="007D2BB9" w:rsidRPr="00F24723" w:rsidRDefault="007D2BB9" w:rsidP="00936316">
            <w:pPr>
              <w:jc w:val="both"/>
              <w:rPr>
                <w:rFonts w:eastAsia="Calibri"/>
                <w:sz w:val="20"/>
              </w:rPr>
            </w:pPr>
          </w:p>
        </w:tc>
      </w:tr>
      <w:tr w:rsidR="007D2BB9" w:rsidRPr="00F24723" w:rsidTr="009F03EB">
        <w:trPr>
          <w:cantSplit/>
        </w:trPr>
        <w:tc>
          <w:tcPr>
            <w:tcW w:w="2427" w:type="pct"/>
          </w:tcPr>
          <w:p w:rsidR="007D2BB9" w:rsidRPr="00F24723" w:rsidRDefault="007D2BB9" w:rsidP="00936316">
            <w:pPr>
              <w:jc w:val="both"/>
              <w:rPr>
                <w:rFonts w:eastAsia="Calibri"/>
                <w:sz w:val="20"/>
              </w:rPr>
            </w:pPr>
            <w:r w:rsidRPr="00F24723">
              <w:rPr>
                <w:rFonts w:eastAsia="Calibri"/>
                <w:sz w:val="20"/>
              </w:rPr>
              <w:t>October 24, 2011</w:t>
            </w:r>
          </w:p>
          <w:p w:rsidR="007D2BB9" w:rsidRPr="00F24723" w:rsidRDefault="007D2BB9" w:rsidP="00936316">
            <w:pPr>
              <w:jc w:val="both"/>
              <w:rPr>
                <w:rFonts w:eastAsia="Calibri"/>
                <w:sz w:val="20"/>
              </w:rPr>
            </w:pPr>
            <w:r w:rsidRPr="00F24723">
              <w:rPr>
                <w:rFonts w:eastAsia="Calibri"/>
                <w:sz w:val="20"/>
              </w:rPr>
              <w:t>Supreme Court of Canada</w:t>
            </w:r>
          </w:p>
        </w:tc>
        <w:tc>
          <w:tcPr>
            <w:tcW w:w="243" w:type="pct"/>
          </w:tcPr>
          <w:p w:rsidR="007D2BB9" w:rsidRPr="00F24723" w:rsidRDefault="007D2BB9" w:rsidP="00936316">
            <w:pPr>
              <w:jc w:val="both"/>
              <w:rPr>
                <w:rFonts w:eastAsia="Calibri"/>
                <w:sz w:val="20"/>
              </w:rPr>
            </w:pPr>
          </w:p>
        </w:tc>
        <w:tc>
          <w:tcPr>
            <w:tcW w:w="2330" w:type="pct"/>
          </w:tcPr>
          <w:p w:rsidR="007D2BB9" w:rsidRPr="00F24723" w:rsidRDefault="007D2BB9" w:rsidP="00936316">
            <w:pPr>
              <w:jc w:val="both"/>
              <w:rPr>
                <w:rFonts w:eastAsia="Calibri"/>
                <w:sz w:val="20"/>
              </w:rPr>
            </w:pPr>
            <w:r w:rsidRPr="00F24723">
              <w:rPr>
                <w:rFonts w:eastAsia="Calibri"/>
                <w:sz w:val="20"/>
              </w:rPr>
              <w:t>Application for leave to appeal filed</w:t>
            </w:r>
          </w:p>
          <w:p w:rsidR="007D2BB9" w:rsidRPr="00F24723" w:rsidRDefault="007D2BB9"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54"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9527"/>
      </w:tblGrid>
      <w:tr w:rsidR="007D2BB9" w:rsidRPr="00B36F35" w:rsidTr="00936316">
        <w:tc>
          <w:tcPr>
            <w:tcW w:w="5000" w:type="pct"/>
          </w:tcPr>
          <w:p w:rsidR="007D2BB9" w:rsidRPr="00F24723" w:rsidRDefault="007D2BB9" w:rsidP="00936316">
            <w:pPr>
              <w:jc w:val="both"/>
              <w:rPr>
                <w:rFonts w:eastAsia="Calibri"/>
                <w:sz w:val="20"/>
                <w:lang w:val="fr-FR"/>
              </w:rPr>
            </w:pPr>
            <w:r w:rsidRPr="00F24723">
              <w:rPr>
                <w:rFonts w:eastAsia="Calibri"/>
                <w:sz w:val="20"/>
                <w:lang w:val="fr-FR"/>
              </w:rPr>
              <w:t>Droit international public ― Immunité de juridiction ― L’OPANO a dit échapper à la compétence des tribunaux canadiens en ce qui concerne l’action intentée par le demandeur ― Selon la Cour d’appel, les tribunaux de la Nouvelle</w:t>
            </w:r>
            <w:r w:rsidRPr="00F24723">
              <w:rPr>
                <w:rFonts w:eastAsia="Calibri"/>
                <w:sz w:val="20"/>
                <w:lang w:val="fr-FR"/>
              </w:rPr>
              <w:noBreakHyphen/>
              <w:t>Écosse n’avaient pas compétence pour trancher les questions en litige, contrairement à ce qu’a décidé la Cour suprême de cette province ― La Cour d’appel a</w:t>
            </w:r>
            <w:r w:rsidRPr="00F24723">
              <w:rPr>
                <w:rFonts w:eastAsia="Calibri"/>
                <w:sz w:val="20"/>
                <w:lang w:val="fr-FR"/>
              </w:rPr>
              <w:noBreakHyphen/>
              <w:t>t</w:t>
            </w:r>
            <w:r w:rsidRPr="00F24723">
              <w:rPr>
                <w:rFonts w:eastAsia="Calibri"/>
                <w:sz w:val="20"/>
                <w:lang w:val="fr-FR"/>
              </w:rPr>
              <w:noBreakHyphen/>
              <w:t xml:space="preserve">elle commis une erreur de droit en interprétant la </w:t>
            </w:r>
            <w:r w:rsidRPr="00F24723">
              <w:rPr>
                <w:rFonts w:eastAsia="Calibri"/>
                <w:i/>
                <w:sz w:val="20"/>
                <w:lang w:val="fr-FR"/>
              </w:rPr>
              <w:t xml:space="preserve">Loi sur les missions étrangères et les organisations internationales </w:t>
            </w:r>
            <w:r w:rsidRPr="00F24723">
              <w:rPr>
                <w:rFonts w:eastAsia="Calibri"/>
                <w:sz w:val="20"/>
                <w:lang w:val="fr-FR"/>
              </w:rPr>
              <w:t>(« </w:t>
            </w:r>
            <w:r w:rsidRPr="00F24723">
              <w:rPr>
                <w:rFonts w:eastAsia="Calibri"/>
                <w:i/>
                <w:sz w:val="20"/>
                <w:lang w:val="fr-FR"/>
              </w:rPr>
              <w:t>LMÉOI </w:t>
            </w:r>
            <w:r w:rsidRPr="00F24723">
              <w:rPr>
                <w:rFonts w:eastAsia="Calibri"/>
                <w:sz w:val="20"/>
                <w:lang w:val="fr-FR"/>
              </w:rPr>
              <w:t xml:space="preserve">») et le Décret octroyant une immunité à l’OPANO sans tenir compte de la </w:t>
            </w:r>
            <w:r w:rsidRPr="00F24723">
              <w:rPr>
                <w:rFonts w:eastAsia="Calibri"/>
                <w:i/>
                <w:sz w:val="20"/>
                <w:lang w:val="fr-FR"/>
              </w:rPr>
              <w:t xml:space="preserve">Charte internationale des droits de l’homme </w:t>
            </w:r>
            <w:r w:rsidRPr="00F24723">
              <w:rPr>
                <w:rFonts w:eastAsia="Calibri"/>
                <w:sz w:val="20"/>
                <w:lang w:val="fr-FR"/>
              </w:rPr>
              <w:t>et des obligations du Canada en droit international coutumier? ― La Cour d’appel a</w:t>
            </w:r>
            <w:r w:rsidRPr="00F24723">
              <w:rPr>
                <w:rFonts w:eastAsia="Calibri"/>
                <w:sz w:val="20"/>
                <w:lang w:val="fr-FR"/>
              </w:rPr>
              <w:noBreakHyphen/>
              <w:t>t</w:t>
            </w:r>
            <w:r w:rsidRPr="00F24723">
              <w:rPr>
                <w:rFonts w:eastAsia="Calibri"/>
                <w:sz w:val="20"/>
                <w:lang w:val="fr-FR"/>
              </w:rPr>
              <w:noBreakHyphen/>
              <w:t xml:space="preserve">elle commis une erreur de droit en interprétant la </w:t>
            </w:r>
            <w:r w:rsidRPr="00F24723">
              <w:rPr>
                <w:rFonts w:eastAsia="Calibri"/>
                <w:i/>
                <w:sz w:val="20"/>
                <w:lang w:val="fr-FR"/>
              </w:rPr>
              <w:t xml:space="preserve">LMÉOI </w:t>
            </w:r>
            <w:r w:rsidRPr="00F24723">
              <w:rPr>
                <w:rFonts w:eastAsia="Calibri"/>
                <w:sz w:val="20"/>
                <w:lang w:val="fr-FR"/>
              </w:rPr>
              <w:t>et le Décret octroyant une immunité à l’OPANO sans prendre en considération le principe fondamental de la common law : là où il y a un droit, il y a un recours? ― La Cour d’appel a</w:t>
            </w:r>
            <w:r w:rsidRPr="00F24723">
              <w:rPr>
                <w:rFonts w:eastAsia="Calibri"/>
                <w:sz w:val="20"/>
                <w:lang w:val="fr-FR"/>
              </w:rPr>
              <w:noBreakHyphen/>
              <w:t>t</w:t>
            </w:r>
            <w:r w:rsidRPr="00F24723">
              <w:rPr>
                <w:rFonts w:eastAsia="Calibri"/>
                <w:sz w:val="20"/>
                <w:lang w:val="fr-FR"/>
              </w:rPr>
              <w:noBreakHyphen/>
              <w:t xml:space="preserve">elle commis une erreur de droit en donnant une interprétation large au mot « exigent » figurant au par. 3(1) du </w:t>
            </w:r>
            <w:r w:rsidRPr="00F24723">
              <w:rPr>
                <w:rFonts w:eastAsia="Calibri"/>
                <w:i/>
                <w:sz w:val="20"/>
                <w:lang w:val="fr-FR"/>
              </w:rPr>
              <w:t>Décret octroyant une immunité à l’OPANO</w:t>
            </w:r>
            <w:r w:rsidRPr="00F24723">
              <w:rPr>
                <w:rFonts w:eastAsia="Calibri"/>
                <w:sz w:val="20"/>
                <w:lang w:val="fr-FR"/>
              </w:rPr>
              <w:t>, de manière à accorder l’immunité de juridiction devant le tribunal? ― La Cour d’appel a</w:t>
            </w:r>
            <w:r w:rsidRPr="00F24723">
              <w:rPr>
                <w:rFonts w:eastAsia="Calibri"/>
                <w:sz w:val="20"/>
                <w:lang w:val="fr-FR"/>
              </w:rPr>
              <w:noBreakHyphen/>
              <w:t>t</w:t>
            </w:r>
            <w:r w:rsidRPr="00F24723">
              <w:rPr>
                <w:rFonts w:eastAsia="Calibri"/>
                <w:sz w:val="20"/>
                <w:lang w:val="fr-FR"/>
              </w:rPr>
              <w:noBreakHyphen/>
              <w:t>elle commis une erreur de droit en jugeant que la conclusion de la cour inférieure, selon laquelle « l’OPANO n’invoque pas le caractère justifié [du congédiement du demandeur] », était une erreur de fait manifeste et dominante nécessitant l’intervention de la Cour d’appel? ― La Cour d’appel a</w:t>
            </w:r>
            <w:r w:rsidRPr="00F24723">
              <w:rPr>
                <w:rFonts w:eastAsia="Calibri"/>
                <w:sz w:val="20"/>
                <w:lang w:val="fr-FR"/>
              </w:rPr>
              <w:noBreakHyphen/>
              <w:t>t</w:t>
            </w:r>
            <w:r w:rsidRPr="00F24723">
              <w:rPr>
                <w:rFonts w:eastAsia="Calibri"/>
                <w:sz w:val="20"/>
                <w:lang w:val="fr-FR"/>
              </w:rPr>
              <w:noBreakHyphen/>
              <w:t xml:space="preserve">elle commis une erreur de droit en affirmant, sans avoir examiné la question ou sans motifs à l’appui, que le Décret octroyant une immunité à l’OPANO mettait cette dernière à l’abri de la compétence du tribunal relativement à la poursuite du demandeur visant à obtenir le solde de l’indemnité de départ à laquelle il avait explicitement droit en vertu des </w:t>
            </w:r>
            <w:r w:rsidRPr="00F24723">
              <w:rPr>
                <w:rFonts w:eastAsia="Calibri"/>
                <w:i/>
                <w:sz w:val="20"/>
                <w:lang w:val="fr-FR"/>
              </w:rPr>
              <w:t>Staff Rules</w:t>
            </w:r>
            <w:r w:rsidRPr="00F24723">
              <w:rPr>
                <w:rFonts w:eastAsia="Calibri"/>
                <w:sz w:val="20"/>
                <w:lang w:val="fr-FR"/>
              </w:rPr>
              <w:t xml:space="preserve"> de l’OPANO ou, subsidiairement, en vertu d’un contrat à la suite de son licenciement?</w:t>
            </w:r>
          </w:p>
          <w:p w:rsidR="007D2BB9" w:rsidRPr="00F24723" w:rsidRDefault="007D2BB9" w:rsidP="00936316">
            <w:pPr>
              <w:jc w:val="both"/>
              <w:rPr>
                <w:rFonts w:eastAsia="Calibri"/>
                <w:sz w:val="20"/>
                <w:lang w:val="fr-FR"/>
              </w:rPr>
            </w:pPr>
          </w:p>
        </w:tc>
      </w:tr>
      <w:tr w:rsidR="007D2BB9" w:rsidRPr="00B36F35" w:rsidTr="00936316">
        <w:tc>
          <w:tcPr>
            <w:tcW w:w="5000" w:type="pct"/>
          </w:tcPr>
          <w:p w:rsidR="007D2BB9" w:rsidRPr="00F24723" w:rsidRDefault="007D2BB9" w:rsidP="00936316">
            <w:pPr>
              <w:jc w:val="both"/>
              <w:rPr>
                <w:color w:val="000000"/>
                <w:sz w:val="20"/>
                <w:lang w:val="fr-FR"/>
              </w:rPr>
            </w:pPr>
            <w:r w:rsidRPr="00F24723">
              <w:rPr>
                <w:color w:val="000000"/>
                <w:sz w:val="20"/>
                <w:lang w:val="fr-FR"/>
              </w:rPr>
              <w:t>L’intimée, l’Organisation des pêches de l’Atlantique nord</w:t>
            </w:r>
            <w:r w:rsidRPr="00F24723">
              <w:rPr>
                <w:color w:val="000000"/>
                <w:sz w:val="20"/>
                <w:lang w:val="fr-FR"/>
              </w:rPr>
              <w:noBreakHyphen/>
              <w:t>ouest (« OPANO »), est un organisme international regroupant 13 signataires qui représentent environ 24 pays, dont le Canada.  Établie à Dartmouth, en Nouvelle</w:t>
            </w:r>
            <w:r w:rsidRPr="00F24723">
              <w:rPr>
                <w:color w:val="000000"/>
                <w:sz w:val="20"/>
                <w:lang w:val="fr-FR"/>
              </w:rPr>
              <w:noBreakHyphen/>
              <w:t>Écosse, l’OPANO a pour mandat de gérer et de conserver les ressources halieutiques de l’Atlantique nord</w:t>
            </w:r>
            <w:r w:rsidRPr="00F24723">
              <w:rPr>
                <w:color w:val="000000"/>
                <w:sz w:val="20"/>
                <w:lang w:val="fr-FR"/>
              </w:rPr>
              <w:noBreakHyphen/>
              <w:t xml:space="preserve">ouest. </w:t>
            </w:r>
          </w:p>
          <w:p w:rsidR="007D2BB9" w:rsidRPr="00F24723" w:rsidRDefault="007D2BB9" w:rsidP="00936316">
            <w:pPr>
              <w:jc w:val="both"/>
              <w:rPr>
                <w:color w:val="000000"/>
                <w:sz w:val="20"/>
                <w:lang w:val="fr-FR"/>
              </w:rPr>
            </w:pPr>
          </w:p>
          <w:p w:rsidR="007D2BB9" w:rsidRPr="00F24723" w:rsidRDefault="007D2BB9" w:rsidP="00936316">
            <w:pPr>
              <w:jc w:val="both"/>
              <w:rPr>
                <w:color w:val="000000"/>
                <w:sz w:val="20"/>
                <w:lang w:val="fr-FR"/>
              </w:rPr>
            </w:pPr>
            <w:r w:rsidRPr="00F24723">
              <w:rPr>
                <w:color w:val="000000"/>
                <w:sz w:val="20"/>
                <w:lang w:val="fr-FR"/>
              </w:rPr>
              <w:t>Le demandeur, Tissa Amaratunga, est entré en fonctions au siège social de l’OPANO en 1988 à titre de cadre supérieur, poste qu’il a occupé jusqu’en juin 2005, au moment de son congédiement.  Il a réagi en intentant une poursuite pour congédiement injustifié en Cour suprême de la Nouvelle</w:t>
            </w:r>
            <w:r w:rsidRPr="00F24723">
              <w:rPr>
                <w:color w:val="000000"/>
                <w:sz w:val="20"/>
                <w:lang w:val="fr-FR"/>
              </w:rPr>
              <w:noBreakHyphen/>
              <w:t>Écosse.  L’OPANO a invoqué l’immunité dont elle bénéficie en tant qu’organisation internationale et a demandé à la Cour suprême de la Nouvelle</w:t>
            </w:r>
            <w:r w:rsidRPr="00F24723">
              <w:rPr>
                <w:color w:val="000000"/>
                <w:sz w:val="20"/>
                <w:lang w:val="fr-FR"/>
              </w:rPr>
              <w:noBreakHyphen/>
              <w:t xml:space="preserve">Écosse de se déclarer incompétente pour juger l’affaire.   </w:t>
            </w:r>
          </w:p>
          <w:p w:rsidR="007D2BB9" w:rsidRPr="00F24723" w:rsidRDefault="007D2BB9" w:rsidP="00936316">
            <w:pPr>
              <w:jc w:val="both"/>
              <w:rPr>
                <w:color w:val="000000"/>
                <w:sz w:val="20"/>
                <w:lang w:val="fr-FR"/>
              </w:rPr>
            </w:pPr>
          </w:p>
          <w:p w:rsidR="007D2BB9" w:rsidRPr="00F24723" w:rsidRDefault="007D2BB9" w:rsidP="00936316">
            <w:pPr>
              <w:jc w:val="both"/>
              <w:rPr>
                <w:rFonts w:eastAsia="Calibri"/>
                <w:sz w:val="20"/>
                <w:lang w:val="fr-FR"/>
              </w:rPr>
            </w:pPr>
            <w:r w:rsidRPr="00F24723">
              <w:rPr>
                <w:color w:val="000000"/>
                <w:sz w:val="20"/>
                <w:lang w:val="fr-FR"/>
              </w:rPr>
              <w:t xml:space="preserve">Son allégation reposait en partie sur un décret accordant une immunité pris par le gouvernement du Canada en application de la </w:t>
            </w:r>
            <w:r w:rsidRPr="00F24723">
              <w:rPr>
                <w:i/>
                <w:color w:val="000000"/>
                <w:sz w:val="20"/>
                <w:lang w:val="fr-FR"/>
              </w:rPr>
              <w:t>Loi sur les p</w:t>
            </w:r>
            <w:r w:rsidRPr="00F24723">
              <w:rPr>
                <w:i/>
                <w:iCs/>
                <w:color w:val="000000"/>
                <w:sz w:val="20"/>
                <w:lang w:val="fr-FR"/>
              </w:rPr>
              <w:t>rivilèges et immunités des organisations internationales</w:t>
            </w:r>
            <w:r w:rsidRPr="00F24723">
              <w:rPr>
                <w:color w:val="000000"/>
                <w:sz w:val="20"/>
                <w:lang w:val="fr-FR"/>
              </w:rPr>
              <w:t>, L.R.C. 1985, ch. P</w:t>
            </w:r>
            <w:r w:rsidRPr="00F24723">
              <w:rPr>
                <w:color w:val="000000"/>
                <w:sz w:val="20"/>
                <w:lang w:val="fr-FR"/>
              </w:rPr>
              <w:noBreakHyphen/>
              <w:t xml:space="preserve">22.  Cette mesure législative reste en vigueur conformément à la loi qui lui a succédé, la </w:t>
            </w:r>
            <w:r w:rsidRPr="00F24723">
              <w:rPr>
                <w:i/>
                <w:color w:val="000000"/>
                <w:sz w:val="20"/>
                <w:lang w:val="fr-FR"/>
              </w:rPr>
              <w:t>Loi sur les missions étrangères et les organisations internationales</w:t>
            </w:r>
            <w:r w:rsidRPr="00F24723">
              <w:rPr>
                <w:color w:val="000000"/>
                <w:sz w:val="20"/>
                <w:lang w:val="fr-FR"/>
              </w:rPr>
              <w:t xml:space="preserve">, L.C. 1991, ch. 41.  Le juge </w:t>
            </w:r>
            <w:r w:rsidRPr="00F24723">
              <w:rPr>
                <w:sz w:val="20"/>
                <w:lang w:val="fr-FR"/>
              </w:rPr>
              <w:t>Wright, de la Cour suprême de la Nouvelle</w:t>
            </w:r>
            <w:r w:rsidRPr="00F24723">
              <w:rPr>
                <w:sz w:val="20"/>
                <w:lang w:val="fr-FR"/>
              </w:rPr>
              <w:noBreakHyphen/>
              <w:t>Écosse, a rejeté la requête de l’OPANO et décidé que l’affaire pouvait être instruite relativement au fond des questions soulevées dans la déclaration.  La Cour d’appel a accueilli l’appel et décidé que la Cour suprême de la Nouvelle</w:t>
            </w:r>
            <w:r w:rsidRPr="00F24723">
              <w:rPr>
                <w:sz w:val="20"/>
                <w:lang w:val="fr-FR"/>
              </w:rPr>
              <w:noBreakHyphen/>
              <w:t xml:space="preserve">Écosse n’était pas compétente pour juger cette affaire.   </w:t>
            </w:r>
          </w:p>
          <w:p w:rsidR="007D2BB9" w:rsidRPr="00F24723" w:rsidRDefault="007D2BB9" w:rsidP="00936316">
            <w:pPr>
              <w:jc w:val="both"/>
              <w:rPr>
                <w:rFonts w:eastAsia="Calibri"/>
                <w:sz w:val="20"/>
                <w:lang w:val="fr-FR"/>
              </w:rPr>
            </w:pPr>
          </w:p>
        </w:tc>
      </w:tr>
    </w:tbl>
    <w:p w:rsidR="009F03EB" w:rsidRPr="001E5150" w:rsidRDefault="009F03EB">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7D2BB9" w:rsidRPr="00B36F35" w:rsidTr="009F03EB">
        <w:trPr>
          <w:cantSplit/>
        </w:trPr>
        <w:tc>
          <w:tcPr>
            <w:tcW w:w="2427" w:type="pct"/>
          </w:tcPr>
          <w:p w:rsidR="007D2BB9" w:rsidRPr="00F24723" w:rsidRDefault="007D2BB9" w:rsidP="00936316">
            <w:pPr>
              <w:jc w:val="both"/>
              <w:rPr>
                <w:rFonts w:eastAsia="Calibri"/>
                <w:sz w:val="20"/>
                <w:lang w:val="fr-FR"/>
              </w:rPr>
            </w:pPr>
            <w:r w:rsidRPr="00F24723">
              <w:rPr>
                <w:rFonts w:eastAsia="Calibri"/>
                <w:sz w:val="20"/>
                <w:lang w:val="fr-FR"/>
              </w:rPr>
              <w:lastRenderedPageBreak/>
              <w:t>30 septembre 2010</w:t>
            </w:r>
          </w:p>
          <w:p w:rsidR="007D2BB9" w:rsidRPr="00F24723" w:rsidRDefault="007D2BB9" w:rsidP="00936316">
            <w:pPr>
              <w:jc w:val="both"/>
              <w:rPr>
                <w:rFonts w:eastAsia="Calibri"/>
                <w:sz w:val="20"/>
                <w:lang w:val="fr-FR"/>
              </w:rPr>
            </w:pPr>
            <w:r w:rsidRPr="00F24723">
              <w:rPr>
                <w:rFonts w:eastAsia="Calibri"/>
                <w:sz w:val="20"/>
                <w:lang w:val="fr-FR"/>
              </w:rPr>
              <w:t>Cour suprême de la Nouvelle</w:t>
            </w:r>
            <w:r w:rsidRPr="00F24723">
              <w:rPr>
                <w:rFonts w:eastAsia="Calibri"/>
                <w:sz w:val="20"/>
                <w:lang w:val="fr-FR"/>
              </w:rPr>
              <w:noBreakHyphen/>
              <w:t>Écosse, section de première instance</w:t>
            </w:r>
          </w:p>
          <w:p w:rsidR="007D2BB9" w:rsidRPr="00F24723" w:rsidRDefault="007D2BB9" w:rsidP="00936316">
            <w:pPr>
              <w:jc w:val="both"/>
              <w:rPr>
                <w:rFonts w:eastAsia="Calibri"/>
                <w:sz w:val="20"/>
              </w:rPr>
            </w:pPr>
            <w:r w:rsidRPr="00F24723">
              <w:rPr>
                <w:rFonts w:eastAsia="Calibri"/>
                <w:sz w:val="20"/>
              </w:rPr>
              <w:t>(Juge Wright)</w:t>
            </w:r>
          </w:p>
          <w:p w:rsidR="007D2BB9" w:rsidRPr="00F24723" w:rsidRDefault="007D2BB9" w:rsidP="00936316">
            <w:pPr>
              <w:jc w:val="both"/>
              <w:rPr>
                <w:rFonts w:eastAsia="Calibri"/>
                <w:sz w:val="20"/>
              </w:rPr>
            </w:pPr>
            <w:r w:rsidRPr="00F24723">
              <w:rPr>
                <w:rFonts w:eastAsia="Calibri"/>
                <w:sz w:val="20"/>
              </w:rPr>
              <w:t>2010 NSSC 346</w:t>
            </w:r>
          </w:p>
          <w:p w:rsidR="007D2BB9" w:rsidRPr="00F24723" w:rsidRDefault="007D2BB9" w:rsidP="00936316">
            <w:pPr>
              <w:jc w:val="both"/>
              <w:rPr>
                <w:rFonts w:eastAsia="Calibri"/>
                <w:sz w:val="20"/>
              </w:rPr>
            </w:pPr>
          </w:p>
        </w:tc>
        <w:tc>
          <w:tcPr>
            <w:tcW w:w="243" w:type="pct"/>
          </w:tcPr>
          <w:p w:rsidR="007D2BB9" w:rsidRPr="00F24723" w:rsidRDefault="007D2BB9" w:rsidP="00936316">
            <w:pPr>
              <w:jc w:val="both"/>
              <w:rPr>
                <w:rFonts w:eastAsia="Calibri"/>
                <w:sz w:val="20"/>
              </w:rPr>
            </w:pPr>
          </w:p>
        </w:tc>
        <w:tc>
          <w:tcPr>
            <w:tcW w:w="2330" w:type="pct"/>
          </w:tcPr>
          <w:p w:rsidR="007D2BB9" w:rsidRPr="00F24723" w:rsidRDefault="007D2BB9" w:rsidP="00936316">
            <w:pPr>
              <w:jc w:val="both"/>
              <w:rPr>
                <w:rFonts w:eastAsia="Calibri"/>
                <w:sz w:val="20"/>
                <w:lang w:val="fr-FR"/>
              </w:rPr>
            </w:pPr>
            <w:r w:rsidRPr="00F24723">
              <w:rPr>
                <w:rFonts w:eastAsia="Calibri"/>
                <w:sz w:val="20"/>
                <w:lang w:val="fr-FR"/>
              </w:rPr>
              <w:t>Demande de l’OPANO visant à obtenir une ordonnance déclarant qu’elle ne peut être poursuivie en justice du fait des allégations formulées dans l’action et que la Cour suprême de la Nouvelle</w:t>
            </w:r>
            <w:r w:rsidRPr="00F24723">
              <w:rPr>
                <w:rFonts w:eastAsia="Calibri"/>
                <w:sz w:val="20"/>
                <w:lang w:val="fr-FR"/>
              </w:rPr>
              <w:noBreakHyphen/>
              <w:t>Écosse n’a pas compétence pour examiner les questions soulevées dans une telle action, rejetée; le demandeur peut intenter un procès pour faire juger sur le fond les questions soulevées dans la déclaration.</w:t>
            </w:r>
          </w:p>
          <w:p w:rsidR="007D2BB9" w:rsidRPr="00F24723" w:rsidRDefault="007D2BB9" w:rsidP="00936316">
            <w:pPr>
              <w:jc w:val="both"/>
              <w:rPr>
                <w:rFonts w:eastAsia="Calibri"/>
                <w:sz w:val="20"/>
                <w:lang w:val="fr-FR"/>
              </w:rPr>
            </w:pPr>
          </w:p>
        </w:tc>
      </w:tr>
      <w:tr w:rsidR="007D2BB9" w:rsidRPr="00B36F35" w:rsidTr="009F03EB">
        <w:trPr>
          <w:cantSplit/>
        </w:trPr>
        <w:tc>
          <w:tcPr>
            <w:tcW w:w="2427" w:type="pct"/>
          </w:tcPr>
          <w:p w:rsidR="007D2BB9" w:rsidRPr="00F24723" w:rsidRDefault="007D2BB9" w:rsidP="00936316">
            <w:pPr>
              <w:jc w:val="both"/>
              <w:rPr>
                <w:rFonts w:eastAsia="Calibri"/>
                <w:sz w:val="20"/>
                <w:lang w:val="fr-FR"/>
              </w:rPr>
            </w:pPr>
            <w:r w:rsidRPr="00F24723">
              <w:rPr>
                <w:rFonts w:eastAsia="Calibri"/>
                <w:sz w:val="20"/>
                <w:lang w:val="fr-FR"/>
              </w:rPr>
              <w:t>23 août 2011</w:t>
            </w:r>
          </w:p>
          <w:p w:rsidR="007D2BB9" w:rsidRPr="00F24723" w:rsidRDefault="007D2BB9" w:rsidP="00936316">
            <w:pPr>
              <w:jc w:val="both"/>
              <w:rPr>
                <w:rFonts w:eastAsia="Calibri"/>
                <w:sz w:val="20"/>
                <w:lang w:val="fr-FR"/>
              </w:rPr>
            </w:pPr>
            <w:r w:rsidRPr="00F24723">
              <w:rPr>
                <w:rFonts w:eastAsia="Calibri"/>
                <w:sz w:val="20"/>
                <w:lang w:val="fr-FR"/>
              </w:rPr>
              <w:t>Cour d’appel de la Nouvelle</w:t>
            </w:r>
            <w:r w:rsidRPr="00F24723">
              <w:rPr>
                <w:rFonts w:eastAsia="Calibri"/>
                <w:sz w:val="20"/>
                <w:lang w:val="fr-FR"/>
              </w:rPr>
              <w:noBreakHyphen/>
              <w:t>Écosse</w:t>
            </w:r>
          </w:p>
          <w:p w:rsidR="007D2BB9" w:rsidRPr="00F24723" w:rsidRDefault="007D2BB9" w:rsidP="00936316">
            <w:pPr>
              <w:jc w:val="both"/>
              <w:rPr>
                <w:rFonts w:eastAsia="Calibri"/>
                <w:sz w:val="20"/>
                <w:lang w:val="fr-FR"/>
              </w:rPr>
            </w:pPr>
            <w:r w:rsidRPr="00F24723">
              <w:rPr>
                <w:rFonts w:eastAsia="Calibri"/>
                <w:sz w:val="20"/>
                <w:lang w:val="fr-FR"/>
              </w:rPr>
              <w:t>(Juge en chef MacDonald et juges Beveridge et Bryson)</w:t>
            </w:r>
          </w:p>
          <w:p w:rsidR="007D2BB9" w:rsidRPr="00F24723" w:rsidRDefault="007D2BB9" w:rsidP="00936316">
            <w:pPr>
              <w:jc w:val="both"/>
              <w:rPr>
                <w:rFonts w:eastAsia="Calibri"/>
                <w:sz w:val="20"/>
                <w:lang w:val="fr-FR"/>
              </w:rPr>
            </w:pPr>
            <w:r w:rsidRPr="00F24723">
              <w:rPr>
                <w:rFonts w:eastAsia="Calibri"/>
                <w:sz w:val="20"/>
                <w:lang w:val="fr-FR"/>
              </w:rPr>
              <w:t>2011 NSCA 73</w:t>
            </w:r>
          </w:p>
          <w:p w:rsidR="007D2BB9" w:rsidRPr="00F24723" w:rsidRDefault="007D2BB9" w:rsidP="00936316">
            <w:pPr>
              <w:jc w:val="both"/>
              <w:rPr>
                <w:rFonts w:eastAsia="Calibri"/>
                <w:sz w:val="20"/>
                <w:lang w:val="fr-FR"/>
              </w:rPr>
            </w:pPr>
          </w:p>
        </w:tc>
        <w:tc>
          <w:tcPr>
            <w:tcW w:w="243" w:type="pct"/>
          </w:tcPr>
          <w:p w:rsidR="007D2BB9" w:rsidRPr="00F24723" w:rsidRDefault="007D2BB9" w:rsidP="00936316">
            <w:pPr>
              <w:jc w:val="both"/>
              <w:rPr>
                <w:rFonts w:eastAsia="Calibri"/>
                <w:sz w:val="20"/>
                <w:lang w:val="fr-FR"/>
              </w:rPr>
            </w:pPr>
          </w:p>
        </w:tc>
        <w:tc>
          <w:tcPr>
            <w:tcW w:w="2330" w:type="pct"/>
          </w:tcPr>
          <w:p w:rsidR="007D2BB9" w:rsidRPr="00F24723" w:rsidRDefault="007D2BB9" w:rsidP="00936316">
            <w:pPr>
              <w:jc w:val="both"/>
              <w:rPr>
                <w:rFonts w:eastAsia="Calibri"/>
                <w:sz w:val="20"/>
                <w:lang w:val="fr-FR"/>
              </w:rPr>
            </w:pPr>
            <w:r w:rsidRPr="00F24723">
              <w:rPr>
                <w:rFonts w:eastAsia="Calibri"/>
                <w:sz w:val="20"/>
                <w:lang w:val="fr-FR"/>
              </w:rPr>
              <w:t>Appel accueilli; la Cour suprême de la Nouvelle</w:t>
            </w:r>
            <w:r w:rsidRPr="00F24723">
              <w:rPr>
                <w:rFonts w:eastAsia="Calibri"/>
                <w:sz w:val="20"/>
                <w:lang w:val="fr-FR"/>
              </w:rPr>
              <w:noBreakHyphen/>
              <w:t>Écosse n’est pas compétente pour trancher l’affaire</w:t>
            </w:r>
          </w:p>
          <w:p w:rsidR="007D2BB9" w:rsidRPr="00F24723" w:rsidRDefault="007D2BB9" w:rsidP="00936316">
            <w:pPr>
              <w:jc w:val="both"/>
              <w:rPr>
                <w:rFonts w:eastAsia="Calibri"/>
                <w:sz w:val="20"/>
                <w:lang w:val="fr-FR"/>
              </w:rPr>
            </w:pPr>
          </w:p>
        </w:tc>
      </w:tr>
      <w:tr w:rsidR="007D2BB9" w:rsidRPr="00F24723" w:rsidTr="009F03EB">
        <w:trPr>
          <w:cantSplit/>
        </w:trPr>
        <w:tc>
          <w:tcPr>
            <w:tcW w:w="2427" w:type="pct"/>
          </w:tcPr>
          <w:p w:rsidR="007D2BB9" w:rsidRPr="007D2BB9" w:rsidRDefault="007D2BB9" w:rsidP="00936316">
            <w:pPr>
              <w:jc w:val="both"/>
              <w:rPr>
                <w:rFonts w:eastAsia="Calibri"/>
                <w:sz w:val="20"/>
                <w:lang w:val="fr-CA"/>
              </w:rPr>
            </w:pPr>
            <w:r w:rsidRPr="007D2BB9">
              <w:rPr>
                <w:rFonts w:eastAsia="Calibri"/>
                <w:sz w:val="20"/>
                <w:lang w:val="fr-CA"/>
              </w:rPr>
              <w:t>24 octobre 2011</w:t>
            </w:r>
          </w:p>
          <w:p w:rsidR="007D2BB9" w:rsidRPr="007D2BB9" w:rsidRDefault="007D2BB9" w:rsidP="00936316">
            <w:pPr>
              <w:jc w:val="both"/>
              <w:rPr>
                <w:rFonts w:eastAsia="Calibri"/>
                <w:sz w:val="20"/>
                <w:lang w:val="fr-CA"/>
              </w:rPr>
            </w:pPr>
            <w:r w:rsidRPr="007D2BB9">
              <w:rPr>
                <w:rFonts w:eastAsia="Calibri"/>
                <w:sz w:val="20"/>
                <w:lang w:val="fr-CA"/>
              </w:rPr>
              <w:t>Cour suprême du Canada</w:t>
            </w:r>
          </w:p>
        </w:tc>
        <w:tc>
          <w:tcPr>
            <w:tcW w:w="243" w:type="pct"/>
          </w:tcPr>
          <w:p w:rsidR="007D2BB9" w:rsidRPr="007D2BB9" w:rsidRDefault="007D2BB9" w:rsidP="00936316">
            <w:pPr>
              <w:jc w:val="both"/>
              <w:rPr>
                <w:rFonts w:eastAsia="Calibri"/>
                <w:sz w:val="20"/>
                <w:lang w:val="fr-CA"/>
              </w:rPr>
            </w:pPr>
          </w:p>
        </w:tc>
        <w:tc>
          <w:tcPr>
            <w:tcW w:w="2330" w:type="pct"/>
          </w:tcPr>
          <w:p w:rsidR="007D2BB9" w:rsidRPr="00F24723" w:rsidRDefault="007D2BB9" w:rsidP="00936316">
            <w:pPr>
              <w:jc w:val="both"/>
              <w:rPr>
                <w:rFonts w:eastAsia="Calibri"/>
                <w:sz w:val="20"/>
              </w:rPr>
            </w:pPr>
            <w:r w:rsidRPr="00F24723">
              <w:rPr>
                <w:rFonts w:eastAsia="Calibri"/>
                <w:sz w:val="20"/>
              </w:rPr>
              <w:t>Demande d’autorisation d’appel déposée</w:t>
            </w:r>
          </w:p>
          <w:p w:rsidR="007D2BB9" w:rsidRPr="00F24723" w:rsidRDefault="007D2BB9" w:rsidP="00936316">
            <w:pPr>
              <w:jc w:val="both"/>
              <w:rPr>
                <w:rFonts w:eastAsia="Calibri"/>
                <w:sz w:val="20"/>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55"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5FD5" w:rsidRPr="00D6034B" w:rsidTr="00B7695F">
        <w:trPr>
          <w:cantSplit/>
        </w:trPr>
        <w:tc>
          <w:tcPr>
            <w:tcW w:w="1458" w:type="dxa"/>
          </w:tcPr>
          <w:p w:rsidR="00955FD5" w:rsidRPr="00D6034B" w:rsidRDefault="00955FD5" w:rsidP="00B7695F">
            <w:pPr>
              <w:rPr>
                <w:sz w:val="20"/>
                <w:szCs w:val="20"/>
              </w:rPr>
            </w:pPr>
            <w:r w:rsidRPr="00D6034B">
              <w:rPr>
                <w:rStyle w:val="SCCFileNumberChar"/>
                <w:sz w:val="20"/>
                <w:szCs w:val="20"/>
              </w:rPr>
              <w:t>34509</w:t>
            </w:r>
          </w:p>
          <w:p w:rsidR="00955FD5" w:rsidRPr="00D6034B" w:rsidRDefault="00955FD5" w:rsidP="00B7695F">
            <w:pPr>
              <w:rPr>
                <w:b/>
                <w:sz w:val="20"/>
                <w:szCs w:val="20"/>
                <w:lang w:val="fr-CA"/>
              </w:rPr>
            </w:pPr>
          </w:p>
        </w:tc>
        <w:tc>
          <w:tcPr>
            <w:tcW w:w="8118" w:type="dxa"/>
          </w:tcPr>
          <w:p w:rsidR="00955FD5" w:rsidRPr="00D6034B" w:rsidRDefault="00955FD5" w:rsidP="00B7695F">
            <w:pPr>
              <w:jc w:val="both"/>
              <w:rPr>
                <w:sz w:val="20"/>
                <w:szCs w:val="20"/>
              </w:rPr>
            </w:pPr>
            <w:r w:rsidRPr="00955FD5">
              <w:rPr>
                <w:rStyle w:val="SCCLsocChar"/>
                <w:sz w:val="20"/>
                <w:szCs w:val="20"/>
                <w:lang w:val="en-CA"/>
              </w:rPr>
              <w:t>Julie Marjorie Ladner v. Harvey Wolfson and Ganapathi Ashcroft and Company</w:t>
            </w:r>
            <w:r w:rsidRPr="00D6034B">
              <w:rPr>
                <w:sz w:val="20"/>
                <w:szCs w:val="20"/>
              </w:rPr>
              <w:t xml:space="preserve"> (B.C.) (Civil) (By Leave)</w:t>
            </w:r>
          </w:p>
          <w:p w:rsidR="00955FD5" w:rsidRPr="00D6034B" w:rsidRDefault="00955FD5" w:rsidP="00B7695F">
            <w:pPr>
              <w:rPr>
                <w:sz w:val="20"/>
                <w:szCs w:val="20"/>
              </w:rPr>
            </w:pPr>
          </w:p>
        </w:tc>
      </w:tr>
      <w:tr w:rsidR="00955FD5" w:rsidRPr="00D6034B" w:rsidTr="00B7695F">
        <w:trPr>
          <w:cantSplit/>
        </w:trPr>
        <w:tc>
          <w:tcPr>
            <w:tcW w:w="1458" w:type="dxa"/>
          </w:tcPr>
          <w:p w:rsidR="00955FD5" w:rsidRPr="00D6034B" w:rsidRDefault="00955FD5" w:rsidP="00B7695F">
            <w:pPr>
              <w:rPr>
                <w:sz w:val="20"/>
                <w:szCs w:val="20"/>
              </w:rPr>
            </w:pPr>
            <w:r w:rsidRPr="00D6034B">
              <w:rPr>
                <w:sz w:val="20"/>
                <w:szCs w:val="20"/>
              </w:rPr>
              <w:t>Coram :</w:t>
            </w:r>
          </w:p>
        </w:tc>
        <w:tc>
          <w:tcPr>
            <w:tcW w:w="8118" w:type="dxa"/>
          </w:tcPr>
          <w:p w:rsidR="00955FD5" w:rsidRPr="00D6034B" w:rsidRDefault="00955FD5" w:rsidP="00B7695F">
            <w:pPr>
              <w:rPr>
                <w:sz w:val="20"/>
                <w:szCs w:val="20"/>
              </w:rPr>
            </w:pPr>
            <w:r w:rsidRPr="00955FD5">
              <w:rPr>
                <w:rStyle w:val="SCCCoramChar"/>
                <w:sz w:val="20"/>
                <w:szCs w:val="20"/>
                <w:lang w:val="en-CA"/>
              </w:rPr>
              <w:t>McLachlin C.J. and Rothstein and Moldaver JJ.</w:t>
            </w:r>
          </w:p>
          <w:p w:rsidR="00955FD5" w:rsidRPr="00D6034B" w:rsidRDefault="00955FD5" w:rsidP="00B7695F">
            <w:pPr>
              <w:rPr>
                <w:sz w:val="20"/>
                <w:szCs w:val="20"/>
                <w:u w:val="single"/>
              </w:rPr>
            </w:pPr>
          </w:p>
        </w:tc>
      </w:tr>
      <w:tr w:rsidR="00955FD5" w:rsidRPr="00B36F35" w:rsidTr="00B7695F">
        <w:trPr>
          <w:cantSplit/>
        </w:trPr>
        <w:tc>
          <w:tcPr>
            <w:tcW w:w="9576" w:type="dxa"/>
            <w:gridSpan w:val="2"/>
          </w:tcPr>
          <w:p w:rsidR="00955FD5" w:rsidRPr="00D6034B" w:rsidRDefault="00955FD5" w:rsidP="00B7695F">
            <w:pPr>
              <w:pStyle w:val="SCCShortJudgment"/>
              <w:rPr>
                <w:szCs w:val="20"/>
              </w:rPr>
            </w:pPr>
            <w:r w:rsidRPr="00D6034B">
              <w:rPr>
                <w:szCs w:val="20"/>
              </w:rPr>
              <w:t>The application for leave to appeal from the judgment of the Court of Appeal for British Columbia (Vancouver), Number CA038542, 2011 BCCA 370, dated September 8, 2011, is dismissed with costs.</w:t>
            </w:r>
          </w:p>
          <w:p w:rsidR="00955FD5" w:rsidRPr="00D6034B" w:rsidRDefault="00955FD5" w:rsidP="00B7695F">
            <w:pPr>
              <w:pStyle w:val="SCCShortJudgment"/>
              <w:ind w:firstLine="0"/>
              <w:rPr>
                <w:szCs w:val="20"/>
              </w:rPr>
            </w:pPr>
          </w:p>
          <w:p w:rsidR="00955FD5" w:rsidRPr="00D6034B" w:rsidRDefault="00955FD5" w:rsidP="00B7695F">
            <w:pPr>
              <w:pStyle w:val="SCCShortJudgment"/>
              <w:rPr>
                <w:szCs w:val="20"/>
                <w:lang w:val="fr-CA"/>
              </w:rPr>
            </w:pPr>
            <w:r w:rsidRPr="00D6034B">
              <w:rPr>
                <w:szCs w:val="20"/>
                <w:lang w:val="fr-CA"/>
              </w:rPr>
              <w:t>La demande d’autorisation d’appel de l’arrêt de la Cour d’appel de la Colombie-Britannique (Vancouver), numéro CA038542, 2011 BCCA 370, daté du 8 septembre 2011, est rejetée avec dépens.</w:t>
            </w:r>
          </w:p>
        </w:tc>
      </w:tr>
    </w:tbl>
    <w:p w:rsidR="001823C0" w:rsidRPr="00955FD5"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5B40" w:rsidRPr="00F24723" w:rsidTr="00936316">
        <w:tc>
          <w:tcPr>
            <w:tcW w:w="5000" w:type="pct"/>
            <w:gridSpan w:val="3"/>
          </w:tcPr>
          <w:p w:rsidR="00815B40" w:rsidRPr="00F24723" w:rsidRDefault="00815B40" w:rsidP="00936316">
            <w:pPr>
              <w:jc w:val="both"/>
              <w:rPr>
                <w:rFonts w:eastAsia="Calibri"/>
                <w:sz w:val="20"/>
              </w:rPr>
            </w:pPr>
            <w:r w:rsidRPr="00F24723">
              <w:rPr>
                <w:rFonts w:eastAsia="Calibri"/>
                <w:sz w:val="20"/>
              </w:rPr>
              <w:t>Family law – Separation agreements – Unjust enrichment – Constructive trust – Barristers and solicitors – Negligence – Whether all duties assumed under spousal separation agreements are purely contractual, or whether equitable obligations also arise under a spousal separation agreement – Whether a proprietary nexus between the beneficiary and property is necessary to establish a good conscience remedial constructive trust, or whether it is sufficient that the trustee receive the property in circumstances deemed unconscionable and in breach of an equitable obligation.</w:t>
            </w:r>
          </w:p>
          <w:p w:rsidR="00815B40" w:rsidRPr="00F24723" w:rsidRDefault="00815B40" w:rsidP="00936316">
            <w:pPr>
              <w:jc w:val="both"/>
              <w:rPr>
                <w:rFonts w:eastAsia="Calibri"/>
                <w:smallCaps/>
                <w:sz w:val="20"/>
              </w:rPr>
            </w:pPr>
          </w:p>
          <w:p w:rsidR="00815B40" w:rsidRPr="00F24723" w:rsidRDefault="00815B40" w:rsidP="00936316">
            <w:pPr>
              <w:jc w:val="both"/>
              <w:rPr>
                <w:rFonts w:eastAsia="Calibri"/>
                <w:sz w:val="20"/>
              </w:rPr>
            </w:pPr>
            <w:r w:rsidRPr="00F24723">
              <w:rPr>
                <w:rFonts w:eastAsia="Calibri"/>
                <w:sz w:val="20"/>
              </w:rPr>
              <w:t>In a separation agreement between Hugh Ladner, now deceased, and Julie Ladner, Mr. Ladner undertook to arrange life insurance payable to Ms. Ladner in an amount sufficient to cover his spousal support obligations. He failed to do so but he did have other life insurance payable to his estate.  Ms. Ladner sued the estate for breach of the life insurance clause in the separation agreement and obtained damages, however the estate was insolvent.  Ms. Ladner had also brought a claim in trust in relation to the insurance proceeds, however it was not pursued at the same time as the breach of contract action.  After Ms. Ladner realized the estate was insolvent, she then attempted to advance the trust claim, but was unsuccessful.  The Court of Appeal held that the entry of the order for damages in the breach of contract action resulted in Ms. Ladner's cause of action merging in that order and the trust action therefore ceased to exist; the litigation was therefore at an end.  Ms. Ladner then commenced a negligence action against her solicitors for failing to pursue the trust claim before or concurrently with the damages claim.</w:t>
            </w:r>
          </w:p>
          <w:p w:rsidR="00815B40" w:rsidRPr="00F24723" w:rsidRDefault="00815B40" w:rsidP="00936316">
            <w:pPr>
              <w:jc w:val="both"/>
              <w:rPr>
                <w:rFonts w:eastAsia="Calibri"/>
                <w:sz w:val="20"/>
              </w:rPr>
            </w:pPr>
          </w:p>
          <w:p w:rsidR="00815B40" w:rsidRPr="00F24723" w:rsidRDefault="00815B40" w:rsidP="00936316">
            <w:pPr>
              <w:jc w:val="both"/>
              <w:rPr>
                <w:rFonts w:eastAsia="Calibri"/>
                <w:sz w:val="20"/>
              </w:rPr>
            </w:pPr>
            <w:r w:rsidRPr="00F24723">
              <w:rPr>
                <w:rFonts w:eastAsia="Calibri"/>
                <w:sz w:val="20"/>
              </w:rPr>
              <w:t>The B.C. Supreme Court allowed the action in negligence, awarding $252,621 in damages.  The B.C. Court of Appeal allowed the appeal, dismissed the action, and dismissed the cross-appeal.</w:t>
            </w:r>
          </w:p>
        </w:tc>
      </w:tr>
      <w:tr w:rsidR="00815B40" w:rsidRPr="00F24723" w:rsidTr="00936316">
        <w:tc>
          <w:tcPr>
            <w:tcW w:w="5000" w:type="pct"/>
            <w:gridSpan w:val="3"/>
          </w:tcPr>
          <w:p w:rsidR="00815B40" w:rsidRPr="00F24723" w:rsidRDefault="00815B40" w:rsidP="00936316">
            <w:pPr>
              <w:jc w:val="both"/>
              <w:rPr>
                <w:rFonts w:eastAsia="Calibri"/>
                <w:sz w:val="20"/>
              </w:rPr>
            </w:pPr>
          </w:p>
        </w:tc>
      </w:tr>
      <w:tr w:rsidR="00815B40" w:rsidRPr="00F24723" w:rsidTr="00B7695F">
        <w:trPr>
          <w:cantSplit/>
        </w:trPr>
        <w:tc>
          <w:tcPr>
            <w:tcW w:w="2427" w:type="pct"/>
          </w:tcPr>
          <w:p w:rsidR="00815B40" w:rsidRPr="00F24723" w:rsidRDefault="00815B40" w:rsidP="00936316">
            <w:pPr>
              <w:jc w:val="both"/>
              <w:rPr>
                <w:rFonts w:eastAsia="Calibri"/>
                <w:sz w:val="20"/>
              </w:rPr>
            </w:pPr>
            <w:r w:rsidRPr="00F24723">
              <w:rPr>
                <w:rFonts w:eastAsia="Calibri"/>
                <w:sz w:val="20"/>
              </w:rPr>
              <w:t>October 5, 2010</w:t>
            </w:r>
          </w:p>
          <w:p w:rsidR="00815B40" w:rsidRPr="00F24723" w:rsidRDefault="00815B40" w:rsidP="00936316">
            <w:pPr>
              <w:jc w:val="both"/>
              <w:rPr>
                <w:rFonts w:eastAsia="Calibri"/>
                <w:sz w:val="20"/>
              </w:rPr>
            </w:pPr>
            <w:r w:rsidRPr="00F24723">
              <w:rPr>
                <w:rFonts w:eastAsia="Calibri"/>
                <w:sz w:val="20"/>
              </w:rPr>
              <w:t>Supreme Court of British Columbia</w:t>
            </w:r>
          </w:p>
          <w:p w:rsidR="00815B40" w:rsidRPr="00F24723" w:rsidRDefault="00815B40" w:rsidP="00936316">
            <w:pPr>
              <w:jc w:val="both"/>
              <w:rPr>
                <w:rFonts w:eastAsia="Calibri"/>
                <w:sz w:val="20"/>
              </w:rPr>
            </w:pPr>
            <w:r w:rsidRPr="00F24723">
              <w:rPr>
                <w:rFonts w:eastAsia="Calibri"/>
                <w:sz w:val="20"/>
              </w:rPr>
              <w:t xml:space="preserve">(Smith J.) </w:t>
            </w:r>
          </w:p>
          <w:p w:rsidR="00815B40" w:rsidRPr="00F24723" w:rsidRDefault="00815B40" w:rsidP="00936316">
            <w:pPr>
              <w:jc w:val="both"/>
              <w:rPr>
                <w:rFonts w:eastAsia="Calibri"/>
                <w:sz w:val="20"/>
              </w:rPr>
            </w:pPr>
          </w:p>
        </w:tc>
        <w:tc>
          <w:tcPr>
            <w:tcW w:w="243" w:type="pct"/>
          </w:tcPr>
          <w:p w:rsidR="00815B40" w:rsidRPr="00F24723" w:rsidRDefault="00815B40" w:rsidP="00936316">
            <w:pPr>
              <w:jc w:val="both"/>
              <w:rPr>
                <w:rFonts w:eastAsia="Calibri"/>
                <w:sz w:val="20"/>
              </w:rPr>
            </w:pPr>
          </w:p>
        </w:tc>
        <w:tc>
          <w:tcPr>
            <w:tcW w:w="2330" w:type="pct"/>
          </w:tcPr>
          <w:p w:rsidR="00815B40" w:rsidRPr="00F24723" w:rsidRDefault="00815B40" w:rsidP="00936316">
            <w:pPr>
              <w:jc w:val="both"/>
              <w:rPr>
                <w:rFonts w:eastAsia="Calibri"/>
                <w:sz w:val="20"/>
              </w:rPr>
            </w:pPr>
            <w:r w:rsidRPr="00F24723">
              <w:rPr>
                <w:rFonts w:eastAsia="Calibri"/>
                <w:sz w:val="20"/>
              </w:rPr>
              <w:t>Applicant’s action for damages in negligence, allowed.</w:t>
            </w:r>
          </w:p>
          <w:p w:rsidR="00815B40" w:rsidRPr="00F24723" w:rsidRDefault="00815B40" w:rsidP="00936316">
            <w:pPr>
              <w:jc w:val="both"/>
              <w:rPr>
                <w:rFonts w:eastAsia="Calibri"/>
                <w:sz w:val="20"/>
              </w:rPr>
            </w:pPr>
          </w:p>
        </w:tc>
      </w:tr>
      <w:tr w:rsidR="00815B40" w:rsidRPr="00F24723" w:rsidTr="00B7695F">
        <w:trPr>
          <w:cantSplit/>
        </w:trPr>
        <w:tc>
          <w:tcPr>
            <w:tcW w:w="2427" w:type="pct"/>
          </w:tcPr>
          <w:p w:rsidR="00815B40" w:rsidRPr="00F24723" w:rsidRDefault="00815B40" w:rsidP="00936316">
            <w:pPr>
              <w:jc w:val="both"/>
              <w:rPr>
                <w:rFonts w:eastAsia="Calibri"/>
                <w:sz w:val="20"/>
              </w:rPr>
            </w:pPr>
            <w:r w:rsidRPr="00F24723">
              <w:rPr>
                <w:rFonts w:eastAsia="Calibri"/>
                <w:sz w:val="20"/>
              </w:rPr>
              <w:t>September 8, 2011</w:t>
            </w:r>
          </w:p>
          <w:p w:rsidR="00815B40" w:rsidRPr="00F24723" w:rsidRDefault="00815B40" w:rsidP="00936316">
            <w:pPr>
              <w:jc w:val="both"/>
              <w:rPr>
                <w:rFonts w:eastAsia="Calibri"/>
                <w:sz w:val="20"/>
              </w:rPr>
            </w:pPr>
            <w:r w:rsidRPr="00F24723">
              <w:rPr>
                <w:rFonts w:eastAsia="Calibri"/>
                <w:sz w:val="20"/>
              </w:rPr>
              <w:t>Court of Appeal for British Columbia (Vancouver)</w:t>
            </w:r>
          </w:p>
          <w:p w:rsidR="00815B40" w:rsidRPr="00F24723" w:rsidRDefault="00815B40" w:rsidP="00936316">
            <w:pPr>
              <w:jc w:val="both"/>
              <w:rPr>
                <w:rFonts w:eastAsia="Calibri"/>
                <w:sz w:val="20"/>
              </w:rPr>
            </w:pPr>
            <w:r w:rsidRPr="00F24723">
              <w:rPr>
                <w:rFonts w:eastAsia="Calibri"/>
                <w:sz w:val="20"/>
              </w:rPr>
              <w:t>(Frankel, Bennett and Garson JJ.A.)</w:t>
            </w:r>
          </w:p>
          <w:p w:rsidR="00815B40" w:rsidRPr="00F24723" w:rsidRDefault="00815B40" w:rsidP="00936316">
            <w:pPr>
              <w:jc w:val="both"/>
              <w:rPr>
                <w:rFonts w:eastAsia="Calibri"/>
                <w:sz w:val="20"/>
              </w:rPr>
            </w:pPr>
            <w:r w:rsidRPr="00F24723">
              <w:rPr>
                <w:rFonts w:eastAsia="Calibri"/>
                <w:sz w:val="20"/>
              </w:rPr>
              <w:t>2011 BCCA 370</w:t>
            </w:r>
          </w:p>
          <w:p w:rsidR="00815B40" w:rsidRPr="00F24723" w:rsidRDefault="00815B40" w:rsidP="00936316">
            <w:pPr>
              <w:jc w:val="both"/>
              <w:rPr>
                <w:rFonts w:eastAsia="Calibri"/>
                <w:sz w:val="20"/>
              </w:rPr>
            </w:pPr>
          </w:p>
        </w:tc>
        <w:tc>
          <w:tcPr>
            <w:tcW w:w="243" w:type="pct"/>
          </w:tcPr>
          <w:p w:rsidR="00815B40" w:rsidRPr="00F24723" w:rsidRDefault="00815B40" w:rsidP="00936316">
            <w:pPr>
              <w:jc w:val="both"/>
              <w:rPr>
                <w:rFonts w:eastAsia="Calibri"/>
                <w:sz w:val="20"/>
              </w:rPr>
            </w:pPr>
          </w:p>
        </w:tc>
        <w:tc>
          <w:tcPr>
            <w:tcW w:w="2330" w:type="pct"/>
          </w:tcPr>
          <w:p w:rsidR="00815B40" w:rsidRPr="00F24723" w:rsidRDefault="00815B40" w:rsidP="00936316">
            <w:pPr>
              <w:jc w:val="both"/>
              <w:rPr>
                <w:rFonts w:eastAsia="Calibri"/>
                <w:sz w:val="20"/>
              </w:rPr>
            </w:pPr>
            <w:r w:rsidRPr="00F24723">
              <w:rPr>
                <w:rFonts w:eastAsia="Calibri"/>
                <w:sz w:val="20"/>
              </w:rPr>
              <w:t>Respondents’ appeal, allowed; applicant’s cross-appeal, dismissed.</w:t>
            </w:r>
          </w:p>
          <w:p w:rsidR="00815B40" w:rsidRPr="00F24723" w:rsidRDefault="00815B40" w:rsidP="00936316">
            <w:pPr>
              <w:jc w:val="both"/>
              <w:rPr>
                <w:rFonts w:eastAsia="Calibri"/>
                <w:sz w:val="20"/>
              </w:rPr>
            </w:pPr>
          </w:p>
        </w:tc>
      </w:tr>
      <w:tr w:rsidR="00815B40" w:rsidRPr="00F24723" w:rsidTr="00B7695F">
        <w:trPr>
          <w:cantSplit/>
        </w:trPr>
        <w:tc>
          <w:tcPr>
            <w:tcW w:w="2427" w:type="pct"/>
          </w:tcPr>
          <w:p w:rsidR="00815B40" w:rsidRPr="00F24723" w:rsidRDefault="00815B40" w:rsidP="00936316">
            <w:pPr>
              <w:jc w:val="both"/>
              <w:rPr>
                <w:rFonts w:eastAsia="Calibri"/>
                <w:sz w:val="20"/>
              </w:rPr>
            </w:pPr>
            <w:r w:rsidRPr="00F24723">
              <w:rPr>
                <w:rFonts w:eastAsia="Calibri"/>
                <w:sz w:val="20"/>
              </w:rPr>
              <w:t>November 3, 2011</w:t>
            </w:r>
          </w:p>
          <w:p w:rsidR="00815B40" w:rsidRPr="00F24723" w:rsidRDefault="00815B40" w:rsidP="00936316">
            <w:pPr>
              <w:jc w:val="both"/>
              <w:rPr>
                <w:rFonts w:eastAsia="Calibri"/>
                <w:sz w:val="20"/>
              </w:rPr>
            </w:pPr>
            <w:r w:rsidRPr="00F24723">
              <w:rPr>
                <w:rFonts w:eastAsia="Calibri"/>
                <w:sz w:val="20"/>
              </w:rPr>
              <w:t>Supreme Court of Canada</w:t>
            </w:r>
          </w:p>
        </w:tc>
        <w:tc>
          <w:tcPr>
            <w:tcW w:w="243" w:type="pct"/>
          </w:tcPr>
          <w:p w:rsidR="00815B40" w:rsidRPr="00F24723" w:rsidRDefault="00815B40" w:rsidP="00936316">
            <w:pPr>
              <w:jc w:val="both"/>
              <w:rPr>
                <w:rFonts w:eastAsia="Calibri"/>
                <w:sz w:val="20"/>
              </w:rPr>
            </w:pPr>
          </w:p>
        </w:tc>
        <w:tc>
          <w:tcPr>
            <w:tcW w:w="2330" w:type="pct"/>
          </w:tcPr>
          <w:p w:rsidR="00815B40" w:rsidRPr="00F24723" w:rsidRDefault="00815B40" w:rsidP="00936316">
            <w:pPr>
              <w:jc w:val="both"/>
              <w:rPr>
                <w:rFonts w:eastAsia="Calibri"/>
                <w:sz w:val="20"/>
              </w:rPr>
            </w:pPr>
            <w:r w:rsidRPr="00F24723">
              <w:rPr>
                <w:rFonts w:eastAsia="Calibri"/>
                <w:sz w:val="20"/>
              </w:rPr>
              <w:t>Application for leave to appeal, filed.</w:t>
            </w:r>
          </w:p>
          <w:p w:rsidR="00815B40" w:rsidRPr="00F24723" w:rsidRDefault="00815B40"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56"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15B40" w:rsidRPr="00B36F35" w:rsidTr="00936316">
        <w:tc>
          <w:tcPr>
            <w:tcW w:w="5000" w:type="pct"/>
            <w:gridSpan w:val="3"/>
          </w:tcPr>
          <w:p w:rsidR="00815B40" w:rsidRPr="00F24723" w:rsidRDefault="00815B40" w:rsidP="00936316">
            <w:pPr>
              <w:jc w:val="both"/>
              <w:rPr>
                <w:rFonts w:eastAsia="Calibri"/>
                <w:sz w:val="20"/>
                <w:lang w:val="fr-CA"/>
              </w:rPr>
            </w:pPr>
            <w:r w:rsidRPr="00F24723">
              <w:rPr>
                <w:rFonts w:eastAsia="Calibri"/>
                <w:sz w:val="20"/>
                <w:lang w:val="fr-CA"/>
              </w:rPr>
              <w:t>Droit de la famille – Accords de séparation – Enrichissement injustifié – Fiducie constructoire – Avocats et procureurs – Négligence – Les obligations assumées dans les accords de séparation entre époux sont</w:t>
            </w:r>
            <w:r w:rsidRPr="00F24723">
              <w:rPr>
                <w:rFonts w:eastAsia="Calibri"/>
                <w:sz w:val="20"/>
                <w:lang w:val="fr-CA"/>
              </w:rPr>
              <w:noBreakHyphen/>
              <w:t>elles toutes de nature contractuelle ou bien est</w:t>
            </w:r>
            <w:r w:rsidRPr="00F24723">
              <w:rPr>
                <w:rFonts w:eastAsia="Calibri"/>
                <w:sz w:val="20"/>
                <w:lang w:val="fr-CA"/>
              </w:rPr>
              <w:noBreakHyphen/>
              <w:t>ce que ces accords peuvent également  donner naissance à des obligations en equity? – Un lien de propriété entre le bénéficiaire et le bien est</w:t>
            </w:r>
            <w:r w:rsidRPr="00F24723">
              <w:rPr>
                <w:rFonts w:eastAsia="Calibri"/>
                <w:sz w:val="20"/>
                <w:lang w:val="fr-CA"/>
              </w:rPr>
              <w:noBreakHyphen/>
              <w:t>il nécessaire pour établir une fiducie constructoire de nature réparatoire fondée sur la bonne conscience ou suffit</w:t>
            </w:r>
            <w:r w:rsidRPr="00F24723">
              <w:rPr>
                <w:rFonts w:eastAsia="Calibri"/>
                <w:sz w:val="20"/>
                <w:lang w:val="fr-CA"/>
              </w:rPr>
              <w:noBreakHyphen/>
              <w:t>il que le fiduciaire reçoive le bien dans des circonstances réputées abusives et en violation d’une obligation en equity?</w:t>
            </w:r>
          </w:p>
          <w:p w:rsidR="00815B40" w:rsidRPr="00F24723" w:rsidRDefault="00815B40" w:rsidP="00936316">
            <w:pPr>
              <w:jc w:val="both"/>
              <w:rPr>
                <w:rFonts w:eastAsia="Calibri"/>
                <w:smallCaps/>
                <w:sz w:val="20"/>
                <w:lang w:val="fr-CA"/>
              </w:rPr>
            </w:pPr>
          </w:p>
          <w:p w:rsidR="00815B40" w:rsidRPr="00F24723" w:rsidRDefault="00815B40" w:rsidP="00936316">
            <w:pPr>
              <w:jc w:val="both"/>
              <w:rPr>
                <w:rFonts w:eastAsia="Calibri"/>
                <w:sz w:val="20"/>
                <w:lang w:val="fr-CA"/>
              </w:rPr>
            </w:pPr>
            <w:r w:rsidRPr="00F24723">
              <w:rPr>
                <w:rFonts w:eastAsia="Calibri"/>
                <w:sz w:val="20"/>
                <w:lang w:val="fr-CA"/>
              </w:rPr>
              <w:t>Dans un accord de séparation entre Hugh Ladner, maintenant décédé, et Julie Ladner, M. Ladner s’était engagé à prendre des dispositions pour que le produit d’une assurance</w:t>
            </w:r>
            <w:r w:rsidRPr="00F24723">
              <w:rPr>
                <w:rFonts w:eastAsia="Calibri"/>
                <w:sz w:val="20"/>
                <w:lang w:val="fr-CA"/>
              </w:rPr>
              <w:noBreakHyphen/>
              <w:t>vie soit payable à Mme Ladner et ce, pour un montant suffisant pour acquitter ses obligations alimentaires envers sa conjointe. Il a manqué à cet engagement, mais il avait par ailleurs une autre assurance</w:t>
            </w:r>
            <w:r w:rsidRPr="00F24723">
              <w:rPr>
                <w:rFonts w:eastAsia="Calibri"/>
                <w:sz w:val="20"/>
                <w:lang w:val="fr-CA"/>
              </w:rPr>
              <w:noBreakHyphen/>
              <w:t>vie payable à sa succession. Madame Ladner a poursuivi la succession pour manquement à la clause d’assurance</w:t>
            </w:r>
            <w:r w:rsidRPr="00F24723">
              <w:rPr>
                <w:rFonts w:eastAsia="Calibri"/>
                <w:sz w:val="20"/>
                <w:lang w:val="fr-CA"/>
              </w:rPr>
              <w:noBreakHyphen/>
              <w:t>vie stipulée dans l’accord de séparation et s’est vu accorder des dommages</w:t>
            </w:r>
            <w:r w:rsidRPr="00F24723">
              <w:rPr>
                <w:rFonts w:eastAsia="Calibri"/>
                <w:sz w:val="20"/>
                <w:lang w:val="fr-CA"/>
              </w:rPr>
              <w:noBreakHyphen/>
              <w:t>intérêts; toutefois, la succession était insolvable. Madame Ladner a également présenté une demande en fiducie en lien avec le produit d’assurance; toutefois, la demande n’a pas été présentée en même temps que l’action en violation de contrat. Après que Mme Ladner s’est rendue compte que la succession était insolvable, elle a tenté de faire valoir la demande en fiducie, mais elle a été déboutée. La Cour d’appel a statué que l’inscription de l’ordonnance en dommages</w:t>
            </w:r>
            <w:r w:rsidRPr="00F24723">
              <w:rPr>
                <w:rFonts w:eastAsia="Calibri"/>
                <w:sz w:val="20"/>
                <w:lang w:val="fr-CA"/>
              </w:rPr>
              <w:noBreakHyphen/>
              <w:t>intérêts dans l’action en violation de contrat avait eu pour effet de fondre la cause d’action de Mme Ladner dans cette ordonnance, si bien que l’action en fiducie avait cessé d’exister; le litige avait donc pris fin. Madame Ladner a alors intenté une action en négligence contre ses avocats pour avoir omis d’introduire la demande en fiducie avant la demande en dommages</w:t>
            </w:r>
            <w:r w:rsidRPr="00F24723">
              <w:rPr>
                <w:rFonts w:eastAsia="Calibri"/>
                <w:sz w:val="20"/>
                <w:lang w:val="fr-CA"/>
              </w:rPr>
              <w:noBreakHyphen/>
              <w:t>intérêts ou simultanément à cette action.</w:t>
            </w:r>
          </w:p>
          <w:p w:rsidR="00815B40" w:rsidRPr="00F24723" w:rsidRDefault="00815B40" w:rsidP="00936316">
            <w:pPr>
              <w:jc w:val="both"/>
              <w:rPr>
                <w:rFonts w:eastAsia="Calibri"/>
                <w:sz w:val="20"/>
                <w:lang w:val="fr-CA"/>
              </w:rPr>
            </w:pPr>
          </w:p>
          <w:p w:rsidR="00815B40" w:rsidRPr="00F24723" w:rsidRDefault="00815B40" w:rsidP="00936316">
            <w:pPr>
              <w:jc w:val="both"/>
              <w:rPr>
                <w:rFonts w:eastAsia="Calibri"/>
                <w:sz w:val="20"/>
                <w:lang w:val="fr-CA"/>
              </w:rPr>
            </w:pPr>
            <w:r w:rsidRPr="00F24723">
              <w:rPr>
                <w:rFonts w:eastAsia="Calibri"/>
                <w:sz w:val="20"/>
                <w:lang w:val="fr-CA"/>
              </w:rPr>
              <w:t>La Cour suprême de la Colombie</w:t>
            </w:r>
            <w:r w:rsidRPr="00F24723">
              <w:rPr>
                <w:rFonts w:eastAsia="Calibri"/>
                <w:sz w:val="20"/>
                <w:lang w:val="fr-CA"/>
              </w:rPr>
              <w:noBreakHyphen/>
              <w:t>Britannique a accueilli l’action en négligence, accordant des dommages</w:t>
            </w:r>
            <w:r w:rsidRPr="00F24723">
              <w:rPr>
                <w:rFonts w:eastAsia="Calibri"/>
                <w:sz w:val="20"/>
                <w:lang w:val="fr-CA"/>
              </w:rPr>
              <w:noBreakHyphen/>
              <w:t>intérêts de 252 621 $. La Cour d’appel de la Colombie</w:t>
            </w:r>
            <w:r w:rsidRPr="00F24723">
              <w:rPr>
                <w:rFonts w:eastAsia="Calibri"/>
                <w:sz w:val="20"/>
                <w:lang w:val="fr-CA"/>
              </w:rPr>
              <w:noBreakHyphen/>
              <w:t>Britannique a accueilli l’appel, rejeté l’action et rejeté l’appel incident.</w:t>
            </w:r>
          </w:p>
        </w:tc>
      </w:tr>
      <w:tr w:rsidR="00815B40" w:rsidRPr="00B36F35" w:rsidTr="00936316">
        <w:tc>
          <w:tcPr>
            <w:tcW w:w="5000" w:type="pct"/>
            <w:gridSpan w:val="3"/>
          </w:tcPr>
          <w:p w:rsidR="00815B40" w:rsidRPr="00F24723" w:rsidRDefault="00815B40" w:rsidP="00936316">
            <w:pPr>
              <w:jc w:val="both"/>
              <w:rPr>
                <w:rFonts w:eastAsia="Calibri"/>
                <w:sz w:val="20"/>
                <w:lang w:val="fr-CA"/>
              </w:rPr>
            </w:pPr>
          </w:p>
        </w:tc>
      </w:tr>
      <w:tr w:rsidR="00815B40" w:rsidRPr="00B36F35" w:rsidTr="00936316">
        <w:tc>
          <w:tcPr>
            <w:tcW w:w="2427" w:type="pct"/>
          </w:tcPr>
          <w:p w:rsidR="00815B40" w:rsidRPr="00F24723" w:rsidRDefault="00815B40" w:rsidP="00936316">
            <w:pPr>
              <w:jc w:val="both"/>
              <w:rPr>
                <w:rFonts w:eastAsia="Calibri"/>
                <w:sz w:val="20"/>
                <w:lang w:val="fr-CA"/>
              </w:rPr>
            </w:pPr>
            <w:r w:rsidRPr="00F24723">
              <w:rPr>
                <w:rFonts w:eastAsia="Calibri"/>
                <w:sz w:val="20"/>
                <w:lang w:val="fr-CA"/>
              </w:rPr>
              <w:t>5 octobre 2010</w:t>
            </w:r>
          </w:p>
          <w:p w:rsidR="00815B40" w:rsidRPr="00F24723" w:rsidRDefault="00815B40" w:rsidP="00936316">
            <w:pPr>
              <w:jc w:val="both"/>
              <w:rPr>
                <w:rFonts w:eastAsia="Calibri"/>
                <w:sz w:val="20"/>
                <w:lang w:val="fr-CA"/>
              </w:rPr>
            </w:pPr>
            <w:r w:rsidRPr="00F24723">
              <w:rPr>
                <w:rFonts w:eastAsia="Calibri"/>
                <w:sz w:val="20"/>
                <w:lang w:val="fr-CA"/>
              </w:rPr>
              <w:t>Cour suprême de la Colombie</w:t>
            </w:r>
            <w:r w:rsidRPr="00F24723">
              <w:rPr>
                <w:rFonts w:eastAsia="Calibri"/>
                <w:sz w:val="20"/>
                <w:lang w:val="fr-CA"/>
              </w:rPr>
              <w:noBreakHyphen/>
              <w:t>Britannique</w:t>
            </w:r>
          </w:p>
          <w:p w:rsidR="00815B40" w:rsidRPr="00F24723" w:rsidRDefault="00815B40" w:rsidP="00936316">
            <w:pPr>
              <w:jc w:val="both"/>
              <w:rPr>
                <w:rFonts w:eastAsia="Calibri"/>
                <w:sz w:val="20"/>
                <w:lang w:val="fr-CA"/>
              </w:rPr>
            </w:pPr>
            <w:r w:rsidRPr="00F24723">
              <w:rPr>
                <w:rFonts w:eastAsia="Calibri"/>
                <w:sz w:val="20"/>
                <w:lang w:val="fr-CA"/>
              </w:rPr>
              <w:t xml:space="preserve">(Juge Smith) </w:t>
            </w:r>
          </w:p>
          <w:p w:rsidR="00815B40" w:rsidRPr="00F24723" w:rsidRDefault="00815B40" w:rsidP="00936316">
            <w:pPr>
              <w:jc w:val="both"/>
              <w:rPr>
                <w:rFonts w:eastAsia="Calibri"/>
                <w:sz w:val="20"/>
                <w:lang w:val="fr-CA"/>
              </w:rPr>
            </w:pPr>
          </w:p>
        </w:tc>
        <w:tc>
          <w:tcPr>
            <w:tcW w:w="243" w:type="pct"/>
          </w:tcPr>
          <w:p w:rsidR="00815B40" w:rsidRPr="00F24723" w:rsidRDefault="00815B40" w:rsidP="00936316">
            <w:pPr>
              <w:jc w:val="both"/>
              <w:rPr>
                <w:rFonts w:eastAsia="Calibri"/>
                <w:sz w:val="20"/>
                <w:lang w:val="fr-CA"/>
              </w:rPr>
            </w:pPr>
          </w:p>
        </w:tc>
        <w:tc>
          <w:tcPr>
            <w:tcW w:w="2330" w:type="pct"/>
          </w:tcPr>
          <w:p w:rsidR="00815B40" w:rsidRPr="00F24723" w:rsidRDefault="00815B40" w:rsidP="00936316">
            <w:pPr>
              <w:jc w:val="both"/>
              <w:rPr>
                <w:rFonts w:eastAsia="Calibri"/>
                <w:sz w:val="20"/>
                <w:lang w:val="fr-CA"/>
              </w:rPr>
            </w:pPr>
            <w:r w:rsidRPr="00F24723">
              <w:rPr>
                <w:rFonts w:eastAsia="Calibri"/>
                <w:sz w:val="20"/>
                <w:lang w:val="fr-CA"/>
              </w:rPr>
              <w:t>Action de la demanderesse en dommages</w:t>
            </w:r>
            <w:r w:rsidRPr="00F24723">
              <w:rPr>
                <w:rFonts w:eastAsia="Calibri"/>
                <w:sz w:val="20"/>
                <w:lang w:val="fr-CA"/>
              </w:rPr>
              <w:noBreakHyphen/>
              <w:t>intérêts pour négligence, accueillie.</w:t>
            </w:r>
          </w:p>
          <w:p w:rsidR="00815B40" w:rsidRPr="00F24723" w:rsidRDefault="00815B40" w:rsidP="00936316">
            <w:pPr>
              <w:jc w:val="both"/>
              <w:rPr>
                <w:rFonts w:eastAsia="Calibri"/>
                <w:sz w:val="20"/>
                <w:lang w:val="fr-CA"/>
              </w:rPr>
            </w:pPr>
          </w:p>
        </w:tc>
      </w:tr>
      <w:tr w:rsidR="00815B40" w:rsidRPr="00B36F35" w:rsidTr="00936316">
        <w:tc>
          <w:tcPr>
            <w:tcW w:w="2427" w:type="pct"/>
          </w:tcPr>
          <w:p w:rsidR="00815B40" w:rsidRPr="00F24723" w:rsidRDefault="00815B40" w:rsidP="00936316">
            <w:pPr>
              <w:jc w:val="both"/>
              <w:rPr>
                <w:rFonts w:eastAsia="Calibri"/>
                <w:sz w:val="20"/>
                <w:lang w:val="fr-CA"/>
              </w:rPr>
            </w:pPr>
            <w:r w:rsidRPr="00F24723">
              <w:rPr>
                <w:rFonts w:eastAsia="Calibri"/>
                <w:sz w:val="20"/>
                <w:lang w:val="fr-CA"/>
              </w:rPr>
              <w:t>8 septembre 2011</w:t>
            </w:r>
          </w:p>
          <w:p w:rsidR="00815B40" w:rsidRPr="00F24723" w:rsidRDefault="00815B40" w:rsidP="00936316">
            <w:pPr>
              <w:jc w:val="both"/>
              <w:rPr>
                <w:rFonts w:eastAsia="Calibri"/>
                <w:sz w:val="20"/>
                <w:lang w:val="fr-CA"/>
              </w:rPr>
            </w:pPr>
            <w:r w:rsidRPr="00F24723">
              <w:rPr>
                <w:rFonts w:eastAsia="Calibri"/>
                <w:sz w:val="20"/>
                <w:lang w:val="fr-CA"/>
              </w:rPr>
              <w:t>Cour d’appel de la Colombie</w:t>
            </w:r>
            <w:r w:rsidRPr="00F24723">
              <w:rPr>
                <w:rFonts w:eastAsia="Calibri"/>
                <w:sz w:val="20"/>
                <w:lang w:val="fr-CA"/>
              </w:rPr>
              <w:noBreakHyphen/>
              <w:t>Britannique (Vancouver)</w:t>
            </w:r>
          </w:p>
          <w:p w:rsidR="00815B40" w:rsidRPr="00F24723" w:rsidRDefault="00815B40" w:rsidP="00936316">
            <w:pPr>
              <w:jc w:val="both"/>
              <w:rPr>
                <w:rFonts w:eastAsia="Calibri"/>
                <w:sz w:val="20"/>
                <w:lang w:val="fr-CA"/>
              </w:rPr>
            </w:pPr>
            <w:r w:rsidRPr="00F24723">
              <w:rPr>
                <w:rFonts w:eastAsia="Calibri"/>
                <w:sz w:val="20"/>
                <w:lang w:val="fr-CA"/>
              </w:rPr>
              <w:t>(Juges Frankel, Bennett et Garson)</w:t>
            </w:r>
          </w:p>
          <w:p w:rsidR="00815B40" w:rsidRPr="00F24723" w:rsidRDefault="00815B40" w:rsidP="00936316">
            <w:pPr>
              <w:jc w:val="both"/>
              <w:rPr>
                <w:rFonts w:eastAsia="Calibri"/>
                <w:sz w:val="20"/>
                <w:lang w:val="fr-CA"/>
              </w:rPr>
            </w:pPr>
            <w:r w:rsidRPr="00F24723">
              <w:rPr>
                <w:rFonts w:eastAsia="Calibri"/>
                <w:sz w:val="20"/>
                <w:lang w:val="fr-CA"/>
              </w:rPr>
              <w:t>2011 BCCA 370</w:t>
            </w:r>
          </w:p>
          <w:p w:rsidR="00815B40" w:rsidRPr="00F24723" w:rsidRDefault="00815B40" w:rsidP="00936316">
            <w:pPr>
              <w:jc w:val="both"/>
              <w:rPr>
                <w:rFonts w:eastAsia="Calibri"/>
                <w:sz w:val="20"/>
                <w:lang w:val="fr-CA"/>
              </w:rPr>
            </w:pPr>
          </w:p>
        </w:tc>
        <w:tc>
          <w:tcPr>
            <w:tcW w:w="243" w:type="pct"/>
          </w:tcPr>
          <w:p w:rsidR="00815B40" w:rsidRPr="00F24723" w:rsidRDefault="00815B40" w:rsidP="00936316">
            <w:pPr>
              <w:jc w:val="both"/>
              <w:rPr>
                <w:rFonts w:eastAsia="Calibri"/>
                <w:sz w:val="20"/>
                <w:lang w:val="fr-CA"/>
              </w:rPr>
            </w:pPr>
          </w:p>
        </w:tc>
        <w:tc>
          <w:tcPr>
            <w:tcW w:w="2330" w:type="pct"/>
          </w:tcPr>
          <w:p w:rsidR="00815B40" w:rsidRPr="00F24723" w:rsidRDefault="00815B40" w:rsidP="00936316">
            <w:pPr>
              <w:jc w:val="both"/>
              <w:rPr>
                <w:rFonts w:eastAsia="Calibri"/>
                <w:sz w:val="20"/>
                <w:lang w:val="fr-CA"/>
              </w:rPr>
            </w:pPr>
            <w:r w:rsidRPr="00F24723">
              <w:rPr>
                <w:rFonts w:eastAsia="Calibri"/>
                <w:sz w:val="20"/>
                <w:lang w:val="fr-CA"/>
              </w:rPr>
              <w:t>Appel des intimés, accueilli; appel incident de la demanderesse, rejeté.</w:t>
            </w:r>
          </w:p>
          <w:p w:rsidR="00815B40" w:rsidRPr="00F24723" w:rsidRDefault="00815B40" w:rsidP="00936316">
            <w:pPr>
              <w:jc w:val="both"/>
              <w:rPr>
                <w:rFonts w:eastAsia="Calibri"/>
                <w:sz w:val="20"/>
                <w:lang w:val="fr-CA"/>
              </w:rPr>
            </w:pPr>
          </w:p>
          <w:p w:rsidR="00815B40" w:rsidRPr="00F24723" w:rsidRDefault="00815B40" w:rsidP="00936316">
            <w:pPr>
              <w:jc w:val="both"/>
              <w:rPr>
                <w:rFonts w:eastAsia="Calibri"/>
                <w:sz w:val="20"/>
                <w:lang w:val="fr-CA"/>
              </w:rPr>
            </w:pPr>
          </w:p>
          <w:p w:rsidR="00815B40" w:rsidRPr="00F24723" w:rsidRDefault="00815B40" w:rsidP="00936316">
            <w:pPr>
              <w:jc w:val="both"/>
              <w:rPr>
                <w:rFonts w:eastAsia="Calibri"/>
                <w:sz w:val="20"/>
                <w:lang w:val="fr-CA"/>
              </w:rPr>
            </w:pPr>
          </w:p>
        </w:tc>
      </w:tr>
      <w:tr w:rsidR="00815B40" w:rsidRPr="00F24723" w:rsidTr="00936316">
        <w:tc>
          <w:tcPr>
            <w:tcW w:w="2427" w:type="pct"/>
          </w:tcPr>
          <w:p w:rsidR="00815B40" w:rsidRPr="00F24723" w:rsidRDefault="00815B40" w:rsidP="00936316">
            <w:pPr>
              <w:jc w:val="both"/>
              <w:rPr>
                <w:rFonts w:eastAsia="Calibri"/>
                <w:sz w:val="20"/>
                <w:lang w:val="fr-CA"/>
              </w:rPr>
            </w:pPr>
            <w:r w:rsidRPr="00F24723">
              <w:rPr>
                <w:rFonts w:eastAsia="Calibri"/>
                <w:sz w:val="20"/>
                <w:lang w:val="fr-CA"/>
              </w:rPr>
              <w:lastRenderedPageBreak/>
              <w:t>3 novembre 2011</w:t>
            </w:r>
          </w:p>
          <w:p w:rsidR="00815B40" w:rsidRPr="00F24723" w:rsidRDefault="00815B40" w:rsidP="00936316">
            <w:pPr>
              <w:jc w:val="both"/>
              <w:rPr>
                <w:rFonts w:eastAsia="Calibri"/>
                <w:sz w:val="20"/>
                <w:lang w:val="fr-CA"/>
              </w:rPr>
            </w:pPr>
            <w:r w:rsidRPr="00F24723">
              <w:rPr>
                <w:rFonts w:eastAsia="Calibri"/>
                <w:sz w:val="20"/>
                <w:lang w:val="fr-CA"/>
              </w:rPr>
              <w:t>Cour suprême du Canada</w:t>
            </w:r>
          </w:p>
        </w:tc>
        <w:tc>
          <w:tcPr>
            <w:tcW w:w="243" w:type="pct"/>
          </w:tcPr>
          <w:p w:rsidR="00815B40" w:rsidRPr="00F24723" w:rsidRDefault="00815B40" w:rsidP="00936316">
            <w:pPr>
              <w:jc w:val="both"/>
              <w:rPr>
                <w:rFonts w:eastAsia="Calibri"/>
                <w:sz w:val="20"/>
                <w:lang w:val="fr-CA"/>
              </w:rPr>
            </w:pPr>
          </w:p>
        </w:tc>
        <w:tc>
          <w:tcPr>
            <w:tcW w:w="2330" w:type="pct"/>
          </w:tcPr>
          <w:p w:rsidR="00815B40" w:rsidRPr="00F24723" w:rsidRDefault="00815B40" w:rsidP="00936316">
            <w:pPr>
              <w:jc w:val="both"/>
              <w:rPr>
                <w:rFonts w:eastAsia="Calibri"/>
                <w:sz w:val="20"/>
                <w:lang w:val="fr-CA"/>
              </w:rPr>
            </w:pPr>
            <w:r w:rsidRPr="00F24723">
              <w:rPr>
                <w:rFonts w:eastAsia="Calibri"/>
                <w:sz w:val="20"/>
                <w:lang w:val="fr-CA"/>
              </w:rPr>
              <w:t>Demande d’autorisation d’appel, déposée.</w:t>
            </w:r>
          </w:p>
          <w:p w:rsidR="00815B40" w:rsidRPr="00F24723" w:rsidRDefault="00815B40" w:rsidP="00936316">
            <w:pPr>
              <w:jc w:val="both"/>
              <w:rPr>
                <w:rFonts w:eastAsia="Calibri"/>
                <w:sz w:val="20"/>
                <w:lang w:val="fr-CA"/>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57"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695F" w:rsidRPr="00B7695F" w:rsidTr="00B7695F">
        <w:trPr>
          <w:cantSplit/>
        </w:trPr>
        <w:tc>
          <w:tcPr>
            <w:tcW w:w="1458" w:type="dxa"/>
          </w:tcPr>
          <w:p w:rsidR="00B7695F" w:rsidRPr="00B7695F" w:rsidRDefault="00B7695F" w:rsidP="00B7695F">
            <w:pPr>
              <w:rPr>
                <w:sz w:val="20"/>
                <w:szCs w:val="20"/>
              </w:rPr>
            </w:pPr>
            <w:r w:rsidRPr="00B7695F">
              <w:rPr>
                <w:rStyle w:val="SCCFileNumberChar"/>
                <w:sz w:val="20"/>
                <w:szCs w:val="20"/>
              </w:rPr>
              <w:t>34510</w:t>
            </w:r>
          </w:p>
          <w:p w:rsidR="00B7695F" w:rsidRPr="00B7695F" w:rsidRDefault="00B7695F" w:rsidP="00B7695F">
            <w:pPr>
              <w:rPr>
                <w:b/>
                <w:sz w:val="20"/>
                <w:szCs w:val="20"/>
                <w:lang w:val="fr-CA"/>
              </w:rPr>
            </w:pPr>
          </w:p>
        </w:tc>
        <w:tc>
          <w:tcPr>
            <w:tcW w:w="8118" w:type="dxa"/>
          </w:tcPr>
          <w:p w:rsidR="00B7695F" w:rsidRPr="00B7695F" w:rsidRDefault="00B7695F" w:rsidP="00B7695F">
            <w:pPr>
              <w:rPr>
                <w:sz w:val="20"/>
                <w:szCs w:val="20"/>
              </w:rPr>
            </w:pPr>
            <w:r w:rsidRPr="00B7695F">
              <w:rPr>
                <w:rStyle w:val="SCCLsocChar"/>
                <w:sz w:val="20"/>
                <w:szCs w:val="20"/>
                <w:lang w:val="en-CA"/>
              </w:rPr>
              <w:t>Edward Sumio Nishi v. Rascal Trucking Ltd.</w:t>
            </w:r>
            <w:r w:rsidRPr="00B7695F">
              <w:rPr>
                <w:sz w:val="20"/>
                <w:szCs w:val="20"/>
              </w:rPr>
              <w:t xml:space="preserve"> (B.C.) (Civil) (By Leave)</w:t>
            </w:r>
          </w:p>
          <w:p w:rsidR="00B7695F" w:rsidRPr="00B7695F" w:rsidRDefault="00B7695F" w:rsidP="00B7695F">
            <w:pPr>
              <w:rPr>
                <w:sz w:val="20"/>
                <w:szCs w:val="20"/>
              </w:rPr>
            </w:pPr>
          </w:p>
        </w:tc>
      </w:tr>
      <w:tr w:rsidR="00B7695F" w:rsidRPr="00B7695F" w:rsidTr="00B7695F">
        <w:trPr>
          <w:cantSplit/>
        </w:trPr>
        <w:tc>
          <w:tcPr>
            <w:tcW w:w="1458" w:type="dxa"/>
          </w:tcPr>
          <w:p w:rsidR="00B7695F" w:rsidRPr="00B7695F" w:rsidRDefault="00B7695F" w:rsidP="00B7695F">
            <w:pPr>
              <w:rPr>
                <w:sz w:val="20"/>
                <w:szCs w:val="20"/>
              </w:rPr>
            </w:pPr>
            <w:r w:rsidRPr="00B7695F">
              <w:rPr>
                <w:sz w:val="20"/>
                <w:szCs w:val="20"/>
              </w:rPr>
              <w:t>Coram :</w:t>
            </w:r>
          </w:p>
        </w:tc>
        <w:tc>
          <w:tcPr>
            <w:tcW w:w="8118" w:type="dxa"/>
          </w:tcPr>
          <w:p w:rsidR="00B7695F" w:rsidRPr="00B7695F" w:rsidRDefault="00B7695F" w:rsidP="00B7695F">
            <w:pPr>
              <w:rPr>
                <w:sz w:val="20"/>
                <w:szCs w:val="20"/>
              </w:rPr>
            </w:pPr>
            <w:r w:rsidRPr="00B7695F">
              <w:rPr>
                <w:rStyle w:val="SCCCoramChar"/>
                <w:sz w:val="20"/>
                <w:szCs w:val="20"/>
                <w:lang w:val="en-CA"/>
              </w:rPr>
              <w:t>LeBel, Abella and Cromwell JJ.</w:t>
            </w:r>
          </w:p>
          <w:p w:rsidR="00B7695F" w:rsidRPr="00B7695F" w:rsidRDefault="00B7695F" w:rsidP="00B7695F">
            <w:pPr>
              <w:rPr>
                <w:sz w:val="20"/>
                <w:szCs w:val="20"/>
                <w:u w:val="single"/>
              </w:rPr>
            </w:pPr>
          </w:p>
        </w:tc>
      </w:tr>
      <w:tr w:rsidR="00B7695F" w:rsidRPr="00B36F35" w:rsidTr="00B7695F">
        <w:trPr>
          <w:cantSplit/>
        </w:trPr>
        <w:tc>
          <w:tcPr>
            <w:tcW w:w="9576" w:type="dxa"/>
            <w:gridSpan w:val="2"/>
          </w:tcPr>
          <w:p w:rsidR="00B7695F" w:rsidRPr="00B7695F" w:rsidRDefault="00B7695F" w:rsidP="00B7695F">
            <w:pPr>
              <w:pStyle w:val="SCCShortJudgment"/>
              <w:rPr>
                <w:szCs w:val="20"/>
              </w:rPr>
            </w:pPr>
            <w:r w:rsidRPr="00B7695F">
              <w:rPr>
                <w:szCs w:val="20"/>
              </w:rPr>
              <w:t>The motion for an extension of time to serve and file the application for leave to appeal is granted. The application for leave to appeal from the judgment of the Court of Appeal for British Columbia (Vancouver), Number CA038118, 2011 BCCA 348, dated August 17, 2011, is granted with costs in the cause.</w:t>
            </w:r>
          </w:p>
          <w:p w:rsidR="00B7695F" w:rsidRPr="00B7695F" w:rsidRDefault="00B7695F" w:rsidP="00B7695F">
            <w:pPr>
              <w:pStyle w:val="SCCShortJudgment"/>
              <w:ind w:firstLine="0"/>
              <w:rPr>
                <w:szCs w:val="20"/>
              </w:rPr>
            </w:pPr>
          </w:p>
          <w:p w:rsidR="00B7695F" w:rsidRPr="00B7695F" w:rsidRDefault="00B7695F" w:rsidP="00B7695F">
            <w:pPr>
              <w:pStyle w:val="SCCShortJudgment"/>
              <w:rPr>
                <w:szCs w:val="20"/>
                <w:lang w:val="fr-CA"/>
              </w:rPr>
            </w:pPr>
            <w:r w:rsidRPr="00B7695F">
              <w:rPr>
                <w:szCs w:val="20"/>
                <w:lang w:val="fr-CA"/>
              </w:rPr>
              <w:t>La requête en prorogation du délai de signification et de dépôt de la demande d’autorisation d’appel est accueillie. La demande d’autorisation d’appel de l’arrêt de la Cour d’appel de la Colombie-Britannique (Vancouver), numéro CA038118, 2011 BCCA 348, daté du 17 août 2011, est accueillie avec dépens suivant l’issue de la cause.</w:t>
            </w:r>
          </w:p>
        </w:tc>
      </w:tr>
    </w:tbl>
    <w:p w:rsidR="001823C0" w:rsidRPr="00B7695F"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5B40" w:rsidRPr="00F24723" w:rsidTr="00936316">
        <w:trPr>
          <w:trHeight w:val="20"/>
        </w:trPr>
        <w:tc>
          <w:tcPr>
            <w:tcW w:w="5000" w:type="pct"/>
            <w:gridSpan w:val="3"/>
          </w:tcPr>
          <w:p w:rsidR="00815B40" w:rsidRPr="00F24723" w:rsidRDefault="00815B40" w:rsidP="00936316">
            <w:pPr>
              <w:jc w:val="both"/>
              <w:rPr>
                <w:rFonts w:eastAsia="Calibri"/>
                <w:sz w:val="20"/>
              </w:rPr>
            </w:pPr>
            <w:r w:rsidRPr="00F24723">
              <w:rPr>
                <w:rFonts w:eastAsia="Calibri"/>
                <w:sz w:val="20"/>
              </w:rPr>
              <w:t>Property – Real property – Trusts – Resulting trust – Applicant using funds received from Respondent to purchase property in foreclosure proceedings – Funds representing disputed monies owing to third party - Should this Court’s abolition of the common intention element for resulting trust domestic property claims apply to commercial property claims? - Is a transfer gratuitous when it constitutes the discharge of a legal and moral obligation to a third party? - Is a proportionate interest in the property acquired the correct remedy where the transferor attempted, but failed to secure the title holder’s agreement to an interest in the property?</w:t>
            </w:r>
          </w:p>
          <w:p w:rsidR="00815B40" w:rsidRPr="00F24723" w:rsidRDefault="00815B40" w:rsidP="00936316">
            <w:pPr>
              <w:jc w:val="both"/>
              <w:rPr>
                <w:rFonts w:eastAsia="Calibri"/>
                <w:sz w:val="20"/>
              </w:rPr>
            </w:pPr>
          </w:p>
        </w:tc>
      </w:tr>
      <w:tr w:rsidR="00815B40" w:rsidRPr="00F24723" w:rsidTr="00936316">
        <w:tc>
          <w:tcPr>
            <w:tcW w:w="5000" w:type="pct"/>
            <w:gridSpan w:val="3"/>
          </w:tcPr>
          <w:p w:rsidR="00815B40" w:rsidRPr="00F24723" w:rsidRDefault="00815B40" w:rsidP="00936316">
            <w:pPr>
              <w:jc w:val="both"/>
              <w:rPr>
                <w:color w:val="000000"/>
                <w:sz w:val="20"/>
              </w:rPr>
            </w:pPr>
            <w:r w:rsidRPr="00F24723">
              <w:rPr>
                <w:bCs/>
                <w:color w:val="000000"/>
                <w:sz w:val="20"/>
              </w:rPr>
              <w:t>Mr.</w:t>
            </w:r>
            <w:r w:rsidRPr="00F24723">
              <w:rPr>
                <w:b/>
                <w:bCs/>
                <w:color w:val="000000"/>
                <w:sz w:val="20"/>
              </w:rPr>
              <w:t xml:space="preserve"> </w:t>
            </w:r>
            <w:r w:rsidRPr="00F24723">
              <w:rPr>
                <w:color w:val="000000"/>
                <w:sz w:val="20"/>
              </w:rPr>
              <w:t xml:space="preserve">Heringa was the owner of Rascal Trucking Ltd. ("Rascal"). Mr. Heringa had developed property with Ms. Plavetic, with whom he once had a personal relationship, and who was a realtor and a principal of Kismet Enterprises Ltd. (“Kismet”).  Kismet owned just under two acres of land in the City of Nanaimo (“the Property”). In 1996, Rascal entered into a five year lease of the Property to use part of it for a topsoil processing facility. Rascal agreed to pay royalties to Kismet and to hold Kismet harmless from any and all liabilities resulting from Rascal's operations on the property.  </w:t>
            </w:r>
            <w:r w:rsidRPr="00F24723">
              <w:rPr>
                <w:bCs/>
                <w:sz w:val="20"/>
              </w:rPr>
              <w:t>After</w:t>
            </w:r>
            <w:r w:rsidRPr="00F24723">
              <w:rPr>
                <w:b/>
                <w:bCs/>
                <w:sz w:val="20"/>
              </w:rPr>
              <w:t xml:space="preserve"> </w:t>
            </w:r>
            <w:r w:rsidRPr="00F24723">
              <w:rPr>
                <w:color w:val="000000"/>
                <w:sz w:val="20"/>
              </w:rPr>
              <w:t>Rascal moved topsoil onto the property for processing, there were complaints from the surrounding neighbourhood.  In response, the City passed a resolution that the soil processing was a nuisance and that the accumulated topsoil had to be removed. The resolution provided the City with the power to remove the topsoil if its order was not complied with.  Kismet had no means to remove the soil and accordingly did nothing.  Rascal tried to have the City pay for the removal to another site, but the negotiations were unsuccessful. The cost of removal by the City was $110,679 and this amount was lodged against the property as tax arrears.  The tax arrears and existing mortgage to the CIBC caused Ms. Plavetic to conclude that there was no equity in the property, and she ceased making the mortgage payments.  Mr. Heringa continued to demand of the City that the tax arrears be removed from title.  The CIBC commenced foreclosure proceedings in 1997 and paid the $110,679.74 to redeem the property from a tax sale.  Throughout the foreclosure proceedings, Mr. Heringa took an active role in seeking a way in which he might take an ownership position in the property.  Rascal also sued the City seeking damages for the topsoil removal.</w:t>
            </w:r>
          </w:p>
          <w:p w:rsidR="00815B40" w:rsidRPr="00F24723" w:rsidRDefault="00815B40" w:rsidP="00936316">
            <w:pPr>
              <w:jc w:val="both"/>
              <w:rPr>
                <w:rFonts w:eastAsia="Calibri"/>
                <w:color w:val="000000"/>
                <w:sz w:val="20"/>
              </w:rPr>
            </w:pPr>
          </w:p>
          <w:p w:rsidR="00815B40" w:rsidRPr="00F24723" w:rsidRDefault="00815B40" w:rsidP="00936316">
            <w:pPr>
              <w:jc w:val="both"/>
              <w:rPr>
                <w:rFonts w:eastAsia="Calibri"/>
                <w:sz w:val="20"/>
              </w:rPr>
            </w:pPr>
            <w:r w:rsidRPr="00F24723">
              <w:rPr>
                <w:rFonts w:eastAsia="Calibri"/>
                <w:color w:val="000000"/>
                <w:sz w:val="20"/>
              </w:rPr>
              <w:t>In 2001, a vesting order was granted with title being transferred to Mr. Nishi at a price of $237,500.  He was assisted in the financing of the purchase by Mr. Heringa, who advanced the sum of $110,679.74 and signed as covenantor.  Mr. Nishi refused Mr. Heringa’s request for an ownership interest in the Property.  Mr. Nishi and Ms. Plavetic have resided on the Property in a common-law relationship since 1997.  After Mr.Nishi obtained title, the couple spent in excess of $100,000 in development costs.  Seven years later, Rascal sued Mr. Nishi to acquire a 50 per cent interest in the Property and a caveat was filed against the Property.</w:t>
            </w:r>
          </w:p>
          <w:p w:rsidR="00815B40" w:rsidRPr="00F24723" w:rsidRDefault="00815B40" w:rsidP="00936316">
            <w:pPr>
              <w:jc w:val="both"/>
              <w:rPr>
                <w:rFonts w:eastAsia="Calibri"/>
                <w:sz w:val="20"/>
              </w:rPr>
            </w:pPr>
          </w:p>
        </w:tc>
      </w:tr>
      <w:tr w:rsidR="00815B40" w:rsidRPr="00F24723" w:rsidTr="00B7695F">
        <w:trPr>
          <w:cantSplit/>
        </w:trPr>
        <w:tc>
          <w:tcPr>
            <w:tcW w:w="2427" w:type="pct"/>
          </w:tcPr>
          <w:p w:rsidR="00815B40" w:rsidRPr="00F24723" w:rsidRDefault="00815B40" w:rsidP="00936316">
            <w:pPr>
              <w:jc w:val="both"/>
              <w:rPr>
                <w:rFonts w:eastAsia="Calibri"/>
                <w:sz w:val="20"/>
              </w:rPr>
            </w:pPr>
            <w:r w:rsidRPr="00F24723">
              <w:rPr>
                <w:rFonts w:eastAsia="Calibri"/>
                <w:sz w:val="20"/>
              </w:rPr>
              <w:lastRenderedPageBreak/>
              <w:t>April 16, 2010</w:t>
            </w:r>
          </w:p>
          <w:p w:rsidR="00815B40" w:rsidRPr="00F24723" w:rsidRDefault="00815B40" w:rsidP="00936316">
            <w:pPr>
              <w:jc w:val="both"/>
              <w:rPr>
                <w:rFonts w:eastAsia="Calibri"/>
                <w:sz w:val="20"/>
              </w:rPr>
            </w:pPr>
            <w:r w:rsidRPr="00F24723">
              <w:rPr>
                <w:rFonts w:eastAsia="Calibri"/>
                <w:sz w:val="20"/>
              </w:rPr>
              <w:t>Supreme Court of British Columbia</w:t>
            </w:r>
          </w:p>
          <w:p w:rsidR="00815B40" w:rsidRPr="00F24723" w:rsidRDefault="00815B40" w:rsidP="00936316">
            <w:pPr>
              <w:jc w:val="both"/>
              <w:rPr>
                <w:rFonts w:eastAsia="Calibri"/>
                <w:sz w:val="20"/>
              </w:rPr>
            </w:pPr>
            <w:r w:rsidRPr="00F24723">
              <w:rPr>
                <w:rFonts w:eastAsia="Calibri"/>
                <w:sz w:val="20"/>
              </w:rPr>
              <w:t>(Dley J.)</w:t>
            </w:r>
          </w:p>
          <w:p w:rsidR="00815B40" w:rsidRPr="00F24723" w:rsidRDefault="00815B40" w:rsidP="00936316">
            <w:pPr>
              <w:jc w:val="both"/>
              <w:rPr>
                <w:rFonts w:eastAsia="Calibri"/>
                <w:sz w:val="20"/>
              </w:rPr>
            </w:pPr>
            <w:r w:rsidRPr="00F24723">
              <w:rPr>
                <w:rFonts w:eastAsia="Calibri"/>
                <w:sz w:val="20"/>
              </w:rPr>
              <w:t>2010 BCSC 649</w:t>
            </w:r>
          </w:p>
          <w:p w:rsidR="00815B40" w:rsidRPr="00F24723" w:rsidRDefault="00815B40" w:rsidP="00936316">
            <w:pPr>
              <w:jc w:val="both"/>
              <w:rPr>
                <w:rFonts w:eastAsia="Calibri"/>
                <w:sz w:val="20"/>
              </w:rPr>
            </w:pPr>
          </w:p>
        </w:tc>
        <w:tc>
          <w:tcPr>
            <w:tcW w:w="243" w:type="pct"/>
          </w:tcPr>
          <w:p w:rsidR="00815B40" w:rsidRPr="00F24723" w:rsidRDefault="00815B40" w:rsidP="00936316">
            <w:pPr>
              <w:jc w:val="both"/>
              <w:rPr>
                <w:rFonts w:eastAsia="Calibri"/>
                <w:sz w:val="20"/>
              </w:rPr>
            </w:pPr>
          </w:p>
        </w:tc>
        <w:tc>
          <w:tcPr>
            <w:tcW w:w="2330" w:type="pct"/>
          </w:tcPr>
          <w:p w:rsidR="00815B40" w:rsidRPr="00F24723" w:rsidRDefault="00815B40" w:rsidP="00936316">
            <w:pPr>
              <w:jc w:val="both"/>
              <w:rPr>
                <w:rFonts w:eastAsia="Calibri"/>
                <w:sz w:val="20"/>
              </w:rPr>
            </w:pPr>
            <w:r w:rsidRPr="00F24723">
              <w:rPr>
                <w:rFonts w:eastAsia="Calibri"/>
                <w:sz w:val="20"/>
              </w:rPr>
              <w:t>Respondent’s action for an interest in property dismissed</w:t>
            </w:r>
          </w:p>
          <w:p w:rsidR="00815B40" w:rsidRPr="00F24723" w:rsidRDefault="00815B40" w:rsidP="00936316">
            <w:pPr>
              <w:jc w:val="both"/>
              <w:rPr>
                <w:rFonts w:eastAsia="Calibri"/>
                <w:sz w:val="20"/>
              </w:rPr>
            </w:pPr>
          </w:p>
          <w:p w:rsidR="00815B40" w:rsidRPr="00F24723" w:rsidRDefault="00815B40" w:rsidP="00936316">
            <w:pPr>
              <w:jc w:val="both"/>
              <w:rPr>
                <w:rFonts w:eastAsia="Calibri"/>
                <w:sz w:val="20"/>
              </w:rPr>
            </w:pPr>
          </w:p>
        </w:tc>
      </w:tr>
      <w:tr w:rsidR="00815B40" w:rsidRPr="00F24723" w:rsidTr="00B7695F">
        <w:trPr>
          <w:cantSplit/>
        </w:trPr>
        <w:tc>
          <w:tcPr>
            <w:tcW w:w="2427" w:type="pct"/>
          </w:tcPr>
          <w:p w:rsidR="00815B40" w:rsidRPr="00F24723" w:rsidRDefault="00815B40" w:rsidP="00936316">
            <w:pPr>
              <w:jc w:val="both"/>
              <w:rPr>
                <w:rFonts w:eastAsia="Calibri"/>
                <w:sz w:val="20"/>
              </w:rPr>
            </w:pPr>
            <w:r w:rsidRPr="00F24723">
              <w:rPr>
                <w:rFonts w:eastAsia="Calibri"/>
                <w:sz w:val="20"/>
              </w:rPr>
              <w:t>August 17, 2011</w:t>
            </w:r>
          </w:p>
          <w:p w:rsidR="00815B40" w:rsidRPr="00F24723" w:rsidRDefault="00815B40" w:rsidP="00936316">
            <w:pPr>
              <w:jc w:val="both"/>
              <w:rPr>
                <w:rFonts w:eastAsia="Calibri"/>
                <w:sz w:val="20"/>
              </w:rPr>
            </w:pPr>
            <w:r w:rsidRPr="00F24723">
              <w:rPr>
                <w:rFonts w:eastAsia="Calibri"/>
                <w:sz w:val="20"/>
              </w:rPr>
              <w:t>Court of Appeal for British Columbia (Vancouver)</w:t>
            </w:r>
          </w:p>
          <w:p w:rsidR="00815B40" w:rsidRPr="00F24723" w:rsidRDefault="00815B40" w:rsidP="00936316">
            <w:pPr>
              <w:jc w:val="both"/>
              <w:rPr>
                <w:rFonts w:eastAsia="Calibri"/>
                <w:sz w:val="20"/>
              </w:rPr>
            </w:pPr>
            <w:r w:rsidRPr="00F24723">
              <w:rPr>
                <w:rFonts w:eastAsia="Calibri"/>
                <w:sz w:val="20"/>
              </w:rPr>
              <w:t>(Kirkpatrick, Frankel and Smith JJ.A.)</w:t>
            </w:r>
          </w:p>
          <w:p w:rsidR="00815B40" w:rsidRPr="00F24723" w:rsidRDefault="00815B40" w:rsidP="00936316">
            <w:pPr>
              <w:jc w:val="both"/>
              <w:rPr>
                <w:rFonts w:eastAsia="Calibri"/>
                <w:sz w:val="20"/>
              </w:rPr>
            </w:pPr>
            <w:r w:rsidRPr="00F24723">
              <w:rPr>
                <w:rFonts w:eastAsia="Calibri"/>
                <w:sz w:val="20"/>
              </w:rPr>
              <w:t>2011 BCCA 348</w:t>
            </w:r>
          </w:p>
          <w:p w:rsidR="00815B40" w:rsidRPr="00F24723" w:rsidRDefault="00815B40" w:rsidP="00936316">
            <w:pPr>
              <w:jc w:val="both"/>
              <w:rPr>
                <w:rFonts w:eastAsia="Calibri"/>
                <w:sz w:val="20"/>
              </w:rPr>
            </w:pPr>
          </w:p>
        </w:tc>
        <w:tc>
          <w:tcPr>
            <w:tcW w:w="243" w:type="pct"/>
          </w:tcPr>
          <w:p w:rsidR="00815B40" w:rsidRPr="00F24723" w:rsidRDefault="00815B40" w:rsidP="00936316">
            <w:pPr>
              <w:jc w:val="both"/>
              <w:rPr>
                <w:rFonts w:eastAsia="Calibri"/>
                <w:sz w:val="20"/>
              </w:rPr>
            </w:pPr>
          </w:p>
        </w:tc>
        <w:tc>
          <w:tcPr>
            <w:tcW w:w="2330" w:type="pct"/>
          </w:tcPr>
          <w:p w:rsidR="00815B40" w:rsidRPr="00F24723" w:rsidRDefault="00815B40" w:rsidP="00936316">
            <w:pPr>
              <w:jc w:val="both"/>
              <w:rPr>
                <w:rFonts w:eastAsia="Calibri"/>
                <w:sz w:val="20"/>
              </w:rPr>
            </w:pPr>
            <w:r w:rsidRPr="00F24723">
              <w:rPr>
                <w:rFonts w:eastAsia="Calibri"/>
                <w:sz w:val="20"/>
              </w:rPr>
              <w:t>Appeal allowed; Respondent granted proportionate interest in property on basis of resulting trust</w:t>
            </w:r>
          </w:p>
          <w:p w:rsidR="00815B40" w:rsidRPr="00F24723" w:rsidRDefault="00815B40" w:rsidP="00936316">
            <w:pPr>
              <w:jc w:val="both"/>
              <w:rPr>
                <w:rFonts w:eastAsia="Calibri"/>
                <w:sz w:val="20"/>
              </w:rPr>
            </w:pPr>
          </w:p>
          <w:p w:rsidR="00815B40" w:rsidRPr="00F24723" w:rsidRDefault="00815B40" w:rsidP="00936316">
            <w:pPr>
              <w:jc w:val="both"/>
              <w:rPr>
                <w:rFonts w:eastAsia="Calibri"/>
                <w:sz w:val="20"/>
              </w:rPr>
            </w:pPr>
          </w:p>
        </w:tc>
      </w:tr>
      <w:tr w:rsidR="00815B40" w:rsidRPr="00F24723" w:rsidTr="00B7695F">
        <w:trPr>
          <w:cantSplit/>
        </w:trPr>
        <w:tc>
          <w:tcPr>
            <w:tcW w:w="2427" w:type="pct"/>
          </w:tcPr>
          <w:p w:rsidR="00815B40" w:rsidRPr="00F24723" w:rsidRDefault="00815B40" w:rsidP="00936316">
            <w:pPr>
              <w:jc w:val="both"/>
              <w:rPr>
                <w:rFonts w:eastAsia="Calibri"/>
                <w:sz w:val="20"/>
              </w:rPr>
            </w:pPr>
            <w:r w:rsidRPr="00F24723">
              <w:rPr>
                <w:rFonts w:eastAsia="Calibri"/>
                <w:sz w:val="20"/>
              </w:rPr>
              <w:t>November 3, 2011</w:t>
            </w:r>
          </w:p>
          <w:p w:rsidR="00815B40" w:rsidRPr="00F24723" w:rsidRDefault="00815B40" w:rsidP="00936316">
            <w:pPr>
              <w:jc w:val="both"/>
              <w:rPr>
                <w:rFonts w:eastAsia="Calibri"/>
                <w:sz w:val="20"/>
              </w:rPr>
            </w:pPr>
            <w:r w:rsidRPr="00F24723">
              <w:rPr>
                <w:rFonts w:eastAsia="Calibri"/>
                <w:sz w:val="20"/>
              </w:rPr>
              <w:t>Supreme Court of Canada</w:t>
            </w:r>
          </w:p>
          <w:p w:rsidR="00815B40" w:rsidRPr="00F24723" w:rsidRDefault="00815B40" w:rsidP="00936316">
            <w:pPr>
              <w:jc w:val="both"/>
              <w:rPr>
                <w:rFonts w:eastAsia="Calibri"/>
                <w:sz w:val="20"/>
              </w:rPr>
            </w:pPr>
          </w:p>
        </w:tc>
        <w:tc>
          <w:tcPr>
            <w:tcW w:w="243" w:type="pct"/>
          </w:tcPr>
          <w:p w:rsidR="00815B40" w:rsidRPr="00F24723" w:rsidRDefault="00815B40" w:rsidP="00936316">
            <w:pPr>
              <w:jc w:val="both"/>
              <w:rPr>
                <w:rFonts w:eastAsia="Calibri"/>
                <w:sz w:val="20"/>
              </w:rPr>
            </w:pPr>
          </w:p>
        </w:tc>
        <w:tc>
          <w:tcPr>
            <w:tcW w:w="2330" w:type="pct"/>
          </w:tcPr>
          <w:p w:rsidR="00815B40" w:rsidRPr="00F24723" w:rsidRDefault="00815B40" w:rsidP="00936316">
            <w:pPr>
              <w:jc w:val="both"/>
              <w:rPr>
                <w:rFonts w:eastAsia="Calibri"/>
                <w:sz w:val="20"/>
              </w:rPr>
            </w:pPr>
            <w:r w:rsidRPr="00F24723">
              <w:rPr>
                <w:rFonts w:eastAsia="Calibri"/>
                <w:sz w:val="20"/>
              </w:rPr>
              <w:t>Application for leave to appeal and motion for extension of time in which to serve and file application for leave filed</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58"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15B40" w:rsidRPr="00B36F35" w:rsidTr="00936316">
        <w:trPr>
          <w:trHeight w:val="20"/>
        </w:trPr>
        <w:tc>
          <w:tcPr>
            <w:tcW w:w="5000" w:type="pct"/>
            <w:gridSpan w:val="3"/>
          </w:tcPr>
          <w:p w:rsidR="00815B40" w:rsidRPr="00F24723" w:rsidRDefault="00815B40" w:rsidP="00936316">
            <w:pPr>
              <w:jc w:val="both"/>
              <w:rPr>
                <w:rFonts w:eastAsia="Calibri"/>
                <w:sz w:val="20"/>
                <w:lang w:val="fr-CA"/>
              </w:rPr>
            </w:pPr>
            <w:r w:rsidRPr="00F24723">
              <w:rPr>
                <w:rFonts w:eastAsia="Calibri"/>
                <w:sz w:val="20"/>
                <w:lang w:val="fr-CA"/>
              </w:rPr>
              <w:t>Biens – Biens réels – Fiducies – Fiducie résultoire – Le demandeur a employé des fonds reçus de l’intimée pour acheter un bien dans le cadre d’une mesure de forclusion – Les fonds représentaient des sommes d’argent contestées dues à un tiers  - L’abolition par cette Cour de l’élément d’intention commune pour les demandes relatives aux biens familiaux fondées sur une fiducie résultoire devrait-elle s’appliquer aux demandes relatives aux biens commerciaux? – Un transfert est-il fait à titre gratuit lorsqu’il constitue l’acquittement d’une obligation juridique et morale envers un tiers? – L’octroi d’une participation proportionnelle dans le bien acquis est-il la réparation qu’il convient d’accorder lorsque l’auteur du transfert a tenté d’obtenir, mais sans succès, l’assentiment du détenteur du titre à une participation dans le bien?</w:t>
            </w:r>
          </w:p>
          <w:p w:rsidR="00815B40" w:rsidRPr="00F24723" w:rsidRDefault="00815B40" w:rsidP="00936316">
            <w:pPr>
              <w:jc w:val="both"/>
              <w:rPr>
                <w:rFonts w:eastAsia="Calibri"/>
                <w:sz w:val="20"/>
                <w:lang w:val="fr-CA"/>
              </w:rPr>
            </w:pPr>
          </w:p>
        </w:tc>
      </w:tr>
      <w:tr w:rsidR="00815B40" w:rsidRPr="00B36F35" w:rsidTr="00936316">
        <w:tc>
          <w:tcPr>
            <w:tcW w:w="5000" w:type="pct"/>
            <w:gridSpan w:val="3"/>
          </w:tcPr>
          <w:p w:rsidR="00815B40" w:rsidRPr="00F24723" w:rsidRDefault="00815B40" w:rsidP="00936316">
            <w:pPr>
              <w:jc w:val="both"/>
              <w:rPr>
                <w:color w:val="000000"/>
                <w:sz w:val="20"/>
                <w:lang w:val="fr-CA"/>
              </w:rPr>
            </w:pPr>
            <w:r w:rsidRPr="00F24723">
              <w:rPr>
                <w:bCs/>
                <w:color w:val="000000"/>
                <w:sz w:val="20"/>
                <w:lang w:val="fr-CA"/>
              </w:rPr>
              <w:t>Monsieur</w:t>
            </w:r>
            <w:r w:rsidRPr="00F24723">
              <w:rPr>
                <w:b/>
                <w:bCs/>
                <w:color w:val="000000"/>
                <w:sz w:val="20"/>
                <w:lang w:val="fr-CA"/>
              </w:rPr>
              <w:t xml:space="preserve"> </w:t>
            </w:r>
            <w:r w:rsidRPr="00F24723">
              <w:rPr>
                <w:color w:val="000000"/>
                <w:sz w:val="20"/>
                <w:lang w:val="fr-CA"/>
              </w:rPr>
              <w:t xml:space="preserve">Heringa était le propriétaire de Rascal Trucking Ltd. (« Rascal »). Monsieur Heringa avait aménagé des biens immobiliers avec Mme Plavetic, avec qui il avait déjà eu une relation personnelle et qui était courtière en immeubles et propriétaire de  Kismet Enterprises Ltd. (« Kismet »). Kismet était propriétaire de tout près de deux acres de terrain dans la municipalité de Nanaimo (« le bien »). En 1996, Rascal a conclu un bail d’une durée de cinq ans pour la location du bien afin d’en utiliser une partie pour une installation de traitement de terre végétale. Rascal a accepté de payer des redevances à Kismet et à indemniser Kismet à l’égard de toute responsabilité qui résultait des activités de Rascal sur le bien. </w:t>
            </w:r>
            <w:r w:rsidRPr="00F24723">
              <w:rPr>
                <w:bCs/>
                <w:sz w:val="20"/>
                <w:lang w:val="fr-CA"/>
              </w:rPr>
              <w:t>Après que</w:t>
            </w:r>
            <w:r w:rsidRPr="00F24723">
              <w:rPr>
                <w:b/>
                <w:bCs/>
                <w:sz w:val="20"/>
                <w:lang w:val="fr-CA"/>
              </w:rPr>
              <w:t xml:space="preserve"> </w:t>
            </w:r>
            <w:r w:rsidRPr="00F24723">
              <w:rPr>
                <w:color w:val="000000"/>
                <w:sz w:val="20"/>
                <w:lang w:val="fr-CA"/>
              </w:rPr>
              <w:t>Rascal a déplacé de la terre végétale sur le bien en vue de son traitement, il y a eu des plaintes du voisinage. À la suite de ces plaintes, la municipalité a adopté une résolution portant que le traitement de la terre était une nuisance et que la terre végétale accumulée devait être enlevée. La résolution conférait à la municipalité le pouvoir d’enlever la terre végétale si l’ordonnance n’était pas respectée. Kismet ne disposait d’aucun moyen pour enlever la terre et n’a donc rien fait. Rascal a tenté de faire payer la municipalité pour le déplacement vers un autre emplacement, mais les négociations ont échoué. La municipalité a engagé la somme de 110 679 $ pour l’enlèvement et ce montant a été imputé comme charge grevant le bien à titre d’arriérés de taxes.  Les arriérés de taxes et la dette hypothécaire envers la CIBC ont amené Mme Plavetic à conclure que le bien n’avait plus de valeur nette et elle a cessé de faire les paiements hypothécaires. Monsieur Heringa a continué à exiger que la municipalité radie du titre la créance pour arriérés de taxes. La CIBC a entrepris une mesure de forclusion en 1997 et a payé la somme de 110 679,74 $ pour racheter le bien lors d’une vente pour taxe.  Pendant la mesure de forclusion, M. Heringa a joué un rôle actif pour tenter de trouver un moyen qui lui permettrait d’acquérir un droit de propriété à l’égard du bien. Rascal a également poursuivi la municipalité en dommages-intérêts pour l’enlèvement de la terre végétale.</w:t>
            </w:r>
          </w:p>
          <w:p w:rsidR="00815B40" w:rsidRPr="00F24723" w:rsidRDefault="00815B40" w:rsidP="00936316">
            <w:pPr>
              <w:jc w:val="both"/>
              <w:rPr>
                <w:rFonts w:eastAsia="Calibri"/>
                <w:color w:val="000000"/>
                <w:sz w:val="20"/>
                <w:lang w:val="fr-CA"/>
              </w:rPr>
            </w:pPr>
          </w:p>
          <w:p w:rsidR="00815B40" w:rsidRPr="00F24723" w:rsidRDefault="00815B40" w:rsidP="00936316">
            <w:pPr>
              <w:jc w:val="both"/>
              <w:rPr>
                <w:rFonts w:eastAsia="Calibri"/>
                <w:sz w:val="20"/>
                <w:lang w:val="fr-CA"/>
              </w:rPr>
            </w:pPr>
            <w:r w:rsidRPr="00F24723">
              <w:rPr>
                <w:rFonts w:eastAsia="Calibri"/>
                <w:color w:val="000000"/>
                <w:sz w:val="20"/>
                <w:lang w:val="fr-CA"/>
              </w:rPr>
              <w:t xml:space="preserve">En 2001, une ordonnance d’envoi en possession a été accordée, transférant le titre à M. Nishi pour le prix de 237 500 $.  Monsieur Heringa l’a aidé à financer l’achat en lui avançant la somme 110 679,74 $ et en signant comme contractant. Monsieur Nishi a refusé la demande de M. Heringa pour un droit de propriété à l’égard du bien. Monsieur Nishi et Mme Plavetic on résidé sur le bien en union de fait depuis 1997. Après que M. Nishi a obtenu le titre, le couple a dépensé plus de 100 000 $ en frais d’aménagement. Sept ans plus tard, Rascal a poursuivi M. Nishi pour </w:t>
            </w:r>
            <w:r w:rsidRPr="00F24723">
              <w:rPr>
                <w:rFonts w:eastAsia="Calibri"/>
                <w:color w:val="000000"/>
                <w:sz w:val="20"/>
                <w:lang w:val="fr-CA"/>
              </w:rPr>
              <w:lastRenderedPageBreak/>
              <w:t>acquérir une participation de 50 pour cent dans le bien et une opposition a été inscrite contre le bien.</w:t>
            </w:r>
          </w:p>
          <w:p w:rsidR="00815B40" w:rsidRPr="00F24723" w:rsidRDefault="00815B40" w:rsidP="00936316">
            <w:pPr>
              <w:jc w:val="both"/>
              <w:rPr>
                <w:rFonts w:eastAsia="Calibri"/>
                <w:sz w:val="20"/>
                <w:lang w:val="fr-CA"/>
              </w:rPr>
            </w:pPr>
          </w:p>
        </w:tc>
      </w:tr>
      <w:tr w:rsidR="00815B40" w:rsidRPr="00B36F35" w:rsidTr="00936316">
        <w:tc>
          <w:tcPr>
            <w:tcW w:w="2427" w:type="pct"/>
          </w:tcPr>
          <w:p w:rsidR="00815B40" w:rsidRPr="00F24723" w:rsidRDefault="00815B40" w:rsidP="00936316">
            <w:pPr>
              <w:jc w:val="both"/>
              <w:rPr>
                <w:rFonts w:eastAsia="Calibri"/>
                <w:sz w:val="20"/>
                <w:lang w:val="fr-CA"/>
              </w:rPr>
            </w:pPr>
            <w:r w:rsidRPr="00F24723">
              <w:rPr>
                <w:rFonts w:eastAsia="Calibri"/>
                <w:sz w:val="20"/>
                <w:lang w:val="fr-CA"/>
              </w:rPr>
              <w:lastRenderedPageBreak/>
              <w:t>16 avril 2010</w:t>
            </w:r>
          </w:p>
          <w:p w:rsidR="00815B40" w:rsidRPr="00F24723" w:rsidRDefault="00815B40" w:rsidP="00936316">
            <w:pPr>
              <w:jc w:val="both"/>
              <w:rPr>
                <w:rFonts w:eastAsia="Calibri"/>
                <w:sz w:val="20"/>
                <w:lang w:val="fr-CA"/>
              </w:rPr>
            </w:pPr>
            <w:r w:rsidRPr="00F24723">
              <w:rPr>
                <w:rFonts w:eastAsia="Calibri"/>
                <w:sz w:val="20"/>
                <w:lang w:val="fr-CA"/>
              </w:rPr>
              <w:t>Cour suprême de la Colombie-Britannique</w:t>
            </w:r>
          </w:p>
          <w:p w:rsidR="00815B40" w:rsidRPr="00F24723" w:rsidRDefault="00815B40" w:rsidP="00936316">
            <w:pPr>
              <w:jc w:val="both"/>
              <w:rPr>
                <w:rFonts w:eastAsia="Calibri"/>
                <w:sz w:val="20"/>
                <w:lang w:val="fr-CA"/>
              </w:rPr>
            </w:pPr>
            <w:r w:rsidRPr="00F24723">
              <w:rPr>
                <w:rFonts w:eastAsia="Calibri"/>
                <w:sz w:val="20"/>
                <w:lang w:val="fr-CA"/>
              </w:rPr>
              <w:t>(Juge Dley)</w:t>
            </w:r>
          </w:p>
          <w:p w:rsidR="00815B40" w:rsidRPr="00F24723" w:rsidRDefault="00815B40" w:rsidP="00936316">
            <w:pPr>
              <w:jc w:val="both"/>
              <w:rPr>
                <w:rFonts w:eastAsia="Calibri"/>
                <w:sz w:val="20"/>
                <w:lang w:val="fr-CA"/>
              </w:rPr>
            </w:pPr>
            <w:r w:rsidRPr="00F24723">
              <w:rPr>
                <w:rFonts w:eastAsia="Calibri"/>
                <w:sz w:val="20"/>
                <w:lang w:val="fr-CA"/>
              </w:rPr>
              <w:t>2010 BCSC 649</w:t>
            </w:r>
          </w:p>
          <w:p w:rsidR="00815B40" w:rsidRPr="00F24723" w:rsidRDefault="00815B40" w:rsidP="00936316">
            <w:pPr>
              <w:jc w:val="both"/>
              <w:rPr>
                <w:rFonts w:eastAsia="Calibri"/>
                <w:sz w:val="20"/>
                <w:lang w:val="fr-CA"/>
              </w:rPr>
            </w:pPr>
          </w:p>
        </w:tc>
        <w:tc>
          <w:tcPr>
            <w:tcW w:w="243" w:type="pct"/>
          </w:tcPr>
          <w:p w:rsidR="00815B40" w:rsidRPr="00F24723" w:rsidRDefault="00815B40" w:rsidP="00936316">
            <w:pPr>
              <w:jc w:val="both"/>
              <w:rPr>
                <w:rFonts w:eastAsia="Calibri"/>
                <w:sz w:val="20"/>
                <w:lang w:val="fr-CA"/>
              </w:rPr>
            </w:pPr>
          </w:p>
        </w:tc>
        <w:tc>
          <w:tcPr>
            <w:tcW w:w="2330" w:type="pct"/>
          </w:tcPr>
          <w:p w:rsidR="00815B40" w:rsidRPr="00F24723" w:rsidRDefault="00815B40" w:rsidP="00936316">
            <w:pPr>
              <w:jc w:val="both"/>
              <w:rPr>
                <w:rFonts w:eastAsia="Calibri"/>
                <w:sz w:val="20"/>
                <w:lang w:val="fr-CA"/>
              </w:rPr>
            </w:pPr>
            <w:r w:rsidRPr="00F24723">
              <w:rPr>
                <w:rFonts w:eastAsia="Calibri"/>
                <w:sz w:val="20"/>
                <w:lang w:val="fr-CA"/>
              </w:rPr>
              <w:t>Action de l’intimée pour obtenir une participation dans le bien, rejetée</w:t>
            </w:r>
          </w:p>
          <w:p w:rsidR="00815B40" w:rsidRPr="00F24723" w:rsidRDefault="00815B40" w:rsidP="00936316">
            <w:pPr>
              <w:jc w:val="both"/>
              <w:rPr>
                <w:rFonts w:eastAsia="Calibri"/>
                <w:sz w:val="20"/>
                <w:lang w:val="fr-CA"/>
              </w:rPr>
            </w:pPr>
          </w:p>
          <w:p w:rsidR="00815B40" w:rsidRPr="00F24723" w:rsidRDefault="00815B40" w:rsidP="00936316">
            <w:pPr>
              <w:jc w:val="both"/>
              <w:rPr>
                <w:rFonts w:eastAsia="Calibri"/>
                <w:sz w:val="20"/>
                <w:lang w:val="fr-CA"/>
              </w:rPr>
            </w:pPr>
          </w:p>
        </w:tc>
      </w:tr>
      <w:tr w:rsidR="00815B40" w:rsidRPr="00B36F35" w:rsidTr="00936316">
        <w:tc>
          <w:tcPr>
            <w:tcW w:w="2427" w:type="pct"/>
          </w:tcPr>
          <w:p w:rsidR="00815B40" w:rsidRPr="00F24723" w:rsidRDefault="00815B40" w:rsidP="00936316">
            <w:pPr>
              <w:jc w:val="both"/>
              <w:rPr>
                <w:rFonts w:eastAsia="Calibri"/>
                <w:sz w:val="20"/>
                <w:lang w:val="fr-CA"/>
              </w:rPr>
            </w:pPr>
            <w:r w:rsidRPr="00F24723">
              <w:rPr>
                <w:rFonts w:eastAsia="Calibri"/>
                <w:sz w:val="20"/>
                <w:lang w:val="fr-CA"/>
              </w:rPr>
              <w:t>17 août 2011</w:t>
            </w:r>
          </w:p>
          <w:p w:rsidR="00815B40" w:rsidRPr="00F24723" w:rsidRDefault="00815B40" w:rsidP="00936316">
            <w:pPr>
              <w:jc w:val="both"/>
              <w:rPr>
                <w:rFonts w:eastAsia="Calibri"/>
                <w:sz w:val="20"/>
                <w:lang w:val="fr-CA"/>
              </w:rPr>
            </w:pPr>
            <w:r w:rsidRPr="00F24723">
              <w:rPr>
                <w:rFonts w:eastAsia="Calibri"/>
                <w:sz w:val="20"/>
                <w:lang w:val="fr-CA"/>
              </w:rPr>
              <w:t>Cour d’appel de la Colombie-Britannique (Vancouver)</w:t>
            </w:r>
          </w:p>
          <w:p w:rsidR="00815B40" w:rsidRPr="00F24723" w:rsidRDefault="00815B40" w:rsidP="00936316">
            <w:pPr>
              <w:jc w:val="both"/>
              <w:rPr>
                <w:rFonts w:eastAsia="Calibri"/>
                <w:sz w:val="20"/>
              </w:rPr>
            </w:pPr>
            <w:r w:rsidRPr="00F24723">
              <w:rPr>
                <w:rFonts w:eastAsia="Calibri"/>
                <w:sz w:val="20"/>
              </w:rPr>
              <w:t>(Juges Kirkpatrick, Frankel et Smith)</w:t>
            </w:r>
          </w:p>
          <w:p w:rsidR="00815B40" w:rsidRPr="00F24723" w:rsidRDefault="00815B40" w:rsidP="00936316">
            <w:pPr>
              <w:jc w:val="both"/>
              <w:rPr>
                <w:rFonts w:eastAsia="Calibri"/>
                <w:sz w:val="20"/>
              </w:rPr>
            </w:pPr>
            <w:r w:rsidRPr="00F24723">
              <w:rPr>
                <w:rFonts w:eastAsia="Calibri"/>
                <w:sz w:val="20"/>
              </w:rPr>
              <w:t>2011 BCCA 348</w:t>
            </w:r>
          </w:p>
          <w:p w:rsidR="00815B40" w:rsidRPr="00F24723" w:rsidRDefault="00815B40" w:rsidP="00936316">
            <w:pPr>
              <w:jc w:val="both"/>
              <w:rPr>
                <w:rFonts w:eastAsia="Calibri"/>
                <w:sz w:val="20"/>
              </w:rPr>
            </w:pPr>
          </w:p>
        </w:tc>
        <w:tc>
          <w:tcPr>
            <w:tcW w:w="243" w:type="pct"/>
          </w:tcPr>
          <w:p w:rsidR="00815B40" w:rsidRPr="00F24723" w:rsidRDefault="00815B40" w:rsidP="00936316">
            <w:pPr>
              <w:jc w:val="both"/>
              <w:rPr>
                <w:rFonts w:eastAsia="Calibri"/>
                <w:sz w:val="20"/>
              </w:rPr>
            </w:pPr>
          </w:p>
        </w:tc>
        <w:tc>
          <w:tcPr>
            <w:tcW w:w="2330" w:type="pct"/>
          </w:tcPr>
          <w:p w:rsidR="00815B40" w:rsidRPr="00F24723" w:rsidRDefault="00815B40" w:rsidP="00936316">
            <w:pPr>
              <w:jc w:val="both"/>
              <w:rPr>
                <w:rFonts w:eastAsia="Calibri"/>
                <w:sz w:val="20"/>
                <w:lang w:val="fr-CA"/>
              </w:rPr>
            </w:pPr>
            <w:r w:rsidRPr="00F24723">
              <w:rPr>
                <w:rFonts w:eastAsia="Calibri"/>
                <w:sz w:val="20"/>
                <w:lang w:val="fr-CA"/>
              </w:rPr>
              <w:t>Appel accueilli; l’intimée se voit accorder une participation proportionnelle dans le bien sur le fondement d’une fiducie résultoire</w:t>
            </w:r>
          </w:p>
          <w:p w:rsidR="00815B40" w:rsidRPr="00F24723" w:rsidRDefault="00815B40" w:rsidP="00936316">
            <w:pPr>
              <w:jc w:val="both"/>
              <w:rPr>
                <w:rFonts w:eastAsia="Calibri"/>
                <w:sz w:val="20"/>
                <w:lang w:val="fr-CA"/>
              </w:rPr>
            </w:pPr>
          </w:p>
        </w:tc>
      </w:tr>
      <w:tr w:rsidR="00815B40" w:rsidRPr="00B36F35" w:rsidTr="00936316">
        <w:tc>
          <w:tcPr>
            <w:tcW w:w="2427" w:type="pct"/>
          </w:tcPr>
          <w:p w:rsidR="00815B40" w:rsidRPr="00F24723" w:rsidRDefault="00815B40" w:rsidP="00936316">
            <w:pPr>
              <w:jc w:val="both"/>
              <w:rPr>
                <w:rFonts w:eastAsia="Calibri"/>
                <w:sz w:val="20"/>
                <w:lang w:val="fr-CA"/>
              </w:rPr>
            </w:pPr>
            <w:r w:rsidRPr="00F24723">
              <w:rPr>
                <w:rFonts w:eastAsia="Calibri"/>
                <w:sz w:val="20"/>
                <w:lang w:val="fr-CA"/>
              </w:rPr>
              <w:t>3 novembre 2011</w:t>
            </w:r>
          </w:p>
          <w:p w:rsidR="00815B40" w:rsidRPr="00F24723" w:rsidRDefault="00815B40" w:rsidP="00936316">
            <w:pPr>
              <w:jc w:val="both"/>
              <w:rPr>
                <w:rFonts w:eastAsia="Calibri"/>
                <w:sz w:val="20"/>
                <w:lang w:val="fr-CA"/>
              </w:rPr>
            </w:pPr>
            <w:r w:rsidRPr="00F24723">
              <w:rPr>
                <w:rFonts w:eastAsia="Calibri"/>
                <w:sz w:val="20"/>
                <w:lang w:val="fr-CA"/>
              </w:rPr>
              <w:t>Cour suprême du Canada</w:t>
            </w:r>
          </w:p>
          <w:p w:rsidR="00815B40" w:rsidRPr="00F24723" w:rsidRDefault="00815B40" w:rsidP="00936316">
            <w:pPr>
              <w:jc w:val="both"/>
              <w:rPr>
                <w:rFonts w:eastAsia="Calibri"/>
                <w:sz w:val="20"/>
                <w:lang w:val="fr-CA"/>
              </w:rPr>
            </w:pPr>
          </w:p>
        </w:tc>
        <w:tc>
          <w:tcPr>
            <w:tcW w:w="243" w:type="pct"/>
          </w:tcPr>
          <w:p w:rsidR="00815B40" w:rsidRPr="00F24723" w:rsidRDefault="00815B40" w:rsidP="00936316">
            <w:pPr>
              <w:jc w:val="both"/>
              <w:rPr>
                <w:rFonts w:eastAsia="Calibri"/>
                <w:sz w:val="20"/>
                <w:lang w:val="fr-CA"/>
              </w:rPr>
            </w:pPr>
          </w:p>
        </w:tc>
        <w:tc>
          <w:tcPr>
            <w:tcW w:w="2330" w:type="pct"/>
          </w:tcPr>
          <w:p w:rsidR="00815B40" w:rsidRPr="00F24723" w:rsidRDefault="00815B40" w:rsidP="00936316">
            <w:pPr>
              <w:jc w:val="both"/>
              <w:rPr>
                <w:rFonts w:eastAsia="Calibri"/>
                <w:sz w:val="20"/>
                <w:lang w:val="fr-CA"/>
              </w:rPr>
            </w:pPr>
            <w:r w:rsidRPr="00F24723">
              <w:rPr>
                <w:rFonts w:eastAsia="Calibri"/>
                <w:sz w:val="20"/>
                <w:lang w:val="fr-CA"/>
              </w:rPr>
              <w:t>Demande d’autorisation d’appel et requête en prorogation du délai de signification et de dépôt de la demande d’autorisation d’appel, déposées</w:t>
            </w:r>
          </w:p>
        </w:tc>
      </w:tr>
    </w:tbl>
    <w:p w:rsidR="001823C0" w:rsidRPr="00815B40"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59"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D4AE4" w:rsidRPr="00B36F35" w:rsidTr="00B22361">
        <w:trPr>
          <w:cantSplit/>
        </w:trPr>
        <w:tc>
          <w:tcPr>
            <w:tcW w:w="1458" w:type="dxa"/>
          </w:tcPr>
          <w:p w:rsidR="00AD4AE4" w:rsidRPr="00FE72CC" w:rsidRDefault="00AD4AE4" w:rsidP="00B22361">
            <w:pPr>
              <w:rPr>
                <w:sz w:val="20"/>
                <w:szCs w:val="20"/>
              </w:rPr>
            </w:pPr>
            <w:r w:rsidRPr="00FE72CC">
              <w:rPr>
                <w:rStyle w:val="SCCFileNumberChar"/>
                <w:sz w:val="20"/>
                <w:szCs w:val="20"/>
              </w:rPr>
              <w:t>34512</w:t>
            </w:r>
          </w:p>
          <w:p w:rsidR="00AD4AE4" w:rsidRPr="00FE72CC" w:rsidRDefault="00AD4AE4" w:rsidP="00B22361">
            <w:pPr>
              <w:rPr>
                <w:b/>
                <w:sz w:val="20"/>
                <w:szCs w:val="20"/>
                <w:lang w:val="fr-CA"/>
              </w:rPr>
            </w:pPr>
          </w:p>
        </w:tc>
        <w:tc>
          <w:tcPr>
            <w:tcW w:w="8118" w:type="dxa"/>
          </w:tcPr>
          <w:p w:rsidR="00AD4AE4" w:rsidRPr="00FE72CC" w:rsidRDefault="00AD4AE4" w:rsidP="00B22361">
            <w:pPr>
              <w:rPr>
                <w:sz w:val="20"/>
                <w:szCs w:val="20"/>
                <w:lang w:val="fr-CA"/>
              </w:rPr>
            </w:pPr>
            <w:r w:rsidRPr="00FE72CC">
              <w:rPr>
                <w:rStyle w:val="SCCLsocChar"/>
                <w:sz w:val="20"/>
                <w:szCs w:val="20"/>
              </w:rPr>
              <w:t>Sa Majesté la Reine c. Frédérick Bélanger</w:t>
            </w:r>
            <w:r w:rsidRPr="00FE72CC">
              <w:rPr>
                <w:sz w:val="20"/>
                <w:szCs w:val="20"/>
                <w:lang w:val="fr-CA"/>
              </w:rPr>
              <w:t xml:space="preserve"> (Qc) (Criminelle) (Autorisation)</w:t>
            </w:r>
          </w:p>
          <w:p w:rsidR="00AD4AE4" w:rsidRPr="00FE72CC" w:rsidRDefault="00AD4AE4" w:rsidP="00B22361">
            <w:pPr>
              <w:rPr>
                <w:sz w:val="20"/>
                <w:szCs w:val="20"/>
                <w:lang w:val="fr-CA"/>
              </w:rPr>
            </w:pPr>
          </w:p>
        </w:tc>
      </w:tr>
      <w:tr w:rsidR="00AD4AE4" w:rsidRPr="00B36F35" w:rsidTr="00B22361">
        <w:trPr>
          <w:cantSplit/>
        </w:trPr>
        <w:tc>
          <w:tcPr>
            <w:tcW w:w="1458" w:type="dxa"/>
          </w:tcPr>
          <w:p w:rsidR="00AD4AE4" w:rsidRPr="00FE72CC" w:rsidRDefault="00AD4AE4" w:rsidP="00B22361">
            <w:pPr>
              <w:rPr>
                <w:sz w:val="20"/>
                <w:szCs w:val="20"/>
              </w:rPr>
            </w:pPr>
            <w:r w:rsidRPr="00FE72CC">
              <w:rPr>
                <w:sz w:val="20"/>
                <w:szCs w:val="20"/>
              </w:rPr>
              <w:t>Coram :</w:t>
            </w:r>
          </w:p>
        </w:tc>
        <w:tc>
          <w:tcPr>
            <w:tcW w:w="8118" w:type="dxa"/>
          </w:tcPr>
          <w:p w:rsidR="00AD4AE4" w:rsidRPr="00FE72CC" w:rsidRDefault="00AD4AE4" w:rsidP="00B22361">
            <w:pPr>
              <w:rPr>
                <w:sz w:val="20"/>
                <w:szCs w:val="20"/>
                <w:lang w:val="fr-CA"/>
              </w:rPr>
            </w:pPr>
            <w:r w:rsidRPr="00FE72CC">
              <w:rPr>
                <w:rStyle w:val="SCCCoramChar"/>
                <w:sz w:val="20"/>
                <w:szCs w:val="20"/>
              </w:rPr>
              <w:t>Les juges Deschamps, Fish et Karakatsanis</w:t>
            </w:r>
          </w:p>
          <w:p w:rsidR="00AD4AE4" w:rsidRPr="00FE72CC" w:rsidRDefault="00AD4AE4" w:rsidP="00B22361">
            <w:pPr>
              <w:rPr>
                <w:sz w:val="20"/>
                <w:szCs w:val="20"/>
                <w:u w:val="single"/>
                <w:lang w:val="fr-CA"/>
              </w:rPr>
            </w:pPr>
          </w:p>
        </w:tc>
      </w:tr>
      <w:tr w:rsidR="00AD4AE4" w:rsidRPr="00FE72CC" w:rsidTr="00B22361">
        <w:trPr>
          <w:cantSplit/>
        </w:trPr>
        <w:tc>
          <w:tcPr>
            <w:tcW w:w="9576" w:type="dxa"/>
            <w:gridSpan w:val="2"/>
          </w:tcPr>
          <w:p w:rsidR="00AD4AE4" w:rsidRPr="00FE72CC" w:rsidRDefault="00AD4AE4" w:rsidP="00B22361">
            <w:pPr>
              <w:pStyle w:val="SCCShortJudgment"/>
              <w:rPr>
                <w:szCs w:val="20"/>
                <w:lang w:val="fr-CA"/>
              </w:rPr>
            </w:pPr>
            <w:r w:rsidRPr="00FE72CC">
              <w:rPr>
                <w:szCs w:val="20"/>
                <w:lang w:val="fr-CA"/>
              </w:rPr>
              <w:t>La demande d’autorisation d’appel de l’arrêt de la Cour d’appel du Québec (Québec), numéro 200-10-002566-102, 2011 QCCA 1598, daté du 8 septembre 2011, est accueillie sans dépens.</w:t>
            </w:r>
          </w:p>
          <w:p w:rsidR="00AD4AE4" w:rsidRPr="00FE72CC" w:rsidRDefault="00AD4AE4" w:rsidP="00B22361">
            <w:pPr>
              <w:pStyle w:val="SCCShortJudgment"/>
              <w:ind w:firstLine="0"/>
              <w:rPr>
                <w:szCs w:val="20"/>
                <w:lang w:val="fr-CA"/>
              </w:rPr>
            </w:pPr>
          </w:p>
          <w:p w:rsidR="00AD4AE4" w:rsidRPr="00FE72CC" w:rsidRDefault="00AD4AE4" w:rsidP="00B22361">
            <w:pPr>
              <w:pStyle w:val="SCCShortJudgment"/>
              <w:rPr>
                <w:szCs w:val="20"/>
              </w:rPr>
            </w:pPr>
            <w:r w:rsidRPr="00FE72CC">
              <w:rPr>
                <w:szCs w:val="20"/>
              </w:rPr>
              <w:t>The application for leave to appeal from the judgment of the Court of Appeal of Quebec (Québec), Number 200-10-002566-102, 2011 QCCA 1598, dated September 8, 2011, is granted without costs.</w:t>
            </w:r>
          </w:p>
        </w:tc>
      </w:tr>
    </w:tbl>
    <w:p w:rsidR="001823C0" w:rsidRDefault="001823C0" w:rsidP="001823C0">
      <w:pPr>
        <w:rPr>
          <w:sz w:val="20"/>
          <w:szCs w:val="20"/>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B06D8" w:rsidRPr="00F24723" w:rsidTr="00936316">
        <w:tc>
          <w:tcPr>
            <w:tcW w:w="5000" w:type="pct"/>
            <w:gridSpan w:val="3"/>
          </w:tcPr>
          <w:p w:rsidR="00FB06D8" w:rsidRPr="00F24723" w:rsidRDefault="00FB06D8" w:rsidP="00936316">
            <w:pPr>
              <w:jc w:val="both"/>
              <w:rPr>
                <w:rFonts w:eastAsia="Calibri"/>
                <w:sz w:val="20"/>
              </w:rPr>
            </w:pPr>
            <w:r w:rsidRPr="00F24723">
              <w:rPr>
                <w:rFonts w:eastAsia="Calibri"/>
                <w:sz w:val="20"/>
              </w:rPr>
              <w:t xml:space="preserve">Criminal law - Offences - Elements of offence - Dangerous driving - Whether Court of Appeal erred in interpreting and applying tests developed by Supreme Court of Canada in </w:t>
            </w:r>
            <w:r w:rsidRPr="00F24723">
              <w:rPr>
                <w:rFonts w:eastAsia="Calibri"/>
                <w:i/>
                <w:sz w:val="20"/>
              </w:rPr>
              <w:t>R.</w:t>
            </w:r>
            <w:r w:rsidRPr="00F24723">
              <w:rPr>
                <w:rFonts w:eastAsia="Calibri"/>
                <w:sz w:val="20"/>
              </w:rPr>
              <w:t xml:space="preserve"> v. </w:t>
            </w:r>
            <w:r w:rsidRPr="00F24723">
              <w:rPr>
                <w:rFonts w:eastAsia="Calibri"/>
                <w:i/>
                <w:sz w:val="20"/>
              </w:rPr>
              <w:t>Beatty</w:t>
            </w:r>
            <w:r w:rsidRPr="00F24723">
              <w:rPr>
                <w:rFonts w:eastAsia="Calibri"/>
                <w:sz w:val="20"/>
              </w:rPr>
              <w:t xml:space="preserve"> for analysing offence of dangerous driving causing bodily harm and death - </w:t>
            </w:r>
            <w:r w:rsidRPr="00F24723">
              <w:rPr>
                <w:rFonts w:eastAsia="Calibri"/>
                <w:i/>
                <w:sz w:val="20"/>
              </w:rPr>
              <w:t>Criminal Code</w:t>
            </w:r>
            <w:r w:rsidRPr="00F24723">
              <w:rPr>
                <w:rFonts w:eastAsia="Calibri"/>
                <w:sz w:val="20"/>
              </w:rPr>
              <w:t>, R.S.C. 1985, c. C</w:t>
            </w:r>
            <w:r w:rsidRPr="00F24723">
              <w:rPr>
                <w:rFonts w:eastAsia="Calibri"/>
                <w:sz w:val="20"/>
              </w:rPr>
              <w:noBreakHyphen/>
              <w:t>46, s. 249.</w:t>
            </w:r>
          </w:p>
        </w:tc>
      </w:tr>
      <w:tr w:rsidR="00FB06D8" w:rsidRPr="00F24723" w:rsidTr="00936316">
        <w:tc>
          <w:tcPr>
            <w:tcW w:w="5000" w:type="pct"/>
            <w:gridSpan w:val="3"/>
          </w:tcPr>
          <w:p w:rsidR="00FB06D8" w:rsidRPr="00F24723" w:rsidRDefault="00FB06D8" w:rsidP="00936316">
            <w:pPr>
              <w:jc w:val="both"/>
              <w:rPr>
                <w:rFonts w:eastAsia="Calibri"/>
                <w:sz w:val="20"/>
              </w:rPr>
            </w:pPr>
          </w:p>
        </w:tc>
      </w:tr>
      <w:tr w:rsidR="00FB06D8" w:rsidRPr="00F24723" w:rsidTr="00936316">
        <w:tc>
          <w:tcPr>
            <w:tcW w:w="5000" w:type="pct"/>
            <w:gridSpan w:val="3"/>
          </w:tcPr>
          <w:p w:rsidR="00FB06D8" w:rsidRPr="00F24723" w:rsidRDefault="00FB06D8" w:rsidP="00936316">
            <w:pPr>
              <w:jc w:val="both"/>
              <w:rPr>
                <w:rFonts w:eastAsia="Calibri"/>
                <w:sz w:val="20"/>
              </w:rPr>
            </w:pPr>
            <w:r w:rsidRPr="00F24723">
              <w:rPr>
                <w:rFonts w:eastAsia="Calibri"/>
                <w:sz w:val="20"/>
              </w:rPr>
              <w:t>On October 7, 2007 at about 7:30 p.m., the respondent was driving west on highway 138 near Baie</w:t>
            </w:r>
            <w:r w:rsidRPr="00F24723">
              <w:rPr>
                <w:rFonts w:eastAsia="Calibri"/>
                <w:sz w:val="20"/>
              </w:rPr>
              <w:noBreakHyphen/>
              <w:t>Comeau.  He was accompanied by a friend.  He had no specific destination.  He drove up behind a pickup truck and decided to pass it despite the solid double line on the highway.</w:t>
            </w:r>
          </w:p>
          <w:p w:rsidR="00FB06D8" w:rsidRPr="00F24723" w:rsidRDefault="00FB06D8" w:rsidP="00936316">
            <w:pPr>
              <w:jc w:val="both"/>
              <w:rPr>
                <w:rFonts w:eastAsia="Calibri"/>
                <w:sz w:val="20"/>
              </w:rPr>
            </w:pPr>
          </w:p>
          <w:p w:rsidR="00FB06D8" w:rsidRPr="00F24723" w:rsidRDefault="00FB06D8" w:rsidP="00936316">
            <w:pPr>
              <w:jc w:val="both"/>
              <w:rPr>
                <w:rFonts w:eastAsia="Calibri"/>
                <w:sz w:val="20"/>
              </w:rPr>
            </w:pPr>
            <w:r w:rsidRPr="00F24723">
              <w:rPr>
                <w:rFonts w:eastAsia="Calibri"/>
                <w:sz w:val="20"/>
              </w:rPr>
              <w:t>About five seconds after he began passing the pickup truck, the respondent collided head on with an oncoming vehicle driven by the victim, who died instantly.  The fatal collision occurred on the shoulder of the highway, where both drivers instinctively pulled over.  The respondent was unable to return to his own lane because he was parallel to the pickup truck he was passing.  The collision occurred at a place where passing is still prohibited.  The respondent’s friend escaped with a fractured femur, while the respondent injured his ankle.</w:t>
            </w:r>
          </w:p>
          <w:p w:rsidR="00FB06D8" w:rsidRPr="00F24723" w:rsidRDefault="00FB06D8" w:rsidP="00936316">
            <w:pPr>
              <w:jc w:val="both"/>
              <w:rPr>
                <w:rFonts w:eastAsia="Calibri"/>
                <w:sz w:val="20"/>
              </w:rPr>
            </w:pPr>
          </w:p>
          <w:p w:rsidR="00FB06D8" w:rsidRPr="00F24723" w:rsidRDefault="00FB06D8" w:rsidP="00936316">
            <w:pPr>
              <w:jc w:val="both"/>
              <w:rPr>
                <w:rFonts w:eastAsia="Calibri"/>
                <w:sz w:val="20"/>
              </w:rPr>
            </w:pPr>
            <w:r w:rsidRPr="00F24723">
              <w:rPr>
                <w:rFonts w:eastAsia="Calibri"/>
                <w:sz w:val="20"/>
              </w:rPr>
              <w:t xml:space="preserve">At trial in the Court of Québec, the respondent was convicted of two counts of dangerous driving causing bodily harm and death.  The Quebec Court of Appeal set aside the trial judgment and acquitted the respondent on both counts.  According to the Court of Appeal, the trial judge had erred in law in applying the modified objective test for the </w:t>
            </w:r>
            <w:r w:rsidRPr="00F24723">
              <w:rPr>
                <w:rFonts w:eastAsia="Calibri"/>
                <w:i/>
                <w:sz w:val="20"/>
              </w:rPr>
              <w:t xml:space="preserve">mens rea </w:t>
            </w:r>
            <w:r w:rsidRPr="00F24723">
              <w:rPr>
                <w:rFonts w:eastAsia="Calibri"/>
                <w:sz w:val="20"/>
              </w:rPr>
              <w:t>of the offence of dangerous driving.</w:t>
            </w:r>
          </w:p>
          <w:p w:rsidR="00FB06D8" w:rsidRPr="00F24723" w:rsidRDefault="00FB06D8" w:rsidP="00936316">
            <w:pPr>
              <w:jc w:val="both"/>
              <w:rPr>
                <w:rFonts w:eastAsia="Calibri"/>
                <w:sz w:val="20"/>
              </w:rPr>
            </w:pPr>
          </w:p>
        </w:tc>
      </w:tr>
      <w:tr w:rsidR="00FB06D8" w:rsidRPr="00F24723" w:rsidTr="00936316">
        <w:tc>
          <w:tcPr>
            <w:tcW w:w="2427" w:type="pct"/>
          </w:tcPr>
          <w:p w:rsidR="00FB06D8" w:rsidRPr="00F24723" w:rsidRDefault="00FB06D8" w:rsidP="00936316">
            <w:pPr>
              <w:jc w:val="both"/>
              <w:rPr>
                <w:rFonts w:eastAsia="Calibri"/>
                <w:sz w:val="20"/>
              </w:rPr>
            </w:pPr>
            <w:r w:rsidRPr="00F24723">
              <w:rPr>
                <w:rFonts w:eastAsia="Calibri"/>
                <w:sz w:val="20"/>
              </w:rPr>
              <w:lastRenderedPageBreak/>
              <w:t>September 14, 2010</w:t>
            </w:r>
          </w:p>
          <w:p w:rsidR="00FB06D8" w:rsidRPr="00F24723" w:rsidRDefault="00FB06D8" w:rsidP="00936316">
            <w:pPr>
              <w:jc w:val="both"/>
              <w:rPr>
                <w:rFonts w:eastAsia="Calibri"/>
                <w:sz w:val="20"/>
              </w:rPr>
            </w:pPr>
            <w:r w:rsidRPr="00F24723">
              <w:rPr>
                <w:rFonts w:eastAsia="Calibri"/>
                <w:sz w:val="20"/>
              </w:rPr>
              <w:t>Court of Québec</w:t>
            </w:r>
          </w:p>
          <w:p w:rsidR="00FB06D8" w:rsidRPr="00F24723" w:rsidRDefault="00FB06D8" w:rsidP="00936316">
            <w:pPr>
              <w:jc w:val="both"/>
              <w:rPr>
                <w:rFonts w:eastAsia="Calibri"/>
                <w:sz w:val="20"/>
              </w:rPr>
            </w:pPr>
            <w:r w:rsidRPr="00F24723">
              <w:rPr>
                <w:rFonts w:eastAsia="Calibri"/>
                <w:sz w:val="20"/>
              </w:rPr>
              <w:t>(Judge Aubry)</w:t>
            </w:r>
          </w:p>
          <w:p w:rsidR="00FB06D8" w:rsidRPr="00F24723" w:rsidRDefault="00FB06D8" w:rsidP="00936316">
            <w:pPr>
              <w:jc w:val="both"/>
              <w:rPr>
                <w:rFonts w:eastAsia="Calibri"/>
                <w:sz w:val="20"/>
              </w:rPr>
            </w:pPr>
            <w:r w:rsidRPr="00F24723">
              <w:rPr>
                <w:rFonts w:eastAsia="Calibri"/>
                <w:sz w:val="20"/>
              </w:rPr>
              <w:t>2010 QCCQ 13775</w:t>
            </w:r>
          </w:p>
          <w:p w:rsidR="00FB06D8" w:rsidRPr="00F24723" w:rsidRDefault="00FB06D8" w:rsidP="00936316">
            <w:pPr>
              <w:jc w:val="both"/>
              <w:rPr>
                <w:rFonts w:eastAsia="Calibri"/>
                <w:sz w:val="20"/>
              </w:rPr>
            </w:pPr>
          </w:p>
        </w:tc>
        <w:tc>
          <w:tcPr>
            <w:tcW w:w="243" w:type="pct"/>
          </w:tcPr>
          <w:p w:rsidR="00FB06D8" w:rsidRPr="00F24723" w:rsidRDefault="00FB06D8" w:rsidP="00936316">
            <w:pPr>
              <w:jc w:val="both"/>
              <w:rPr>
                <w:rFonts w:eastAsia="Calibri"/>
                <w:sz w:val="20"/>
              </w:rPr>
            </w:pPr>
          </w:p>
        </w:tc>
        <w:tc>
          <w:tcPr>
            <w:tcW w:w="2330" w:type="pct"/>
          </w:tcPr>
          <w:p w:rsidR="00FB06D8" w:rsidRPr="00F24723" w:rsidRDefault="00FB06D8" w:rsidP="00936316">
            <w:pPr>
              <w:jc w:val="both"/>
              <w:rPr>
                <w:rFonts w:eastAsia="Calibri"/>
                <w:sz w:val="20"/>
              </w:rPr>
            </w:pPr>
            <w:r w:rsidRPr="00F24723">
              <w:rPr>
                <w:rFonts w:eastAsia="Calibri"/>
                <w:sz w:val="20"/>
              </w:rPr>
              <w:t>Respondent convicted of dangerous driving causing bodily harm and dangerous driving causing death</w:t>
            </w:r>
          </w:p>
          <w:p w:rsidR="00FB06D8" w:rsidRPr="00F24723" w:rsidRDefault="00FB06D8" w:rsidP="00936316">
            <w:pPr>
              <w:jc w:val="both"/>
              <w:rPr>
                <w:rFonts w:eastAsia="Calibri"/>
                <w:sz w:val="20"/>
              </w:rPr>
            </w:pPr>
          </w:p>
        </w:tc>
      </w:tr>
      <w:tr w:rsidR="00FB06D8" w:rsidRPr="00F24723" w:rsidTr="00936316">
        <w:tc>
          <w:tcPr>
            <w:tcW w:w="2427" w:type="pct"/>
          </w:tcPr>
          <w:p w:rsidR="00FB06D8" w:rsidRPr="00F24723" w:rsidRDefault="00FB06D8" w:rsidP="00936316">
            <w:pPr>
              <w:jc w:val="both"/>
              <w:rPr>
                <w:rFonts w:eastAsia="Calibri"/>
                <w:sz w:val="20"/>
              </w:rPr>
            </w:pPr>
            <w:r w:rsidRPr="00F24723">
              <w:rPr>
                <w:rFonts w:eastAsia="Calibri"/>
                <w:sz w:val="20"/>
              </w:rPr>
              <w:t>September 9, 2011</w:t>
            </w:r>
          </w:p>
          <w:p w:rsidR="00FB06D8" w:rsidRPr="00F24723" w:rsidRDefault="00FB06D8" w:rsidP="00936316">
            <w:pPr>
              <w:jc w:val="both"/>
              <w:rPr>
                <w:rFonts w:eastAsia="Calibri"/>
                <w:sz w:val="20"/>
              </w:rPr>
            </w:pPr>
            <w:r w:rsidRPr="00F24723">
              <w:rPr>
                <w:rFonts w:eastAsia="Calibri"/>
                <w:sz w:val="20"/>
              </w:rPr>
              <w:t>Quebec Court of Appeal (Québec)</w:t>
            </w:r>
          </w:p>
          <w:p w:rsidR="00FB06D8" w:rsidRPr="00F24723" w:rsidRDefault="00FB06D8" w:rsidP="00936316">
            <w:pPr>
              <w:jc w:val="both"/>
              <w:rPr>
                <w:rFonts w:eastAsia="Calibri"/>
                <w:sz w:val="20"/>
              </w:rPr>
            </w:pPr>
            <w:r w:rsidRPr="00F24723">
              <w:rPr>
                <w:rFonts w:eastAsia="Calibri"/>
                <w:sz w:val="20"/>
              </w:rPr>
              <w:t>(Brossard, Doyon and Kasirer JJ.A.)</w:t>
            </w:r>
          </w:p>
          <w:p w:rsidR="00FB06D8" w:rsidRPr="00F24723" w:rsidRDefault="00FB06D8" w:rsidP="00936316">
            <w:pPr>
              <w:jc w:val="both"/>
              <w:rPr>
                <w:rFonts w:eastAsia="Calibri"/>
                <w:sz w:val="20"/>
              </w:rPr>
            </w:pPr>
            <w:r w:rsidRPr="00F24723">
              <w:rPr>
                <w:rFonts w:eastAsia="Calibri"/>
                <w:sz w:val="20"/>
              </w:rPr>
              <w:t>2011 QCCA 1598</w:t>
            </w:r>
          </w:p>
          <w:p w:rsidR="00FB06D8" w:rsidRPr="00F24723" w:rsidRDefault="00FB06D8" w:rsidP="00936316">
            <w:pPr>
              <w:jc w:val="both"/>
              <w:rPr>
                <w:rFonts w:eastAsia="Calibri"/>
                <w:sz w:val="20"/>
              </w:rPr>
            </w:pPr>
          </w:p>
        </w:tc>
        <w:tc>
          <w:tcPr>
            <w:tcW w:w="243" w:type="pct"/>
          </w:tcPr>
          <w:p w:rsidR="00FB06D8" w:rsidRPr="00F24723" w:rsidRDefault="00FB06D8" w:rsidP="00936316">
            <w:pPr>
              <w:jc w:val="both"/>
              <w:rPr>
                <w:rFonts w:eastAsia="Calibri"/>
                <w:sz w:val="20"/>
              </w:rPr>
            </w:pPr>
          </w:p>
        </w:tc>
        <w:tc>
          <w:tcPr>
            <w:tcW w:w="2330" w:type="pct"/>
          </w:tcPr>
          <w:p w:rsidR="00FB06D8" w:rsidRPr="00F24723" w:rsidRDefault="00FB06D8" w:rsidP="00936316">
            <w:pPr>
              <w:jc w:val="both"/>
              <w:rPr>
                <w:rFonts w:eastAsia="Calibri"/>
                <w:sz w:val="20"/>
              </w:rPr>
            </w:pPr>
            <w:r w:rsidRPr="00F24723">
              <w:rPr>
                <w:rFonts w:eastAsia="Calibri"/>
                <w:sz w:val="20"/>
              </w:rPr>
              <w:t>Appeal allowed: trial judgment set aside and respondent acquitted of both counts</w:t>
            </w:r>
          </w:p>
          <w:p w:rsidR="00FB06D8" w:rsidRPr="00F24723" w:rsidRDefault="00FB06D8" w:rsidP="00936316">
            <w:pPr>
              <w:jc w:val="both"/>
              <w:rPr>
                <w:rFonts w:eastAsia="Calibri"/>
                <w:sz w:val="20"/>
              </w:rPr>
            </w:pPr>
          </w:p>
        </w:tc>
      </w:tr>
      <w:tr w:rsidR="00FB06D8" w:rsidRPr="00F24723" w:rsidTr="00936316">
        <w:tc>
          <w:tcPr>
            <w:tcW w:w="2427" w:type="pct"/>
          </w:tcPr>
          <w:p w:rsidR="00FB06D8" w:rsidRPr="00F24723" w:rsidRDefault="00FB06D8" w:rsidP="00936316">
            <w:pPr>
              <w:jc w:val="both"/>
              <w:rPr>
                <w:rFonts w:eastAsia="Calibri"/>
                <w:sz w:val="20"/>
              </w:rPr>
            </w:pPr>
            <w:r w:rsidRPr="00F24723">
              <w:rPr>
                <w:rFonts w:eastAsia="Calibri"/>
                <w:sz w:val="20"/>
              </w:rPr>
              <w:t>November 3, 2011</w:t>
            </w:r>
          </w:p>
          <w:p w:rsidR="00FB06D8" w:rsidRPr="00F24723" w:rsidRDefault="00FB06D8" w:rsidP="00936316">
            <w:pPr>
              <w:jc w:val="both"/>
              <w:rPr>
                <w:rFonts w:eastAsia="Calibri"/>
                <w:sz w:val="20"/>
              </w:rPr>
            </w:pPr>
            <w:r w:rsidRPr="00F24723">
              <w:rPr>
                <w:rFonts w:eastAsia="Calibri"/>
                <w:sz w:val="20"/>
              </w:rPr>
              <w:t>Supreme Court of Canada</w:t>
            </w:r>
          </w:p>
        </w:tc>
        <w:tc>
          <w:tcPr>
            <w:tcW w:w="243" w:type="pct"/>
          </w:tcPr>
          <w:p w:rsidR="00FB06D8" w:rsidRPr="00F24723" w:rsidRDefault="00FB06D8" w:rsidP="00936316">
            <w:pPr>
              <w:jc w:val="both"/>
              <w:rPr>
                <w:rFonts w:eastAsia="Calibri"/>
                <w:sz w:val="20"/>
              </w:rPr>
            </w:pPr>
          </w:p>
        </w:tc>
        <w:tc>
          <w:tcPr>
            <w:tcW w:w="2330" w:type="pct"/>
          </w:tcPr>
          <w:p w:rsidR="00FB06D8" w:rsidRPr="00F24723" w:rsidRDefault="00FB06D8" w:rsidP="00936316">
            <w:pPr>
              <w:jc w:val="both"/>
              <w:rPr>
                <w:rFonts w:eastAsia="Calibri"/>
                <w:sz w:val="20"/>
              </w:rPr>
            </w:pPr>
            <w:r w:rsidRPr="00F24723">
              <w:rPr>
                <w:rFonts w:eastAsia="Calibri"/>
                <w:sz w:val="20"/>
              </w:rPr>
              <w:t>Application for leave to appeal filed</w:t>
            </w:r>
          </w:p>
          <w:p w:rsidR="00FB06D8" w:rsidRPr="00F24723" w:rsidRDefault="00FB06D8"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60"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B06D8" w:rsidRPr="00A45695" w:rsidTr="00936316">
        <w:tc>
          <w:tcPr>
            <w:tcW w:w="5000" w:type="pct"/>
            <w:gridSpan w:val="3"/>
          </w:tcPr>
          <w:p w:rsidR="00FB06D8" w:rsidRPr="00F24723" w:rsidRDefault="00FB06D8" w:rsidP="00936316">
            <w:pPr>
              <w:jc w:val="both"/>
              <w:rPr>
                <w:rFonts w:eastAsia="Calibri"/>
                <w:sz w:val="20"/>
                <w:lang w:val="fr-CA"/>
              </w:rPr>
            </w:pPr>
            <w:r w:rsidRPr="00F24723">
              <w:rPr>
                <w:rFonts w:eastAsia="Calibri"/>
                <w:sz w:val="20"/>
                <w:lang w:val="fr-CA"/>
              </w:rPr>
              <w:t xml:space="preserve">Droit criminel - Infractions - Éléments de l’infraction - Conduite dangereuse - La Cour d’appel a-t-elle erré quant à l’interprétation et à l’application des critères à considérer tel qu’élaborés par la Cour suprême du Canada dans l’affaire </w:t>
            </w:r>
            <w:r w:rsidRPr="00F24723">
              <w:rPr>
                <w:rFonts w:eastAsia="Calibri"/>
                <w:i/>
                <w:sz w:val="20"/>
                <w:lang w:val="fr-CA"/>
              </w:rPr>
              <w:t>R.</w:t>
            </w:r>
            <w:r w:rsidRPr="00F24723">
              <w:rPr>
                <w:rFonts w:eastAsia="Calibri"/>
                <w:sz w:val="20"/>
                <w:lang w:val="fr-CA"/>
              </w:rPr>
              <w:t xml:space="preserve"> c. </w:t>
            </w:r>
            <w:r w:rsidRPr="00F24723">
              <w:rPr>
                <w:rFonts w:eastAsia="Calibri"/>
                <w:i/>
                <w:sz w:val="20"/>
                <w:lang w:val="fr-CA"/>
              </w:rPr>
              <w:t>Beatty</w:t>
            </w:r>
            <w:r w:rsidRPr="00F24723">
              <w:rPr>
                <w:rFonts w:eastAsia="Calibri"/>
                <w:sz w:val="20"/>
                <w:lang w:val="fr-CA"/>
              </w:rPr>
              <w:t xml:space="preserve"> pour l’analyse de l’infraction de conduite dangereuse causant des lésions corporelles et la mort? - </w:t>
            </w:r>
            <w:r w:rsidRPr="00F24723">
              <w:rPr>
                <w:rFonts w:eastAsia="Calibri"/>
                <w:i/>
                <w:sz w:val="20"/>
                <w:lang w:val="fr-CA"/>
              </w:rPr>
              <w:t>Code criminel</w:t>
            </w:r>
            <w:r w:rsidRPr="00F24723">
              <w:rPr>
                <w:rFonts w:eastAsia="Calibri"/>
                <w:sz w:val="20"/>
                <w:lang w:val="fr-CA"/>
              </w:rPr>
              <w:t>, L.R.C. 1985, ch. C-46, art. 249.</w:t>
            </w:r>
          </w:p>
        </w:tc>
      </w:tr>
      <w:tr w:rsidR="00FB06D8" w:rsidRPr="00A45695" w:rsidTr="00936316">
        <w:tc>
          <w:tcPr>
            <w:tcW w:w="5000" w:type="pct"/>
            <w:gridSpan w:val="3"/>
          </w:tcPr>
          <w:p w:rsidR="00FB06D8" w:rsidRPr="00F24723" w:rsidRDefault="00FB06D8" w:rsidP="00936316">
            <w:pPr>
              <w:jc w:val="both"/>
              <w:rPr>
                <w:rFonts w:eastAsia="Calibri"/>
                <w:sz w:val="20"/>
                <w:lang w:val="fr-CA"/>
              </w:rPr>
            </w:pPr>
          </w:p>
        </w:tc>
      </w:tr>
      <w:tr w:rsidR="00FB06D8" w:rsidRPr="00B36F35" w:rsidTr="00936316">
        <w:tc>
          <w:tcPr>
            <w:tcW w:w="5000" w:type="pct"/>
            <w:gridSpan w:val="3"/>
          </w:tcPr>
          <w:p w:rsidR="00FB06D8" w:rsidRPr="00F24723" w:rsidRDefault="00FB06D8" w:rsidP="00936316">
            <w:pPr>
              <w:jc w:val="both"/>
              <w:rPr>
                <w:rFonts w:eastAsia="Calibri"/>
                <w:sz w:val="20"/>
                <w:lang w:val="fr-CA"/>
              </w:rPr>
            </w:pPr>
            <w:r w:rsidRPr="00F24723">
              <w:rPr>
                <w:rFonts w:eastAsia="Calibri"/>
                <w:sz w:val="20"/>
                <w:lang w:val="fr-CA"/>
              </w:rPr>
              <w:t xml:space="preserve">Le 7 octobre 2007 vers 19h30, l’intimé circule sur la route 138 en direction ouest près de Baie-Comeau. Il est accompagné d’un ami. Il se promène sans destination précise. Il roule derrière une camionnette et décide de la dépasser, malgré une ligne double continue sur la route. </w:t>
            </w:r>
          </w:p>
          <w:p w:rsidR="00FB06D8" w:rsidRPr="00F24723" w:rsidRDefault="00FB06D8" w:rsidP="00936316">
            <w:pPr>
              <w:jc w:val="both"/>
              <w:rPr>
                <w:rFonts w:eastAsia="Calibri"/>
                <w:sz w:val="20"/>
                <w:lang w:val="fr-CA"/>
              </w:rPr>
            </w:pPr>
          </w:p>
          <w:p w:rsidR="00FB06D8" w:rsidRPr="00F24723" w:rsidRDefault="00FB06D8" w:rsidP="00936316">
            <w:pPr>
              <w:jc w:val="both"/>
              <w:rPr>
                <w:rFonts w:eastAsia="Calibri"/>
                <w:sz w:val="20"/>
                <w:lang w:val="fr-CA"/>
              </w:rPr>
            </w:pPr>
            <w:r w:rsidRPr="00F24723">
              <w:rPr>
                <w:rFonts w:eastAsia="Calibri"/>
                <w:sz w:val="20"/>
                <w:lang w:val="fr-CA"/>
              </w:rPr>
              <w:t>Environ 5 secondes après que l’intimé ait amorcé son dépassement, un face-à-face se produit avec le véhicule de la victime circulant en sens inverse. La victime meurt sur le coup. L’impact mortel se produit sur l’accotement, où les deux véhicules ont eu le réflexe de se ranger en même temps. L’intimé ne pouvait se ranger dans sa voie, étant alors en parallèle avec la camionnette qu’il dépassait. L’impact a lieu à un endroit où il est encore interdit de dépasser. L’ami de l’intimé s’en tire avec une fracture au fémur et l’intimé avec des blessures à la cheville.</w:t>
            </w:r>
          </w:p>
          <w:p w:rsidR="00FB06D8" w:rsidRPr="00F24723" w:rsidRDefault="00FB06D8" w:rsidP="00936316">
            <w:pPr>
              <w:jc w:val="both"/>
              <w:rPr>
                <w:rFonts w:eastAsia="Calibri"/>
                <w:sz w:val="20"/>
                <w:lang w:val="fr-CA"/>
              </w:rPr>
            </w:pPr>
          </w:p>
          <w:p w:rsidR="00FB06D8" w:rsidRPr="00F24723" w:rsidRDefault="00FB06D8" w:rsidP="00936316">
            <w:pPr>
              <w:jc w:val="both"/>
              <w:rPr>
                <w:rFonts w:eastAsia="Calibri"/>
                <w:sz w:val="20"/>
                <w:lang w:val="fr-CA"/>
              </w:rPr>
            </w:pPr>
            <w:r w:rsidRPr="00F24723">
              <w:rPr>
                <w:rFonts w:eastAsia="Calibri"/>
                <w:sz w:val="20"/>
                <w:lang w:val="fr-CA"/>
              </w:rPr>
              <w:t xml:space="preserve">Au procès en Cour du Québec, l’intimé est trouvé coupable de deux chefs d’accusation de conduite dangereuse causant des lésions corporelles et causant la mort. La Cour d’appel du Québec infirme le jugement de première instance et acquitte l’intimé des deux chefs d’accusation. Selon la Cour d’appel, la juge de première instance a erré en droit quant à  l’application du critère objectif modifié de la </w:t>
            </w:r>
            <w:r w:rsidRPr="00F24723">
              <w:rPr>
                <w:rFonts w:eastAsia="Calibri"/>
                <w:i/>
                <w:sz w:val="20"/>
                <w:lang w:val="fr-CA"/>
              </w:rPr>
              <w:t xml:space="preserve">mens rea </w:t>
            </w:r>
            <w:r w:rsidRPr="00F24723">
              <w:rPr>
                <w:rFonts w:eastAsia="Calibri"/>
                <w:sz w:val="20"/>
                <w:lang w:val="fr-CA"/>
              </w:rPr>
              <w:t>pour l’infraction de conduite dangereuse.</w:t>
            </w:r>
          </w:p>
          <w:p w:rsidR="00FB06D8" w:rsidRPr="00F24723" w:rsidRDefault="00FB06D8" w:rsidP="00936316">
            <w:pPr>
              <w:jc w:val="both"/>
              <w:rPr>
                <w:rFonts w:eastAsia="Calibri"/>
                <w:sz w:val="20"/>
                <w:lang w:val="fr-CA"/>
              </w:rPr>
            </w:pPr>
          </w:p>
        </w:tc>
      </w:tr>
      <w:tr w:rsidR="00FB06D8" w:rsidRPr="00B36F35" w:rsidTr="00936316">
        <w:tc>
          <w:tcPr>
            <w:tcW w:w="2427" w:type="pct"/>
          </w:tcPr>
          <w:p w:rsidR="00FB06D8" w:rsidRPr="00F24723" w:rsidRDefault="00FB06D8" w:rsidP="00936316">
            <w:pPr>
              <w:jc w:val="both"/>
              <w:rPr>
                <w:rFonts w:eastAsia="Calibri"/>
                <w:sz w:val="20"/>
                <w:lang w:val="fr-CA"/>
              </w:rPr>
            </w:pPr>
            <w:r w:rsidRPr="00F24723">
              <w:rPr>
                <w:rFonts w:eastAsia="Calibri"/>
                <w:sz w:val="20"/>
                <w:lang w:val="fr-CA"/>
              </w:rPr>
              <w:t>Le 14 septembre 2010</w:t>
            </w:r>
          </w:p>
          <w:p w:rsidR="00FB06D8" w:rsidRPr="00F24723" w:rsidRDefault="00FB06D8" w:rsidP="00936316">
            <w:pPr>
              <w:jc w:val="both"/>
              <w:rPr>
                <w:rFonts w:eastAsia="Calibri"/>
                <w:sz w:val="20"/>
                <w:lang w:val="fr-CA"/>
              </w:rPr>
            </w:pPr>
            <w:r w:rsidRPr="00F24723">
              <w:rPr>
                <w:rFonts w:eastAsia="Calibri"/>
                <w:sz w:val="20"/>
                <w:lang w:val="fr-CA"/>
              </w:rPr>
              <w:t>Cour du Québec</w:t>
            </w:r>
          </w:p>
          <w:p w:rsidR="00FB06D8" w:rsidRPr="00F24723" w:rsidRDefault="00FB06D8" w:rsidP="00936316">
            <w:pPr>
              <w:jc w:val="both"/>
              <w:rPr>
                <w:rFonts w:eastAsia="Calibri"/>
                <w:sz w:val="20"/>
                <w:lang w:val="fr-CA"/>
              </w:rPr>
            </w:pPr>
            <w:r w:rsidRPr="00F24723">
              <w:rPr>
                <w:rFonts w:eastAsia="Calibri"/>
                <w:sz w:val="20"/>
                <w:lang w:val="fr-CA"/>
              </w:rPr>
              <w:t>(La juge Aubry)</w:t>
            </w:r>
          </w:p>
          <w:p w:rsidR="00FB06D8" w:rsidRPr="00F24723" w:rsidRDefault="00FB06D8" w:rsidP="00936316">
            <w:pPr>
              <w:jc w:val="both"/>
              <w:rPr>
                <w:rFonts w:eastAsia="Calibri"/>
                <w:sz w:val="20"/>
                <w:lang w:val="fr-CA"/>
              </w:rPr>
            </w:pPr>
            <w:r w:rsidRPr="00F24723">
              <w:rPr>
                <w:rFonts w:eastAsia="Calibri"/>
                <w:sz w:val="20"/>
                <w:lang w:val="fr-CA"/>
              </w:rPr>
              <w:t>2010 QCCQ 13775</w:t>
            </w:r>
          </w:p>
          <w:p w:rsidR="00FB06D8" w:rsidRPr="00F24723" w:rsidRDefault="00FB06D8" w:rsidP="00936316">
            <w:pPr>
              <w:jc w:val="both"/>
              <w:rPr>
                <w:rFonts w:eastAsia="Calibri"/>
                <w:sz w:val="20"/>
                <w:lang w:val="fr-CA"/>
              </w:rPr>
            </w:pPr>
          </w:p>
        </w:tc>
        <w:tc>
          <w:tcPr>
            <w:tcW w:w="243" w:type="pct"/>
          </w:tcPr>
          <w:p w:rsidR="00FB06D8" w:rsidRPr="00F24723" w:rsidRDefault="00FB06D8" w:rsidP="00936316">
            <w:pPr>
              <w:jc w:val="both"/>
              <w:rPr>
                <w:rFonts w:eastAsia="Calibri"/>
                <w:sz w:val="20"/>
                <w:lang w:val="fr-CA"/>
              </w:rPr>
            </w:pPr>
          </w:p>
        </w:tc>
        <w:tc>
          <w:tcPr>
            <w:tcW w:w="2330" w:type="pct"/>
          </w:tcPr>
          <w:p w:rsidR="00FB06D8" w:rsidRPr="00F24723" w:rsidRDefault="00FB06D8" w:rsidP="00936316">
            <w:pPr>
              <w:jc w:val="both"/>
              <w:rPr>
                <w:rFonts w:eastAsia="Calibri"/>
                <w:sz w:val="20"/>
                <w:lang w:val="fr-CA"/>
              </w:rPr>
            </w:pPr>
            <w:r w:rsidRPr="00F24723">
              <w:rPr>
                <w:rFonts w:eastAsia="Calibri"/>
                <w:sz w:val="20"/>
                <w:lang w:val="fr-CA"/>
              </w:rPr>
              <w:t>Déclaration de culpabilité sur les chefs d’accusation de conduite dangereuse causant des lésions corporelles et de conduite de façon dangereuse causant la mort</w:t>
            </w:r>
          </w:p>
          <w:p w:rsidR="00FB06D8" w:rsidRPr="00F24723" w:rsidRDefault="00FB06D8" w:rsidP="00936316">
            <w:pPr>
              <w:jc w:val="both"/>
              <w:rPr>
                <w:rFonts w:eastAsia="Calibri"/>
                <w:sz w:val="20"/>
                <w:lang w:val="fr-CA"/>
              </w:rPr>
            </w:pPr>
          </w:p>
        </w:tc>
      </w:tr>
      <w:tr w:rsidR="00FB06D8" w:rsidRPr="00B36F35" w:rsidTr="00936316">
        <w:tc>
          <w:tcPr>
            <w:tcW w:w="2427" w:type="pct"/>
          </w:tcPr>
          <w:p w:rsidR="00FB06D8" w:rsidRPr="00F24723" w:rsidRDefault="00FB06D8" w:rsidP="00936316">
            <w:pPr>
              <w:jc w:val="both"/>
              <w:rPr>
                <w:rFonts w:eastAsia="Calibri"/>
                <w:sz w:val="20"/>
                <w:lang w:val="fr-CA"/>
              </w:rPr>
            </w:pPr>
            <w:r w:rsidRPr="00F24723">
              <w:rPr>
                <w:rFonts w:eastAsia="Calibri"/>
                <w:sz w:val="20"/>
                <w:lang w:val="fr-CA"/>
              </w:rPr>
              <w:t>Le 9 septembre 2011</w:t>
            </w:r>
          </w:p>
          <w:p w:rsidR="00FB06D8" w:rsidRPr="00F24723" w:rsidRDefault="00FB06D8" w:rsidP="00936316">
            <w:pPr>
              <w:jc w:val="both"/>
              <w:rPr>
                <w:rFonts w:eastAsia="Calibri"/>
                <w:sz w:val="20"/>
                <w:lang w:val="fr-CA"/>
              </w:rPr>
            </w:pPr>
            <w:r w:rsidRPr="00F24723">
              <w:rPr>
                <w:rFonts w:eastAsia="Calibri"/>
                <w:sz w:val="20"/>
                <w:lang w:val="fr-CA"/>
              </w:rPr>
              <w:t>Cour d’appel du Québec (Québec)</w:t>
            </w:r>
          </w:p>
          <w:p w:rsidR="00FB06D8" w:rsidRPr="00F24723" w:rsidRDefault="00FB06D8" w:rsidP="00936316">
            <w:pPr>
              <w:jc w:val="both"/>
              <w:rPr>
                <w:rFonts w:eastAsia="Calibri"/>
                <w:sz w:val="20"/>
                <w:lang w:val="fr-CA"/>
              </w:rPr>
            </w:pPr>
            <w:r w:rsidRPr="00F24723">
              <w:rPr>
                <w:rFonts w:eastAsia="Calibri"/>
                <w:sz w:val="20"/>
                <w:lang w:val="fr-CA"/>
              </w:rPr>
              <w:t>(Les juges Brossard, Doyon et Kasirer)</w:t>
            </w:r>
          </w:p>
          <w:p w:rsidR="00FB06D8" w:rsidRPr="00F24723" w:rsidRDefault="00FB06D8" w:rsidP="00AD4AE4">
            <w:pPr>
              <w:jc w:val="both"/>
              <w:rPr>
                <w:rFonts w:eastAsia="Calibri"/>
                <w:sz w:val="20"/>
                <w:lang w:val="fr-CA"/>
              </w:rPr>
            </w:pPr>
            <w:r w:rsidRPr="00F24723">
              <w:rPr>
                <w:rFonts w:eastAsia="Calibri"/>
                <w:sz w:val="20"/>
                <w:lang w:val="fr-CA"/>
              </w:rPr>
              <w:t>2011 QCCA 1598</w:t>
            </w:r>
          </w:p>
        </w:tc>
        <w:tc>
          <w:tcPr>
            <w:tcW w:w="243" w:type="pct"/>
          </w:tcPr>
          <w:p w:rsidR="00FB06D8" w:rsidRPr="00F24723" w:rsidRDefault="00FB06D8" w:rsidP="00936316">
            <w:pPr>
              <w:jc w:val="both"/>
              <w:rPr>
                <w:rFonts w:eastAsia="Calibri"/>
                <w:sz w:val="20"/>
                <w:lang w:val="fr-CA"/>
              </w:rPr>
            </w:pPr>
          </w:p>
        </w:tc>
        <w:tc>
          <w:tcPr>
            <w:tcW w:w="2330" w:type="pct"/>
          </w:tcPr>
          <w:p w:rsidR="00FB06D8" w:rsidRPr="00F24723" w:rsidRDefault="00FB06D8" w:rsidP="00936316">
            <w:pPr>
              <w:jc w:val="both"/>
              <w:rPr>
                <w:rFonts w:eastAsia="Calibri"/>
                <w:sz w:val="20"/>
                <w:lang w:val="fr-CA"/>
              </w:rPr>
            </w:pPr>
            <w:r w:rsidRPr="00F24723">
              <w:rPr>
                <w:rFonts w:eastAsia="Calibri"/>
                <w:sz w:val="20"/>
                <w:lang w:val="fr-CA"/>
              </w:rPr>
              <w:t>Appel accueilli : jugement de première instance infirmé et intimé acquitté des deux chefs d’accusation</w:t>
            </w:r>
          </w:p>
          <w:p w:rsidR="00FB06D8" w:rsidRPr="00F24723" w:rsidRDefault="00FB06D8" w:rsidP="00936316">
            <w:pPr>
              <w:jc w:val="both"/>
              <w:rPr>
                <w:rFonts w:eastAsia="Calibri"/>
                <w:sz w:val="20"/>
                <w:lang w:val="fr-CA"/>
              </w:rPr>
            </w:pPr>
          </w:p>
        </w:tc>
      </w:tr>
    </w:tbl>
    <w:p w:rsidR="00AD4AE4" w:rsidRPr="001E5150" w:rsidRDefault="00AD4AE4">
      <w:pPr>
        <w:rPr>
          <w:lang w:val="fr-CA"/>
        </w:rPr>
      </w:pPr>
    </w:p>
    <w:p w:rsidR="00AD4AE4" w:rsidRPr="001E5150" w:rsidRDefault="00AD4AE4">
      <w:pPr>
        <w:rPr>
          <w:lang w:val="fr-CA"/>
        </w:rPr>
      </w:pPr>
      <w:r w:rsidRPr="001E5150">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FB06D8" w:rsidRPr="00F24723" w:rsidTr="00936316">
        <w:tc>
          <w:tcPr>
            <w:tcW w:w="2427" w:type="pct"/>
          </w:tcPr>
          <w:p w:rsidR="00FB06D8" w:rsidRPr="00F24723" w:rsidRDefault="00FB06D8" w:rsidP="00936316">
            <w:pPr>
              <w:jc w:val="both"/>
              <w:rPr>
                <w:rFonts w:eastAsia="Calibri"/>
                <w:sz w:val="20"/>
                <w:lang w:val="fr-CA"/>
              </w:rPr>
            </w:pPr>
            <w:r w:rsidRPr="00F24723">
              <w:rPr>
                <w:rFonts w:eastAsia="Calibri"/>
                <w:sz w:val="20"/>
                <w:lang w:val="fr-CA"/>
              </w:rPr>
              <w:lastRenderedPageBreak/>
              <w:t>Le 3 novembre 2011</w:t>
            </w:r>
          </w:p>
          <w:p w:rsidR="00FB06D8" w:rsidRPr="00F24723" w:rsidRDefault="00FB06D8" w:rsidP="00936316">
            <w:pPr>
              <w:jc w:val="both"/>
              <w:rPr>
                <w:rFonts w:eastAsia="Calibri"/>
                <w:sz w:val="20"/>
                <w:lang w:val="fr-CA"/>
              </w:rPr>
            </w:pPr>
            <w:r w:rsidRPr="00F24723">
              <w:rPr>
                <w:rFonts w:eastAsia="Calibri"/>
                <w:sz w:val="20"/>
                <w:lang w:val="fr-CA"/>
              </w:rPr>
              <w:t>Cour suprême du Canada</w:t>
            </w:r>
          </w:p>
        </w:tc>
        <w:tc>
          <w:tcPr>
            <w:tcW w:w="243" w:type="pct"/>
          </w:tcPr>
          <w:p w:rsidR="00FB06D8" w:rsidRPr="00F24723" w:rsidRDefault="00FB06D8" w:rsidP="00936316">
            <w:pPr>
              <w:jc w:val="both"/>
              <w:rPr>
                <w:rFonts w:eastAsia="Calibri"/>
                <w:sz w:val="20"/>
                <w:lang w:val="fr-CA"/>
              </w:rPr>
            </w:pPr>
          </w:p>
        </w:tc>
        <w:tc>
          <w:tcPr>
            <w:tcW w:w="2330" w:type="pct"/>
          </w:tcPr>
          <w:p w:rsidR="00FB06D8" w:rsidRPr="00F24723" w:rsidRDefault="00FB06D8" w:rsidP="00936316">
            <w:pPr>
              <w:jc w:val="both"/>
              <w:rPr>
                <w:rFonts w:eastAsia="Calibri"/>
                <w:sz w:val="20"/>
                <w:lang w:val="fr-CA"/>
              </w:rPr>
            </w:pPr>
            <w:r w:rsidRPr="00F24723">
              <w:rPr>
                <w:rFonts w:eastAsia="Calibri"/>
                <w:sz w:val="20"/>
                <w:lang w:val="fr-CA"/>
              </w:rPr>
              <w:t>Demande d'autorisation d'appel déposée</w:t>
            </w:r>
          </w:p>
          <w:p w:rsidR="00FB06D8" w:rsidRPr="00F24723" w:rsidRDefault="00FB06D8" w:rsidP="00936316">
            <w:pPr>
              <w:jc w:val="both"/>
              <w:rPr>
                <w:rFonts w:eastAsia="Calibri"/>
                <w:sz w:val="20"/>
                <w:lang w:val="fr-CA"/>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61"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D4AE4" w:rsidRPr="00FE72CC" w:rsidTr="00B22361">
        <w:trPr>
          <w:cantSplit/>
        </w:trPr>
        <w:tc>
          <w:tcPr>
            <w:tcW w:w="1458" w:type="dxa"/>
          </w:tcPr>
          <w:p w:rsidR="00AD4AE4" w:rsidRPr="00FE72CC" w:rsidRDefault="00AD4AE4" w:rsidP="00B22361">
            <w:pPr>
              <w:rPr>
                <w:sz w:val="20"/>
                <w:szCs w:val="20"/>
              </w:rPr>
            </w:pPr>
            <w:r w:rsidRPr="00FE72CC">
              <w:rPr>
                <w:rStyle w:val="SCCFileNumberChar"/>
                <w:sz w:val="20"/>
                <w:szCs w:val="20"/>
              </w:rPr>
              <w:t>34521</w:t>
            </w:r>
          </w:p>
          <w:p w:rsidR="00AD4AE4" w:rsidRPr="00FE72CC" w:rsidRDefault="00AD4AE4" w:rsidP="00B22361">
            <w:pPr>
              <w:rPr>
                <w:b/>
                <w:sz w:val="20"/>
                <w:szCs w:val="20"/>
                <w:lang w:val="fr-CA"/>
              </w:rPr>
            </w:pPr>
          </w:p>
        </w:tc>
        <w:tc>
          <w:tcPr>
            <w:tcW w:w="8118" w:type="dxa"/>
          </w:tcPr>
          <w:p w:rsidR="00AD4AE4" w:rsidRPr="00FE72CC" w:rsidRDefault="00AD4AE4" w:rsidP="00B22361">
            <w:pPr>
              <w:jc w:val="both"/>
              <w:rPr>
                <w:sz w:val="20"/>
                <w:szCs w:val="20"/>
              </w:rPr>
            </w:pPr>
            <w:r w:rsidRPr="00FE72CC">
              <w:rPr>
                <w:rStyle w:val="SCCLsocChar"/>
                <w:sz w:val="20"/>
                <w:szCs w:val="20"/>
                <w:lang w:val="en-CA"/>
              </w:rPr>
              <w:t>Brian Gibb, François Soucy, Pierre Véronneau</w:t>
            </w:r>
            <w:r>
              <w:rPr>
                <w:rStyle w:val="SCCLsocChar"/>
                <w:sz w:val="20"/>
                <w:szCs w:val="20"/>
                <w:lang w:val="en-CA"/>
              </w:rPr>
              <w:t xml:space="preserve"> and</w:t>
            </w:r>
            <w:r w:rsidRPr="00FE72CC">
              <w:rPr>
                <w:rStyle w:val="SCCLsocChar"/>
                <w:sz w:val="20"/>
                <w:szCs w:val="20"/>
                <w:lang w:val="en-CA"/>
              </w:rPr>
              <w:t xml:space="preserve"> Patrick Daoust v. Attorney General of Quebec</w:t>
            </w:r>
            <w:r>
              <w:rPr>
                <w:rStyle w:val="SCCLsocChar"/>
                <w:sz w:val="20"/>
                <w:szCs w:val="20"/>
                <w:lang w:val="en-CA"/>
              </w:rPr>
              <w:t xml:space="preserve"> and</w:t>
            </w:r>
            <w:r w:rsidRPr="00FE72CC">
              <w:rPr>
                <w:rStyle w:val="SCCLsocChar"/>
                <w:sz w:val="20"/>
                <w:szCs w:val="20"/>
                <w:lang w:val="en-CA"/>
              </w:rPr>
              <w:t xml:space="preserve"> Chief Electoral Officer</w:t>
            </w:r>
            <w:r w:rsidRPr="00FE72CC">
              <w:rPr>
                <w:sz w:val="20"/>
                <w:szCs w:val="20"/>
              </w:rPr>
              <w:t xml:space="preserve"> (Que.) (Civil) (By Leave)</w:t>
            </w:r>
          </w:p>
          <w:p w:rsidR="00AD4AE4" w:rsidRPr="00FE72CC" w:rsidRDefault="00AD4AE4" w:rsidP="00B22361">
            <w:pPr>
              <w:rPr>
                <w:sz w:val="20"/>
                <w:szCs w:val="20"/>
              </w:rPr>
            </w:pPr>
          </w:p>
        </w:tc>
      </w:tr>
      <w:tr w:rsidR="00AD4AE4" w:rsidRPr="00FE72CC" w:rsidTr="00B22361">
        <w:trPr>
          <w:cantSplit/>
        </w:trPr>
        <w:tc>
          <w:tcPr>
            <w:tcW w:w="1458" w:type="dxa"/>
          </w:tcPr>
          <w:p w:rsidR="00AD4AE4" w:rsidRPr="00FE72CC" w:rsidRDefault="00AD4AE4" w:rsidP="00B22361">
            <w:pPr>
              <w:rPr>
                <w:sz w:val="20"/>
                <w:szCs w:val="20"/>
              </w:rPr>
            </w:pPr>
            <w:r w:rsidRPr="00FE72CC">
              <w:rPr>
                <w:sz w:val="20"/>
                <w:szCs w:val="20"/>
              </w:rPr>
              <w:t>Coram :</w:t>
            </w:r>
          </w:p>
        </w:tc>
        <w:tc>
          <w:tcPr>
            <w:tcW w:w="8118" w:type="dxa"/>
          </w:tcPr>
          <w:p w:rsidR="00AD4AE4" w:rsidRPr="00FE72CC" w:rsidRDefault="00AD4AE4" w:rsidP="00B22361">
            <w:pPr>
              <w:rPr>
                <w:sz w:val="20"/>
                <w:szCs w:val="20"/>
              </w:rPr>
            </w:pPr>
            <w:r w:rsidRPr="00FE72CC">
              <w:rPr>
                <w:rStyle w:val="SCCCoramChar"/>
                <w:sz w:val="20"/>
                <w:szCs w:val="20"/>
                <w:lang w:val="en-CA"/>
              </w:rPr>
              <w:t>Deschamps, Fish and Karakatsanis JJ.</w:t>
            </w:r>
          </w:p>
          <w:p w:rsidR="00AD4AE4" w:rsidRPr="00FE72CC" w:rsidRDefault="00AD4AE4" w:rsidP="00B22361">
            <w:pPr>
              <w:rPr>
                <w:sz w:val="20"/>
                <w:szCs w:val="20"/>
                <w:u w:val="single"/>
              </w:rPr>
            </w:pPr>
          </w:p>
        </w:tc>
      </w:tr>
      <w:tr w:rsidR="00AD4AE4" w:rsidRPr="00B36F35" w:rsidTr="00B22361">
        <w:trPr>
          <w:cantSplit/>
        </w:trPr>
        <w:tc>
          <w:tcPr>
            <w:tcW w:w="9576" w:type="dxa"/>
            <w:gridSpan w:val="2"/>
          </w:tcPr>
          <w:p w:rsidR="00AD4AE4" w:rsidRPr="00FE72CC" w:rsidRDefault="00AD4AE4" w:rsidP="00B22361">
            <w:pPr>
              <w:pStyle w:val="SCCShortJudgment"/>
              <w:rPr>
                <w:szCs w:val="20"/>
              </w:rPr>
            </w:pPr>
            <w:r w:rsidRPr="00FE72CC">
              <w:rPr>
                <w:szCs w:val="20"/>
              </w:rPr>
              <w:t>The application for leave to appeal from the judgment of the Court of Appeal of Quebec (Montréal), Number 500-09-019528-090, 2011 QCCA 1634, dated September 13, 2011, is dismissed without costs.</w:t>
            </w:r>
          </w:p>
          <w:p w:rsidR="00AD4AE4" w:rsidRPr="00FE72CC" w:rsidRDefault="00AD4AE4" w:rsidP="00B22361">
            <w:pPr>
              <w:pStyle w:val="SCCShortJudgment"/>
              <w:ind w:firstLine="0"/>
              <w:rPr>
                <w:szCs w:val="20"/>
              </w:rPr>
            </w:pPr>
          </w:p>
          <w:p w:rsidR="00AD4AE4" w:rsidRPr="00FE72CC" w:rsidRDefault="00AD4AE4" w:rsidP="00B22361">
            <w:pPr>
              <w:pStyle w:val="SCCShortJudgment"/>
              <w:rPr>
                <w:szCs w:val="20"/>
                <w:lang w:val="fr-CA"/>
              </w:rPr>
            </w:pPr>
            <w:r w:rsidRPr="00FE72CC">
              <w:rPr>
                <w:szCs w:val="20"/>
                <w:lang w:val="fr-CA"/>
              </w:rPr>
              <w:t>La demande d’autorisation d’appel de l’arrêt de la Cour d’appel du Québec (Montréal), numéro 500-09-019528-090, 2011 QCCA 1634, daté du 13 septembre 2011, est rejetée sans dépens.</w:t>
            </w:r>
          </w:p>
        </w:tc>
      </w:tr>
    </w:tbl>
    <w:p w:rsidR="001823C0" w:rsidRPr="00AD4AE4"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008A0" w:rsidRPr="00F24723" w:rsidTr="00936316">
        <w:tc>
          <w:tcPr>
            <w:tcW w:w="5000" w:type="pct"/>
            <w:gridSpan w:val="3"/>
          </w:tcPr>
          <w:p w:rsidR="004008A0" w:rsidRPr="00F24723" w:rsidRDefault="004008A0" w:rsidP="00936316">
            <w:pPr>
              <w:jc w:val="both"/>
              <w:rPr>
                <w:rFonts w:eastAsia="Calibri"/>
                <w:smallCaps/>
                <w:sz w:val="20"/>
              </w:rPr>
            </w:pPr>
            <w:r w:rsidRPr="00F24723">
              <w:rPr>
                <w:rFonts w:eastAsia="Calibri"/>
                <w:sz w:val="20"/>
              </w:rPr>
              <w:t xml:space="preserve">Constitutional law – Canadian Charter – Effective representation – Right to equality – Charter of human rights and freedoms – Discrimination – Right to vote – Whether choice of voting system is political question within legislature’s exclusive jurisdiction – Whether Quebec’s </w:t>
            </w:r>
            <w:r w:rsidRPr="00F24723">
              <w:rPr>
                <w:rFonts w:eastAsia="Calibri"/>
                <w:i/>
                <w:sz w:val="20"/>
              </w:rPr>
              <w:t>Election Act</w:t>
            </w:r>
            <w:r w:rsidRPr="00F24723">
              <w:rPr>
                <w:rFonts w:eastAsia="Calibri"/>
                <w:sz w:val="20"/>
              </w:rPr>
              <w:t xml:space="preserve"> infringes right to vote or right to equality under </w:t>
            </w:r>
            <w:r w:rsidRPr="00F24723">
              <w:rPr>
                <w:rFonts w:eastAsia="Calibri"/>
                <w:i/>
                <w:sz w:val="20"/>
              </w:rPr>
              <w:t xml:space="preserve">Canadian Charter </w:t>
            </w:r>
            <w:r w:rsidRPr="00F24723">
              <w:rPr>
                <w:rFonts w:eastAsia="Calibri"/>
                <w:sz w:val="20"/>
              </w:rPr>
              <w:t xml:space="preserve">and </w:t>
            </w:r>
            <w:r w:rsidRPr="00F24723">
              <w:rPr>
                <w:rFonts w:eastAsia="Calibri"/>
                <w:i/>
                <w:sz w:val="20"/>
              </w:rPr>
              <w:t>Charter of human rights and freedoms</w:t>
            </w:r>
            <w:r w:rsidRPr="00F24723">
              <w:rPr>
                <w:rFonts w:eastAsia="Calibri"/>
                <w:sz w:val="20"/>
              </w:rPr>
              <w:t xml:space="preserve"> – Whether infringement justified under s. 1 of </w:t>
            </w:r>
            <w:r w:rsidRPr="00F24723">
              <w:rPr>
                <w:rFonts w:eastAsia="Calibri"/>
                <w:i/>
                <w:sz w:val="20"/>
              </w:rPr>
              <w:t>Canadian Charter</w:t>
            </w:r>
            <w:r w:rsidRPr="00F24723">
              <w:rPr>
                <w:rFonts w:eastAsia="Calibri"/>
                <w:sz w:val="20"/>
              </w:rPr>
              <w:t xml:space="preserve"> – </w:t>
            </w:r>
            <w:r w:rsidRPr="00F24723">
              <w:rPr>
                <w:rFonts w:eastAsia="Calibri"/>
                <w:i/>
                <w:sz w:val="20"/>
              </w:rPr>
              <w:t>Canadian Charter of Rights and Freedoms</w:t>
            </w:r>
            <w:r w:rsidRPr="00F24723">
              <w:rPr>
                <w:rFonts w:eastAsia="Calibri"/>
                <w:sz w:val="20"/>
              </w:rPr>
              <w:t xml:space="preserve">, ss. 3, 15 – </w:t>
            </w:r>
            <w:r w:rsidRPr="00F24723">
              <w:rPr>
                <w:rFonts w:eastAsia="Calibri"/>
                <w:i/>
                <w:sz w:val="20"/>
              </w:rPr>
              <w:t>Charter of human rights and freedoms</w:t>
            </w:r>
            <w:r w:rsidRPr="00F24723">
              <w:rPr>
                <w:rFonts w:eastAsia="Calibri"/>
                <w:sz w:val="20"/>
              </w:rPr>
              <w:t>, R.S.Q., c. C</w:t>
            </w:r>
            <w:r w:rsidRPr="00F24723">
              <w:rPr>
                <w:rFonts w:eastAsia="Calibri"/>
                <w:sz w:val="20"/>
              </w:rPr>
              <w:noBreakHyphen/>
              <w:t xml:space="preserve">12, ss. 10 and 22 – </w:t>
            </w:r>
            <w:r w:rsidRPr="00F24723">
              <w:rPr>
                <w:rFonts w:eastAsia="Calibri"/>
                <w:i/>
                <w:sz w:val="20"/>
              </w:rPr>
              <w:t>Election Act</w:t>
            </w:r>
            <w:r w:rsidRPr="00F24723">
              <w:rPr>
                <w:rFonts w:eastAsia="Calibri"/>
                <w:sz w:val="20"/>
              </w:rPr>
              <w:t>, R.S.Q., c. E</w:t>
            </w:r>
            <w:r w:rsidRPr="00F24723">
              <w:rPr>
                <w:rFonts w:eastAsia="Calibri"/>
                <w:sz w:val="20"/>
              </w:rPr>
              <w:noBreakHyphen/>
              <w:t>3.3, ss. 14, 15, 16, 17, 375, 377.</w:t>
            </w:r>
          </w:p>
        </w:tc>
      </w:tr>
      <w:tr w:rsidR="004008A0" w:rsidRPr="00F24723" w:rsidTr="00936316">
        <w:tc>
          <w:tcPr>
            <w:tcW w:w="5000" w:type="pct"/>
            <w:gridSpan w:val="3"/>
          </w:tcPr>
          <w:p w:rsidR="004008A0" w:rsidRPr="00F24723" w:rsidRDefault="004008A0" w:rsidP="00936316">
            <w:pPr>
              <w:jc w:val="both"/>
              <w:rPr>
                <w:rFonts w:eastAsia="Calibri"/>
                <w:sz w:val="20"/>
              </w:rPr>
            </w:pPr>
          </w:p>
        </w:tc>
      </w:tr>
      <w:tr w:rsidR="004008A0" w:rsidRPr="00F24723" w:rsidTr="00936316">
        <w:tc>
          <w:tcPr>
            <w:tcW w:w="5000" w:type="pct"/>
            <w:gridSpan w:val="3"/>
          </w:tcPr>
          <w:p w:rsidR="004008A0" w:rsidRPr="00F24723" w:rsidRDefault="004008A0" w:rsidP="00936316">
            <w:pPr>
              <w:jc w:val="both"/>
              <w:rPr>
                <w:rFonts w:eastAsia="Calibri"/>
                <w:sz w:val="20"/>
              </w:rPr>
            </w:pPr>
            <w:r w:rsidRPr="00F24723">
              <w:rPr>
                <w:rFonts w:eastAsia="Calibri"/>
                <w:sz w:val="20"/>
              </w:rPr>
              <w:t>The applicants, Brian Gibb, François Soucy, Pierre Véronneau and Patrick Daoust, are members of the Association for the Advancement of Democratic Rights.  They advocate reforming the first</w:t>
            </w:r>
            <w:r w:rsidRPr="00F24723">
              <w:rPr>
                <w:rFonts w:eastAsia="Calibri"/>
                <w:sz w:val="20"/>
              </w:rPr>
              <w:noBreakHyphen/>
              <w:t>past</w:t>
            </w:r>
            <w:r w:rsidRPr="00F24723">
              <w:rPr>
                <w:rFonts w:eastAsia="Calibri"/>
                <w:sz w:val="20"/>
              </w:rPr>
              <w:noBreakHyphen/>
              <w:t>the</w:t>
            </w:r>
            <w:r w:rsidRPr="00F24723">
              <w:rPr>
                <w:rFonts w:eastAsia="Calibri"/>
                <w:sz w:val="20"/>
              </w:rPr>
              <w:noBreakHyphen/>
              <w:t xml:space="preserve">post voting system in favour of a voting system that, in their view, would promote the fairer representation of all political parties in the National Assembly.  They are asking this Court to declare the sections of Quebec’s </w:t>
            </w:r>
            <w:r w:rsidRPr="00F24723">
              <w:rPr>
                <w:rFonts w:eastAsia="Calibri"/>
                <w:i/>
                <w:sz w:val="20"/>
              </w:rPr>
              <w:t>Election Act</w:t>
            </w:r>
            <w:r w:rsidRPr="00F24723">
              <w:rPr>
                <w:rFonts w:eastAsia="Calibri"/>
                <w:sz w:val="20"/>
              </w:rPr>
              <w:t xml:space="preserve"> that impose a first</w:t>
            </w:r>
            <w:r w:rsidRPr="00F24723">
              <w:rPr>
                <w:rFonts w:eastAsia="Calibri"/>
                <w:sz w:val="20"/>
              </w:rPr>
              <w:noBreakHyphen/>
              <w:t>past</w:t>
            </w:r>
            <w:r w:rsidRPr="00F24723">
              <w:rPr>
                <w:rFonts w:eastAsia="Calibri"/>
                <w:sz w:val="20"/>
              </w:rPr>
              <w:noBreakHyphen/>
              <w:t>the</w:t>
            </w:r>
            <w:r w:rsidRPr="00F24723">
              <w:rPr>
                <w:rFonts w:eastAsia="Calibri"/>
                <w:sz w:val="20"/>
              </w:rPr>
              <w:noBreakHyphen/>
              <w:t xml:space="preserve">post voting system inoperative on the ground of constitutional invalidity because, they argue, that system violates ss. 3 and 15 of the </w:t>
            </w:r>
            <w:r w:rsidRPr="00F24723">
              <w:rPr>
                <w:rFonts w:eastAsia="Calibri"/>
                <w:i/>
                <w:sz w:val="20"/>
              </w:rPr>
              <w:t>Canadian Charter</w:t>
            </w:r>
            <w:r w:rsidRPr="00F24723">
              <w:rPr>
                <w:rFonts w:eastAsia="Calibri"/>
                <w:sz w:val="20"/>
              </w:rPr>
              <w:t xml:space="preserve"> and ss. 10 and 22 of the </w:t>
            </w:r>
            <w:r w:rsidRPr="00F24723">
              <w:rPr>
                <w:rFonts w:eastAsia="Calibri"/>
                <w:i/>
                <w:sz w:val="20"/>
              </w:rPr>
              <w:t>Charter of human rights and freedoms</w:t>
            </w:r>
            <w:r w:rsidRPr="00F24723">
              <w:rPr>
                <w:rFonts w:eastAsia="Calibri"/>
                <w:sz w:val="20"/>
              </w:rPr>
              <w:t>.</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February 26, 2009</w:t>
            </w:r>
          </w:p>
          <w:p w:rsidR="004008A0" w:rsidRPr="00F24723" w:rsidRDefault="004008A0" w:rsidP="00936316">
            <w:pPr>
              <w:jc w:val="both"/>
              <w:rPr>
                <w:rFonts w:eastAsia="Calibri"/>
                <w:sz w:val="20"/>
              </w:rPr>
            </w:pPr>
            <w:r w:rsidRPr="00F24723">
              <w:rPr>
                <w:rFonts w:eastAsia="Calibri"/>
                <w:sz w:val="20"/>
              </w:rPr>
              <w:t>Superior Court</w:t>
            </w:r>
          </w:p>
          <w:p w:rsidR="004008A0" w:rsidRPr="00F24723" w:rsidRDefault="004008A0" w:rsidP="00936316">
            <w:pPr>
              <w:jc w:val="both"/>
              <w:rPr>
                <w:rFonts w:eastAsia="Calibri"/>
                <w:sz w:val="20"/>
              </w:rPr>
            </w:pPr>
            <w:r w:rsidRPr="00F24723">
              <w:rPr>
                <w:rFonts w:eastAsia="Calibri"/>
                <w:sz w:val="20"/>
              </w:rPr>
              <w:t>(Lefebvre J.)</w:t>
            </w:r>
          </w:p>
          <w:p w:rsidR="004008A0" w:rsidRPr="00F24723" w:rsidRDefault="004008A0" w:rsidP="00936316">
            <w:pPr>
              <w:jc w:val="both"/>
              <w:rPr>
                <w:rFonts w:eastAsia="Calibri"/>
                <w:sz w:val="20"/>
              </w:rPr>
            </w:pPr>
            <w:r w:rsidRPr="00F24723">
              <w:rPr>
                <w:rFonts w:eastAsia="Calibri"/>
                <w:sz w:val="20"/>
              </w:rPr>
              <w:t>2009 QCCS 1699</w:t>
            </w:r>
          </w:p>
          <w:p w:rsidR="004008A0" w:rsidRPr="00F24723" w:rsidRDefault="004008A0" w:rsidP="00936316">
            <w:pPr>
              <w:jc w:val="both"/>
              <w:rPr>
                <w:rFonts w:eastAsia="Calibri"/>
                <w:sz w:val="20"/>
              </w:rPr>
            </w:pP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Motion for declaratory judgment dismissed</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September 13, 2011</w:t>
            </w:r>
          </w:p>
          <w:p w:rsidR="004008A0" w:rsidRPr="00F24723" w:rsidRDefault="004008A0" w:rsidP="00936316">
            <w:pPr>
              <w:jc w:val="both"/>
              <w:rPr>
                <w:rFonts w:eastAsia="Calibri"/>
                <w:sz w:val="20"/>
              </w:rPr>
            </w:pPr>
            <w:r w:rsidRPr="00F24723">
              <w:rPr>
                <w:rFonts w:eastAsia="Calibri"/>
                <w:sz w:val="20"/>
              </w:rPr>
              <w:t>Quebec Court of Appeal (Montréal)</w:t>
            </w:r>
          </w:p>
          <w:p w:rsidR="004008A0" w:rsidRPr="00F24723" w:rsidRDefault="004008A0" w:rsidP="00936316">
            <w:pPr>
              <w:jc w:val="both"/>
              <w:rPr>
                <w:rFonts w:eastAsia="Calibri"/>
                <w:sz w:val="20"/>
              </w:rPr>
            </w:pPr>
            <w:r w:rsidRPr="00F24723">
              <w:rPr>
                <w:rFonts w:eastAsia="Calibri"/>
                <w:sz w:val="20"/>
              </w:rPr>
              <w:t>(Pelletier, Rochon and Dufresne JJ.A.)</w:t>
            </w:r>
          </w:p>
          <w:p w:rsidR="004008A0" w:rsidRPr="00F24723" w:rsidRDefault="004008A0" w:rsidP="00936316">
            <w:pPr>
              <w:jc w:val="both"/>
              <w:rPr>
                <w:rFonts w:eastAsia="Calibri"/>
                <w:sz w:val="20"/>
              </w:rPr>
            </w:pPr>
            <w:r w:rsidRPr="00F24723">
              <w:rPr>
                <w:rFonts w:eastAsia="Calibri"/>
                <w:sz w:val="20"/>
              </w:rPr>
              <w:t>- decision not indexed -</w:t>
            </w:r>
          </w:p>
          <w:p w:rsidR="004008A0" w:rsidRPr="00F24723" w:rsidRDefault="004008A0" w:rsidP="00936316">
            <w:pPr>
              <w:jc w:val="both"/>
              <w:rPr>
                <w:rFonts w:eastAsia="Calibri"/>
                <w:sz w:val="20"/>
              </w:rPr>
            </w:pP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Appeal dismissed</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November 10, 2011</w:t>
            </w:r>
          </w:p>
          <w:p w:rsidR="004008A0" w:rsidRPr="00F24723" w:rsidRDefault="004008A0" w:rsidP="00936316">
            <w:pPr>
              <w:jc w:val="both"/>
              <w:rPr>
                <w:rFonts w:eastAsia="Calibri"/>
                <w:sz w:val="20"/>
              </w:rPr>
            </w:pPr>
            <w:r w:rsidRPr="00F24723">
              <w:rPr>
                <w:rFonts w:eastAsia="Calibri"/>
                <w:sz w:val="20"/>
              </w:rPr>
              <w:t>Supreme Court of Canada</w:t>
            </w: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Application for leave to appeal filed</w:t>
            </w:r>
          </w:p>
          <w:p w:rsidR="004008A0" w:rsidRPr="00F24723" w:rsidRDefault="004008A0"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62" style="width:2in;height:1pt" o:hrpct="0" o:hralign="center" o:hrstd="t" o:hrnoshade="t" o:hr="t" fillcolor="black [3213]" stroked="f"/>
        </w:pict>
      </w:r>
    </w:p>
    <w:p w:rsidR="001823C0" w:rsidRDefault="001823C0" w:rsidP="001823C0">
      <w:pPr>
        <w:rPr>
          <w:sz w:val="20"/>
          <w:szCs w:val="20"/>
        </w:rPr>
      </w:pPr>
    </w:p>
    <w:p w:rsidR="00B22361" w:rsidRDefault="00B22361">
      <w:pPr>
        <w:rPr>
          <w:sz w:val="20"/>
          <w:szCs w:val="20"/>
          <w:u w:val="single"/>
          <w:lang w:val="fr-CA"/>
        </w:rPr>
      </w:pPr>
      <w:r>
        <w:rPr>
          <w:sz w:val="20"/>
          <w:szCs w:val="20"/>
          <w:u w:val="single"/>
          <w:lang w:val="fr-CA"/>
        </w:rPr>
        <w:br w:type="page"/>
      </w:r>
    </w:p>
    <w:p w:rsidR="001823C0" w:rsidRPr="001B157C" w:rsidRDefault="001823C0" w:rsidP="001823C0">
      <w:pPr>
        <w:rPr>
          <w:sz w:val="20"/>
          <w:szCs w:val="20"/>
          <w:u w:val="single"/>
          <w:lang w:val="fr-CA"/>
        </w:rPr>
      </w:pPr>
      <w:r w:rsidRPr="001B157C">
        <w:rPr>
          <w:sz w:val="20"/>
          <w:szCs w:val="20"/>
          <w:u w:val="single"/>
          <w:lang w:val="fr-CA"/>
        </w:rPr>
        <w:lastRenderedPageBreak/>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008A0" w:rsidRPr="00F24723" w:rsidTr="00936316">
        <w:tc>
          <w:tcPr>
            <w:tcW w:w="5000" w:type="pct"/>
            <w:gridSpan w:val="3"/>
          </w:tcPr>
          <w:p w:rsidR="004008A0" w:rsidRPr="00F24723" w:rsidRDefault="004008A0" w:rsidP="00936316">
            <w:pPr>
              <w:jc w:val="both"/>
              <w:rPr>
                <w:rFonts w:eastAsia="Calibri"/>
                <w:smallCaps/>
                <w:sz w:val="20"/>
                <w:lang w:val="fr-CA"/>
              </w:rPr>
            </w:pPr>
            <w:r w:rsidRPr="00F24723">
              <w:rPr>
                <w:rFonts w:eastAsia="Calibri"/>
                <w:sz w:val="20"/>
                <w:lang w:val="fr-CA"/>
              </w:rPr>
              <w:t>Droit constitutionnel – Charte canadienne – Représentation effective – Droit à l’égalité – Charte des droits et libertés de la personne – Discrimination – Droit de vote – Le choix du mode de scrutin est</w:t>
            </w:r>
            <w:r w:rsidRPr="00F24723">
              <w:rPr>
                <w:rFonts w:eastAsia="Calibri"/>
                <w:sz w:val="20"/>
                <w:lang w:val="fr-CA"/>
              </w:rPr>
              <w:noBreakHyphen/>
              <w:t xml:space="preserve">il une question de nature politique qui ressort exclusivement du législateur? – La </w:t>
            </w:r>
            <w:r w:rsidRPr="00F24723">
              <w:rPr>
                <w:rFonts w:eastAsia="Calibri"/>
                <w:i/>
                <w:sz w:val="20"/>
                <w:lang w:val="fr-CA"/>
              </w:rPr>
              <w:t>Loi électorale du Québec</w:t>
            </w:r>
            <w:r w:rsidRPr="00F24723">
              <w:rPr>
                <w:rFonts w:eastAsia="Calibri"/>
                <w:sz w:val="20"/>
                <w:lang w:val="fr-CA"/>
              </w:rPr>
              <w:t xml:space="preserve"> porte</w:t>
            </w:r>
            <w:r w:rsidRPr="00F24723">
              <w:rPr>
                <w:rFonts w:eastAsia="Calibri"/>
                <w:sz w:val="20"/>
                <w:lang w:val="fr-CA"/>
              </w:rPr>
              <w:noBreakHyphen/>
              <w:t>t</w:t>
            </w:r>
            <w:r w:rsidRPr="00F24723">
              <w:rPr>
                <w:rFonts w:eastAsia="Calibri"/>
                <w:sz w:val="20"/>
                <w:lang w:val="fr-CA"/>
              </w:rPr>
              <w:noBreakHyphen/>
              <w:t xml:space="preserve">elle atteinte au droit de vote ou au droit à l’égalité prévus par la </w:t>
            </w:r>
            <w:r w:rsidRPr="00F24723">
              <w:rPr>
                <w:rFonts w:eastAsia="Calibri"/>
                <w:i/>
                <w:sz w:val="20"/>
                <w:lang w:val="fr-CA"/>
              </w:rPr>
              <w:t xml:space="preserve">Charte canadienne </w:t>
            </w:r>
            <w:r w:rsidRPr="00F24723">
              <w:rPr>
                <w:rFonts w:eastAsia="Calibri"/>
                <w:sz w:val="20"/>
                <w:lang w:val="fr-CA"/>
              </w:rPr>
              <w:t xml:space="preserve">et la </w:t>
            </w:r>
            <w:r w:rsidRPr="00F24723">
              <w:rPr>
                <w:rFonts w:eastAsia="Calibri"/>
                <w:i/>
                <w:sz w:val="20"/>
                <w:lang w:val="fr-CA"/>
              </w:rPr>
              <w:t>Charte des droits et libertés de la personne</w:t>
            </w:r>
            <w:r w:rsidRPr="00F24723">
              <w:rPr>
                <w:rFonts w:eastAsia="Calibri"/>
                <w:sz w:val="20"/>
                <w:lang w:val="fr-CA"/>
              </w:rPr>
              <w:t>? – La violation est</w:t>
            </w:r>
            <w:r w:rsidRPr="00F24723">
              <w:rPr>
                <w:rFonts w:eastAsia="Calibri"/>
                <w:sz w:val="20"/>
                <w:lang w:val="fr-CA"/>
              </w:rPr>
              <w:noBreakHyphen/>
              <w:t xml:space="preserve">elle justifiée en vertu de l’article premier de la </w:t>
            </w:r>
            <w:r w:rsidRPr="00F24723">
              <w:rPr>
                <w:rFonts w:eastAsia="Calibri"/>
                <w:i/>
                <w:sz w:val="20"/>
                <w:lang w:val="fr-CA"/>
              </w:rPr>
              <w:t>Charte canadienne</w:t>
            </w:r>
            <w:r w:rsidRPr="00F24723">
              <w:rPr>
                <w:rFonts w:eastAsia="Calibri"/>
                <w:sz w:val="20"/>
                <w:lang w:val="fr-CA"/>
              </w:rPr>
              <w:t xml:space="preserve">? – </w:t>
            </w:r>
            <w:r w:rsidRPr="00F24723">
              <w:rPr>
                <w:rFonts w:eastAsia="Calibri"/>
                <w:i/>
                <w:sz w:val="20"/>
                <w:lang w:val="fr-CA"/>
              </w:rPr>
              <w:t>Charte canadienne des droits et libertés</w:t>
            </w:r>
            <w:r w:rsidRPr="00F24723">
              <w:rPr>
                <w:rFonts w:eastAsia="Calibri"/>
                <w:sz w:val="20"/>
                <w:lang w:val="fr-CA"/>
              </w:rPr>
              <w:t xml:space="preserve">, art. 3, 15 – </w:t>
            </w:r>
            <w:r w:rsidRPr="00F24723">
              <w:rPr>
                <w:rFonts w:eastAsia="Calibri"/>
                <w:i/>
                <w:sz w:val="20"/>
                <w:lang w:val="fr-CA"/>
              </w:rPr>
              <w:t>Charte des droits et libertés de la personne</w:t>
            </w:r>
            <w:r w:rsidRPr="00F24723">
              <w:rPr>
                <w:rFonts w:eastAsia="Calibri"/>
                <w:sz w:val="20"/>
                <w:lang w:val="fr-CA"/>
              </w:rPr>
              <w:t>, L.R.Q., ch. C</w:t>
            </w:r>
            <w:r w:rsidRPr="00F24723">
              <w:rPr>
                <w:rFonts w:eastAsia="Calibri"/>
                <w:sz w:val="20"/>
                <w:lang w:val="fr-CA"/>
              </w:rPr>
              <w:noBreakHyphen/>
              <w:t xml:space="preserve">12, art. 10 et 22 – </w:t>
            </w:r>
            <w:r w:rsidRPr="00F24723">
              <w:rPr>
                <w:rFonts w:eastAsia="Calibri"/>
                <w:i/>
                <w:sz w:val="20"/>
                <w:lang w:val="fr-CA"/>
              </w:rPr>
              <w:t>Loi électorale du Québec</w:t>
            </w:r>
            <w:r w:rsidRPr="00F24723">
              <w:rPr>
                <w:rFonts w:eastAsia="Calibri"/>
                <w:sz w:val="20"/>
                <w:lang w:val="fr-CA"/>
              </w:rPr>
              <w:t>, L.R.Q., ch. E</w:t>
            </w:r>
            <w:r w:rsidRPr="00F24723">
              <w:rPr>
                <w:rFonts w:eastAsia="Calibri"/>
                <w:sz w:val="20"/>
                <w:lang w:val="fr-CA"/>
              </w:rPr>
              <w:noBreakHyphen/>
              <w:t>3.3, art. 14, 15, 16, 17, 375, 377.</w:t>
            </w:r>
          </w:p>
        </w:tc>
      </w:tr>
      <w:tr w:rsidR="004008A0" w:rsidRPr="00F24723" w:rsidTr="00936316">
        <w:tc>
          <w:tcPr>
            <w:tcW w:w="5000" w:type="pct"/>
            <w:gridSpan w:val="3"/>
          </w:tcPr>
          <w:p w:rsidR="004008A0" w:rsidRPr="00F24723" w:rsidRDefault="004008A0" w:rsidP="00936316">
            <w:pPr>
              <w:jc w:val="both"/>
              <w:rPr>
                <w:rFonts w:eastAsia="Calibri"/>
                <w:sz w:val="20"/>
                <w:lang w:val="fr-CA"/>
              </w:rPr>
            </w:pPr>
          </w:p>
        </w:tc>
      </w:tr>
      <w:tr w:rsidR="004008A0" w:rsidRPr="00B36F35" w:rsidTr="00936316">
        <w:tc>
          <w:tcPr>
            <w:tcW w:w="5000" w:type="pct"/>
            <w:gridSpan w:val="3"/>
          </w:tcPr>
          <w:p w:rsidR="004008A0" w:rsidRPr="00F24723" w:rsidRDefault="004008A0" w:rsidP="00936316">
            <w:pPr>
              <w:jc w:val="both"/>
              <w:rPr>
                <w:rFonts w:eastAsia="Calibri"/>
                <w:sz w:val="20"/>
                <w:lang w:val="fr-CA"/>
              </w:rPr>
            </w:pPr>
            <w:r w:rsidRPr="00F24723">
              <w:rPr>
                <w:rFonts w:eastAsia="Calibri"/>
                <w:sz w:val="20"/>
                <w:lang w:val="fr-CA"/>
              </w:rPr>
              <w:t>Brian Gibb, François Soucy, Pierre Véronneau et Patrick Daoust, demandeurs, sont membres de l’</w:t>
            </w:r>
            <w:r w:rsidRPr="00F24723">
              <w:rPr>
                <w:rFonts w:eastAsia="Calibri"/>
                <w:i/>
                <w:sz w:val="20"/>
                <w:lang w:val="fr-CA"/>
              </w:rPr>
              <w:t>Association pour la Revendication des Droits démocratiques</w:t>
            </w:r>
            <w:r w:rsidRPr="00F24723">
              <w:rPr>
                <w:rFonts w:eastAsia="Calibri"/>
                <w:sz w:val="20"/>
                <w:lang w:val="fr-CA"/>
              </w:rPr>
              <w:t xml:space="preserve">. Ils prônent une réforme du mode de scrutin majoritaire uninominal à un tour en faveur d’un mode de scrutin qui favoriserait une représentation plus juste, selon leur point de vue, de tous les partis politiques à l’Assemblée nationale. Ils demandent à cette Cour de déclarer inopérants au motif d’inconstitutionnalité, les articles de la </w:t>
            </w:r>
            <w:r w:rsidRPr="00F24723">
              <w:rPr>
                <w:rFonts w:eastAsia="Calibri"/>
                <w:i/>
                <w:sz w:val="20"/>
                <w:lang w:val="fr-CA"/>
              </w:rPr>
              <w:t>Loi électorale du Québec</w:t>
            </w:r>
            <w:r w:rsidRPr="00F24723">
              <w:rPr>
                <w:rFonts w:eastAsia="Calibri"/>
                <w:sz w:val="20"/>
                <w:lang w:val="fr-CA"/>
              </w:rPr>
              <w:t xml:space="preserve"> qui imposent un mode de scrutin majoritaire uninominal à un tour, lequel contrevient, selon eux, aux art. 3 et 15 de la </w:t>
            </w:r>
            <w:r w:rsidRPr="00F24723">
              <w:rPr>
                <w:rFonts w:eastAsia="Calibri"/>
                <w:i/>
                <w:sz w:val="20"/>
                <w:lang w:val="fr-CA"/>
              </w:rPr>
              <w:t xml:space="preserve">Charte canadienne </w:t>
            </w:r>
            <w:r w:rsidRPr="00F24723">
              <w:rPr>
                <w:rFonts w:eastAsia="Calibri"/>
                <w:sz w:val="20"/>
                <w:lang w:val="fr-CA"/>
              </w:rPr>
              <w:t xml:space="preserve">et aux art. 10 et 22 de la </w:t>
            </w:r>
            <w:r w:rsidRPr="00F24723">
              <w:rPr>
                <w:rFonts w:eastAsia="Calibri"/>
                <w:i/>
                <w:sz w:val="20"/>
                <w:lang w:val="fr-CA"/>
              </w:rPr>
              <w:t>Charte des droits et libertés de la personne</w:t>
            </w:r>
            <w:r w:rsidRPr="00F24723">
              <w:rPr>
                <w:rFonts w:eastAsia="Calibri"/>
                <w:sz w:val="20"/>
                <w:lang w:val="fr-CA"/>
              </w:rPr>
              <w:t>.</w:t>
            </w:r>
          </w:p>
          <w:p w:rsidR="004008A0" w:rsidRPr="00F24723" w:rsidRDefault="004008A0" w:rsidP="00936316">
            <w:pPr>
              <w:jc w:val="both"/>
              <w:rPr>
                <w:rFonts w:eastAsia="Calibri"/>
                <w:sz w:val="20"/>
                <w:lang w:val="fr-CA"/>
              </w:rPr>
            </w:pPr>
          </w:p>
        </w:tc>
      </w:tr>
      <w:tr w:rsidR="004008A0" w:rsidRPr="00F24723" w:rsidTr="00936316">
        <w:tc>
          <w:tcPr>
            <w:tcW w:w="2427" w:type="pct"/>
          </w:tcPr>
          <w:p w:rsidR="004008A0" w:rsidRPr="00F24723" w:rsidRDefault="004008A0" w:rsidP="00936316">
            <w:pPr>
              <w:jc w:val="both"/>
              <w:rPr>
                <w:rFonts w:eastAsia="Calibri"/>
                <w:sz w:val="20"/>
                <w:lang w:val="fr-CA"/>
              </w:rPr>
            </w:pPr>
            <w:r w:rsidRPr="00F24723">
              <w:rPr>
                <w:rFonts w:eastAsia="Calibri"/>
                <w:sz w:val="20"/>
                <w:lang w:val="fr-CA"/>
              </w:rPr>
              <w:t>26 février 2009</w:t>
            </w:r>
          </w:p>
          <w:p w:rsidR="004008A0" w:rsidRPr="00F24723" w:rsidRDefault="004008A0" w:rsidP="00936316">
            <w:pPr>
              <w:jc w:val="both"/>
              <w:rPr>
                <w:rFonts w:eastAsia="Calibri"/>
                <w:sz w:val="20"/>
                <w:lang w:val="fr-CA"/>
              </w:rPr>
            </w:pPr>
            <w:r w:rsidRPr="00F24723">
              <w:rPr>
                <w:rFonts w:eastAsia="Calibri"/>
                <w:sz w:val="20"/>
                <w:lang w:val="fr-CA"/>
              </w:rPr>
              <w:t>Cour supérieure</w:t>
            </w:r>
          </w:p>
          <w:p w:rsidR="004008A0" w:rsidRPr="00F24723" w:rsidRDefault="004008A0" w:rsidP="00936316">
            <w:pPr>
              <w:jc w:val="both"/>
              <w:rPr>
                <w:rFonts w:eastAsia="Calibri"/>
                <w:sz w:val="20"/>
                <w:lang w:val="fr-CA"/>
              </w:rPr>
            </w:pPr>
            <w:r w:rsidRPr="00F24723">
              <w:rPr>
                <w:rFonts w:eastAsia="Calibri"/>
                <w:sz w:val="20"/>
                <w:lang w:val="fr-CA"/>
              </w:rPr>
              <w:t>(Le juge Lefebvre)</w:t>
            </w:r>
          </w:p>
          <w:p w:rsidR="004008A0" w:rsidRPr="00F24723" w:rsidRDefault="004008A0" w:rsidP="00936316">
            <w:pPr>
              <w:jc w:val="both"/>
              <w:rPr>
                <w:rFonts w:eastAsia="Calibri"/>
                <w:sz w:val="20"/>
                <w:lang w:val="fr-CA"/>
              </w:rPr>
            </w:pPr>
            <w:r w:rsidRPr="00F24723">
              <w:rPr>
                <w:rFonts w:eastAsia="Calibri"/>
                <w:sz w:val="20"/>
                <w:lang w:val="fr-CA"/>
              </w:rPr>
              <w:t>2009 QCCS 1699</w:t>
            </w:r>
          </w:p>
          <w:p w:rsidR="004008A0" w:rsidRPr="00F24723" w:rsidRDefault="004008A0" w:rsidP="00936316">
            <w:pPr>
              <w:jc w:val="both"/>
              <w:rPr>
                <w:rFonts w:eastAsia="Calibri"/>
                <w:sz w:val="20"/>
                <w:lang w:val="fr-CA"/>
              </w:rPr>
            </w:pPr>
          </w:p>
        </w:tc>
        <w:tc>
          <w:tcPr>
            <w:tcW w:w="243" w:type="pct"/>
          </w:tcPr>
          <w:p w:rsidR="004008A0" w:rsidRPr="00F24723" w:rsidRDefault="004008A0" w:rsidP="00936316">
            <w:pPr>
              <w:jc w:val="both"/>
              <w:rPr>
                <w:rFonts w:eastAsia="Calibri"/>
                <w:sz w:val="20"/>
                <w:lang w:val="fr-CA"/>
              </w:rPr>
            </w:pPr>
          </w:p>
        </w:tc>
        <w:tc>
          <w:tcPr>
            <w:tcW w:w="2330" w:type="pct"/>
          </w:tcPr>
          <w:p w:rsidR="004008A0" w:rsidRPr="00F24723" w:rsidRDefault="004008A0" w:rsidP="00936316">
            <w:pPr>
              <w:jc w:val="both"/>
              <w:rPr>
                <w:rFonts w:eastAsia="Calibri"/>
                <w:sz w:val="20"/>
                <w:lang w:val="fr-CA"/>
              </w:rPr>
            </w:pPr>
            <w:r w:rsidRPr="00F24723">
              <w:rPr>
                <w:rFonts w:eastAsia="Calibri"/>
                <w:sz w:val="20"/>
                <w:lang w:val="fr-CA"/>
              </w:rPr>
              <w:t>Requête en jugement déclaratoire rejetée</w:t>
            </w:r>
          </w:p>
          <w:p w:rsidR="004008A0" w:rsidRPr="00F24723" w:rsidRDefault="004008A0" w:rsidP="00936316">
            <w:pPr>
              <w:jc w:val="both"/>
              <w:rPr>
                <w:rFonts w:eastAsia="Calibri"/>
                <w:sz w:val="20"/>
                <w:lang w:val="fr-CA"/>
              </w:rPr>
            </w:pPr>
          </w:p>
        </w:tc>
      </w:tr>
      <w:tr w:rsidR="004008A0" w:rsidRPr="00F24723" w:rsidTr="00936316">
        <w:tc>
          <w:tcPr>
            <w:tcW w:w="2427" w:type="pct"/>
          </w:tcPr>
          <w:p w:rsidR="004008A0" w:rsidRPr="00F24723" w:rsidRDefault="004008A0" w:rsidP="00936316">
            <w:pPr>
              <w:jc w:val="both"/>
              <w:rPr>
                <w:rFonts w:eastAsia="Calibri"/>
                <w:sz w:val="20"/>
                <w:lang w:val="fr-CA"/>
              </w:rPr>
            </w:pPr>
            <w:r w:rsidRPr="00F24723">
              <w:rPr>
                <w:rFonts w:eastAsia="Calibri"/>
                <w:sz w:val="20"/>
                <w:lang w:val="fr-CA"/>
              </w:rPr>
              <w:t>13 septembre 2011</w:t>
            </w:r>
          </w:p>
          <w:p w:rsidR="004008A0" w:rsidRPr="00F24723" w:rsidRDefault="004008A0" w:rsidP="00936316">
            <w:pPr>
              <w:jc w:val="both"/>
              <w:rPr>
                <w:rFonts w:eastAsia="Calibri"/>
                <w:sz w:val="20"/>
                <w:lang w:val="fr-CA"/>
              </w:rPr>
            </w:pPr>
            <w:r w:rsidRPr="00F24723">
              <w:rPr>
                <w:rFonts w:eastAsia="Calibri"/>
                <w:sz w:val="20"/>
                <w:lang w:val="fr-CA"/>
              </w:rPr>
              <w:t>Cour d’appel du Québec (Montréal)</w:t>
            </w:r>
          </w:p>
          <w:p w:rsidR="004008A0" w:rsidRPr="00F24723" w:rsidRDefault="004008A0" w:rsidP="00936316">
            <w:pPr>
              <w:jc w:val="both"/>
              <w:rPr>
                <w:rFonts w:eastAsia="Calibri"/>
                <w:sz w:val="20"/>
                <w:lang w:val="fr-CA"/>
              </w:rPr>
            </w:pPr>
            <w:r w:rsidRPr="00F24723">
              <w:rPr>
                <w:rFonts w:eastAsia="Calibri"/>
                <w:sz w:val="20"/>
                <w:lang w:val="fr-CA"/>
              </w:rPr>
              <w:t>(Les juges Pelletier, Rochon et Dufresne)</w:t>
            </w:r>
          </w:p>
          <w:p w:rsidR="004008A0" w:rsidRPr="00F24723" w:rsidRDefault="004008A0" w:rsidP="00936316">
            <w:pPr>
              <w:jc w:val="both"/>
              <w:rPr>
                <w:rFonts w:eastAsia="Calibri"/>
                <w:sz w:val="20"/>
                <w:lang w:val="fr-CA"/>
              </w:rPr>
            </w:pPr>
            <w:r w:rsidRPr="00F24723">
              <w:rPr>
                <w:rFonts w:eastAsia="Calibri"/>
                <w:sz w:val="20"/>
                <w:lang w:val="fr-CA"/>
              </w:rPr>
              <w:noBreakHyphen/>
              <w:t xml:space="preserve"> décision non</w:t>
            </w:r>
            <w:r w:rsidRPr="00F24723">
              <w:rPr>
                <w:rFonts w:eastAsia="Calibri"/>
                <w:sz w:val="20"/>
                <w:lang w:val="fr-CA"/>
              </w:rPr>
              <w:noBreakHyphen/>
              <w:t xml:space="preserve">répertoriée </w:t>
            </w:r>
            <w:r w:rsidRPr="00F24723">
              <w:rPr>
                <w:rFonts w:eastAsia="Calibri"/>
                <w:sz w:val="20"/>
                <w:lang w:val="fr-CA"/>
              </w:rPr>
              <w:noBreakHyphen/>
            </w:r>
          </w:p>
          <w:p w:rsidR="004008A0" w:rsidRPr="00F24723" w:rsidRDefault="004008A0" w:rsidP="00936316">
            <w:pPr>
              <w:jc w:val="both"/>
              <w:rPr>
                <w:rFonts w:eastAsia="Calibri"/>
                <w:sz w:val="20"/>
                <w:lang w:val="fr-CA"/>
              </w:rPr>
            </w:pPr>
          </w:p>
        </w:tc>
        <w:tc>
          <w:tcPr>
            <w:tcW w:w="243" w:type="pct"/>
          </w:tcPr>
          <w:p w:rsidR="004008A0" w:rsidRPr="00F24723" w:rsidRDefault="004008A0" w:rsidP="00936316">
            <w:pPr>
              <w:jc w:val="both"/>
              <w:rPr>
                <w:rFonts w:eastAsia="Calibri"/>
                <w:sz w:val="20"/>
                <w:lang w:val="fr-CA"/>
              </w:rPr>
            </w:pPr>
          </w:p>
        </w:tc>
        <w:tc>
          <w:tcPr>
            <w:tcW w:w="2330" w:type="pct"/>
          </w:tcPr>
          <w:p w:rsidR="004008A0" w:rsidRPr="00F24723" w:rsidRDefault="004008A0" w:rsidP="00936316">
            <w:pPr>
              <w:jc w:val="both"/>
              <w:rPr>
                <w:rFonts w:eastAsia="Calibri"/>
                <w:sz w:val="20"/>
              </w:rPr>
            </w:pPr>
            <w:r w:rsidRPr="00F24723">
              <w:rPr>
                <w:rFonts w:eastAsia="Calibri"/>
                <w:sz w:val="20"/>
                <w:lang w:val="fr-CA"/>
              </w:rPr>
              <w:t>Appel rejeté</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lang w:val="fr-CA"/>
              </w:rPr>
            </w:pPr>
            <w:r w:rsidRPr="00F24723">
              <w:rPr>
                <w:rFonts w:eastAsia="Calibri"/>
                <w:sz w:val="20"/>
                <w:lang w:val="fr-CA"/>
              </w:rPr>
              <w:t>10 novembre 2011</w:t>
            </w:r>
          </w:p>
          <w:p w:rsidR="004008A0" w:rsidRPr="00F24723" w:rsidRDefault="004008A0" w:rsidP="00936316">
            <w:pPr>
              <w:jc w:val="both"/>
              <w:rPr>
                <w:rFonts w:eastAsia="Calibri"/>
                <w:sz w:val="20"/>
                <w:lang w:val="fr-CA"/>
              </w:rPr>
            </w:pPr>
            <w:r w:rsidRPr="00F24723">
              <w:rPr>
                <w:rFonts w:eastAsia="Calibri"/>
                <w:sz w:val="20"/>
                <w:lang w:val="fr-CA"/>
              </w:rPr>
              <w:t>Cour suprême du Canada</w:t>
            </w:r>
          </w:p>
        </w:tc>
        <w:tc>
          <w:tcPr>
            <w:tcW w:w="243" w:type="pct"/>
          </w:tcPr>
          <w:p w:rsidR="004008A0" w:rsidRPr="00F24723" w:rsidRDefault="004008A0" w:rsidP="00936316">
            <w:pPr>
              <w:jc w:val="both"/>
              <w:rPr>
                <w:rFonts w:eastAsia="Calibri"/>
                <w:sz w:val="20"/>
                <w:lang w:val="fr-CA"/>
              </w:rPr>
            </w:pPr>
          </w:p>
        </w:tc>
        <w:tc>
          <w:tcPr>
            <w:tcW w:w="2330" w:type="pct"/>
          </w:tcPr>
          <w:p w:rsidR="004008A0" w:rsidRPr="00F24723" w:rsidRDefault="004008A0" w:rsidP="00936316">
            <w:pPr>
              <w:jc w:val="both"/>
              <w:rPr>
                <w:rFonts w:eastAsia="Calibri"/>
                <w:sz w:val="20"/>
              </w:rPr>
            </w:pPr>
            <w:r w:rsidRPr="00F24723">
              <w:rPr>
                <w:rFonts w:eastAsia="Calibri"/>
                <w:sz w:val="20"/>
              </w:rPr>
              <w:t>Demande d’autorisation d’appel déposée</w:t>
            </w:r>
          </w:p>
          <w:p w:rsidR="004008A0" w:rsidRPr="00F24723" w:rsidRDefault="004008A0" w:rsidP="00936316">
            <w:pPr>
              <w:jc w:val="both"/>
              <w:rPr>
                <w:rFonts w:eastAsia="Calibri"/>
                <w:sz w:val="20"/>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63"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028E" w:rsidRPr="00E6028E" w:rsidTr="008B3BEA">
        <w:trPr>
          <w:cantSplit/>
        </w:trPr>
        <w:tc>
          <w:tcPr>
            <w:tcW w:w="1458" w:type="dxa"/>
          </w:tcPr>
          <w:p w:rsidR="00E6028E" w:rsidRPr="00E6028E" w:rsidRDefault="00E6028E" w:rsidP="008B3BEA">
            <w:pPr>
              <w:rPr>
                <w:sz w:val="20"/>
                <w:szCs w:val="20"/>
              </w:rPr>
            </w:pPr>
            <w:r w:rsidRPr="00E6028E">
              <w:rPr>
                <w:rStyle w:val="SCCFileNumberChar"/>
                <w:sz w:val="20"/>
                <w:szCs w:val="20"/>
              </w:rPr>
              <w:t>34542</w:t>
            </w:r>
          </w:p>
          <w:p w:rsidR="00E6028E" w:rsidRPr="00E6028E" w:rsidRDefault="00E6028E" w:rsidP="008B3BEA">
            <w:pPr>
              <w:rPr>
                <w:b/>
                <w:sz w:val="20"/>
                <w:szCs w:val="20"/>
                <w:lang w:val="fr-CA"/>
              </w:rPr>
            </w:pPr>
          </w:p>
        </w:tc>
        <w:tc>
          <w:tcPr>
            <w:tcW w:w="8118" w:type="dxa"/>
          </w:tcPr>
          <w:p w:rsidR="00E6028E" w:rsidRPr="00E6028E" w:rsidRDefault="00E6028E" w:rsidP="008B3BEA">
            <w:pPr>
              <w:jc w:val="both"/>
              <w:rPr>
                <w:sz w:val="20"/>
                <w:szCs w:val="20"/>
              </w:rPr>
            </w:pPr>
            <w:r w:rsidRPr="00E6028E">
              <w:rPr>
                <w:rStyle w:val="SCCLsocChar"/>
                <w:sz w:val="20"/>
                <w:szCs w:val="20"/>
                <w:lang w:val="en-CA"/>
              </w:rPr>
              <w:t>Terry Tremaine v. Canadian Human Rights Commission</w:t>
            </w:r>
            <w:r>
              <w:rPr>
                <w:rStyle w:val="SCCLsocChar"/>
                <w:sz w:val="20"/>
                <w:szCs w:val="20"/>
                <w:lang w:val="en-CA"/>
              </w:rPr>
              <w:t xml:space="preserve"> and</w:t>
            </w:r>
            <w:r w:rsidRPr="00E6028E">
              <w:rPr>
                <w:rStyle w:val="SCCLsocChar"/>
                <w:sz w:val="20"/>
                <w:szCs w:val="20"/>
                <w:lang w:val="en-CA"/>
              </w:rPr>
              <w:t xml:space="preserve"> Richard Warman</w:t>
            </w:r>
            <w:r w:rsidRPr="00E6028E">
              <w:rPr>
                <w:sz w:val="20"/>
                <w:szCs w:val="20"/>
              </w:rPr>
              <w:t xml:space="preserve"> (F.C.) (Civil) (By Leave)</w:t>
            </w:r>
          </w:p>
          <w:p w:rsidR="00E6028E" w:rsidRPr="00E6028E" w:rsidRDefault="00E6028E" w:rsidP="008B3BEA">
            <w:pPr>
              <w:rPr>
                <w:sz w:val="20"/>
                <w:szCs w:val="20"/>
              </w:rPr>
            </w:pPr>
          </w:p>
        </w:tc>
      </w:tr>
      <w:tr w:rsidR="00E6028E" w:rsidRPr="00E6028E" w:rsidTr="008B3BEA">
        <w:trPr>
          <w:cantSplit/>
        </w:trPr>
        <w:tc>
          <w:tcPr>
            <w:tcW w:w="1458" w:type="dxa"/>
          </w:tcPr>
          <w:p w:rsidR="00E6028E" w:rsidRPr="00E6028E" w:rsidRDefault="00E6028E" w:rsidP="008B3BEA">
            <w:pPr>
              <w:rPr>
                <w:sz w:val="20"/>
                <w:szCs w:val="20"/>
              </w:rPr>
            </w:pPr>
            <w:r w:rsidRPr="00E6028E">
              <w:rPr>
                <w:sz w:val="20"/>
                <w:szCs w:val="20"/>
              </w:rPr>
              <w:t>Coram :</w:t>
            </w:r>
          </w:p>
        </w:tc>
        <w:tc>
          <w:tcPr>
            <w:tcW w:w="8118" w:type="dxa"/>
          </w:tcPr>
          <w:p w:rsidR="00E6028E" w:rsidRPr="00E6028E" w:rsidRDefault="00E6028E" w:rsidP="008B3BEA">
            <w:pPr>
              <w:rPr>
                <w:sz w:val="20"/>
                <w:szCs w:val="20"/>
              </w:rPr>
            </w:pPr>
            <w:r w:rsidRPr="00E6028E">
              <w:rPr>
                <w:rStyle w:val="SCCCoramChar"/>
                <w:sz w:val="20"/>
                <w:szCs w:val="20"/>
                <w:lang w:val="en-CA"/>
              </w:rPr>
              <w:t>McLachlin C.J. and Rothstein and Moldaver JJ.</w:t>
            </w:r>
          </w:p>
          <w:p w:rsidR="00E6028E" w:rsidRPr="00E6028E" w:rsidRDefault="00E6028E" w:rsidP="008B3BEA">
            <w:pPr>
              <w:rPr>
                <w:sz w:val="20"/>
                <w:szCs w:val="20"/>
                <w:u w:val="single"/>
              </w:rPr>
            </w:pPr>
          </w:p>
        </w:tc>
      </w:tr>
      <w:tr w:rsidR="00E6028E" w:rsidRPr="00B36F35" w:rsidTr="008B3BEA">
        <w:trPr>
          <w:cantSplit/>
        </w:trPr>
        <w:tc>
          <w:tcPr>
            <w:tcW w:w="9576" w:type="dxa"/>
            <w:gridSpan w:val="2"/>
          </w:tcPr>
          <w:p w:rsidR="00E6028E" w:rsidRPr="00E6028E" w:rsidRDefault="00E6028E" w:rsidP="008B3BEA">
            <w:pPr>
              <w:pStyle w:val="SCCShortJudgment"/>
              <w:rPr>
                <w:szCs w:val="20"/>
              </w:rPr>
            </w:pPr>
            <w:r w:rsidRPr="00E6028E">
              <w:rPr>
                <w:szCs w:val="20"/>
              </w:rPr>
              <w:t>The motion for a stay of execution is dismissed with costs. The application for leave to appeal from the judgment of the Federal Court of Appeal, Number A-468-10, 2011 FCA 297, dated October 26, 2011, is dismissed with costs.</w:t>
            </w:r>
          </w:p>
          <w:p w:rsidR="00E6028E" w:rsidRPr="00E6028E" w:rsidRDefault="00E6028E" w:rsidP="008B3BEA">
            <w:pPr>
              <w:pStyle w:val="SCCShortJudgment"/>
              <w:ind w:firstLine="0"/>
              <w:rPr>
                <w:szCs w:val="20"/>
              </w:rPr>
            </w:pPr>
          </w:p>
          <w:p w:rsidR="00E6028E" w:rsidRPr="00E6028E" w:rsidRDefault="00E6028E" w:rsidP="008B3BEA">
            <w:pPr>
              <w:pStyle w:val="SCCShortJudgment"/>
              <w:rPr>
                <w:szCs w:val="20"/>
                <w:lang w:val="fr-CA"/>
              </w:rPr>
            </w:pPr>
            <w:r w:rsidRPr="00E6028E">
              <w:rPr>
                <w:szCs w:val="20"/>
                <w:lang w:val="fr-CA"/>
              </w:rPr>
              <w:t>La requête visant à obtenir un sursis d’exécution est rejetée avec dépens.  La demande d’autorisation d’appel de l’arrêt de la Cour d’appel fédérale, numéro A-468-10, 2011 CAF 297, daté du 26 octobre 2011, est rejetée avec dépens.</w:t>
            </w:r>
          </w:p>
        </w:tc>
      </w:tr>
    </w:tbl>
    <w:p w:rsidR="001823C0" w:rsidRPr="00E6028E"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008A0" w:rsidRPr="00F24723" w:rsidTr="00936316">
        <w:tc>
          <w:tcPr>
            <w:tcW w:w="5000" w:type="pct"/>
            <w:gridSpan w:val="3"/>
          </w:tcPr>
          <w:p w:rsidR="004008A0" w:rsidRPr="00F24723" w:rsidRDefault="004008A0" w:rsidP="00936316">
            <w:pPr>
              <w:jc w:val="both"/>
              <w:rPr>
                <w:rFonts w:eastAsia="Calibri"/>
                <w:sz w:val="20"/>
              </w:rPr>
            </w:pPr>
            <w:r w:rsidRPr="00F24723">
              <w:rPr>
                <w:rFonts w:eastAsia="Calibri"/>
                <w:sz w:val="20"/>
              </w:rPr>
              <w:t xml:space="preserve">Courts – Enforcement of orders – Contempt of court – Orders of boards and tribunals – Whether applicant required notice of the court order of which he was found in contempt – Whether order in question was clear and unambiguous – </w:t>
            </w:r>
            <w:r w:rsidRPr="00F24723">
              <w:rPr>
                <w:rFonts w:eastAsia="Calibri"/>
                <w:sz w:val="20"/>
              </w:rPr>
              <w:lastRenderedPageBreak/>
              <w:t>Whether applicant “communicated” in violation of the cease and desist order – Whether applicant was unable to comply with the order due to bail conditions.</w:t>
            </w:r>
          </w:p>
        </w:tc>
      </w:tr>
      <w:tr w:rsidR="004008A0" w:rsidRPr="00F24723" w:rsidTr="00936316">
        <w:tc>
          <w:tcPr>
            <w:tcW w:w="5000" w:type="pct"/>
            <w:gridSpan w:val="3"/>
          </w:tcPr>
          <w:p w:rsidR="004008A0" w:rsidRPr="00F24723" w:rsidRDefault="004008A0" w:rsidP="00936316">
            <w:pPr>
              <w:jc w:val="both"/>
              <w:rPr>
                <w:rFonts w:eastAsia="Calibri"/>
                <w:sz w:val="20"/>
              </w:rPr>
            </w:pPr>
          </w:p>
        </w:tc>
      </w:tr>
      <w:tr w:rsidR="004008A0" w:rsidRPr="00F24723" w:rsidTr="00936316">
        <w:tc>
          <w:tcPr>
            <w:tcW w:w="5000" w:type="pct"/>
            <w:gridSpan w:val="3"/>
          </w:tcPr>
          <w:p w:rsidR="004008A0" w:rsidRPr="00F24723" w:rsidRDefault="004008A0" w:rsidP="00936316">
            <w:pPr>
              <w:jc w:val="both"/>
              <w:rPr>
                <w:rFonts w:eastAsia="Calibri"/>
                <w:sz w:val="20"/>
              </w:rPr>
            </w:pPr>
            <w:r w:rsidRPr="00F24723">
              <w:rPr>
                <w:rFonts w:eastAsia="Calibri"/>
                <w:sz w:val="20"/>
              </w:rPr>
              <w:t xml:space="preserve">On February 2, 2007, the Canadian Human Rights Tribunal concluded that white supremacist and neo-Nazi messages posted on the Internet by the applicant constituted discrimination under s. 13(1) of the </w:t>
            </w:r>
            <w:r w:rsidRPr="00F24723">
              <w:rPr>
                <w:rFonts w:eastAsia="Calibri"/>
                <w:i/>
                <w:sz w:val="20"/>
              </w:rPr>
              <w:t>Canadian Human Rights Act</w:t>
            </w:r>
            <w:r w:rsidRPr="00F24723">
              <w:rPr>
                <w:rFonts w:eastAsia="Calibri"/>
                <w:sz w:val="20"/>
              </w:rPr>
              <w:t xml:space="preserve">, R.S.C. 1985, c. H-6.  It issued a cease-and-desist order and fined the applicant.  Without notice to the applicant, the Canadian Human Rights Commission filed a copy of the Tribunal’s order with the Federal Court Registry pursuant to s. 57 of the </w:t>
            </w:r>
            <w:r w:rsidRPr="00F24723">
              <w:rPr>
                <w:rFonts w:eastAsia="Calibri"/>
                <w:i/>
                <w:sz w:val="20"/>
              </w:rPr>
              <w:t>Canadian Human Rights Act</w:t>
            </w:r>
            <w:r w:rsidRPr="00F24723">
              <w:rPr>
                <w:rFonts w:eastAsia="Calibri"/>
                <w:sz w:val="20"/>
              </w:rPr>
              <w:t xml:space="preserve">.  After the Tribunal issued its order, many of the messages remained on the Internet and a number of additional messages were posted.  In March 2009, the Commission moved for a show cause order pursuant to the </w:t>
            </w:r>
            <w:r w:rsidRPr="00F24723">
              <w:rPr>
                <w:rFonts w:eastAsia="Calibri"/>
                <w:i/>
                <w:sz w:val="20"/>
              </w:rPr>
              <w:t>Federal Courts Rules</w:t>
            </w:r>
            <w:r w:rsidRPr="00F24723">
              <w:rPr>
                <w:rFonts w:eastAsia="Calibri"/>
                <w:sz w:val="20"/>
              </w:rPr>
              <w:t>, S.O.R./98-106,</w:t>
            </w:r>
            <w:r w:rsidRPr="00F24723">
              <w:rPr>
                <w:rFonts w:eastAsia="Calibri"/>
                <w:color w:val="000000"/>
                <w:sz w:val="20"/>
              </w:rPr>
              <w:t xml:space="preserve"> </w:t>
            </w:r>
            <w:r w:rsidRPr="00F24723">
              <w:rPr>
                <w:rFonts w:eastAsia="Calibri"/>
                <w:sz w:val="20"/>
              </w:rPr>
              <w:t>seeking to have the applicant held in contempt.</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November 29, 2010</w:t>
            </w:r>
          </w:p>
          <w:p w:rsidR="004008A0" w:rsidRPr="00F24723" w:rsidRDefault="004008A0" w:rsidP="00936316">
            <w:pPr>
              <w:jc w:val="both"/>
              <w:rPr>
                <w:rFonts w:eastAsia="Calibri"/>
                <w:sz w:val="20"/>
              </w:rPr>
            </w:pPr>
            <w:r w:rsidRPr="00F24723">
              <w:rPr>
                <w:rFonts w:eastAsia="Calibri"/>
                <w:sz w:val="20"/>
              </w:rPr>
              <w:t>Federal Court</w:t>
            </w:r>
          </w:p>
          <w:p w:rsidR="004008A0" w:rsidRPr="00F24723" w:rsidRDefault="004008A0" w:rsidP="00936316">
            <w:pPr>
              <w:jc w:val="both"/>
              <w:rPr>
                <w:rFonts w:eastAsia="Calibri"/>
                <w:sz w:val="20"/>
              </w:rPr>
            </w:pPr>
            <w:r w:rsidRPr="00F24723">
              <w:rPr>
                <w:rFonts w:eastAsia="Calibri"/>
                <w:sz w:val="20"/>
              </w:rPr>
              <w:t>(Harrington  J.)</w:t>
            </w:r>
          </w:p>
          <w:p w:rsidR="004008A0" w:rsidRPr="00F24723" w:rsidRDefault="004008A0" w:rsidP="00936316">
            <w:pPr>
              <w:jc w:val="both"/>
              <w:rPr>
                <w:rFonts w:eastAsia="Calibri"/>
                <w:sz w:val="20"/>
              </w:rPr>
            </w:pPr>
            <w:r w:rsidRPr="00F24723">
              <w:rPr>
                <w:rFonts w:eastAsia="Calibri"/>
                <w:sz w:val="20"/>
              </w:rPr>
              <w:t>2010 FC 1198</w:t>
            </w:r>
          </w:p>
          <w:p w:rsidR="004008A0" w:rsidRPr="00F24723" w:rsidRDefault="004008A0" w:rsidP="00936316">
            <w:pPr>
              <w:jc w:val="both"/>
              <w:rPr>
                <w:rFonts w:eastAsia="Calibri"/>
                <w:sz w:val="20"/>
              </w:rPr>
            </w:pP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Motion to find applicant in contempt dismissed</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October 26, 2011</w:t>
            </w:r>
          </w:p>
          <w:p w:rsidR="004008A0" w:rsidRPr="00F24723" w:rsidRDefault="004008A0" w:rsidP="00936316">
            <w:pPr>
              <w:jc w:val="both"/>
              <w:rPr>
                <w:rFonts w:eastAsia="Calibri"/>
                <w:sz w:val="20"/>
              </w:rPr>
            </w:pPr>
            <w:r w:rsidRPr="00F24723">
              <w:rPr>
                <w:rFonts w:eastAsia="Calibri"/>
                <w:sz w:val="20"/>
              </w:rPr>
              <w:t>Federal Court of Appeal</w:t>
            </w:r>
          </w:p>
          <w:p w:rsidR="004008A0" w:rsidRPr="00F24723" w:rsidRDefault="004008A0" w:rsidP="00936316">
            <w:pPr>
              <w:jc w:val="both"/>
              <w:rPr>
                <w:rFonts w:eastAsia="Calibri"/>
                <w:sz w:val="20"/>
              </w:rPr>
            </w:pPr>
            <w:r w:rsidRPr="00F24723">
              <w:rPr>
                <w:rFonts w:eastAsia="Calibri"/>
                <w:sz w:val="20"/>
              </w:rPr>
              <w:t>(Noël, Pelletier [dissenting], Dawson JJ.A.)</w:t>
            </w:r>
          </w:p>
          <w:p w:rsidR="004008A0" w:rsidRPr="00F24723" w:rsidRDefault="004008A0" w:rsidP="00936316">
            <w:pPr>
              <w:jc w:val="both"/>
              <w:rPr>
                <w:rFonts w:eastAsia="Calibri"/>
                <w:sz w:val="20"/>
              </w:rPr>
            </w:pPr>
            <w:r w:rsidRPr="00F24723">
              <w:rPr>
                <w:rFonts w:eastAsia="Calibri"/>
                <w:sz w:val="20"/>
              </w:rPr>
              <w:t>2011 FCA 297, A-468-10</w:t>
            </w:r>
          </w:p>
          <w:p w:rsidR="004008A0" w:rsidRPr="00F24723" w:rsidRDefault="004008A0" w:rsidP="00936316">
            <w:pPr>
              <w:jc w:val="both"/>
              <w:rPr>
                <w:rFonts w:eastAsia="Calibri"/>
                <w:sz w:val="20"/>
              </w:rPr>
            </w:pP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Appeal allowed, applicant found in contempt; Matter remitted to Federal Court, Trial Division for sentencing</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November 23, 2011</w:t>
            </w:r>
          </w:p>
          <w:p w:rsidR="004008A0" w:rsidRPr="00F24723" w:rsidRDefault="004008A0" w:rsidP="00936316">
            <w:pPr>
              <w:jc w:val="both"/>
              <w:rPr>
                <w:rFonts w:eastAsia="Calibri"/>
                <w:sz w:val="20"/>
              </w:rPr>
            </w:pPr>
            <w:r w:rsidRPr="00F24723">
              <w:rPr>
                <w:rFonts w:eastAsia="Calibri"/>
                <w:sz w:val="20"/>
              </w:rPr>
              <w:t>Supreme Court of Canada</w:t>
            </w:r>
          </w:p>
          <w:p w:rsidR="004008A0" w:rsidRPr="00F24723" w:rsidRDefault="004008A0" w:rsidP="00936316">
            <w:pPr>
              <w:jc w:val="both"/>
              <w:rPr>
                <w:rFonts w:eastAsia="Calibri"/>
                <w:sz w:val="20"/>
              </w:rPr>
            </w:pP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Application for leave to appeal filed</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January 17, 2012</w:t>
            </w:r>
          </w:p>
          <w:p w:rsidR="004008A0" w:rsidRPr="00F24723" w:rsidRDefault="004008A0" w:rsidP="00936316">
            <w:pPr>
              <w:jc w:val="both"/>
              <w:rPr>
                <w:rFonts w:eastAsia="Calibri"/>
                <w:sz w:val="20"/>
              </w:rPr>
            </w:pPr>
            <w:r w:rsidRPr="00F24723">
              <w:rPr>
                <w:rFonts w:eastAsia="Calibri"/>
                <w:sz w:val="20"/>
              </w:rPr>
              <w:t>Supreme Court of Canada</w:t>
            </w: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Application for stay of execution filed</w:t>
            </w:r>
          </w:p>
          <w:p w:rsidR="004008A0" w:rsidRPr="00F24723" w:rsidRDefault="004008A0"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64"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008A0" w:rsidRPr="00B36F35" w:rsidTr="00936316">
        <w:tc>
          <w:tcPr>
            <w:tcW w:w="5000" w:type="pct"/>
            <w:gridSpan w:val="3"/>
          </w:tcPr>
          <w:p w:rsidR="004008A0" w:rsidRPr="00F24723" w:rsidRDefault="004008A0" w:rsidP="00936316">
            <w:pPr>
              <w:jc w:val="both"/>
              <w:rPr>
                <w:rFonts w:eastAsia="Calibri"/>
                <w:sz w:val="20"/>
                <w:lang w:val="fr-CA"/>
              </w:rPr>
            </w:pPr>
            <w:r w:rsidRPr="00F24723">
              <w:rPr>
                <w:rFonts w:eastAsia="Calibri"/>
                <w:sz w:val="20"/>
                <w:lang w:val="fr-CA"/>
              </w:rPr>
              <w:t>Tribunaux – Exécution forcée des ordonnances – Outrage au tribunal – Ordonnances d'organismes et de tribunaux administratifs – Fallait</w:t>
            </w:r>
            <w:r w:rsidRPr="00F24723">
              <w:rPr>
                <w:rFonts w:eastAsia="Calibri"/>
                <w:sz w:val="20"/>
                <w:lang w:val="fr-CA"/>
              </w:rPr>
              <w:noBreakHyphen/>
              <w:t>il que le demandeur reçoive un avis de l'ordonnance du tribunal à l’égard de laquelle il a été reconnu coupable d'outrage? – L'ordonnance en question était</w:t>
            </w:r>
            <w:r w:rsidRPr="00F24723">
              <w:rPr>
                <w:rFonts w:eastAsia="Calibri"/>
                <w:sz w:val="20"/>
                <w:lang w:val="fr-CA"/>
              </w:rPr>
              <w:noBreakHyphen/>
              <w:t>elle claire et non ambiguë? – Le demandeur a</w:t>
            </w:r>
            <w:r w:rsidRPr="00F24723">
              <w:rPr>
                <w:rFonts w:eastAsia="Calibri"/>
                <w:sz w:val="20"/>
                <w:lang w:val="fr-CA"/>
              </w:rPr>
              <w:noBreakHyphen/>
              <w:t>t</w:t>
            </w:r>
            <w:r w:rsidRPr="00F24723">
              <w:rPr>
                <w:rFonts w:eastAsia="Calibri"/>
                <w:sz w:val="20"/>
                <w:lang w:val="fr-CA"/>
              </w:rPr>
              <w:noBreakHyphen/>
              <w:t>il « communiqué » en violation de l'ordonnance de cesser et de s'abstenir? – Le demandeur était</w:t>
            </w:r>
            <w:r w:rsidRPr="00F24723">
              <w:rPr>
                <w:rFonts w:eastAsia="Calibri"/>
                <w:sz w:val="20"/>
                <w:lang w:val="fr-CA"/>
              </w:rPr>
              <w:noBreakHyphen/>
              <w:t>il incapable de respecter l'ordonnance en raison des conditions de sa mise en liberté sous caution?</w:t>
            </w:r>
          </w:p>
        </w:tc>
      </w:tr>
      <w:tr w:rsidR="004008A0" w:rsidRPr="00B36F35" w:rsidTr="00936316">
        <w:tc>
          <w:tcPr>
            <w:tcW w:w="5000" w:type="pct"/>
            <w:gridSpan w:val="3"/>
          </w:tcPr>
          <w:p w:rsidR="004008A0" w:rsidRPr="00F24723" w:rsidRDefault="004008A0" w:rsidP="00936316">
            <w:pPr>
              <w:jc w:val="both"/>
              <w:rPr>
                <w:rFonts w:eastAsia="Calibri"/>
                <w:sz w:val="20"/>
                <w:lang w:val="fr-CA"/>
              </w:rPr>
            </w:pPr>
          </w:p>
        </w:tc>
      </w:tr>
      <w:tr w:rsidR="004008A0" w:rsidRPr="00B36F35" w:rsidTr="00936316">
        <w:tc>
          <w:tcPr>
            <w:tcW w:w="5000" w:type="pct"/>
            <w:gridSpan w:val="3"/>
          </w:tcPr>
          <w:p w:rsidR="004008A0" w:rsidRPr="00F24723" w:rsidRDefault="004008A0" w:rsidP="00936316">
            <w:pPr>
              <w:jc w:val="both"/>
              <w:rPr>
                <w:rFonts w:eastAsia="Calibri"/>
                <w:sz w:val="20"/>
                <w:lang w:val="fr-CA"/>
              </w:rPr>
            </w:pPr>
            <w:r w:rsidRPr="00F24723">
              <w:rPr>
                <w:rFonts w:eastAsia="Calibri"/>
                <w:sz w:val="20"/>
                <w:lang w:val="fr-CA"/>
              </w:rPr>
              <w:t>Le 2 février 2007, le Tribunal canadien des droits de la personne a conclu que des messages de suprématistes blancs et de néo</w:t>
            </w:r>
            <w:r w:rsidRPr="00F24723">
              <w:rPr>
                <w:rFonts w:eastAsia="Calibri"/>
                <w:sz w:val="20"/>
                <w:lang w:val="fr-CA"/>
              </w:rPr>
              <w:noBreakHyphen/>
              <w:t>nazis affichés sur Internet par le demandeur constituaient de la discrimination aux termes du par. 13(1) de la</w:t>
            </w:r>
            <w:r w:rsidRPr="00F24723">
              <w:rPr>
                <w:rFonts w:eastAsia="Calibri"/>
                <w:i/>
                <w:sz w:val="20"/>
                <w:lang w:val="fr-CA"/>
              </w:rPr>
              <w:t xml:space="preserve"> Loi canadienne sur les droits de la personne</w:t>
            </w:r>
            <w:r w:rsidRPr="00F24723">
              <w:rPr>
                <w:rFonts w:eastAsia="Calibri"/>
                <w:sz w:val="20"/>
                <w:lang w:val="fr-CA"/>
              </w:rPr>
              <w:t>, L.R.C. 1985, ch. H</w:t>
            </w:r>
            <w:r w:rsidRPr="00F24723">
              <w:rPr>
                <w:rFonts w:eastAsia="Calibri"/>
                <w:sz w:val="20"/>
                <w:lang w:val="fr-CA"/>
              </w:rPr>
              <w:noBreakHyphen/>
              <w:t>6. Il a rendu une ordonnance de cesser et de s’abstenir et a imposé une amende au demandeur. Sans avis au demandeur, la Commission canadienne des droits de la personne a déposé une copie de l'ordonnance du Tribunal au greffe de la Cour fédérale en application de l'art. 57 de la</w:t>
            </w:r>
            <w:r w:rsidRPr="00F24723">
              <w:rPr>
                <w:rFonts w:eastAsia="Calibri"/>
                <w:i/>
                <w:sz w:val="20"/>
                <w:lang w:val="fr-CA"/>
              </w:rPr>
              <w:t xml:space="preserve"> Loi canadienne sur les droits de la personne</w:t>
            </w:r>
            <w:r w:rsidRPr="00F24723">
              <w:rPr>
                <w:rFonts w:eastAsia="Calibri"/>
                <w:sz w:val="20"/>
                <w:lang w:val="fr-CA"/>
              </w:rPr>
              <w:t>. Après que le Tribunal a rendu son ordonnance, nombre des messages sont demeurés sur Internet et plusieurs messages additionnels y ont été affichés. En mars 2009, la Commission, conformément aux </w:t>
            </w:r>
            <w:r w:rsidRPr="00F24723">
              <w:rPr>
                <w:rFonts w:eastAsia="Calibri"/>
                <w:i/>
                <w:iCs/>
                <w:sz w:val="20"/>
                <w:lang w:val="fr-CA"/>
              </w:rPr>
              <w:t>Règles des Cours fédérales</w:t>
            </w:r>
            <w:r w:rsidRPr="00F24723">
              <w:rPr>
                <w:rFonts w:eastAsia="Calibri"/>
                <w:sz w:val="20"/>
                <w:lang w:val="fr-CA"/>
              </w:rPr>
              <w:t>, </w:t>
            </w:r>
            <w:bookmarkStart w:id="2" w:name="reflex-statute-28640141"/>
            <w:bookmarkEnd w:id="2"/>
            <w:r w:rsidRPr="00F24723">
              <w:rPr>
                <w:rFonts w:eastAsia="Calibri"/>
                <w:sz w:val="20"/>
                <w:lang w:val="fr-CA"/>
              </w:rPr>
              <w:t>DORS/98</w:t>
            </w:r>
            <w:r w:rsidRPr="00F24723">
              <w:rPr>
                <w:rFonts w:eastAsia="Calibri"/>
                <w:sz w:val="20"/>
                <w:lang w:val="fr-CA"/>
              </w:rPr>
              <w:noBreakHyphen/>
              <w:t>106 a présenté une requête en ordonnance de justifier, demandant que le demandeur soit déclaré coupable d'outrage.</w:t>
            </w:r>
          </w:p>
          <w:p w:rsidR="004008A0" w:rsidRPr="00F24723" w:rsidRDefault="004008A0" w:rsidP="00936316">
            <w:pPr>
              <w:jc w:val="both"/>
              <w:rPr>
                <w:rFonts w:eastAsia="Calibri"/>
                <w:sz w:val="20"/>
                <w:lang w:val="fr-CA"/>
              </w:rPr>
            </w:pPr>
          </w:p>
        </w:tc>
      </w:tr>
      <w:tr w:rsidR="004008A0" w:rsidRPr="00B36F35" w:rsidTr="00081381">
        <w:trPr>
          <w:cantSplit/>
        </w:trPr>
        <w:tc>
          <w:tcPr>
            <w:tcW w:w="2427" w:type="pct"/>
          </w:tcPr>
          <w:p w:rsidR="004008A0" w:rsidRPr="00F24723" w:rsidRDefault="004008A0" w:rsidP="00936316">
            <w:pPr>
              <w:jc w:val="both"/>
              <w:rPr>
                <w:rFonts w:eastAsia="Calibri"/>
                <w:sz w:val="20"/>
                <w:lang w:val="fr-CA"/>
              </w:rPr>
            </w:pPr>
            <w:r w:rsidRPr="00F24723">
              <w:rPr>
                <w:rFonts w:eastAsia="Calibri"/>
                <w:sz w:val="20"/>
                <w:lang w:val="fr-CA"/>
              </w:rPr>
              <w:lastRenderedPageBreak/>
              <w:t>29 novembre 2010</w:t>
            </w:r>
          </w:p>
          <w:p w:rsidR="004008A0" w:rsidRPr="00F24723" w:rsidRDefault="004008A0" w:rsidP="00936316">
            <w:pPr>
              <w:jc w:val="both"/>
              <w:rPr>
                <w:rFonts w:eastAsia="Calibri"/>
                <w:sz w:val="20"/>
                <w:lang w:val="fr-CA"/>
              </w:rPr>
            </w:pPr>
            <w:r w:rsidRPr="00F24723">
              <w:rPr>
                <w:rFonts w:eastAsia="Calibri"/>
                <w:sz w:val="20"/>
                <w:lang w:val="fr-CA"/>
              </w:rPr>
              <w:t xml:space="preserve">Cour fédérale </w:t>
            </w:r>
          </w:p>
          <w:p w:rsidR="004008A0" w:rsidRPr="00F24723" w:rsidRDefault="004008A0" w:rsidP="00936316">
            <w:pPr>
              <w:jc w:val="both"/>
              <w:rPr>
                <w:rFonts w:eastAsia="Calibri"/>
                <w:sz w:val="20"/>
                <w:lang w:val="fr-CA"/>
              </w:rPr>
            </w:pPr>
            <w:r w:rsidRPr="00F24723">
              <w:rPr>
                <w:rFonts w:eastAsia="Calibri"/>
                <w:sz w:val="20"/>
                <w:lang w:val="fr-CA"/>
              </w:rPr>
              <w:t>(Juge Harrington)</w:t>
            </w:r>
          </w:p>
          <w:p w:rsidR="004008A0" w:rsidRPr="00F24723" w:rsidRDefault="004008A0" w:rsidP="00936316">
            <w:pPr>
              <w:jc w:val="both"/>
              <w:rPr>
                <w:rFonts w:eastAsia="Calibri"/>
                <w:sz w:val="20"/>
                <w:lang w:val="fr-CA"/>
              </w:rPr>
            </w:pPr>
            <w:r w:rsidRPr="00F24723">
              <w:rPr>
                <w:rFonts w:eastAsia="Calibri"/>
                <w:sz w:val="20"/>
                <w:lang w:val="fr-CA"/>
              </w:rPr>
              <w:t>2010 FC 1198</w:t>
            </w:r>
          </w:p>
          <w:p w:rsidR="004008A0" w:rsidRPr="00F24723" w:rsidRDefault="004008A0" w:rsidP="00936316">
            <w:pPr>
              <w:jc w:val="both"/>
              <w:rPr>
                <w:rFonts w:eastAsia="Calibri"/>
                <w:sz w:val="20"/>
                <w:lang w:val="fr-CA"/>
              </w:rPr>
            </w:pPr>
          </w:p>
        </w:tc>
        <w:tc>
          <w:tcPr>
            <w:tcW w:w="243" w:type="pct"/>
          </w:tcPr>
          <w:p w:rsidR="004008A0" w:rsidRPr="00F24723" w:rsidRDefault="004008A0" w:rsidP="00936316">
            <w:pPr>
              <w:jc w:val="both"/>
              <w:rPr>
                <w:rFonts w:eastAsia="Calibri"/>
                <w:sz w:val="20"/>
                <w:lang w:val="fr-CA"/>
              </w:rPr>
            </w:pPr>
          </w:p>
        </w:tc>
        <w:tc>
          <w:tcPr>
            <w:tcW w:w="2330" w:type="pct"/>
          </w:tcPr>
          <w:p w:rsidR="004008A0" w:rsidRPr="00F24723" w:rsidRDefault="004008A0" w:rsidP="00936316">
            <w:pPr>
              <w:jc w:val="both"/>
              <w:rPr>
                <w:rFonts w:eastAsia="Calibri"/>
                <w:sz w:val="20"/>
                <w:lang w:val="fr-CA"/>
              </w:rPr>
            </w:pPr>
            <w:r w:rsidRPr="00F24723">
              <w:rPr>
                <w:rFonts w:eastAsia="Calibri"/>
                <w:sz w:val="20"/>
                <w:lang w:val="fr-CA"/>
              </w:rPr>
              <w:t>Requête pour que le demandeur soit jugé coupable d'outrage au tribunal, rejetée</w:t>
            </w:r>
          </w:p>
          <w:p w:rsidR="004008A0" w:rsidRPr="00F24723" w:rsidRDefault="004008A0" w:rsidP="00936316">
            <w:pPr>
              <w:jc w:val="both"/>
              <w:rPr>
                <w:rFonts w:eastAsia="Calibri"/>
                <w:sz w:val="20"/>
                <w:lang w:val="fr-CA"/>
              </w:rPr>
            </w:pPr>
          </w:p>
        </w:tc>
      </w:tr>
      <w:tr w:rsidR="004008A0" w:rsidRPr="00B36F35" w:rsidTr="00081381">
        <w:trPr>
          <w:cantSplit/>
        </w:trPr>
        <w:tc>
          <w:tcPr>
            <w:tcW w:w="2427" w:type="pct"/>
          </w:tcPr>
          <w:p w:rsidR="004008A0" w:rsidRPr="00F24723" w:rsidRDefault="004008A0" w:rsidP="00936316">
            <w:pPr>
              <w:jc w:val="both"/>
              <w:rPr>
                <w:rFonts w:eastAsia="Calibri"/>
                <w:sz w:val="20"/>
                <w:lang w:val="fr-CA"/>
              </w:rPr>
            </w:pPr>
            <w:r w:rsidRPr="00F24723">
              <w:rPr>
                <w:rFonts w:eastAsia="Calibri"/>
                <w:sz w:val="20"/>
                <w:lang w:val="fr-CA"/>
              </w:rPr>
              <w:t>26 octobre 2011</w:t>
            </w:r>
          </w:p>
          <w:p w:rsidR="004008A0" w:rsidRPr="00F24723" w:rsidRDefault="004008A0" w:rsidP="00936316">
            <w:pPr>
              <w:jc w:val="both"/>
              <w:rPr>
                <w:rFonts w:eastAsia="Calibri"/>
                <w:sz w:val="20"/>
                <w:lang w:val="fr-CA"/>
              </w:rPr>
            </w:pPr>
            <w:r w:rsidRPr="00F24723">
              <w:rPr>
                <w:rFonts w:eastAsia="Calibri"/>
                <w:sz w:val="20"/>
                <w:lang w:val="fr-CA"/>
              </w:rPr>
              <w:t>Cour d'appel fédérale</w:t>
            </w:r>
          </w:p>
          <w:p w:rsidR="004008A0" w:rsidRPr="00F24723" w:rsidRDefault="004008A0" w:rsidP="00936316">
            <w:pPr>
              <w:jc w:val="both"/>
              <w:rPr>
                <w:rFonts w:eastAsia="Calibri"/>
                <w:sz w:val="20"/>
                <w:lang w:val="fr-CA"/>
              </w:rPr>
            </w:pPr>
            <w:r w:rsidRPr="00F24723">
              <w:rPr>
                <w:rFonts w:eastAsia="Calibri"/>
                <w:sz w:val="20"/>
                <w:lang w:val="fr-CA"/>
              </w:rPr>
              <w:t>(Juges Noël, Pelletier [dissident] et Dawson)</w:t>
            </w:r>
          </w:p>
          <w:p w:rsidR="004008A0" w:rsidRPr="00F24723" w:rsidRDefault="004008A0" w:rsidP="00936316">
            <w:pPr>
              <w:jc w:val="both"/>
              <w:rPr>
                <w:rFonts w:eastAsia="Calibri"/>
                <w:sz w:val="20"/>
                <w:lang w:val="fr-CA"/>
              </w:rPr>
            </w:pPr>
            <w:r w:rsidRPr="00F24723">
              <w:rPr>
                <w:rFonts w:eastAsia="Calibri"/>
                <w:sz w:val="20"/>
                <w:lang w:val="fr-CA"/>
              </w:rPr>
              <w:t>2011 FCA 297, A</w:t>
            </w:r>
            <w:r w:rsidRPr="00F24723">
              <w:rPr>
                <w:rFonts w:eastAsia="Calibri"/>
                <w:sz w:val="20"/>
                <w:lang w:val="fr-CA"/>
              </w:rPr>
              <w:noBreakHyphen/>
              <w:t>468</w:t>
            </w:r>
            <w:r w:rsidRPr="00F24723">
              <w:rPr>
                <w:rFonts w:eastAsia="Calibri"/>
                <w:sz w:val="20"/>
                <w:lang w:val="fr-CA"/>
              </w:rPr>
              <w:noBreakHyphen/>
              <w:t>10</w:t>
            </w:r>
          </w:p>
          <w:p w:rsidR="004008A0" w:rsidRPr="00F24723" w:rsidRDefault="004008A0" w:rsidP="00936316">
            <w:pPr>
              <w:jc w:val="both"/>
              <w:rPr>
                <w:rFonts w:eastAsia="Calibri"/>
                <w:sz w:val="20"/>
                <w:lang w:val="fr-CA"/>
              </w:rPr>
            </w:pPr>
          </w:p>
        </w:tc>
        <w:tc>
          <w:tcPr>
            <w:tcW w:w="243" w:type="pct"/>
          </w:tcPr>
          <w:p w:rsidR="004008A0" w:rsidRPr="00F24723" w:rsidRDefault="004008A0" w:rsidP="00936316">
            <w:pPr>
              <w:jc w:val="both"/>
              <w:rPr>
                <w:rFonts w:eastAsia="Calibri"/>
                <w:sz w:val="20"/>
                <w:lang w:val="fr-CA"/>
              </w:rPr>
            </w:pPr>
          </w:p>
        </w:tc>
        <w:tc>
          <w:tcPr>
            <w:tcW w:w="2330" w:type="pct"/>
          </w:tcPr>
          <w:p w:rsidR="004008A0" w:rsidRPr="00F24723" w:rsidRDefault="004008A0" w:rsidP="00936316">
            <w:pPr>
              <w:jc w:val="both"/>
              <w:rPr>
                <w:rFonts w:eastAsia="Calibri"/>
                <w:sz w:val="20"/>
                <w:lang w:val="fr-CA"/>
              </w:rPr>
            </w:pPr>
            <w:r w:rsidRPr="00F24723">
              <w:rPr>
                <w:rFonts w:eastAsia="Calibri"/>
                <w:sz w:val="20"/>
                <w:lang w:val="fr-CA"/>
              </w:rPr>
              <w:t>Appel accueilli, demandeur jugé coupable d'outrage au tribunal; affaire renvoyée à la Cour fédérale pour qu'elle détermine la peine</w:t>
            </w:r>
          </w:p>
          <w:p w:rsidR="004008A0" w:rsidRPr="00F24723" w:rsidRDefault="004008A0" w:rsidP="00936316">
            <w:pPr>
              <w:jc w:val="both"/>
              <w:rPr>
                <w:rFonts w:eastAsia="Calibri"/>
                <w:sz w:val="20"/>
                <w:lang w:val="fr-CA"/>
              </w:rPr>
            </w:pPr>
          </w:p>
        </w:tc>
      </w:tr>
      <w:tr w:rsidR="004008A0" w:rsidRPr="00F24723" w:rsidTr="00081381">
        <w:trPr>
          <w:cantSplit/>
        </w:trPr>
        <w:tc>
          <w:tcPr>
            <w:tcW w:w="2427" w:type="pct"/>
          </w:tcPr>
          <w:p w:rsidR="004008A0" w:rsidRPr="00F24723" w:rsidRDefault="004008A0" w:rsidP="00936316">
            <w:pPr>
              <w:jc w:val="both"/>
              <w:rPr>
                <w:rFonts w:eastAsia="Calibri"/>
                <w:sz w:val="20"/>
                <w:lang w:val="fr-CA"/>
              </w:rPr>
            </w:pPr>
            <w:r w:rsidRPr="00F24723">
              <w:rPr>
                <w:rFonts w:eastAsia="Calibri"/>
                <w:sz w:val="20"/>
                <w:lang w:val="fr-CA"/>
              </w:rPr>
              <w:t>23 novembre 2011</w:t>
            </w:r>
          </w:p>
          <w:p w:rsidR="004008A0" w:rsidRPr="00F24723" w:rsidRDefault="004008A0" w:rsidP="00936316">
            <w:pPr>
              <w:jc w:val="both"/>
              <w:rPr>
                <w:rFonts w:eastAsia="Calibri"/>
                <w:sz w:val="20"/>
                <w:lang w:val="fr-CA"/>
              </w:rPr>
            </w:pPr>
            <w:r w:rsidRPr="00F24723">
              <w:rPr>
                <w:rFonts w:eastAsia="Calibri"/>
                <w:sz w:val="20"/>
                <w:lang w:val="fr-CA"/>
              </w:rPr>
              <w:t>Cour suprême du Canada</w:t>
            </w:r>
          </w:p>
          <w:p w:rsidR="004008A0" w:rsidRPr="00F24723" w:rsidRDefault="004008A0" w:rsidP="00936316">
            <w:pPr>
              <w:jc w:val="both"/>
              <w:rPr>
                <w:rFonts w:eastAsia="Calibri"/>
                <w:sz w:val="20"/>
                <w:lang w:val="fr-CA"/>
              </w:rPr>
            </w:pPr>
          </w:p>
        </w:tc>
        <w:tc>
          <w:tcPr>
            <w:tcW w:w="243" w:type="pct"/>
          </w:tcPr>
          <w:p w:rsidR="004008A0" w:rsidRPr="00F24723" w:rsidRDefault="004008A0" w:rsidP="00936316">
            <w:pPr>
              <w:jc w:val="both"/>
              <w:rPr>
                <w:rFonts w:eastAsia="Calibri"/>
                <w:sz w:val="20"/>
                <w:lang w:val="fr-CA"/>
              </w:rPr>
            </w:pPr>
          </w:p>
        </w:tc>
        <w:tc>
          <w:tcPr>
            <w:tcW w:w="2330" w:type="pct"/>
          </w:tcPr>
          <w:p w:rsidR="004008A0" w:rsidRPr="00F24723" w:rsidRDefault="004008A0" w:rsidP="00936316">
            <w:pPr>
              <w:jc w:val="both"/>
              <w:rPr>
                <w:rFonts w:eastAsia="Calibri"/>
                <w:sz w:val="20"/>
                <w:lang w:val="fr-CA"/>
              </w:rPr>
            </w:pPr>
            <w:r w:rsidRPr="00F24723">
              <w:rPr>
                <w:rFonts w:eastAsia="Calibri"/>
                <w:sz w:val="20"/>
                <w:lang w:val="fr-CA"/>
              </w:rPr>
              <w:t>Demande d'autorisation d'appel, déposée</w:t>
            </w:r>
          </w:p>
          <w:p w:rsidR="004008A0" w:rsidRPr="00F24723" w:rsidRDefault="004008A0" w:rsidP="00936316">
            <w:pPr>
              <w:jc w:val="both"/>
              <w:rPr>
                <w:rFonts w:eastAsia="Calibri"/>
                <w:sz w:val="20"/>
                <w:lang w:val="fr-CA"/>
              </w:rPr>
            </w:pPr>
          </w:p>
        </w:tc>
      </w:tr>
      <w:tr w:rsidR="004008A0" w:rsidRPr="00B36F35" w:rsidTr="00081381">
        <w:trPr>
          <w:cantSplit/>
        </w:trPr>
        <w:tc>
          <w:tcPr>
            <w:tcW w:w="2427" w:type="pct"/>
          </w:tcPr>
          <w:p w:rsidR="004008A0" w:rsidRPr="00F24723" w:rsidRDefault="004008A0" w:rsidP="00936316">
            <w:pPr>
              <w:jc w:val="both"/>
              <w:rPr>
                <w:rFonts w:eastAsia="Calibri"/>
                <w:sz w:val="20"/>
                <w:lang w:val="fr-CA"/>
              </w:rPr>
            </w:pPr>
            <w:r w:rsidRPr="00F24723">
              <w:rPr>
                <w:rFonts w:eastAsia="Calibri"/>
                <w:sz w:val="20"/>
                <w:lang w:val="fr-CA"/>
              </w:rPr>
              <w:t>17 janvier 2012</w:t>
            </w:r>
          </w:p>
          <w:p w:rsidR="004008A0" w:rsidRPr="00F24723" w:rsidRDefault="004008A0" w:rsidP="00936316">
            <w:pPr>
              <w:jc w:val="both"/>
              <w:rPr>
                <w:rFonts w:eastAsia="Calibri"/>
                <w:sz w:val="20"/>
                <w:lang w:val="fr-CA"/>
              </w:rPr>
            </w:pPr>
            <w:r w:rsidRPr="00F24723">
              <w:rPr>
                <w:rFonts w:eastAsia="Calibri"/>
                <w:sz w:val="20"/>
                <w:lang w:val="fr-CA"/>
              </w:rPr>
              <w:t>Cour suprême du Canada</w:t>
            </w:r>
          </w:p>
        </w:tc>
        <w:tc>
          <w:tcPr>
            <w:tcW w:w="243" w:type="pct"/>
          </w:tcPr>
          <w:p w:rsidR="004008A0" w:rsidRPr="00F24723" w:rsidRDefault="004008A0" w:rsidP="00936316">
            <w:pPr>
              <w:jc w:val="both"/>
              <w:rPr>
                <w:rFonts w:eastAsia="Calibri"/>
                <w:sz w:val="20"/>
                <w:lang w:val="fr-CA"/>
              </w:rPr>
            </w:pPr>
          </w:p>
        </w:tc>
        <w:tc>
          <w:tcPr>
            <w:tcW w:w="2330" w:type="pct"/>
          </w:tcPr>
          <w:p w:rsidR="004008A0" w:rsidRPr="00F24723" w:rsidRDefault="004008A0" w:rsidP="00936316">
            <w:pPr>
              <w:jc w:val="both"/>
              <w:rPr>
                <w:rFonts w:eastAsia="Calibri"/>
                <w:sz w:val="20"/>
                <w:lang w:val="fr-CA"/>
              </w:rPr>
            </w:pPr>
            <w:r w:rsidRPr="00F24723">
              <w:rPr>
                <w:rFonts w:eastAsia="Calibri"/>
                <w:sz w:val="20"/>
                <w:lang w:val="fr-CA"/>
              </w:rPr>
              <w:t xml:space="preserve">Demande </w:t>
            </w:r>
            <w:r w:rsidRPr="00F24723">
              <w:rPr>
                <w:rFonts w:eastAsia="Calibri"/>
                <w:bCs/>
                <w:sz w:val="20"/>
                <w:lang w:val="fr-CA"/>
              </w:rPr>
              <w:t>en vue d</w:t>
            </w:r>
            <w:r w:rsidRPr="00F24723">
              <w:rPr>
                <w:rFonts w:eastAsia="Calibri"/>
                <w:bCs/>
                <w:sz w:val="20"/>
                <w:lang w:val="fr-CA"/>
              </w:rPr>
              <w:sym w:font="WP TypographicSymbols" w:char="003D"/>
            </w:r>
            <w:r w:rsidRPr="00F24723">
              <w:rPr>
                <w:rFonts w:eastAsia="Calibri"/>
                <w:bCs/>
                <w:sz w:val="20"/>
                <w:lang w:val="fr-CA"/>
              </w:rPr>
              <w:t>obtenir un sursis à l</w:t>
            </w:r>
            <w:r w:rsidRPr="00F24723">
              <w:rPr>
                <w:rFonts w:eastAsia="Calibri"/>
                <w:bCs/>
                <w:sz w:val="20"/>
                <w:lang w:val="fr-CA"/>
              </w:rPr>
              <w:sym w:font="WP TypographicSymbols" w:char="003D"/>
            </w:r>
            <w:r w:rsidRPr="00F24723">
              <w:rPr>
                <w:rFonts w:eastAsia="Calibri"/>
                <w:bCs/>
                <w:sz w:val="20"/>
                <w:lang w:val="fr-CA"/>
              </w:rPr>
              <w:t>exécution, déposée</w:t>
            </w:r>
          </w:p>
        </w:tc>
      </w:tr>
    </w:tbl>
    <w:p w:rsidR="001823C0" w:rsidRPr="004008A0"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65"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81381" w:rsidRPr="00A00637" w:rsidTr="008B3BEA">
        <w:trPr>
          <w:cantSplit/>
        </w:trPr>
        <w:tc>
          <w:tcPr>
            <w:tcW w:w="1458" w:type="dxa"/>
          </w:tcPr>
          <w:p w:rsidR="00081381" w:rsidRPr="00A00637" w:rsidRDefault="00081381" w:rsidP="008B3BEA">
            <w:pPr>
              <w:rPr>
                <w:sz w:val="20"/>
                <w:szCs w:val="20"/>
              </w:rPr>
            </w:pPr>
            <w:r w:rsidRPr="00A00637">
              <w:rPr>
                <w:rStyle w:val="SCCFileNumberChar"/>
                <w:sz w:val="20"/>
                <w:szCs w:val="20"/>
              </w:rPr>
              <w:t>34548</w:t>
            </w:r>
          </w:p>
          <w:p w:rsidR="00081381" w:rsidRPr="00A00637" w:rsidRDefault="00081381" w:rsidP="008B3BEA">
            <w:pPr>
              <w:rPr>
                <w:b/>
                <w:sz w:val="20"/>
                <w:szCs w:val="20"/>
                <w:lang w:val="fr-CA"/>
              </w:rPr>
            </w:pPr>
          </w:p>
        </w:tc>
        <w:tc>
          <w:tcPr>
            <w:tcW w:w="8118" w:type="dxa"/>
          </w:tcPr>
          <w:p w:rsidR="00081381" w:rsidRPr="00A00637" w:rsidRDefault="00081381" w:rsidP="008B3BEA">
            <w:pPr>
              <w:jc w:val="both"/>
              <w:rPr>
                <w:sz w:val="20"/>
                <w:szCs w:val="20"/>
              </w:rPr>
            </w:pPr>
            <w:r w:rsidRPr="00081381">
              <w:rPr>
                <w:rStyle w:val="SCCLsocChar"/>
                <w:sz w:val="20"/>
                <w:szCs w:val="20"/>
                <w:lang w:val="en-CA"/>
              </w:rPr>
              <w:t>Brandon Carl Huntley v. Minister of Citizenship and Immigration</w:t>
            </w:r>
            <w:r w:rsidRPr="00A00637">
              <w:rPr>
                <w:sz w:val="20"/>
                <w:szCs w:val="20"/>
              </w:rPr>
              <w:t xml:space="preserve"> (F.C.) (Civil) (By Leave)</w:t>
            </w:r>
          </w:p>
          <w:p w:rsidR="00081381" w:rsidRPr="00A00637" w:rsidRDefault="00081381" w:rsidP="008B3BEA">
            <w:pPr>
              <w:rPr>
                <w:sz w:val="20"/>
                <w:szCs w:val="20"/>
              </w:rPr>
            </w:pPr>
          </w:p>
        </w:tc>
      </w:tr>
      <w:tr w:rsidR="00081381" w:rsidRPr="00A00637" w:rsidTr="008B3BEA">
        <w:trPr>
          <w:cantSplit/>
        </w:trPr>
        <w:tc>
          <w:tcPr>
            <w:tcW w:w="1458" w:type="dxa"/>
          </w:tcPr>
          <w:p w:rsidR="00081381" w:rsidRPr="00A00637" w:rsidRDefault="00081381" w:rsidP="008B3BEA">
            <w:pPr>
              <w:rPr>
                <w:sz w:val="20"/>
                <w:szCs w:val="20"/>
              </w:rPr>
            </w:pPr>
            <w:r w:rsidRPr="00A00637">
              <w:rPr>
                <w:sz w:val="20"/>
                <w:szCs w:val="20"/>
              </w:rPr>
              <w:t>Coram :</w:t>
            </w:r>
          </w:p>
        </w:tc>
        <w:tc>
          <w:tcPr>
            <w:tcW w:w="8118" w:type="dxa"/>
          </w:tcPr>
          <w:p w:rsidR="00081381" w:rsidRPr="00A00637" w:rsidRDefault="00081381" w:rsidP="008B3BEA">
            <w:pPr>
              <w:rPr>
                <w:sz w:val="20"/>
                <w:szCs w:val="20"/>
              </w:rPr>
            </w:pPr>
            <w:r w:rsidRPr="00081381">
              <w:rPr>
                <w:rStyle w:val="SCCCoramChar"/>
                <w:sz w:val="20"/>
                <w:szCs w:val="20"/>
                <w:lang w:val="en-CA"/>
              </w:rPr>
              <w:t>Deschamps, Fish and Karakatsanis JJ.</w:t>
            </w:r>
          </w:p>
          <w:p w:rsidR="00081381" w:rsidRPr="00A00637" w:rsidRDefault="00081381" w:rsidP="008B3BEA">
            <w:pPr>
              <w:rPr>
                <w:sz w:val="20"/>
                <w:szCs w:val="20"/>
                <w:u w:val="single"/>
              </w:rPr>
            </w:pPr>
          </w:p>
        </w:tc>
      </w:tr>
      <w:tr w:rsidR="00081381" w:rsidRPr="00B36F35" w:rsidTr="008B3BEA">
        <w:trPr>
          <w:cantSplit/>
        </w:trPr>
        <w:tc>
          <w:tcPr>
            <w:tcW w:w="9576" w:type="dxa"/>
            <w:gridSpan w:val="2"/>
          </w:tcPr>
          <w:p w:rsidR="00081381" w:rsidRPr="00A00637" w:rsidRDefault="00081381" w:rsidP="008B3BEA">
            <w:pPr>
              <w:pStyle w:val="SCCShortJudgment"/>
              <w:rPr>
                <w:szCs w:val="20"/>
              </w:rPr>
            </w:pPr>
            <w:r w:rsidRPr="00A00637">
              <w:rPr>
                <w:szCs w:val="20"/>
              </w:rPr>
              <w:t>The application for leave to appeal from the judgment of the Federal Court of Appeal, Number A-482-10, 2011 FCA 273, dated October 3, 2011, is dismissed with costs.</w:t>
            </w:r>
          </w:p>
          <w:p w:rsidR="00081381" w:rsidRPr="00A00637" w:rsidRDefault="00081381" w:rsidP="008B3BEA">
            <w:pPr>
              <w:pStyle w:val="SCCShortJudgment"/>
              <w:ind w:firstLine="0"/>
              <w:rPr>
                <w:szCs w:val="20"/>
              </w:rPr>
            </w:pPr>
          </w:p>
          <w:p w:rsidR="00081381" w:rsidRPr="00A00637" w:rsidRDefault="00081381" w:rsidP="008B3BEA">
            <w:pPr>
              <w:pStyle w:val="SCCShortJudgment"/>
              <w:rPr>
                <w:szCs w:val="20"/>
                <w:lang w:val="fr-CA"/>
              </w:rPr>
            </w:pPr>
            <w:r w:rsidRPr="00A00637">
              <w:rPr>
                <w:szCs w:val="20"/>
                <w:lang w:val="fr-CA"/>
              </w:rPr>
              <w:t>La demande d’autorisation d’appel de l’arrêt de la Cour d’appel fédérale, numéro A-482-10, 2011 CAF 273, daté du 3 octobre 2011, est rejetée avec dépens.</w:t>
            </w:r>
          </w:p>
        </w:tc>
      </w:tr>
    </w:tbl>
    <w:p w:rsidR="001823C0" w:rsidRPr="00081381"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008A0" w:rsidRPr="00F24723" w:rsidTr="00936316">
        <w:tc>
          <w:tcPr>
            <w:tcW w:w="5000" w:type="pct"/>
            <w:gridSpan w:val="3"/>
          </w:tcPr>
          <w:p w:rsidR="004008A0" w:rsidRPr="00F24723" w:rsidRDefault="004008A0" w:rsidP="00936316">
            <w:pPr>
              <w:jc w:val="both"/>
              <w:rPr>
                <w:sz w:val="20"/>
              </w:rPr>
            </w:pPr>
            <w:r w:rsidRPr="00F24723">
              <w:rPr>
                <w:sz w:val="20"/>
              </w:rPr>
              <w:t xml:space="preserve">Immigration — Convention refugees — Judicial review — Standard of review — Abuse of process — Appeal — Right of appeal — Independence of the judiciary — Whether applying the wrong standard of review constitutes jurisdictional error — Whether the facts and evidence in this case bring it within the orbit of </w:t>
            </w:r>
            <w:r w:rsidRPr="00F24723">
              <w:rPr>
                <w:i/>
                <w:sz w:val="20"/>
              </w:rPr>
              <w:t>USA v. Cobb</w:t>
            </w:r>
            <w:r w:rsidRPr="00F24723">
              <w:rPr>
                <w:sz w:val="20"/>
              </w:rPr>
              <w:t xml:space="preserve">, [2001] 1 S.C.R. 587, and calls for a remedy in abuse of process or reasonable apprehension of bias in that a fair redetermination of the case is or appears to be impossible — Whether s. 74(d) of the </w:t>
            </w:r>
            <w:r w:rsidRPr="00F24723">
              <w:rPr>
                <w:i/>
                <w:sz w:val="20"/>
              </w:rPr>
              <w:t>Immigrant and Refugee Protection Act</w:t>
            </w:r>
            <w:r w:rsidRPr="00F24723">
              <w:rPr>
                <w:sz w:val="20"/>
              </w:rPr>
              <w:t xml:space="preserve">, S.C. 2001, c. 27, infringes the independence of the judiciary — Whether the errors of the Court of Appeal constitute, pursuant to s. 40(1) of the </w:t>
            </w:r>
            <w:r w:rsidRPr="00F24723">
              <w:rPr>
                <w:i/>
                <w:sz w:val="20"/>
              </w:rPr>
              <w:t>Supreme Court of Canada Act</w:t>
            </w:r>
            <w:r w:rsidRPr="00F24723">
              <w:rPr>
                <w:b/>
                <w:sz w:val="20"/>
              </w:rPr>
              <w:t>,</w:t>
            </w:r>
            <w:r w:rsidRPr="00F24723">
              <w:rPr>
                <w:sz w:val="20"/>
              </w:rPr>
              <w:t xml:space="preserve"> issues of public importance.</w:t>
            </w:r>
          </w:p>
        </w:tc>
      </w:tr>
      <w:tr w:rsidR="004008A0" w:rsidRPr="00F24723" w:rsidTr="00936316">
        <w:tc>
          <w:tcPr>
            <w:tcW w:w="5000" w:type="pct"/>
            <w:gridSpan w:val="3"/>
          </w:tcPr>
          <w:p w:rsidR="004008A0" w:rsidRPr="00F24723" w:rsidRDefault="004008A0" w:rsidP="00936316">
            <w:pPr>
              <w:jc w:val="both"/>
              <w:rPr>
                <w:sz w:val="20"/>
              </w:rPr>
            </w:pPr>
          </w:p>
        </w:tc>
      </w:tr>
      <w:tr w:rsidR="004008A0" w:rsidRPr="00F24723" w:rsidTr="00936316">
        <w:tc>
          <w:tcPr>
            <w:tcW w:w="5000" w:type="pct"/>
            <w:gridSpan w:val="3"/>
          </w:tcPr>
          <w:p w:rsidR="004008A0" w:rsidRPr="00F24723" w:rsidRDefault="004008A0" w:rsidP="00936316">
            <w:pPr>
              <w:jc w:val="both"/>
              <w:rPr>
                <w:sz w:val="20"/>
              </w:rPr>
            </w:pPr>
            <w:r w:rsidRPr="00F24723">
              <w:rPr>
                <w:sz w:val="20"/>
              </w:rPr>
              <w:t>Mr. Huntley, a white citizen of South Africa, claimed refugee status on the basis of fear of discrimination, harassment and possible death because of his race. He reported having been attacked and assaulted on numerous occasions by black South Africans who had used racial slurs. He had initially come to Canada in 2004 on a work permit, and had married a Canadian citizen in 2007. The marriage did not work, and he applied for refugee protection in 2008.</w:t>
            </w:r>
          </w:p>
          <w:p w:rsidR="004008A0" w:rsidRPr="00F24723" w:rsidRDefault="004008A0" w:rsidP="00936316">
            <w:pPr>
              <w:jc w:val="both"/>
              <w:rPr>
                <w:sz w:val="20"/>
              </w:rPr>
            </w:pPr>
          </w:p>
          <w:p w:rsidR="004008A0" w:rsidRPr="00F24723" w:rsidRDefault="004008A0" w:rsidP="00936316">
            <w:pPr>
              <w:jc w:val="both"/>
              <w:rPr>
                <w:sz w:val="20"/>
              </w:rPr>
            </w:pPr>
            <w:r w:rsidRPr="00F24723">
              <w:rPr>
                <w:sz w:val="20"/>
              </w:rPr>
              <w:t xml:space="preserve">The Refugee Protection Division of the Immigration and Refugee Board found Mr. Huntley to be a refugee, holding that he had a well-founded fear of persecution on the ground of his race. The Minister of Citizenship and Immigration applied for judicial review, which was granted. Mr. Huntley moved for certification of two questions under the </w:t>
            </w:r>
            <w:r w:rsidRPr="00F24723">
              <w:rPr>
                <w:i/>
                <w:sz w:val="20"/>
              </w:rPr>
              <w:t>Immigration and Refugee Protection Act</w:t>
            </w:r>
            <w:r w:rsidRPr="00F24723">
              <w:rPr>
                <w:sz w:val="20"/>
              </w:rPr>
              <w:t>, S.C. 2001, c. 27, s. 74(d) (the “IRPA”). The judge refused to certify them, and an appeal of that decision was dismissed.</w:t>
            </w:r>
          </w:p>
          <w:p w:rsidR="004008A0" w:rsidRPr="00F24723" w:rsidRDefault="004008A0" w:rsidP="00936316">
            <w:pPr>
              <w:jc w:val="both"/>
              <w:rPr>
                <w:sz w:val="20"/>
              </w:rPr>
            </w:pPr>
          </w:p>
        </w:tc>
      </w:tr>
      <w:tr w:rsidR="004008A0" w:rsidRPr="00F24723" w:rsidTr="00936316">
        <w:tc>
          <w:tcPr>
            <w:tcW w:w="2427" w:type="pct"/>
          </w:tcPr>
          <w:p w:rsidR="004008A0" w:rsidRPr="00F24723" w:rsidRDefault="004008A0" w:rsidP="00936316">
            <w:pPr>
              <w:jc w:val="both"/>
              <w:rPr>
                <w:sz w:val="20"/>
              </w:rPr>
            </w:pPr>
            <w:r w:rsidRPr="00F24723">
              <w:rPr>
                <w:sz w:val="20"/>
              </w:rPr>
              <w:lastRenderedPageBreak/>
              <w:t>November 24, 2010</w:t>
            </w:r>
          </w:p>
          <w:p w:rsidR="004008A0" w:rsidRPr="00F24723" w:rsidRDefault="004008A0" w:rsidP="00936316">
            <w:pPr>
              <w:jc w:val="both"/>
              <w:rPr>
                <w:sz w:val="20"/>
              </w:rPr>
            </w:pPr>
            <w:r w:rsidRPr="00F24723">
              <w:rPr>
                <w:sz w:val="20"/>
              </w:rPr>
              <w:t>Federal Court</w:t>
            </w:r>
          </w:p>
          <w:p w:rsidR="004008A0" w:rsidRPr="00F24723" w:rsidRDefault="004008A0" w:rsidP="00936316">
            <w:pPr>
              <w:jc w:val="both"/>
              <w:rPr>
                <w:sz w:val="20"/>
              </w:rPr>
            </w:pPr>
            <w:r w:rsidRPr="00F24723">
              <w:rPr>
                <w:sz w:val="20"/>
              </w:rPr>
              <w:t>(Russell J.)</w:t>
            </w:r>
          </w:p>
          <w:p w:rsidR="004008A0" w:rsidRPr="00F24723" w:rsidRDefault="004008A0" w:rsidP="00936316">
            <w:pPr>
              <w:jc w:val="both"/>
              <w:rPr>
                <w:sz w:val="20"/>
              </w:rPr>
            </w:pPr>
            <w:r w:rsidRPr="00F24723">
              <w:rPr>
                <w:sz w:val="20"/>
              </w:rPr>
              <w:t>2010 FC 1175</w:t>
            </w:r>
          </w:p>
          <w:p w:rsidR="004008A0" w:rsidRPr="00F24723" w:rsidRDefault="004008A0" w:rsidP="00936316">
            <w:pPr>
              <w:jc w:val="both"/>
              <w:rPr>
                <w:sz w:val="20"/>
              </w:rPr>
            </w:pPr>
          </w:p>
        </w:tc>
        <w:tc>
          <w:tcPr>
            <w:tcW w:w="243" w:type="pct"/>
          </w:tcPr>
          <w:p w:rsidR="004008A0" w:rsidRPr="00F24723" w:rsidRDefault="004008A0" w:rsidP="00936316">
            <w:pPr>
              <w:rPr>
                <w:sz w:val="20"/>
              </w:rPr>
            </w:pPr>
          </w:p>
        </w:tc>
        <w:tc>
          <w:tcPr>
            <w:tcW w:w="2330" w:type="pct"/>
          </w:tcPr>
          <w:p w:rsidR="004008A0" w:rsidRPr="00F24723" w:rsidRDefault="004008A0" w:rsidP="00936316">
            <w:pPr>
              <w:jc w:val="both"/>
              <w:rPr>
                <w:sz w:val="20"/>
              </w:rPr>
            </w:pPr>
            <w:r w:rsidRPr="00F24723">
              <w:rPr>
                <w:sz w:val="20"/>
              </w:rPr>
              <w:t>Application for judicial review granted; motion to state questions refused with costs</w:t>
            </w:r>
          </w:p>
        </w:tc>
      </w:tr>
      <w:tr w:rsidR="004008A0" w:rsidRPr="00F24723" w:rsidTr="00936316">
        <w:tc>
          <w:tcPr>
            <w:tcW w:w="2427" w:type="pct"/>
          </w:tcPr>
          <w:p w:rsidR="004008A0" w:rsidRPr="00F24723" w:rsidRDefault="004008A0" w:rsidP="00936316">
            <w:pPr>
              <w:jc w:val="both"/>
              <w:rPr>
                <w:sz w:val="20"/>
              </w:rPr>
            </w:pPr>
            <w:r w:rsidRPr="00F24723">
              <w:rPr>
                <w:sz w:val="20"/>
              </w:rPr>
              <w:t>October 3, 2011</w:t>
            </w:r>
          </w:p>
          <w:p w:rsidR="004008A0" w:rsidRPr="00F24723" w:rsidRDefault="004008A0" w:rsidP="00936316">
            <w:pPr>
              <w:jc w:val="both"/>
              <w:rPr>
                <w:sz w:val="20"/>
              </w:rPr>
            </w:pPr>
            <w:r w:rsidRPr="00F24723">
              <w:rPr>
                <w:sz w:val="20"/>
              </w:rPr>
              <w:t>Federal Court of Appeal</w:t>
            </w:r>
          </w:p>
          <w:p w:rsidR="004008A0" w:rsidRPr="00F24723" w:rsidRDefault="004008A0" w:rsidP="00936316">
            <w:pPr>
              <w:jc w:val="both"/>
              <w:rPr>
                <w:sz w:val="20"/>
              </w:rPr>
            </w:pPr>
            <w:r w:rsidRPr="00F24723">
              <w:rPr>
                <w:sz w:val="20"/>
              </w:rPr>
              <w:t>(Sexton, Evans, and Stratas JJ.A.)</w:t>
            </w:r>
          </w:p>
          <w:p w:rsidR="004008A0" w:rsidRPr="00F24723" w:rsidRDefault="004008A0" w:rsidP="00936316">
            <w:pPr>
              <w:jc w:val="both"/>
              <w:rPr>
                <w:sz w:val="20"/>
              </w:rPr>
            </w:pPr>
            <w:r w:rsidRPr="00F24723">
              <w:rPr>
                <w:sz w:val="20"/>
              </w:rPr>
              <w:t>2011 FCA 273</w:t>
            </w:r>
          </w:p>
          <w:p w:rsidR="004008A0" w:rsidRPr="00F24723" w:rsidRDefault="004008A0" w:rsidP="00936316">
            <w:pPr>
              <w:jc w:val="both"/>
              <w:rPr>
                <w:sz w:val="20"/>
              </w:rPr>
            </w:pPr>
          </w:p>
        </w:tc>
        <w:tc>
          <w:tcPr>
            <w:tcW w:w="243" w:type="pct"/>
          </w:tcPr>
          <w:p w:rsidR="004008A0" w:rsidRPr="00F24723" w:rsidRDefault="004008A0" w:rsidP="00936316">
            <w:pPr>
              <w:rPr>
                <w:sz w:val="20"/>
              </w:rPr>
            </w:pPr>
          </w:p>
        </w:tc>
        <w:tc>
          <w:tcPr>
            <w:tcW w:w="2330" w:type="pct"/>
          </w:tcPr>
          <w:p w:rsidR="004008A0" w:rsidRPr="00F24723" w:rsidRDefault="004008A0" w:rsidP="00936316">
            <w:pPr>
              <w:jc w:val="both"/>
              <w:rPr>
                <w:sz w:val="20"/>
              </w:rPr>
            </w:pPr>
            <w:r w:rsidRPr="00F24723">
              <w:rPr>
                <w:sz w:val="20"/>
              </w:rPr>
              <w:t>Appeal dismissed</w:t>
            </w:r>
          </w:p>
        </w:tc>
      </w:tr>
      <w:tr w:rsidR="004008A0" w:rsidRPr="00F24723" w:rsidTr="00936316">
        <w:tc>
          <w:tcPr>
            <w:tcW w:w="2427" w:type="pct"/>
          </w:tcPr>
          <w:p w:rsidR="004008A0" w:rsidRPr="00F24723" w:rsidRDefault="004008A0" w:rsidP="00936316">
            <w:pPr>
              <w:jc w:val="both"/>
              <w:rPr>
                <w:sz w:val="20"/>
              </w:rPr>
            </w:pPr>
            <w:r w:rsidRPr="00F24723">
              <w:rPr>
                <w:sz w:val="20"/>
              </w:rPr>
              <w:t>November 29, 2011</w:t>
            </w:r>
          </w:p>
          <w:p w:rsidR="004008A0" w:rsidRPr="00F24723" w:rsidRDefault="004008A0" w:rsidP="00936316">
            <w:pPr>
              <w:jc w:val="both"/>
              <w:rPr>
                <w:sz w:val="20"/>
              </w:rPr>
            </w:pPr>
            <w:r w:rsidRPr="00F24723">
              <w:rPr>
                <w:sz w:val="20"/>
              </w:rPr>
              <w:t>Supreme Court of Canada</w:t>
            </w:r>
          </w:p>
        </w:tc>
        <w:tc>
          <w:tcPr>
            <w:tcW w:w="243" w:type="pct"/>
          </w:tcPr>
          <w:p w:rsidR="004008A0" w:rsidRPr="00F24723" w:rsidRDefault="004008A0" w:rsidP="00936316">
            <w:pPr>
              <w:rPr>
                <w:sz w:val="20"/>
              </w:rPr>
            </w:pPr>
          </w:p>
        </w:tc>
        <w:tc>
          <w:tcPr>
            <w:tcW w:w="2330" w:type="pct"/>
          </w:tcPr>
          <w:p w:rsidR="004008A0" w:rsidRPr="00F24723" w:rsidRDefault="004008A0" w:rsidP="00936316">
            <w:pPr>
              <w:jc w:val="both"/>
              <w:rPr>
                <w:sz w:val="20"/>
              </w:rPr>
            </w:pPr>
            <w:r w:rsidRPr="00F24723">
              <w:rPr>
                <w:sz w:val="20"/>
              </w:rPr>
              <w:t>Application for leave to appeal filed</w:t>
            </w:r>
          </w:p>
          <w:p w:rsidR="004008A0" w:rsidRPr="00F24723" w:rsidRDefault="004008A0" w:rsidP="00936316">
            <w:pPr>
              <w:jc w:val="both"/>
              <w:rPr>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66"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008A0" w:rsidRPr="00B36F35" w:rsidTr="00936316">
        <w:tc>
          <w:tcPr>
            <w:tcW w:w="5000" w:type="pct"/>
            <w:gridSpan w:val="3"/>
          </w:tcPr>
          <w:p w:rsidR="004008A0" w:rsidRPr="00F24723" w:rsidRDefault="004008A0" w:rsidP="00936316">
            <w:pPr>
              <w:jc w:val="both"/>
              <w:rPr>
                <w:sz w:val="20"/>
                <w:lang w:val="fr-CA"/>
              </w:rPr>
            </w:pPr>
            <w:r w:rsidRPr="00F24723">
              <w:rPr>
                <w:sz w:val="20"/>
                <w:lang w:val="fr-CA"/>
              </w:rPr>
              <w:t>Immigration — Réfugiés au sens de la Convention — Contrôle judiciaire — Norme de contrôle — Abus de procédure — Appel — Droit d'appel — Indépendance de la magistrature — L'application de la mauvaise norme de contrôle constitue</w:t>
            </w:r>
            <w:r w:rsidRPr="00F24723">
              <w:rPr>
                <w:sz w:val="20"/>
                <w:lang w:val="fr-CA"/>
              </w:rPr>
              <w:noBreakHyphen/>
              <w:t>t</w:t>
            </w:r>
            <w:r w:rsidRPr="00F24723">
              <w:rPr>
                <w:sz w:val="20"/>
                <w:lang w:val="fr-CA"/>
              </w:rPr>
              <w:noBreakHyphen/>
              <w:t>elle une erreur juridictionnelle? — Les faits et la preuve en l’espèce rendent</w:t>
            </w:r>
            <w:r w:rsidRPr="00F24723">
              <w:rPr>
                <w:sz w:val="20"/>
                <w:lang w:val="fr-CA"/>
              </w:rPr>
              <w:noBreakHyphen/>
              <w:t xml:space="preserve">elles applicable l’arrêt </w:t>
            </w:r>
            <w:r w:rsidRPr="00F24723">
              <w:rPr>
                <w:i/>
                <w:sz w:val="20"/>
                <w:lang w:val="fr-CA"/>
              </w:rPr>
              <w:t>États</w:t>
            </w:r>
            <w:r w:rsidRPr="00F24723">
              <w:rPr>
                <w:i/>
                <w:sz w:val="20"/>
                <w:lang w:val="fr-CA"/>
              </w:rPr>
              <w:noBreakHyphen/>
              <w:t>Unis d’Amérique c. Cobb</w:t>
            </w:r>
            <w:r w:rsidRPr="00F24723">
              <w:rPr>
                <w:sz w:val="20"/>
                <w:lang w:val="fr-CA"/>
              </w:rPr>
              <w:t>, [2001] 1 R.C.S. 587 et font</w:t>
            </w:r>
            <w:r w:rsidRPr="00F24723">
              <w:rPr>
                <w:sz w:val="20"/>
                <w:lang w:val="fr-CA"/>
              </w:rPr>
              <w:noBreakHyphen/>
              <w:t>ils en sorte qu'il y a lieu d'accorder une réparation pour abus de procédure ou pour crainte raisonnable de partialité vu qu’un réexamen de l’affaire est ou semble être impossible?  — L'al. 74</w:t>
            </w:r>
            <w:r w:rsidRPr="00F24723">
              <w:rPr>
                <w:i/>
                <w:sz w:val="20"/>
                <w:lang w:val="fr-CA"/>
              </w:rPr>
              <w:t>d</w:t>
            </w:r>
            <w:r w:rsidRPr="00F24723">
              <w:rPr>
                <w:sz w:val="20"/>
                <w:lang w:val="fr-CA"/>
              </w:rPr>
              <w:t>) de la</w:t>
            </w:r>
            <w:r w:rsidRPr="00F24723">
              <w:rPr>
                <w:i/>
                <w:sz w:val="20"/>
                <w:lang w:val="fr-CA"/>
              </w:rPr>
              <w:t xml:space="preserve"> Loi sur l'immigration et la protection des réfugiés</w:t>
            </w:r>
            <w:r w:rsidRPr="00F24723">
              <w:rPr>
                <w:sz w:val="20"/>
                <w:lang w:val="fr-CA"/>
              </w:rPr>
              <w:t>, L.C. 2001, ch. 27 porte</w:t>
            </w:r>
            <w:r w:rsidRPr="00F24723">
              <w:rPr>
                <w:sz w:val="20"/>
                <w:lang w:val="fr-CA"/>
              </w:rPr>
              <w:noBreakHyphen/>
              <w:t>t</w:t>
            </w:r>
            <w:r w:rsidRPr="00F24723">
              <w:rPr>
                <w:sz w:val="20"/>
                <w:lang w:val="fr-CA"/>
              </w:rPr>
              <w:noBreakHyphen/>
              <w:t>il atteint à l'indépendance de la magistrature? — Les erreurs de la Cour d'appel constituent</w:t>
            </w:r>
            <w:r w:rsidRPr="00F24723">
              <w:rPr>
                <w:sz w:val="20"/>
                <w:lang w:val="fr-CA"/>
              </w:rPr>
              <w:noBreakHyphen/>
              <w:t>elles des questions d’importance pour le public au sens du par. 40(1) de la</w:t>
            </w:r>
            <w:r w:rsidRPr="00F24723">
              <w:rPr>
                <w:i/>
                <w:sz w:val="20"/>
                <w:lang w:val="fr-CA"/>
              </w:rPr>
              <w:t xml:space="preserve"> Loi sur la Cour suprême</w:t>
            </w:r>
            <w:r w:rsidRPr="00F24723">
              <w:rPr>
                <w:sz w:val="20"/>
                <w:lang w:val="fr-CA"/>
              </w:rPr>
              <w:t>?</w:t>
            </w:r>
          </w:p>
        </w:tc>
      </w:tr>
      <w:tr w:rsidR="004008A0" w:rsidRPr="00B36F35" w:rsidTr="00936316">
        <w:tc>
          <w:tcPr>
            <w:tcW w:w="5000" w:type="pct"/>
            <w:gridSpan w:val="3"/>
          </w:tcPr>
          <w:p w:rsidR="004008A0" w:rsidRPr="00F24723" w:rsidRDefault="004008A0" w:rsidP="00936316">
            <w:pPr>
              <w:jc w:val="both"/>
              <w:rPr>
                <w:sz w:val="20"/>
                <w:lang w:val="fr-CA"/>
              </w:rPr>
            </w:pPr>
          </w:p>
        </w:tc>
      </w:tr>
      <w:tr w:rsidR="004008A0" w:rsidRPr="00B36F35" w:rsidTr="00936316">
        <w:tc>
          <w:tcPr>
            <w:tcW w:w="5000" w:type="pct"/>
            <w:gridSpan w:val="3"/>
          </w:tcPr>
          <w:p w:rsidR="004008A0" w:rsidRPr="00F24723" w:rsidRDefault="004008A0" w:rsidP="00936316">
            <w:pPr>
              <w:jc w:val="both"/>
              <w:rPr>
                <w:sz w:val="20"/>
                <w:lang w:val="fr-CA"/>
              </w:rPr>
            </w:pPr>
            <w:r w:rsidRPr="00F24723">
              <w:rPr>
                <w:sz w:val="20"/>
                <w:lang w:val="fr-CA"/>
              </w:rPr>
              <w:t>Monsieur Huntley, un citoyen de race blanche de l’Afrique du Sud, a revendiqué le statut de réfugié en disant craindre d’être victime de discrimination, de harcèlement et peut</w:t>
            </w:r>
            <w:r w:rsidRPr="00F24723">
              <w:rPr>
                <w:sz w:val="20"/>
                <w:lang w:val="fr-CA"/>
              </w:rPr>
              <w:noBreakHyphen/>
              <w:t>être de mort du fait de sa race. Il dit avoir été attaqué et agressé à maintes reprises par des Sud</w:t>
            </w:r>
            <w:r w:rsidRPr="00F24723">
              <w:rPr>
                <w:sz w:val="20"/>
                <w:lang w:val="fr-CA"/>
              </w:rPr>
              <w:noBreakHyphen/>
              <w:t>Africains noirs qui avaient proféré contre lui des insultes racistes. Il est arrivé au Canada muni d’un permis de travail en 2004 et a marié une citoyenne canadienne en 2007. Il y a eu échec du mariage et il a demandé l'asile en 2008.</w:t>
            </w:r>
          </w:p>
          <w:p w:rsidR="004008A0" w:rsidRPr="00F24723" w:rsidRDefault="004008A0" w:rsidP="00936316">
            <w:pPr>
              <w:jc w:val="both"/>
              <w:rPr>
                <w:sz w:val="20"/>
                <w:lang w:val="fr-CA"/>
              </w:rPr>
            </w:pPr>
          </w:p>
          <w:p w:rsidR="004008A0" w:rsidRPr="00F24723" w:rsidRDefault="004008A0" w:rsidP="00936316">
            <w:pPr>
              <w:jc w:val="both"/>
              <w:rPr>
                <w:sz w:val="20"/>
                <w:lang w:val="fr-CA"/>
              </w:rPr>
            </w:pPr>
            <w:r w:rsidRPr="00F24723">
              <w:rPr>
                <w:sz w:val="20"/>
                <w:lang w:val="fr-CA"/>
              </w:rPr>
              <w:t>La Section de la protection des réfugiés de la Commission de l'immigration et du statut de réfugié à reconnu à M. Huntley la qualité de réfugié et qu’il avait raison de craindre d’être persécuté du fait de sa race. Le ministre de la Citoyenneté et de l'Immigration a fait une demande de contrôle judiciaire, qui a été accueillie. Monsieur Huntley a demandé par requête la certification de deux questions en application de la</w:t>
            </w:r>
            <w:r w:rsidRPr="00F24723">
              <w:rPr>
                <w:i/>
                <w:sz w:val="20"/>
                <w:lang w:val="fr-CA"/>
              </w:rPr>
              <w:t xml:space="preserve"> Loi sur l'immigration et la protection des réfugiés</w:t>
            </w:r>
            <w:r w:rsidRPr="00F24723">
              <w:rPr>
                <w:sz w:val="20"/>
                <w:lang w:val="fr-CA"/>
              </w:rPr>
              <w:t>, L.C. 2001, ch. 27, al. 74</w:t>
            </w:r>
            <w:r w:rsidRPr="00F24723">
              <w:rPr>
                <w:i/>
                <w:sz w:val="20"/>
                <w:lang w:val="fr-CA"/>
              </w:rPr>
              <w:t>d</w:t>
            </w:r>
            <w:r w:rsidRPr="00F24723">
              <w:rPr>
                <w:sz w:val="20"/>
                <w:lang w:val="fr-CA"/>
              </w:rPr>
              <w:t>). Le juge a refusé de les certifier et un appel de cette décision a été rejeté.</w:t>
            </w:r>
          </w:p>
          <w:p w:rsidR="004008A0" w:rsidRPr="00F24723" w:rsidRDefault="004008A0" w:rsidP="00936316">
            <w:pPr>
              <w:jc w:val="both"/>
              <w:rPr>
                <w:sz w:val="20"/>
                <w:lang w:val="fr-CA"/>
              </w:rPr>
            </w:pPr>
          </w:p>
        </w:tc>
      </w:tr>
      <w:tr w:rsidR="004008A0" w:rsidRPr="00B36F35" w:rsidTr="00936316">
        <w:tc>
          <w:tcPr>
            <w:tcW w:w="2427" w:type="pct"/>
          </w:tcPr>
          <w:p w:rsidR="004008A0" w:rsidRPr="00F24723" w:rsidRDefault="004008A0" w:rsidP="00936316">
            <w:pPr>
              <w:jc w:val="both"/>
              <w:rPr>
                <w:sz w:val="20"/>
                <w:lang w:val="fr-CA"/>
              </w:rPr>
            </w:pPr>
            <w:r w:rsidRPr="00F24723">
              <w:rPr>
                <w:sz w:val="20"/>
                <w:lang w:val="fr-CA"/>
              </w:rPr>
              <w:t>24 novembre 2010</w:t>
            </w:r>
          </w:p>
          <w:p w:rsidR="004008A0" w:rsidRPr="00F24723" w:rsidRDefault="004008A0" w:rsidP="00936316">
            <w:pPr>
              <w:jc w:val="both"/>
              <w:rPr>
                <w:sz w:val="20"/>
                <w:lang w:val="fr-CA"/>
              </w:rPr>
            </w:pPr>
            <w:r w:rsidRPr="00F24723">
              <w:rPr>
                <w:sz w:val="20"/>
                <w:lang w:val="fr-CA"/>
              </w:rPr>
              <w:t xml:space="preserve">Cour fédérale </w:t>
            </w:r>
          </w:p>
          <w:p w:rsidR="004008A0" w:rsidRPr="00F24723" w:rsidRDefault="004008A0" w:rsidP="00936316">
            <w:pPr>
              <w:jc w:val="both"/>
              <w:rPr>
                <w:sz w:val="20"/>
                <w:lang w:val="fr-CA"/>
              </w:rPr>
            </w:pPr>
            <w:r w:rsidRPr="00F24723">
              <w:rPr>
                <w:sz w:val="20"/>
                <w:lang w:val="fr-CA"/>
              </w:rPr>
              <w:t>(Juge Russell)</w:t>
            </w:r>
          </w:p>
          <w:p w:rsidR="004008A0" w:rsidRPr="00F24723" w:rsidRDefault="004008A0" w:rsidP="00936316">
            <w:pPr>
              <w:jc w:val="both"/>
              <w:rPr>
                <w:sz w:val="20"/>
                <w:lang w:val="fr-CA"/>
              </w:rPr>
            </w:pPr>
            <w:r w:rsidRPr="00F24723">
              <w:rPr>
                <w:sz w:val="20"/>
                <w:lang w:val="fr-CA"/>
              </w:rPr>
              <w:t>2010 FC 1175</w:t>
            </w:r>
          </w:p>
          <w:p w:rsidR="004008A0" w:rsidRPr="00F24723" w:rsidRDefault="004008A0" w:rsidP="00936316">
            <w:pPr>
              <w:jc w:val="both"/>
              <w:rPr>
                <w:sz w:val="20"/>
                <w:lang w:val="fr-CA"/>
              </w:rPr>
            </w:pPr>
          </w:p>
        </w:tc>
        <w:tc>
          <w:tcPr>
            <w:tcW w:w="243" w:type="pct"/>
          </w:tcPr>
          <w:p w:rsidR="004008A0" w:rsidRPr="00F24723" w:rsidRDefault="004008A0" w:rsidP="00936316">
            <w:pPr>
              <w:jc w:val="both"/>
              <w:rPr>
                <w:sz w:val="20"/>
                <w:lang w:val="fr-CA"/>
              </w:rPr>
            </w:pPr>
          </w:p>
        </w:tc>
        <w:tc>
          <w:tcPr>
            <w:tcW w:w="2330" w:type="pct"/>
          </w:tcPr>
          <w:p w:rsidR="004008A0" w:rsidRPr="00F24723" w:rsidRDefault="004008A0" w:rsidP="00936316">
            <w:pPr>
              <w:jc w:val="both"/>
              <w:rPr>
                <w:sz w:val="20"/>
                <w:lang w:val="fr-CA"/>
              </w:rPr>
            </w:pPr>
            <w:r w:rsidRPr="00F24723">
              <w:rPr>
                <w:sz w:val="20"/>
                <w:lang w:val="fr-CA"/>
              </w:rPr>
              <w:t>Demande de contrôle judiciaire, accueillie; requête en certification de questions, rejetée avec dépens</w:t>
            </w:r>
          </w:p>
        </w:tc>
      </w:tr>
      <w:tr w:rsidR="004008A0" w:rsidRPr="00F24723" w:rsidTr="00936316">
        <w:tc>
          <w:tcPr>
            <w:tcW w:w="2427" w:type="pct"/>
          </w:tcPr>
          <w:p w:rsidR="004008A0" w:rsidRPr="00F24723" w:rsidRDefault="004008A0" w:rsidP="00936316">
            <w:pPr>
              <w:jc w:val="both"/>
              <w:rPr>
                <w:sz w:val="20"/>
                <w:lang w:val="fr-CA"/>
              </w:rPr>
            </w:pPr>
            <w:r w:rsidRPr="00F24723">
              <w:rPr>
                <w:sz w:val="20"/>
                <w:lang w:val="fr-CA"/>
              </w:rPr>
              <w:t>3 octobre 2011</w:t>
            </w:r>
          </w:p>
          <w:p w:rsidR="004008A0" w:rsidRPr="00F24723" w:rsidRDefault="004008A0" w:rsidP="00936316">
            <w:pPr>
              <w:jc w:val="both"/>
              <w:rPr>
                <w:sz w:val="20"/>
                <w:lang w:val="fr-CA"/>
              </w:rPr>
            </w:pPr>
            <w:r w:rsidRPr="00F24723">
              <w:rPr>
                <w:sz w:val="20"/>
                <w:lang w:val="fr-CA"/>
              </w:rPr>
              <w:t xml:space="preserve">Cour d'appel fédérale </w:t>
            </w:r>
          </w:p>
          <w:p w:rsidR="004008A0" w:rsidRPr="00F24723" w:rsidRDefault="004008A0" w:rsidP="00936316">
            <w:pPr>
              <w:jc w:val="both"/>
              <w:rPr>
                <w:sz w:val="20"/>
                <w:lang w:val="fr-CA"/>
              </w:rPr>
            </w:pPr>
            <w:r w:rsidRPr="00F24723">
              <w:rPr>
                <w:sz w:val="20"/>
                <w:lang w:val="fr-CA"/>
              </w:rPr>
              <w:t>(Juges Sexton, Evans et Stratas)</w:t>
            </w:r>
          </w:p>
          <w:p w:rsidR="004008A0" w:rsidRPr="00F24723" w:rsidRDefault="004008A0" w:rsidP="00081381">
            <w:pPr>
              <w:jc w:val="both"/>
              <w:rPr>
                <w:sz w:val="20"/>
                <w:lang w:val="fr-CA"/>
              </w:rPr>
            </w:pPr>
            <w:r w:rsidRPr="00F24723">
              <w:rPr>
                <w:sz w:val="20"/>
                <w:lang w:val="fr-CA"/>
              </w:rPr>
              <w:t>2011 FCA 273</w:t>
            </w:r>
          </w:p>
        </w:tc>
        <w:tc>
          <w:tcPr>
            <w:tcW w:w="243" w:type="pct"/>
          </w:tcPr>
          <w:p w:rsidR="004008A0" w:rsidRPr="00F24723" w:rsidRDefault="004008A0" w:rsidP="00936316">
            <w:pPr>
              <w:jc w:val="both"/>
              <w:rPr>
                <w:sz w:val="20"/>
                <w:lang w:val="fr-CA"/>
              </w:rPr>
            </w:pPr>
          </w:p>
        </w:tc>
        <w:tc>
          <w:tcPr>
            <w:tcW w:w="2330" w:type="pct"/>
          </w:tcPr>
          <w:p w:rsidR="004008A0" w:rsidRPr="00F24723" w:rsidRDefault="004008A0" w:rsidP="00936316">
            <w:pPr>
              <w:jc w:val="both"/>
              <w:rPr>
                <w:sz w:val="20"/>
                <w:lang w:val="fr-CA"/>
              </w:rPr>
            </w:pPr>
            <w:r w:rsidRPr="00F24723">
              <w:rPr>
                <w:sz w:val="20"/>
                <w:lang w:val="fr-CA"/>
              </w:rPr>
              <w:t>Appel rejeté</w:t>
            </w:r>
          </w:p>
        </w:tc>
      </w:tr>
    </w:tbl>
    <w:p w:rsidR="00081381" w:rsidRDefault="00081381"/>
    <w:p w:rsidR="00081381" w:rsidRDefault="00081381">
      <w:r>
        <w:br w:type="page"/>
      </w:r>
    </w:p>
    <w:tbl>
      <w:tblPr>
        <w:tblW w:w="4952" w:type="pct"/>
        <w:tblLayout w:type="fixed"/>
        <w:tblCellMar>
          <w:left w:w="0" w:type="dxa"/>
          <w:bottom w:w="99" w:type="dxa"/>
          <w:right w:w="0" w:type="dxa"/>
        </w:tblCellMar>
        <w:tblLook w:val="00A0"/>
      </w:tblPr>
      <w:tblGrid>
        <w:gridCol w:w="4624"/>
        <w:gridCol w:w="463"/>
        <w:gridCol w:w="4440"/>
      </w:tblGrid>
      <w:tr w:rsidR="004008A0" w:rsidRPr="00F24723" w:rsidTr="00936316">
        <w:tc>
          <w:tcPr>
            <w:tcW w:w="2427" w:type="pct"/>
          </w:tcPr>
          <w:p w:rsidR="004008A0" w:rsidRPr="00F24723" w:rsidRDefault="004008A0" w:rsidP="00936316">
            <w:pPr>
              <w:jc w:val="both"/>
              <w:rPr>
                <w:sz w:val="20"/>
                <w:lang w:val="fr-CA"/>
              </w:rPr>
            </w:pPr>
            <w:r w:rsidRPr="00F24723">
              <w:rPr>
                <w:sz w:val="20"/>
                <w:lang w:val="fr-CA"/>
              </w:rPr>
              <w:lastRenderedPageBreak/>
              <w:t>29 novembre 2011</w:t>
            </w:r>
          </w:p>
          <w:p w:rsidR="004008A0" w:rsidRPr="00F24723" w:rsidRDefault="004008A0" w:rsidP="00936316">
            <w:pPr>
              <w:jc w:val="both"/>
              <w:rPr>
                <w:sz w:val="20"/>
                <w:lang w:val="fr-CA"/>
              </w:rPr>
            </w:pPr>
            <w:r w:rsidRPr="00F24723">
              <w:rPr>
                <w:sz w:val="20"/>
                <w:lang w:val="fr-CA"/>
              </w:rPr>
              <w:t>Cour suprême du Canada</w:t>
            </w:r>
          </w:p>
        </w:tc>
        <w:tc>
          <w:tcPr>
            <w:tcW w:w="243" w:type="pct"/>
          </w:tcPr>
          <w:p w:rsidR="004008A0" w:rsidRPr="00F24723" w:rsidRDefault="004008A0" w:rsidP="00936316">
            <w:pPr>
              <w:jc w:val="both"/>
              <w:rPr>
                <w:sz w:val="20"/>
                <w:lang w:val="fr-CA"/>
              </w:rPr>
            </w:pPr>
          </w:p>
        </w:tc>
        <w:tc>
          <w:tcPr>
            <w:tcW w:w="2330" w:type="pct"/>
          </w:tcPr>
          <w:p w:rsidR="004008A0" w:rsidRPr="00F24723" w:rsidRDefault="004008A0" w:rsidP="00936316">
            <w:pPr>
              <w:jc w:val="both"/>
              <w:rPr>
                <w:sz w:val="20"/>
                <w:lang w:val="fr-CA"/>
              </w:rPr>
            </w:pPr>
            <w:r w:rsidRPr="00F24723">
              <w:rPr>
                <w:sz w:val="20"/>
                <w:lang w:val="fr-CA"/>
              </w:rPr>
              <w:t>Demande d'autorisation d'appel, déposée</w:t>
            </w:r>
          </w:p>
          <w:p w:rsidR="004008A0" w:rsidRPr="00F24723" w:rsidRDefault="004008A0" w:rsidP="00936316">
            <w:pPr>
              <w:jc w:val="both"/>
              <w:rPr>
                <w:sz w:val="20"/>
                <w:lang w:val="fr-CA"/>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67"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81381" w:rsidRPr="00A00637" w:rsidTr="008B3BEA">
        <w:trPr>
          <w:cantSplit/>
        </w:trPr>
        <w:tc>
          <w:tcPr>
            <w:tcW w:w="1458" w:type="dxa"/>
          </w:tcPr>
          <w:p w:rsidR="00081381" w:rsidRPr="00A00637" w:rsidRDefault="00081381" w:rsidP="008B3BEA">
            <w:pPr>
              <w:rPr>
                <w:sz w:val="20"/>
                <w:szCs w:val="20"/>
              </w:rPr>
            </w:pPr>
            <w:r w:rsidRPr="00A00637">
              <w:rPr>
                <w:rStyle w:val="SCCFileNumberChar"/>
                <w:sz w:val="20"/>
                <w:szCs w:val="20"/>
              </w:rPr>
              <w:t>34561</w:t>
            </w:r>
          </w:p>
          <w:p w:rsidR="00081381" w:rsidRPr="00A00637" w:rsidRDefault="00081381" w:rsidP="008B3BEA">
            <w:pPr>
              <w:rPr>
                <w:b/>
                <w:sz w:val="20"/>
                <w:szCs w:val="20"/>
                <w:lang w:val="fr-CA"/>
              </w:rPr>
            </w:pPr>
          </w:p>
        </w:tc>
        <w:tc>
          <w:tcPr>
            <w:tcW w:w="8118" w:type="dxa"/>
          </w:tcPr>
          <w:p w:rsidR="00081381" w:rsidRPr="00A00637" w:rsidRDefault="00081381" w:rsidP="008B3BEA">
            <w:pPr>
              <w:rPr>
                <w:sz w:val="20"/>
                <w:szCs w:val="20"/>
              </w:rPr>
            </w:pPr>
            <w:r w:rsidRPr="00081381">
              <w:rPr>
                <w:rStyle w:val="SCCLsocChar"/>
                <w:sz w:val="20"/>
                <w:szCs w:val="20"/>
                <w:lang w:val="en-CA"/>
              </w:rPr>
              <w:t>Ellen Smith v. Inco Limited</w:t>
            </w:r>
            <w:r w:rsidRPr="00A00637">
              <w:rPr>
                <w:sz w:val="20"/>
                <w:szCs w:val="20"/>
              </w:rPr>
              <w:t xml:space="preserve"> (Ont.) (Civil) (By Leave)</w:t>
            </w:r>
          </w:p>
          <w:p w:rsidR="00081381" w:rsidRPr="00A00637" w:rsidRDefault="00081381" w:rsidP="008B3BEA">
            <w:pPr>
              <w:rPr>
                <w:sz w:val="20"/>
                <w:szCs w:val="20"/>
              </w:rPr>
            </w:pPr>
          </w:p>
        </w:tc>
      </w:tr>
      <w:tr w:rsidR="00081381" w:rsidRPr="00A00637" w:rsidTr="008B3BEA">
        <w:trPr>
          <w:cantSplit/>
        </w:trPr>
        <w:tc>
          <w:tcPr>
            <w:tcW w:w="1458" w:type="dxa"/>
          </w:tcPr>
          <w:p w:rsidR="00081381" w:rsidRPr="00A00637" w:rsidRDefault="00081381" w:rsidP="008B3BEA">
            <w:pPr>
              <w:rPr>
                <w:sz w:val="20"/>
                <w:szCs w:val="20"/>
              </w:rPr>
            </w:pPr>
            <w:r w:rsidRPr="00A00637">
              <w:rPr>
                <w:sz w:val="20"/>
                <w:szCs w:val="20"/>
              </w:rPr>
              <w:t>Coram :</w:t>
            </w:r>
          </w:p>
        </w:tc>
        <w:tc>
          <w:tcPr>
            <w:tcW w:w="8118" w:type="dxa"/>
          </w:tcPr>
          <w:p w:rsidR="00081381" w:rsidRPr="00A00637" w:rsidRDefault="00081381" w:rsidP="008B3BEA">
            <w:pPr>
              <w:rPr>
                <w:sz w:val="20"/>
                <w:szCs w:val="20"/>
              </w:rPr>
            </w:pPr>
            <w:r w:rsidRPr="00081381">
              <w:rPr>
                <w:rStyle w:val="SCCCoramChar"/>
                <w:sz w:val="20"/>
                <w:szCs w:val="20"/>
                <w:lang w:val="en-CA"/>
              </w:rPr>
              <w:t>McLachlin C.J. and Rothstein and Moldaver JJ.</w:t>
            </w:r>
          </w:p>
          <w:p w:rsidR="00081381" w:rsidRPr="00A00637" w:rsidRDefault="00081381" w:rsidP="008B3BEA">
            <w:pPr>
              <w:rPr>
                <w:sz w:val="20"/>
                <w:szCs w:val="20"/>
                <w:u w:val="single"/>
              </w:rPr>
            </w:pPr>
          </w:p>
        </w:tc>
      </w:tr>
      <w:tr w:rsidR="00081381" w:rsidRPr="00B36F35" w:rsidTr="008B3BEA">
        <w:trPr>
          <w:cantSplit/>
        </w:trPr>
        <w:tc>
          <w:tcPr>
            <w:tcW w:w="9576" w:type="dxa"/>
            <w:gridSpan w:val="2"/>
          </w:tcPr>
          <w:p w:rsidR="00081381" w:rsidRPr="00A00637" w:rsidRDefault="00081381" w:rsidP="008B3BEA">
            <w:pPr>
              <w:pStyle w:val="SCCShortJudgment"/>
              <w:rPr>
                <w:szCs w:val="20"/>
              </w:rPr>
            </w:pPr>
            <w:r w:rsidRPr="00A00637">
              <w:rPr>
                <w:szCs w:val="20"/>
              </w:rPr>
              <w:t>The application for leave to appeal from the judgment of the Court of Appeal for Ontario, Number C52491, 2011 ONCA 628, dated October 7, 2011, is dismissed with costs.</w:t>
            </w:r>
          </w:p>
          <w:p w:rsidR="00081381" w:rsidRPr="00A00637" w:rsidRDefault="00081381" w:rsidP="008B3BEA">
            <w:pPr>
              <w:pStyle w:val="SCCShortJudgment"/>
              <w:ind w:firstLine="0"/>
              <w:rPr>
                <w:szCs w:val="20"/>
              </w:rPr>
            </w:pPr>
          </w:p>
          <w:p w:rsidR="00081381" w:rsidRPr="00A00637" w:rsidRDefault="00081381" w:rsidP="008B3BEA">
            <w:pPr>
              <w:pStyle w:val="SCCShortJudgment"/>
              <w:rPr>
                <w:szCs w:val="20"/>
                <w:lang w:val="fr-CA"/>
              </w:rPr>
            </w:pPr>
            <w:r w:rsidRPr="00A00637">
              <w:rPr>
                <w:szCs w:val="20"/>
                <w:lang w:val="fr-CA"/>
              </w:rPr>
              <w:t>La demande d’autorisation d’appel de l’arrêt de la Cour d’appel de l’Ontario, numéro C52491, 2011 ONCA 628, daté du 7 octobre 2011, est rejetée avec dépens.</w:t>
            </w:r>
          </w:p>
        </w:tc>
      </w:tr>
    </w:tbl>
    <w:p w:rsidR="001823C0" w:rsidRPr="00081381"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5000" w:type="pct"/>
        <w:tblLayout w:type="fixed"/>
        <w:tblCellMar>
          <w:left w:w="0" w:type="dxa"/>
          <w:bottom w:w="99" w:type="dxa"/>
          <w:right w:w="0" w:type="dxa"/>
        </w:tblCellMar>
        <w:tblLook w:val="04A0"/>
      </w:tblPr>
      <w:tblGrid>
        <w:gridCol w:w="4553"/>
        <w:gridCol w:w="514"/>
        <w:gridCol w:w="4552"/>
      </w:tblGrid>
      <w:tr w:rsidR="004008A0" w:rsidRPr="00F24723" w:rsidTr="00936316">
        <w:tc>
          <w:tcPr>
            <w:tcW w:w="5000" w:type="pct"/>
            <w:gridSpan w:val="3"/>
          </w:tcPr>
          <w:p w:rsidR="004008A0" w:rsidRPr="00F24723" w:rsidRDefault="004008A0" w:rsidP="00936316">
            <w:pPr>
              <w:jc w:val="both"/>
              <w:rPr>
                <w:rFonts w:eastAsia="Calibri"/>
                <w:sz w:val="20"/>
              </w:rPr>
            </w:pPr>
            <w:r w:rsidRPr="00F24723">
              <w:rPr>
                <w:rFonts w:eastAsia="Calibri"/>
                <w:sz w:val="20"/>
              </w:rPr>
              <w:t>Torts – Nuisance – Damages – Scope and limits on environmental damages – Liability for environmental pollution or contamination of land – Threshold for tort of nuisance or strict liability for contamination of land – Whether the notion of non-natural usage of land should occupy a place in a common law strict liability analysis – Whether the common law should be subordinate to the environmental statutory standard for liability for contamination – The level at which chemical airborne emissions or soil depositions become actionable by a private property owner – Whether contamination and concomitant property devaluation constitutes physical damage to land – Whether stigma attaching to private contaminated lands is a recognizable head of damage and compensable based on restoration of land to regulatory standards or pristine condition – The interface between property law, tort law and environmental law.</w:t>
            </w:r>
          </w:p>
        </w:tc>
      </w:tr>
      <w:tr w:rsidR="004008A0" w:rsidRPr="00F24723" w:rsidTr="00936316">
        <w:tc>
          <w:tcPr>
            <w:tcW w:w="5000" w:type="pct"/>
            <w:gridSpan w:val="3"/>
          </w:tcPr>
          <w:p w:rsidR="004008A0" w:rsidRPr="00F24723" w:rsidRDefault="004008A0" w:rsidP="00936316">
            <w:pPr>
              <w:jc w:val="both"/>
              <w:rPr>
                <w:rFonts w:eastAsia="Calibri"/>
                <w:sz w:val="20"/>
              </w:rPr>
            </w:pPr>
          </w:p>
        </w:tc>
      </w:tr>
      <w:tr w:rsidR="004008A0" w:rsidRPr="00F24723" w:rsidTr="00936316">
        <w:tc>
          <w:tcPr>
            <w:tcW w:w="5000" w:type="pct"/>
            <w:gridSpan w:val="3"/>
          </w:tcPr>
          <w:p w:rsidR="004008A0" w:rsidRPr="00F24723" w:rsidRDefault="004008A0" w:rsidP="00936316">
            <w:pPr>
              <w:jc w:val="both"/>
              <w:rPr>
                <w:rFonts w:eastAsia="Calibri"/>
                <w:sz w:val="20"/>
              </w:rPr>
            </w:pPr>
            <w:r w:rsidRPr="00F24723">
              <w:rPr>
                <w:rFonts w:eastAsia="Calibri"/>
                <w:sz w:val="20"/>
              </w:rPr>
              <w:t>Inco operated a nickel refinery in Port Colborne from 1918 to 1984 that emitted nickel into the air.  The nickel was deposited in varying amounts in the soil of many properties located within several miles of the refinery.  Class action litigation was commenced on behalf of persons who have, since September 2000, owned residential property within the affected area. The issue at trial was whether Inco was liable for damages for alleged devaluations of real property values caused by nickel contamination of soil.  The claim alleged that property values in the affected area did not increase at the same rate as nearby, comparable, non-contaminated property values because of reasonable, widespread, public health concerns over the nickel deposits.</w:t>
            </w:r>
          </w:p>
          <w:p w:rsidR="004008A0" w:rsidRPr="00F24723" w:rsidRDefault="004008A0" w:rsidP="00936316">
            <w:pPr>
              <w:jc w:val="both"/>
              <w:rPr>
                <w:rFonts w:eastAsia="Calibri"/>
                <w:sz w:val="20"/>
              </w:rPr>
            </w:pPr>
          </w:p>
        </w:tc>
      </w:tr>
      <w:tr w:rsidR="004008A0" w:rsidRPr="00F24723" w:rsidTr="00936316">
        <w:tblPrEx>
          <w:tblCellMar>
            <w:bottom w:w="0" w:type="dxa"/>
          </w:tblCellMar>
        </w:tblPrEx>
        <w:tc>
          <w:tcPr>
            <w:tcW w:w="2367" w:type="pct"/>
          </w:tcPr>
          <w:p w:rsidR="004008A0" w:rsidRPr="00F24723" w:rsidRDefault="004008A0" w:rsidP="00936316">
            <w:pPr>
              <w:jc w:val="both"/>
              <w:rPr>
                <w:rFonts w:eastAsia="Calibri"/>
                <w:sz w:val="20"/>
              </w:rPr>
            </w:pPr>
            <w:r w:rsidRPr="00F24723">
              <w:rPr>
                <w:rFonts w:eastAsia="Calibri"/>
                <w:sz w:val="20"/>
              </w:rPr>
              <w:t>July 6, 2010</w:t>
            </w:r>
          </w:p>
          <w:p w:rsidR="004008A0" w:rsidRPr="00F24723" w:rsidRDefault="004008A0" w:rsidP="00936316">
            <w:pPr>
              <w:jc w:val="both"/>
              <w:rPr>
                <w:rFonts w:eastAsia="Calibri"/>
                <w:sz w:val="20"/>
              </w:rPr>
            </w:pPr>
            <w:r w:rsidRPr="00F24723">
              <w:rPr>
                <w:rFonts w:eastAsia="Calibri"/>
                <w:sz w:val="20"/>
              </w:rPr>
              <w:t>Ontario Superior Court of Justice</w:t>
            </w:r>
          </w:p>
          <w:p w:rsidR="004008A0" w:rsidRPr="00F24723" w:rsidRDefault="004008A0" w:rsidP="00936316">
            <w:pPr>
              <w:jc w:val="both"/>
              <w:rPr>
                <w:rFonts w:eastAsia="Calibri"/>
                <w:sz w:val="20"/>
              </w:rPr>
            </w:pPr>
            <w:r w:rsidRPr="00F24723">
              <w:rPr>
                <w:rFonts w:eastAsia="Calibri"/>
                <w:sz w:val="20"/>
              </w:rPr>
              <w:t>(Henderson J.)</w:t>
            </w:r>
          </w:p>
          <w:p w:rsidR="004008A0" w:rsidRPr="00F24723" w:rsidRDefault="004008A0" w:rsidP="00936316">
            <w:pPr>
              <w:jc w:val="both"/>
              <w:rPr>
                <w:rFonts w:eastAsia="Calibri"/>
                <w:sz w:val="20"/>
              </w:rPr>
            </w:pPr>
            <w:r w:rsidRPr="00F24723">
              <w:rPr>
                <w:rFonts w:eastAsia="Calibri"/>
                <w:sz w:val="20"/>
              </w:rPr>
              <w:t>2010 ONSC 3790</w:t>
            </w:r>
          </w:p>
        </w:tc>
        <w:tc>
          <w:tcPr>
            <w:tcW w:w="267" w:type="pct"/>
          </w:tcPr>
          <w:p w:rsidR="004008A0" w:rsidRPr="00F24723" w:rsidRDefault="004008A0" w:rsidP="00936316">
            <w:pPr>
              <w:jc w:val="both"/>
              <w:rPr>
                <w:rFonts w:eastAsia="Calibri"/>
                <w:sz w:val="20"/>
              </w:rPr>
            </w:pPr>
          </w:p>
        </w:tc>
        <w:tc>
          <w:tcPr>
            <w:tcW w:w="2366" w:type="pct"/>
          </w:tcPr>
          <w:p w:rsidR="004008A0" w:rsidRPr="00F24723" w:rsidRDefault="004008A0" w:rsidP="00936316">
            <w:pPr>
              <w:jc w:val="both"/>
              <w:rPr>
                <w:rFonts w:eastAsia="Calibri"/>
                <w:sz w:val="20"/>
              </w:rPr>
            </w:pPr>
            <w:r w:rsidRPr="00F24723">
              <w:rPr>
                <w:rFonts w:eastAsia="Calibri"/>
                <w:sz w:val="20"/>
              </w:rPr>
              <w:t xml:space="preserve">Certified common issues in class proceeding answered; Respondent found liable under doctrines of strict liability and private nuisance for damage to class members’ real property; Damages of $36 million awarded </w:t>
            </w:r>
          </w:p>
          <w:p w:rsidR="004008A0" w:rsidRPr="00F24723" w:rsidRDefault="004008A0" w:rsidP="00936316">
            <w:pPr>
              <w:jc w:val="both"/>
              <w:rPr>
                <w:rFonts w:eastAsia="Calibri"/>
                <w:sz w:val="20"/>
              </w:rPr>
            </w:pPr>
          </w:p>
        </w:tc>
      </w:tr>
      <w:tr w:rsidR="004008A0" w:rsidRPr="00F24723" w:rsidTr="00936316">
        <w:tblPrEx>
          <w:tblCellMar>
            <w:bottom w:w="0" w:type="dxa"/>
          </w:tblCellMar>
        </w:tblPrEx>
        <w:tc>
          <w:tcPr>
            <w:tcW w:w="2367" w:type="pct"/>
          </w:tcPr>
          <w:p w:rsidR="004008A0" w:rsidRPr="00F24723" w:rsidRDefault="004008A0" w:rsidP="00936316">
            <w:pPr>
              <w:jc w:val="both"/>
              <w:rPr>
                <w:rFonts w:eastAsia="Calibri"/>
                <w:sz w:val="20"/>
              </w:rPr>
            </w:pPr>
            <w:r w:rsidRPr="00F24723">
              <w:rPr>
                <w:rFonts w:eastAsia="Calibri"/>
                <w:sz w:val="20"/>
              </w:rPr>
              <w:t>October 7, 2011</w:t>
            </w:r>
          </w:p>
          <w:p w:rsidR="004008A0" w:rsidRPr="00F24723" w:rsidRDefault="004008A0" w:rsidP="00936316">
            <w:pPr>
              <w:jc w:val="both"/>
              <w:rPr>
                <w:rFonts w:eastAsia="Calibri"/>
                <w:sz w:val="20"/>
              </w:rPr>
            </w:pPr>
            <w:r w:rsidRPr="00F24723">
              <w:rPr>
                <w:rFonts w:eastAsia="Calibri"/>
                <w:sz w:val="20"/>
              </w:rPr>
              <w:t>Court of Appeal for Ontario</w:t>
            </w:r>
          </w:p>
          <w:p w:rsidR="004008A0" w:rsidRPr="00F24723" w:rsidRDefault="004008A0" w:rsidP="00936316">
            <w:pPr>
              <w:jc w:val="both"/>
              <w:rPr>
                <w:rFonts w:eastAsia="Calibri"/>
                <w:sz w:val="20"/>
              </w:rPr>
            </w:pPr>
            <w:r w:rsidRPr="00F24723">
              <w:rPr>
                <w:rFonts w:eastAsia="Calibri"/>
                <w:sz w:val="20"/>
              </w:rPr>
              <w:t>(Doherty, MacFarland, Hoy JJ.A.)</w:t>
            </w:r>
          </w:p>
          <w:p w:rsidR="004008A0" w:rsidRPr="00F24723" w:rsidRDefault="004008A0" w:rsidP="00936316">
            <w:pPr>
              <w:jc w:val="both"/>
              <w:rPr>
                <w:rFonts w:eastAsia="Calibri"/>
                <w:sz w:val="20"/>
              </w:rPr>
            </w:pPr>
            <w:r w:rsidRPr="00F24723">
              <w:rPr>
                <w:rFonts w:eastAsia="Calibri"/>
                <w:sz w:val="20"/>
              </w:rPr>
              <w:t>2011 ONCA 628</w:t>
            </w:r>
          </w:p>
          <w:p w:rsidR="004008A0" w:rsidRPr="00F24723" w:rsidRDefault="004008A0" w:rsidP="00936316">
            <w:pPr>
              <w:jc w:val="both"/>
              <w:rPr>
                <w:rFonts w:eastAsia="Calibri"/>
                <w:sz w:val="20"/>
              </w:rPr>
            </w:pPr>
          </w:p>
        </w:tc>
        <w:tc>
          <w:tcPr>
            <w:tcW w:w="267" w:type="pct"/>
          </w:tcPr>
          <w:p w:rsidR="004008A0" w:rsidRPr="00F24723" w:rsidRDefault="004008A0" w:rsidP="00936316">
            <w:pPr>
              <w:jc w:val="both"/>
              <w:rPr>
                <w:rFonts w:eastAsia="Calibri"/>
                <w:sz w:val="20"/>
              </w:rPr>
            </w:pPr>
          </w:p>
        </w:tc>
        <w:tc>
          <w:tcPr>
            <w:tcW w:w="2366" w:type="pct"/>
          </w:tcPr>
          <w:p w:rsidR="004008A0" w:rsidRPr="00F24723" w:rsidRDefault="004008A0" w:rsidP="00936316">
            <w:pPr>
              <w:jc w:val="both"/>
              <w:rPr>
                <w:rFonts w:eastAsia="Calibri"/>
                <w:sz w:val="20"/>
              </w:rPr>
            </w:pPr>
            <w:r w:rsidRPr="00F24723">
              <w:rPr>
                <w:rFonts w:eastAsia="Calibri"/>
                <w:sz w:val="20"/>
              </w:rPr>
              <w:t>Appeal allowed, class proceeding dismissed</w:t>
            </w:r>
          </w:p>
        </w:tc>
      </w:tr>
      <w:tr w:rsidR="004008A0" w:rsidRPr="00F24723" w:rsidTr="00936316">
        <w:tblPrEx>
          <w:tblCellMar>
            <w:bottom w:w="0" w:type="dxa"/>
          </w:tblCellMar>
        </w:tblPrEx>
        <w:tc>
          <w:tcPr>
            <w:tcW w:w="2367" w:type="pct"/>
          </w:tcPr>
          <w:p w:rsidR="004008A0" w:rsidRPr="00F24723" w:rsidRDefault="004008A0" w:rsidP="00936316">
            <w:pPr>
              <w:jc w:val="both"/>
              <w:rPr>
                <w:rFonts w:eastAsia="Calibri"/>
                <w:sz w:val="20"/>
              </w:rPr>
            </w:pPr>
            <w:r w:rsidRPr="00F24723">
              <w:rPr>
                <w:rFonts w:eastAsia="Calibri"/>
                <w:sz w:val="20"/>
              </w:rPr>
              <w:t>December 5, 2011</w:t>
            </w:r>
          </w:p>
          <w:p w:rsidR="004008A0" w:rsidRPr="00F24723" w:rsidRDefault="004008A0" w:rsidP="00936316">
            <w:pPr>
              <w:jc w:val="both"/>
              <w:rPr>
                <w:rFonts w:eastAsia="Calibri"/>
                <w:sz w:val="20"/>
              </w:rPr>
            </w:pPr>
            <w:r w:rsidRPr="00F24723">
              <w:rPr>
                <w:rFonts w:eastAsia="Calibri"/>
                <w:sz w:val="20"/>
              </w:rPr>
              <w:t>Supreme Court of Canada</w:t>
            </w:r>
          </w:p>
        </w:tc>
        <w:tc>
          <w:tcPr>
            <w:tcW w:w="267" w:type="pct"/>
          </w:tcPr>
          <w:p w:rsidR="004008A0" w:rsidRPr="00F24723" w:rsidRDefault="004008A0" w:rsidP="00936316">
            <w:pPr>
              <w:jc w:val="both"/>
              <w:rPr>
                <w:rFonts w:eastAsia="Calibri"/>
                <w:sz w:val="20"/>
              </w:rPr>
            </w:pPr>
          </w:p>
        </w:tc>
        <w:tc>
          <w:tcPr>
            <w:tcW w:w="2366" w:type="pct"/>
          </w:tcPr>
          <w:p w:rsidR="004008A0" w:rsidRPr="00F24723" w:rsidRDefault="004008A0" w:rsidP="00936316">
            <w:pPr>
              <w:jc w:val="both"/>
              <w:rPr>
                <w:rFonts w:eastAsia="Calibri"/>
                <w:sz w:val="20"/>
              </w:rPr>
            </w:pPr>
            <w:r w:rsidRPr="00F24723">
              <w:rPr>
                <w:rFonts w:eastAsia="Calibri"/>
                <w:sz w:val="20"/>
              </w:rPr>
              <w:t>Application for leave to appeal filed</w:t>
            </w:r>
          </w:p>
          <w:p w:rsidR="004008A0" w:rsidRPr="00F24723" w:rsidRDefault="004008A0"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68" style="width:2in;height:1pt" o:hrpct="0" o:hralign="center" o:hrstd="t" o:hrnoshade="t" o:hr="t" fillcolor="black [3213]" stroked="f"/>
        </w:pict>
      </w:r>
    </w:p>
    <w:p w:rsidR="001823C0" w:rsidRDefault="001823C0" w:rsidP="001823C0">
      <w:pPr>
        <w:rPr>
          <w:sz w:val="20"/>
          <w:szCs w:val="20"/>
        </w:rPr>
      </w:pPr>
    </w:p>
    <w:p w:rsidR="00081381" w:rsidRDefault="00081381">
      <w:pPr>
        <w:rPr>
          <w:sz w:val="20"/>
          <w:szCs w:val="20"/>
          <w:u w:val="single"/>
          <w:lang w:val="fr-CA"/>
        </w:rPr>
      </w:pPr>
      <w:r>
        <w:rPr>
          <w:sz w:val="20"/>
          <w:szCs w:val="20"/>
          <w:u w:val="single"/>
          <w:lang w:val="fr-CA"/>
        </w:rPr>
        <w:br w:type="page"/>
      </w:r>
    </w:p>
    <w:p w:rsidR="001823C0" w:rsidRPr="001B157C" w:rsidRDefault="001823C0" w:rsidP="001823C0">
      <w:pPr>
        <w:rPr>
          <w:sz w:val="20"/>
          <w:szCs w:val="20"/>
          <w:u w:val="single"/>
          <w:lang w:val="fr-CA"/>
        </w:rPr>
      </w:pPr>
      <w:r w:rsidRPr="001B157C">
        <w:rPr>
          <w:sz w:val="20"/>
          <w:szCs w:val="20"/>
          <w:u w:val="single"/>
          <w:lang w:val="fr-CA"/>
        </w:rPr>
        <w:lastRenderedPageBreak/>
        <w:t>RÉSUMÉ DE L’AFFAIRE</w:t>
      </w:r>
    </w:p>
    <w:p w:rsidR="001823C0" w:rsidRDefault="001823C0" w:rsidP="001823C0">
      <w:pPr>
        <w:rPr>
          <w:sz w:val="20"/>
          <w:szCs w:val="20"/>
        </w:rPr>
      </w:pPr>
    </w:p>
    <w:tbl>
      <w:tblPr>
        <w:tblW w:w="5000" w:type="pct"/>
        <w:tblLayout w:type="fixed"/>
        <w:tblCellMar>
          <w:left w:w="0" w:type="dxa"/>
          <w:bottom w:w="99" w:type="dxa"/>
          <w:right w:w="0" w:type="dxa"/>
        </w:tblCellMar>
        <w:tblLook w:val="00A0"/>
      </w:tblPr>
      <w:tblGrid>
        <w:gridCol w:w="4553"/>
        <w:gridCol w:w="514"/>
        <w:gridCol w:w="4552"/>
      </w:tblGrid>
      <w:tr w:rsidR="004008A0" w:rsidRPr="00B36F35" w:rsidTr="00936316">
        <w:tc>
          <w:tcPr>
            <w:tcW w:w="5000" w:type="pct"/>
            <w:gridSpan w:val="3"/>
          </w:tcPr>
          <w:p w:rsidR="004008A0" w:rsidRPr="00F24723" w:rsidRDefault="004008A0" w:rsidP="00936316">
            <w:pPr>
              <w:jc w:val="both"/>
              <w:rPr>
                <w:rFonts w:eastAsia="Calibri"/>
                <w:sz w:val="20"/>
                <w:lang w:val="fr-CA"/>
              </w:rPr>
            </w:pPr>
            <w:r w:rsidRPr="00F24723">
              <w:rPr>
                <w:rFonts w:eastAsia="Calibri"/>
                <w:sz w:val="20"/>
                <w:lang w:val="fr-CA"/>
              </w:rPr>
              <w:t>Responsabilité délictuelle – Nuisance – Dommages</w:t>
            </w:r>
            <w:r w:rsidRPr="00F24723">
              <w:rPr>
                <w:rFonts w:eastAsia="Calibri"/>
                <w:sz w:val="20"/>
                <w:lang w:val="fr-CA"/>
              </w:rPr>
              <w:noBreakHyphen/>
              <w:t>intérêts – Portée et limites des dommages environnementaux – Responsabilité pour pollution environnementale ou contamination de terrain – Seuil relatif au délit de nuisance ou à la responsabilité stricte pour contamination de terrain – La notion d'usage non naturel d’un terrain devrait</w:t>
            </w:r>
            <w:r w:rsidRPr="00F24723">
              <w:rPr>
                <w:rFonts w:eastAsia="Calibri"/>
                <w:sz w:val="20"/>
                <w:lang w:val="fr-CA"/>
              </w:rPr>
              <w:noBreakHyphen/>
              <w:t>elle occuper une place dans l'analyse de la responsabilité stricte de common law? – La common law devrait</w:t>
            </w:r>
            <w:r w:rsidRPr="00F24723">
              <w:rPr>
                <w:rFonts w:eastAsia="Calibri"/>
                <w:sz w:val="20"/>
                <w:lang w:val="fr-CA"/>
              </w:rPr>
              <w:noBreakHyphen/>
              <w:t>elle être subordonnée à la norme de responsabilité pour contamination prévue dans les lois sur l'environnement? – Niveau auquel les émissions chimiques dans l'air ou les contaminations du sol donnent matière à des poursuites par des propriétaires privés? – La contamination et la dévaluation de la valeur foncière qui s’ensuit constituent</w:t>
            </w:r>
            <w:r w:rsidRPr="00F24723">
              <w:rPr>
                <w:rFonts w:eastAsia="Calibri"/>
                <w:sz w:val="20"/>
                <w:lang w:val="fr-CA"/>
              </w:rPr>
              <w:noBreakHyphen/>
              <w:t>elles un dommage matériel au bien</w:t>
            </w:r>
            <w:r w:rsidRPr="00F24723">
              <w:rPr>
                <w:rFonts w:eastAsia="Calibri"/>
                <w:sz w:val="20"/>
                <w:lang w:val="fr-CA"/>
              </w:rPr>
              <w:noBreakHyphen/>
              <w:t>fonds? – La mauvaise image rattachée aux terrains privés contaminés est</w:t>
            </w:r>
            <w:r w:rsidRPr="00F24723">
              <w:rPr>
                <w:rFonts w:eastAsia="Calibri"/>
                <w:sz w:val="20"/>
                <w:lang w:val="fr-CA"/>
              </w:rPr>
              <w:noBreakHyphen/>
              <w:t>elle un chef de dommages reconnaissable susceptible d’être indemnisé sur le fondement de la restauration du sol pour qu’il réponde à des normes réglementaires ou qu’il  soit remis dans son état originel? – Interface entre le droit des biens, le droit de la responsabilité délictuelle et le droit de l'environnement.</w:t>
            </w:r>
          </w:p>
        </w:tc>
      </w:tr>
      <w:tr w:rsidR="004008A0" w:rsidRPr="00B36F35" w:rsidTr="00936316">
        <w:tc>
          <w:tcPr>
            <w:tcW w:w="5000" w:type="pct"/>
            <w:gridSpan w:val="3"/>
          </w:tcPr>
          <w:p w:rsidR="004008A0" w:rsidRPr="00F24723" w:rsidRDefault="004008A0" w:rsidP="00936316">
            <w:pPr>
              <w:jc w:val="both"/>
              <w:rPr>
                <w:rFonts w:eastAsia="Calibri"/>
                <w:sz w:val="20"/>
                <w:lang w:val="fr-CA"/>
              </w:rPr>
            </w:pPr>
          </w:p>
        </w:tc>
      </w:tr>
      <w:tr w:rsidR="004008A0" w:rsidRPr="00B36F35" w:rsidTr="00936316">
        <w:tc>
          <w:tcPr>
            <w:tcW w:w="5000" w:type="pct"/>
            <w:gridSpan w:val="3"/>
          </w:tcPr>
          <w:p w:rsidR="004008A0" w:rsidRPr="00F24723" w:rsidRDefault="004008A0" w:rsidP="00936316">
            <w:pPr>
              <w:jc w:val="both"/>
              <w:rPr>
                <w:rFonts w:eastAsia="Calibri"/>
                <w:sz w:val="20"/>
                <w:lang w:val="fr-CA"/>
              </w:rPr>
            </w:pPr>
            <w:r w:rsidRPr="00F24723">
              <w:rPr>
                <w:rFonts w:eastAsia="Calibri"/>
                <w:sz w:val="20"/>
                <w:lang w:val="fr-CA"/>
              </w:rPr>
              <w:t>Inco a exploité une raffinerie de nickel à Port Colborne de 1918 à 1984 qui émettait du nickel dans l'air. Le nickel se déposait en quantités variables dans le sol de plusieurs propriétés situées dans un rayon de plusieurs milles de la raffinerie. Un recours collectif a été intenté au nom des personnes qui, depuis septembre 2000, possédaient des immeubles résidentiels dans la zone touchée. Au procès, la question en litige était de savoir si Inco était responsable des dommages causés par la dévaluation présumée des valeurs foncières réelles causée par la contamination du sol par le nickel. Les demandeurs ont allégué que les valeurs foncières dans la zone touchée n'avaient pas augmenté au même rythme que les valeurs des immeubles comparables non contaminés situés non loin de là en raison d'inquiétudes raisonnables et généralisées d’ordre sanitaire à l'égard des dépôts de nickel.</w:t>
            </w:r>
          </w:p>
          <w:p w:rsidR="004008A0" w:rsidRPr="00F24723" w:rsidRDefault="004008A0" w:rsidP="00936316">
            <w:pPr>
              <w:jc w:val="both"/>
              <w:rPr>
                <w:rFonts w:eastAsia="Calibri"/>
                <w:sz w:val="20"/>
                <w:lang w:val="fr-CA"/>
              </w:rPr>
            </w:pPr>
          </w:p>
        </w:tc>
      </w:tr>
      <w:tr w:rsidR="004008A0" w:rsidRPr="00B36F35" w:rsidTr="00936316">
        <w:tblPrEx>
          <w:tblCellMar>
            <w:bottom w:w="0" w:type="dxa"/>
          </w:tblCellMar>
        </w:tblPrEx>
        <w:tc>
          <w:tcPr>
            <w:tcW w:w="2367" w:type="pct"/>
          </w:tcPr>
          <w:p w:rsidR="004008A0" w:rsidRPr="00F24723" w:rsidRDefault="004008A0" w:rsidP="00936316">
            <w:pPr>
              <w:jc w:val="both"/>
              <w:rPr>
                <w:rFonts w:eastAsia="Calibri"/>
                <w:sz w:val="20"/>
                <w:lang w:val="fr-CA"/>
              </w:rPr>
            </w:pPr>
            <w:r w:rsidRPr="00F24723">
              <w:rPr>
                <w:rFonts w:eastAsia="Calibri"/>
                <w:sz w:val="20"/>
                <w:lang w:val="fr-CA"/>
              </w:rPr>
              <w:t>6 juillet 2010</w:t>
            </w:r>
          </w:p>
          <w:p w:rsidR="004008A0" w:rsidRPr="00F24723" w:rsidRDefault="004008A0" w:rsidP="00936316">
            <w:pPr>
              <w:jc w:val="both"/>
              <w:rPr>
                <w:rFonts w:eastAsia="Calibri"/>
                <w:sz w:val="20"/>
                <w:lang w:val="fr-CA"/>
              </w:rPr>
            </w:pPr>
            <w:r w:rsidRPr="00F24723">
              <w:rPr>
                <w:rFonts w:eastAsia="Calibri"/>
                <w:sz w:val="20"/>
                <w:lang w:val="fr-CA"/>
              </w:rPr>
              <w:t xml:space="preserve">Cour supérieure de justice de l'Ontario </w:t>
            </w:r>
          </w:p>
          <w:p w:rsidR="004008A0" w:rsidRPr="00F24723" w:rsidRDefault="004008A0" w:rsidP="00936316">
            <w:pPr>
              <w:jc w:val="both"/>
              <w:rPr>
                <w:rFonts w:eastAsia="Calibri"/>
                <w:sz w:val="20"/>
                <w:lang w:val="fr-CA"/>
              </w:rPr>
            </w:pPr>
            <w:r w:rsidRPr="00F24723">
              <w:rPr>
                <w:rFonts w:eastAsia="Calibri"/>
                <w:sz w:val="20"/>
                <w:lang w:val="fr-CA"/>
              </w:rPr>
              <w:t>(Juge Henderson)</w:t>
            </w:r>
          </w:p>
          <w:p w:rsidR="004008A0" w:rsidRPr="00F24723" w:rsidRDefault="004008A0" w:rsidP="00936316">
            <w:pPr>
              <w:jc w:val="both"/>
              <w:rPr>
                <w:rFonts w:eastAsia="Calibri"/>
                <w:sz w:val="20"/>
                <w:lang w:val="fr-CA"/>
              </w:rPr>
            </w:pPr>
            <w:r w:rsidRPr="00F24723">
              <w:rPr>
                <w:rFonts w:eastAsia="Calibri"/>
                <w:sz w:val="20"/>
                <w:lang w:val="fr-CA"/>
              </w:rPr>
              <w:t>2010 ONSC 3790</w:t>
            </w:r>
          </w:p>
        </w:tc>
        <w:tc>
          <w:tcPr>
            <w:tcW w:w="267" w:type="pct"/>
          </w:tcPr>
          <w:p w:rsidR="004008A0" w:rsidRPr="00F24723" w:rsidRDefault="004008A0" w:rsidP="00936316">
            <w:pPr>
              <w:jc w:val="both"/>
              <w:rPr>
                <w:rFonts w:eastAsia="Calibri"/>
                <w:sz w:val="20"/>
                <w:lang w:val="fr-CA"/>
              </w:rPr>
            </w:pPr>
          </w:p>
        </w:tc>
        <w:tc>
          <w:tcPr>
            <w:tcW w:w="2366" w:type="pct"/>
          </w:tcPr>
          <w:p w:rsidR="004008A0" w:rsidRPr="00F24723" w:rsidRDefault="004008A0" w:rsidP="00936316">
            <w:pPr>
              <w:jc w:val="both"/>
              <w:rPr>
                <w:rFonts w:eastAsia="Calibri"/>
                <w:sz w:val="20"/>
                <w:lang w:val="fr-CA"/>
              </w:rPr>
            </w:pPr>
            <w:r w:rsidRPr="00F24723">
              <w:rPr>
                <w:rFonts w:eastAsia="Calibri"/>
                <w:sz w:val="20"/>
                <w:lang w:val="fr-CA"/>
              </w:rPr>
              <w:t>Réponses aux questions communes certifiées d’un recours collectif; intimée jugée responsable en vertu des doctrines de la responsabilité stricte et de la nuisance privée pour les dommages causés aux immeubles des personnes inscrites au recours collectif; dommages</w:t>
            </w:r>
            <w:r w:rsidRPr="00F24723">
              <w:rPr>
                <w:rFonts w:eastAsia="Calibri"/>
                <w:sz w:val="20"/>
                <w:lang w:val="fr-CA"/>
              </w:rPr>
              <w:noBreakHyphen/>
              <w:t>intérêts de 36 millions de dollars accordés</w:t>
            </w:r>
          </w:p>
          <w:p w:rsidR="004008A0" w:rsidRPr="00F24723" w:rsidRDefault="004008A0" w:rsidP="00936316">
            <w:pPr>
              <w:jc w:val="both"/>
              <w:rPr>
                <w:rFonts w:eastAsia="Calibri"/>
                <w:sz w:val="20"/>
                <w:lang w:val="fr-CA"/>
              </w:rPr>
            </w:pPr>
          </w:p>
        </w:tc>
      </w:tr>
      <w:tr w:rsidR="004008A0" w:rsidRPr="00B36F35" w:rsidTr="00936316">
        <w:tblPrEx>
          <w:tblCellMar>
            <w:bottom w:w="0" w:type="dxa"/>
          </w:tblCellMar>
        </w:tblPrEx>
        <w:tc>
          <w:tcPr>
            <w:tcW w:w="2367" w:type="pct"/>
          </w:tcPr>
          <w:p w:rsidR="004008A0" w:rsidRPr="00F24723" w:rsidRDefault="004008A0" w:rsidP="00936316">
            <w:pPr>
              <w:jc w:val="both"/>
              <w:rPr>
                <w:rFonts w:eastAsia="Calibri"/>
                <w:sz w:val="20"/>
                <w:lang w:val="fr-CA"/>
              </w:rPr>
            </w:pPr>
            <w:r w:rsidRPr="00F24723">
              <w:rPr>
                <w:rFonts w:eastAsia="Calibri"/>
                <w:sz w:val="20"/>
                <w:lang w:val="fr-CA"/>
              </w:rPr>
              <w:t>7 octobre 2011</w:t>
            </w:r>
          </w:p>
          <w:p w:rsidR="004008A0" w:rsidRPr="00F24723" w:rsidRDefault="004008A0" w:rsidP="00936316">
            <w:pPr>
              <w:jc w:val="both"/>
              <w:rPr>
                <w:rFonts w:eastAsia="Calibri"/>
                <w:sz w:val="20"/>
                <w:lang w:val="fr-CA"/>
              </w:rPr>
            </w:pPr>
            <w:r w:rsidRPr="00F24723">
              <w:rPr>
                <w:rFonts w:eastAsia="Calibri"/>
                <w:sz w:val="20"/>
                <w:lang w:val="fr-CA"/>
              </w:rPr>
              <w:t xml:space="preserve">Cour d'appel de l'Ontario </w:t>
            </w:r>
          </w:p>
          <w:p w:rsidR="004008A0" w:rsidRPr="00F24723" w:rsidRDefault="004008A0" w:rsidP="00936316">
            <w:pPr>
              <w:jc w:val="both"/>
              <w:rPr>
                <w:rFonts w:eastAsia="Calibri"/>
                <w:sz w:val="20"/>
                <w:lang w:val="fr-CA"/>
              </w:rPr>
            </w:pPr>
            <w:r w:rsidRPr="00F24723">
              <w:rPr>
                <w:rFonts w:eastAsia="Calibri"/>
                <w:sz w:val="20"/>
                <w:lang w:val="fr-CA"/>
              </w:rPr>
              <w:t>(Juges Doherty, MacFarland et Hoy)</w:t>
            </w:r>
          </w:p>
          <w:p w:rsidR="004008A0" w:rsidRPr="00F24723" w:rsidRDefault="004008A0" w:rsidP="00936316">
            <w:pPr>
              <w:jc w:val="both"/>
              <w:rPr>
                <w:rFonts w:eastAsia="Calibri"/>
                <w:sz w:val="20"/>
                <w:lang w:val="fr-CA"/>
              </w:rPr>
            </w:pPr>
            <w:r w:rsidRPr="00F24723">
              <w:rPr>
                <w:rFonts w:eastAsia="Calibri"/>
                <w:sz w:val="20"/>
                <w:lang w:val="fr-CA"/>
              </w:rPr>
              <w:t>2011 ONCA 628</w:t>
            </w:r>
          </w:p>
          <w:p w:rsidR="004008A0" w:rsidRPr="00F24723" w:rsidRDefault="004008A0" w:rsidP="00936316">
            <w:pPr>
              <w:jc w:val="both"/>
              <w:rPr>
                <w:rFonts w:eastAsia="Calibri"/>
                <w:sz w:val="20"/>
                <w:lang w:val="fr-CA"/>
              </w:rPr>
            </w:pPr>
          </w:p>
        </w:tc>
        <w:tc>
          <w:tcPr>
            <w:tcW w:w="267" w:type="pct"/>
          </w:tcPr>
          <w:p w:rsidR="004008A0" w:rsidRPr="00F24723" w:rsidRDefault="004008A0" w:rsidP="00936316">
            <w:pPr>
              <w:jc w:val="both"/>
              <w:rPr>
                <w:rFonts w:eastAsia="Calibri"/>
                <w:sz w:val="20"/>
                <w:lang w:val="fr-CA"/>
              </w:rPr>
            </w:pPr>
          </w:p>
        </w:tc>
        <w:tc>
          <w:tcPr>
            <w:tcW w:w="2366" w:type="pct"/>
          </w:tcPr>
          <w:p w:rsidR="004008A0" w:rsidRPr="00F24723" w:rsidRDefault="004008A0" w:rsidP="00936316">
            <w:pPr>
              <w:jc w:val="both"/>
              <w:rPr>
                <w:rFonts w:eastAsia="Calibri"/>
                <w:sz w:val="20"/>
                <w:lang w:val="fr-CA"/>
              </w:rPr>
            </w:pPr>
            <w:r w:rsidRPr="00F24723">
              <w:rPr>
                <w:rFonts w:eastAsia="Calibri"/>
                <w:sz w:val="20"/>
                <w:lang w:val="fr-CA"/>
              </w:rPr>
              <w:t>Appel accueilli, recours collectif rejeté</w:t>
            </w:r>
          </w:p>
        </w:tc>
      </w:tr>
      <w:tr w:rsidR="004008A0" w:rsidRPr="00F24723" w:rsidTr="00936316">
        <w:tblPrEx>
          <w:tblCellMar>
            <w:bottom w:w="0" w:type="dxa"/>
          </w:tblCellMar>
        </w:tblPrEx>
        <w:tc>
          <w:tcPr>
            <w:tcW w:w="2367" w:type="pct"/>
          </w:tcPr>
          <w:p w:rsidR="004008A0" w:rsidRPr="00F24723" w:rsidRDefault="004008A0" w:rsidP="00936316">
            <w:pPr>
              <w:jc w:val="both"/>
              <w:rPr>
                <w:rFonts w:eastAsia="Calibri"/>
                <w:sz w:val="20"/>
                <w:lang w:val="fr-CA"/>
              </w:rPr>
            </w:pPr>
            <w:r w:rsidRPr="00F24723">
              <w:rPr>
                <w:rFonts w:eastAsia="Calibri"/>
                <w:sz w:val="20"/>
                <w:lang w:val="fr-CA"/>
              </w:rPr>
              <w:t>5 décembre 2011</w:t>
            </w:r>
          </w:p>
          <w:p w:rsidR="004008A0" w:rsidRPr="00F24723" w:rsidRDefault="004008A0" w:rsidP="00936316">
            <w:pPr>
              <w:jc w:val="both"/>
              <w:rPr>
                <w:rFonts w:eastAsia="Calibri"/>
                <w:sz w:val="20"/>
                <w:lang w:val="fr-CA"/>
              </w:rPr>
            </w:pPr>
            <w:r w:rsidRPr="00F24723">
              <w:rPr>
                <w:rFonts w:eastAsia="Calibri"/>
                <w:sz w:val="20"/>
                <w:lang w:val="fr-CA"/>
              </w:rPr>
              <w:t>Cour suprême du Canada</w:t>
            </w:r>
          </w:p>
        </w:tc>
        <w:tc>
          <w:tcPr>
            <w:tcW w:w="267" w:type="pct"/>
          </w:tcPr>
          <w:p w:rsidR="004008A0" w:rsidRPr="00F24723" w:rsidRDefault="004008A0" w:rsidP="00936316">
            <w:pPr>
              <w:jc w:val="both"/>
              <w:rPr>
                <w:rFonts w:eastAsia="Calibri"/>
                <w:sz w:val="20"/>
                <w:lang w:val="fr-CA"/>
              </w:rPr>
            </w:pPr>
          </w:p>
        </w:tc>
        <w:tc>
          <w:tcPr>
            <w:tcW w:w="2366" w:type="pct"/>
          </w:tcPr>
          <w:p w:rsidR="004008A0" w:rsidRPr="00F24723" w:rsidRDefault="004008A0" w:rsidP="00936316">
            <w:pPr>
              <w:jc w:val="both"/>
              <w:rPr>
                <w:rFonts w:eastAsia="Calibri"/>
                <w:sz w:val="20"/>
                <w:lang w:val="fr-CA"/>
              </w:rPr>
            </w:pPr>
            <w:r w:rsidRPr="00F24723">
              <w:rPr>
                <w:rFonts w:eastAsia="Calibri"/>
                <w:sz w:val="20"/>
                <w:lang w:val="fr-CA"/>
              </w:rPr>
              <w:t>Demande d'autorisation d'appel, déposée</w:t>
            </w:r>
          </w:p>
          <w:p w:rsidR="004008A0" w:rsidRPr="00F24723" w:rsidRDefault="004008A0" w:rsidP="00936316">
            <w:pPr>
              <w:jc w:val="both"/>
              <w:rPr>
                <w:rFonts w:eastAsia="Calibri"/>
                <w:sz w:val="20"/>
                <w:lang w:val="fr-CA"/>
              </w:rPr>
            </w:pPr>
          </w:p>
        </w:tc>
      </w:tr>
    </w:tbl>
    <w:p w:rsidR="004008A0" w:rsidRDefault="004008A0" w:rsidP="001823C0">
      <w:pPr>
        <w:rPr>
          <w:sz w:val="20"/>
          <w:szCs w:val="20"/>
          <w:lang w:val="fr-CA"/>
        </w:rPr>
      </w:pPr>
    </w:p>
    <w:p w:rsidR="001823C0" w:rsidRDefault="009134DA" w:rsidP="001823C0">
      <w:pPr>
        <w:rPr>
          <w:sz w:val="20"/>
          <w:szCs w:val="20"/>
        </w:rPr>
      </w:pPr>
      <w:r w:rsidRPr="009134DA">
        <w:rPr>
          <w:sz w:val="20"/>
          <w:szCs w:val="20"/>
          <w:lang w:val="fr-CA"/>
        </w:rPr>
        <w:pict>
          <v:rect id="_x0000_i1069"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15D8" w:rsidRPr="00B36F35" w:rsidTr="008B3BEA">
        <w:trPr>
          <w:cantSplit/>
        </w:trPr>
        <w:tc>
          <w:tcPr>
            <w:tcW w:w="1458" w:type="dxa"/>
          </w:tcPr>
          <w:p w:rsidR="00F915D8" w:rsidRPr="00A00637" w:rsidRDefault="00F915D8" w:rsidP="008B3BEA">
            <w:pPr>
              <w:rPr>
                <w:sz w:val="20"/>
                <w:szCs w:val="20"/>
              </w:rPr>
            </w:pPr>
            <w:r w:rsidRPr="00A00637">
              <w:rPr>
                <w:rStyle w:val="SCCFileNumberChar"/>
                <w:sz w:val="20"/>
                <w:szCs w:val="20"/>
              </w:rPr>
              <w:t>34563</w:t>
            </w:r>
          </w:p>
          <w:p w:rsidR="00F915D8" w:rsidRPr="00A00637" w:rsidRDefault="00F915D8" w:rsidP="008B3BEA">
            <w:pPr>
              <w:rPr>
                <w:b/>
                <w:sz w:val="20"/>
                <w:szCs w:val="20"/>
                <w:lang w:val="fr-CA"/>
              </w:rPr>
            </w:pPr>
          </w:p>
        </w:tc>
        <w:tc>
          <w:tcPr>
            <w:tcW w:w="8118" w:type="dxa"/>
          </w:tcPr>
          <w:p w:rsidR="00F915D8" w:rsidRPr="00A00637" w:rsidRDefault="00F915D8" w:rsidP="008B3BEA">
            <w:pPr>
              <w:jc w:val="both"/>
              <w:rPr>
                <w:sz w:val="20"/>
                <w:szCs w:val="20"/>
                <w:lang w:val="fr-CA"/>
              </w:rPr>
            </w:pPr>
            <w:r w:rsidRPr="00A00637">
              <w:rPr>
                <w:rStyle w:val="SCCLsocChar"/>
                <w:sz w:val="20"/>
                <w:szCs w:val="20"/>
              </w:rPr>
              <w:t>Coastal Contacts Inc.</w:t>
            </w:r>
            <w:r>
              <w:rPr>
                <w:rStyle w:val="SCCLsocChar"/>
                <w:sz w:val="20"/>
                <w:szCs w:val="20"/>
              </w:rPr>
              <w:t xml:space="preserve"> et</w:t>
            </w:r>
            <w:r w:rsidRPr="00A00637">
              <w:rPr>
                <w:rStyle w:val="SCCLsocChar"/>
                <w:sz w:val="20"/>
                <w:szCs w:val="20"/>
              </w:rPr>
              <w:t xml:space="preserve"> 9130-4329 Québec inc. c. Ordre des optométristes du Québec</w:t>
            </w:r>
            <w:r w:rsidRPr="00A00637">
              <w:rPr>
                <w:sz w:val="20"/>
                <w:szCs w:val="20"/>
                <w:lang w:val="fr-CA"/>
              </w:rPr>
              <w:t xml:space="preserve"> (Qc) (Civile) (Autorisation)</w:t>
            </w:r>
          </w:p>
          <w:p w:rsidR="00F915D8" w:rsidRPr="00A00637" w:rsidRDefault="00F915D8" w:rsidP="008B3BEA">
            <w:pPr>
              <w:rPr>
                <w:sz w:val="20"/>
                <w:szCs w:val="20"/>
                <w:lang w:val="fr-CA"/>
              </w:rPr>
            </w:pPr>
          </w:p>
        </w:tc>
      </w:tr>
      <w:tr w:rsidR="00F915D8" w:rsidRPr="00B36F35" w:rsidTr="008B3BEA">
        <w:trPr>
          <w:cantSplit/>
        </w:trPr>
        <w:tc>
          <w:tcPr>
            <w:tcW w:w="1458" w:type="dxa"/>
          </w:tcPr>
          <w:p w:rsidR="00F915D8" w:rsidRPr="00F915D8" w:rsidRDefault="00F915D8" w:rsidP="008B3BEA">
            <w:pPr>
              <w:rPr>
                <w:sz w:val="20"/>
                <w:szCs w:val="20"/>
                <w:lang w:val="fr-CA"/>
              </w:rPr>
            </w:pPr>
            <w:r w:rsidRPr="00F915D8">
              <w:rPr>
                <w:sz w:val="20"/>
                <w:szCs w:val="20"/>
                <w:lang w:val="fr-CA"/>
              </w:rPr>
              <w:t>Coram :</w:t>
            </w:r>
          </w:p>
        </w:tc>
        <w:tc>
          <w:tcPr>
            <w:tcW w:w="8118" w:type="dxa"/>
          </w:tcPr>
          <w:p w:rsidR="00F915D8" w:rsidRPr="00A00637" w:rsidRDefault="00F915D8" w:rsidP="008B3BEA">
            <w:pPr>
              <w:rPr>
                <w:sz w:val="20"/>
                <w:szCs w:val="20"/>
                <w:lang w:val="fr-CA"/>
              </w:rPr>
            </w:pPr>
            <w:r w:rsidRPr="00A00637">
              <w:rPr>
                <w:rStyle w:val="SCCCoramChar"/>
                <w:sz w:val="20"/>
                <w:szCs w:val="20"/>
              </w:rPr>
              <w:t>Les juges LeBel, Abella et Cromwell</w:t>
            </w:r>
          </w:p>
          <w:p w:rsidR="00F915D8" w:rsidRPr="00A00637" w:rsidRDefault="00F915D8" w:rsidP="008B3BEA">
            <w:pPr>
              <w:rPr>
                <w:sz w:val="20"/>
                <w:szCs w:val="20"/>
                <w:u w:val="single"/>
                <w:lang w:val="fr-CA"/>
              </w:rPr>
            </w:pPr>
          </w:p>
        </w:tc>
      </w:tr>
      <w:tr w:rsidR="00F915D8" w:rsidRPr="00A00637" w:rsidTr="008B3BEA">
        <w:trPr>
          <w:cantSplit/>
        </w:trPr>
        <w:tc>
          <w:tcPr>
            <w:tcW w:w="9576" w:type="dxa"/>
            <w:gridSpan w:val="2"/>
          </w:tcPr>
          <w:p w:rsidR="00F915D8" w:rsidRPr="00A00637" w:rsidRDefault="00F915D8" w:rsidP="008B3BEA">
            <w:pPr>
              <w:pStyle w:val="SCCShortJudgment"/>
              <w:rPr>
                <w:szCs w:val="20"/>
                <w:lang w:val="fr-CA"/>
              </w:rPr>
            </w:pPr>
            <w:r w:rsidRPr="00A00637">
              <w:rPr>
                <w:szCs w:val="20"/>
                <w:lang w:val="fr-CA"/>
              </w:rPr>
              <w:t>La demande d’autorisation d’appel de l’arrêt de la Cour d’appel du Québec (Montréal), numéro 500-09-021067-103, 2011 QCCA 1820, daté du 4 octobre 2011, est rejetée avec dépens.</w:t>
            </w:r>
          </w:p>
          <w:p w:rsidR="00F915D8" w:rsidRPr="00A00637" w:rsidRDefault="00F915D8" w:rsidP="008B3BEA">
            <w:pPr>
              <w:pStyle w:val="SCCShortJudgment"/>
              <w:ind w:firstLine="0"/>
              <w:rPr>
                <w:szCs w:val="20"/>
                <w:lang w:val="fr-CA"/>
              </w:rPr>
            </w:pPr>
          </w:p>
          <w:p w:rsidR="00F915D8" w:rsidRPr="00A00637" w:rsidRDefault="00F915D8" w:rsidP="008B3BEA">
            <w:pPr>
              <w:pStyle w:val="SCCShortJudgment"/>
              <w:rPr>
                <w:szCs w:val="20"/>
              </w:rPr>
            </w:pPr>
            <w:r w:rsidRPr="00A00637">
              <w:rPr>
                <w:szCs w:val="20"/>
              </w:rPr>
              <w:t>The application for leave to appeal from the judgment of the Court of Appeal of Quebec (Montréal), Number 500-09-021067-103,  2011 QCCA 1820, dated October 4, 2011, is dismissed with costs.</w:t>
            </w:r>
          </w:p>
        </w:tc>
      </w:tr>
    </w:tbl>
    <w:p w:rsidR="001823C0" w:rsidRDefault="001823C0" w:rsidP="001823C0">
      <w:pPr>
        <w:rPr>
          <w:sz w:val="20"/>
          <w:szCs w:val="20"/>
        </w:rPr>
      </w:pPr>
    </w:p>
    <w:p w:rsidR="00F915D8" w:rsidRDefault="00F915D8">
      <w:pPr>
        <w:rPr>
          <w:sz w:val="20"/>
          <w:szCs w:val="20"/>
          <w:u w:val="single"/>
        </w:rPr>
      </w:pPr>
      <w:r>
        <w:rPr>
          <w:sz w:val="20"/>
          <w:szCs w:val="20"/>
          <w:u w:val="single"/>
        </w:rPr>
        <w:br w:type="page"/>
      </w:r>
    </w:p>
    <w:p w:rsidR="001823C0" w:rsidRPr="001B157C" w:rsidRDefault="001823C0" w:rsidP="001823C0">
      <w:pPr>
        <w:rPr>
          <w:sz w:val="20"/>
          <w:szCs w:val="20"/>
          <w:u w:val="single"/>
        </w:rPr>
      </w:pPr>
      <w:r w:rsidRPr="001B157C">
        <w:rPr>
          <w:sz w:val="20"/>
          <w:szCs w:val="20"/>
          <w:u w:val="single"/>
        </w:rPr>
        <w:lastRenderedPageBreak/>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008A0" w:rsidRPr="00F24723" w:rsidTr="00936316">
        <w:tc>
          <w:tcPr>
            <w:tcW w:w="5000" w:type="pct"/>
            <w:gridSpan w:val="3"/>
          </w:tcPr>
          <w:p w:rsidR="004008A0" w:rsidRPr="00F24723" w:rsidRDefault="004008A0" w:rsidP="00936316">
            <w:pPr>
              <w:jc w:val="both"/>
              <w:rPr>
                <w:rFonts w:eastAsia="Calibri"/>
                <w:sz w:val="20"/>
              </w:rPr>
            </w:pPr>
            <w:r w:rsidRPr="00F24723">
              <w:rPr>
                <w:rFonts w:eastAsia="Calibri"/>
                <w:sz w:val="20"/>
              </w:rPr>
              <w:t xml:space="preserve">Civil procedure – Declaratory action – Corrective lenses offered on Internet – Issue of whether this activity subject to Quebec law of professions raised in court of original general jurisdiction through declaratory action – That choice contested – Whether penal complaint is preferred method of deciding questions related to unlawful practice of profession – Whether Court of Appeal’s decisions on this issue contradictory – Whether Court of Appeal misunderstood alternative remedies doctrine and disregarded penal remedy available to professional orders – </w:t>
            </w:r>
            <w:r w:rsidRPr="00F24723">
              <w:rPr>
                <w:rFonts w:eastAsia="Calibri"/>
                <w:i/>
                <w:sz w:val="20"/>
              </w:rPr>
              <w:t>Code of Civil Procedure</w:t>
            </w:r>
            <w:r w:rsidRPr="00F24723">
              <w:rPr>
                <w:rFonts w:eastAsia="Calibri"/>
                <w:sz w:val="20"/>
              </w:rPr>
              <w:t>, R.S.Q. c. C</w:t>
            </w:r>
            <w:r w:rsidRPr="00F24723">
              <w:rPr>
                <w:rFonts w:eastAsia="Calibri"/>
                <w:sz w:val="20"/>
              </w:rPr>
              <w:noBreakHyphen/>
              <w:t xml:space="preserve">25, arts. 31, 453, 462 – </w:t>
            </w:r>
            <w:r w:rsidRPr="00F24723">
              <w:rPr>
                <w:rFonts w:eastAsia="Calibri"/>
                <w:i/>
                <w:sz w:val="20"/>
              </w:rPr>
              <w:t>Professional Code</w:t>
            </w:r>
            <w:r w:rsidRPr="00F24723">
              <w:rPr>
                <w:rFonts w:eastAsia="Calibri"/>
                <w:sz w:val="20"/>
              </w:rPr>
              <w:t>, R.S.Q. c. C</w:t>
            </w:r>
            <w:r w:rsidRPr="00F24723">
              <w:rPr>
                <w:rFonts w:eastAsia="Calibri"/>
                <w:sz w:val="20"/>
              </w:rPr>
              <w:noBreakHyphen/>
              <w:t>26, s. 189.</w:t>
            </w:r>
          </w:p>
        </w:tc>
      </w:tr>
      <w:tr w:rsidR="004008A0" w:rsidRPr="00F24723" w:rsidTr="00936316">
        <w:tc>
          <w:tcPr>
            <w:tcW w:w="5000" w:type="pct"/>
            <w:gridSpan w:val="3"/>
          </w:tcPr>
          <w:p w:rsidR="004008A0" w:rsidRPr="00F24723" w:rsidRDefault="004008A0" w:rsidP="00936316">
            <w:pPr>
              <w:jc w:val="both"/>
              <w:rPr>
                <w:rFonts w:eastAsia="Calibri"/>
                <w:sz w:val="20"/>
              </w:rPr>
            </w:pPr>
          </w:p>
        </w:tc>
      </w:tr>
      <w:tr w:rsidR="004008A0" w:rsidRPr="00F24723" w:rsidTr="00936316">
        <w:trPr>
          <w:trHeight w:val="432"/>
        </w:trPr>
        <w:tc>
          <w:tcPr>
            <w:tcW w:w="5000" w:type="pct"/>
            <w:gridSpan w:val="3"/>
          </w:tcPr>
          <w:p w:rsidR="004008A0" w:rsidRPr="00F24723" w:rsidRDefault="004008A0" w:rsidP="00936316">
            <w:pPr>
              <w:jc w:val="both"/>
              <w:rPr>
                <w:rFonts w:eastAsia="Calibri"/>
                <w:sz w:val="20"/>
              </w:rPr>
            </w:pPr>
            <w:r w:rsidRPr="00F24723">
              <w:rPr>
                <w:rFonts w:eastAsia="Calibri"/>
                <w:sz w:val="20"/>
              </w:rPr>
              <w:t>The applicant companies offered corrective lenses and glasses on the Internet.  The respondent professional order asked the Superior Court to declare that the applicants were violating Quebec legislation through sites like contactsshopper.com and lunettesarabais.com. The companies filed a motion to dismiss the professional order’s declaratory action.</w:t>
            </w:r>
          </w:p>
          <w:p w:rsidR="004008A0" w:rsidRPr="00F24723" w:rsidRDefault="004008A0" w:rsidP="00936316">
            <w:pPr>
              <w:jc w:val="both"/>
              <w:rPr>
                <w:rFonts w:eastAsia="Calibri"/>
                <w:sz w:val="20"/>
              </w:rPr>
            </w:pP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September 9, 2010</w:t>
            </w:r>
          </w:p>
          <w:p w:rsidR="004008A0" w:rsidRPr="00F24723" w:rsidRDefault="004008A0" w:rsidP="00936316">
            <w:pPr>
              <w:jc w:val="both"/>
              <w:rPr>
                <w:rFonts w:eastAsia="Calibri"/>
                <w:sz w:val="20"/>
              </w:rPr>
            </w:pPr>
            <w:r w:rsidRPr="00F24723">
              <w:rPr>
                <w:rFonts w:eastAsia="Calibri"/>
                <w:sz w:val="20"/>
              </w:rPr>
              <w:t>Quebec Superior Court</w:t>
            </w:r>
          </w:p>
          <w:p w:rsidR="004008A0" w:rsidRPr="00F24723" w:rsidRDefault="004008A0" w:rsidP="00936316">
            <w:pPr>
              <w:jc w:val="both"/>
              <w:rPr>
                <w:rFonts w:eastAsia="Calibri"/>
                <w:sz w:val="20"/>
              </w:rPr>
            </w:pPr>
            <w:r w:rsidRPr="00F24723">
              <w:rPr>
                <w:rFonts w:eastAsia="Calibri"/>
                <w:sz w:val="20"/>
              </w:rPr>
              <w:t>(Grenier J.)</w:t>
            </w:r>
          </w:p>
          <w:p w:rsidR="004008A0" w:rsidRPr="00F24723" w:rsidRDefault="004008A0" w:rsidP="00936316">
            <w:pPr>
              <w:jc w:val="both"/>
              <w:rPr>
                <w:rFonts w:eastAsia="Calibri"/>
                <w:sz w:val="20"/>
              </w:rPr>
            </w:pPr>
            <w:r w:rsidRPr="00F24723">
              <w:rPr>
                <w:rFonts w:eastAsia="Calibri"/>
                <w:sz w:val="20"/>
              </w:rPr>
              <w:t>2010 QCCS 6097</w:t>
            </w:r>
          </w:p>
          <w:p w:rsidR="004008A0" w:rsidRPr="00F24723" w:rsidRDefault="004008A0" w:rsidP="00936316">
            <w:pPr>
              <w:jc w:val="both"/>
              <w:rPr>
                <w:rFonts w:eastAsia="Calibri"/>
                <w:sz w:val="20"/>
              </w:rPr>
            </w:pP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Applicants’ motion to dismiss respondent’s declaratory action dismissed</w:t>
            </w: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October 4, 2011</w:t>
            </w:r>
          </w:p>
          <w:p w:rsidR="004008A0" w:rsidRPr="00F24723" w:rsidRDefault="004008A0" w:rsidP="00936316">
            <w:pPr>
              <w:jc w:val="both"/>
              <w:rPr>
                <w:rFonts w:eastAsia="Calibri"/>
                <w:sz w:val="20"/>
              </w:rPr>
            </w:pPr>
            <w:r w:rsidRPr="00F24723">
              <w:rPr>
                <w:rFonts w:eastAsia="Calibri"/>
                <w:sz w:val="20"/>
              </w:rPr>
              <w:t>Quebec Court of Appeal (Montréal)</w:t>
            </w:r>
          </w:p>
          <w:p w:rsidR="004008A0" w:rsidRPr="00F24723" w:rsidRDefault="004008A0" w:rsidP="00936316">
            <w:pPr>
              <w:jc w:val="both"/>
              <w:rPr>
                <w:rFonts w:eastAsia="Calibri"/>
                <w:sz w:val="20"/>
              </w:rPr>
            </w:pPr>
            <w:r w:rsidRPr="00F24723">
              <w:rPr>
                <w:rFonts w:eastAsia="Calibri"/>
                <w:sz w:val="20"/>
              </w:rPr>
              <w:t>(Chamberland, Rochon and Léger JJ.A.)</w:t>
            </w:r>
          </w:p>
          <w:p w:rsidR="004008A0" w:rsidRPr="00F24723" w:rsidRDefault="004008A0" w:rsidP="00936316">
            <w:pPr>
              <w:jc w:val="both"/>
              <w:rPr>
                <w:rFonts w:eastAsia="Calibri"/>
                <w:sz w:val="20"/>
              </w:rPr>
            </w:pPr>
            <w:r w:rsidRPr="00F24723">
              <w:rPr>
                <w:rFonts w:eastAsia="Calibri"/>
                <w:sz w:val="20"/>
              </w:rPr>
              <w:t>2011 QCCA 1820</w:t>
            </w:r>
          </w:p>
          <w:p w:rsidR="004008A0" w:rsidRPr="00F24723" w:rsidRDefault="004008A0" w:rsidP="00936316">
            <w:pPr>
              <w:jc w:val="both"/>
              <w:rPr>
                <w:rFonts w:eastAsia="Calibri"/>
                <w:sz w:val="20"/>
              </w:rPr>
            </w:pP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Appeal dismissed</w:t>
            </w:r>
          </w:p>
        </w:tc>
      </w:tr>
      <w:tr w:rsidR="004008A0" w:rsidRPr="00F24723" w:rsidTr="00936316">
        <w:tc>
          <w:tcPr>
            <w:tcW w:w="2427" w:type="pct"/>
          </w:tcPr>
          <w:p w:rsidR="004008A0" w:rsidRPr="00F24723" w:rsidRDefault="004008A0" w:rsidP="00936316">
            <w:pPr>
              <w:jc w:val="both"/>
              <w:rPr>
                <w:rFonts w:eastAsia="Calibri"/>
                <w:sz w:val="20"/>
              </w:rPr>
            </w:pPr>
            <w:r w:rsidRPr="00F24723">
              <w:rPr>
                <w:rFonts w:eastAsia="Calibri"/>
                <w:sz w:val="20"/>
              </w:rPr>
              <w:t>December 5, 2011</w:t>
            </w:r>
          </w:p>
          <w:p w:rsidR="004008A0" w:rsidRPr="00F24723" w:rsidRDefault="004008A0" w:rsidP="00936316">
            <w:pPr>
              <w:jc w:val="both"/>
              <w:rPr>
                <w:rFonts w:eastAsia="Calibri"/>
                <w:sz w:val="20"/>
              </w:rPr>
            </w:pPr>
            <w:r w:rsidRPr="00F24723">
              <w:rPr>
                <w:rFonts w:eastAsia="Calibri"/>
                <w:sz w:val="20"/>
              </w:rPr>
              <w:t>Supreme Court of Canada</w:t>
            </w:r>
          </w:p>
        </w:tc>
        <w:tc>
          <w:tcPr>
            <w:tcW w:w="243" w:type="pct"/>
          </w:tcPr>
          <w:p w:rsidR="004008A0" w:rsidRPr="00F24723" w:rsidRDefault="004008A0" w:rsidP="00936316">
            <w:pPr>
              <w:jc w:val="both"/>
              <w:rPr>
                <w:rFonts w:eastAsia="Calibri"/>
                <w:sz w:val="20"/>
              </w:rPr>
            </w:pPr>
          </w:p>
        </w:tc>
        <w:tc>
          <w:tcPr>
            <w:tcW w:w="2330" w:type="pct"/>
          </w:tcPr>
          <w:p w:rsidR="004008A0" w:rsidRPr="00F24723" w:rsidRDefault="004008A0" w:rsidP="00936316">
            <w:pPr>
              <w:jc w:val="both"/>
              <w:rPr>
                <w:rFonts w:eastAsia="Calibri"/>
                <w:sz w:val="20"/>
              </w:rPr>
            </w:pPr>
            <w:r w:rsidRPr="00F24723">
              <w:rPr>
                <w:rFonts w:eastAsia="Calibri"/>
                <w:sz w:val="20"/>
              </w:rPr>
              <w:t>Application for leave to appeal filed</w:t>
            </w:r>
          </w:p>
          <w:p w:rsidR="004008A0" w:rsidRPr="00F24723" w:rsidRDefault="004008A0"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70"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008A0" w:rsidRPr="00F24723" w:rsidTr="00936316">
        <w:tc>
          <w:tcPr>
            <w:tcW w:w="5000" w:type="pct"/>
            <w:gridSpan w:val="3"/>
          </w:tcPr>
          <w:p w:rsidR="004008A0" w:rsidRPr="00F24723" w:rsidRDefault="004008A0" w:rsidP="00936316">
            <w:pPr>
              <w:jc w:val="both"/>
              <w:rPr>
                <w:rFonts w:eastAsia="Calibri"/>
                <w:sz w:val="20"/>
                <w:lang w:val="fr-FR"/>
              </w:rPr>
            </w:pPr>
            <w:r w:rsidRPr="00F24723">
              <w:rPr>
                <w:rFonts w:eastAsia="Calibri"/>
                <w:sz w:val="20"/>
                <w:lang w:val="fr-FR"/>
              </w:rPr>
              <w:t>Procédure civile – Action déclaratoire – Offre de lentilles ophtalmiques sur Internet – Question de l’assujettissement de cette activité au droit des professions du Québec posée au tribunal de droit commun par action déclaratoire – Contestation de ce choix – La plainte pénale est</w:t>
            </w:r>
            <w:r w:rsidRPr="00F24723">
              <w:rPr>
                <w:rFonts w:eastAsia="Calibri"/>
                <w:sz w:val="20"/>
                <w:lang w:val="fr-FR"/>
              </w:rPr>
              <w:noBreakHyphen/>
              <w:t>elle le moyen prioritaire par lequel faire trancher les questions entourant l’exercice illégal d’une profession? – La Cour d’appel a</w:t>
            </w:r>
            <w:r w:rsidRPr="00F24723">
              <w:rPr>
                <w:rFonts w:eastAsia="Calibri"/>
                <w:sz w:val="20"/>
                <w:lang w:val="fr-FR"/>
              </w:rPr>
              <w:noBreakHyphen/>
              <w:t>t</w:t>
            </w:r>
            <w:r w:rsidRPr="00F24723">
              <w:rPr>
                <w:rFonts w:eastAsia="Calibri"/>
                <w:sz w:val="20"/>
                <w:lang w:val="fr-FR"/>
              </w:rPr>
              <w:noBreakHyphen/>
              <w:t>elle rendu des décisions contradictoires sur cette question? – La Cour d’appel a</w:t>
            </w:r>
            <w:r w:rsidRPr="00F24723">
              <w:rPr>
                <w:rFonts w:eastAsia="Calibri"/>
                <w:sz w:val="20"/>
                <w:lang w:val="fr-FR"/>
              </w:rPr>
              <w:noBreakHyphen/>
              <w:t>t</w:t>
            </w:r>
            <w:r w:rsidRPr="00F24723">
              <w:rPr>
                <w:rFonts w:eastAsia="Calibri"/>
                <w:sz w:val="20"/>
                <w:lang w:val="fr-FR"/>
              </w:rPr>
              <w:noBreakHyphen/>
              <w:t xml:space="preserve">elle méconnu la doctrine des recours subsidiaires et négligé le recours pénal dont disposent les ordres professionnels ? </w:t>
            </w:r>
            <w:r w:rsidRPr="00F24723">
              <w:rPr>
                <w:rFonts w:eastAsia="Calibri"/>
                <w:sz w:val="20"/>
                <w:lang w:val="fr-FR"/>
              </w:rPr>
              <w:noBreakHyphen/>
              <w:t xml:space="preserve"> </w:t>
            </w:r>
            <w:r w:rsidRPr="00F24723">
              <w:rPr>
                <w:rFonts w:eastAsia="Calibri"/>
                <w:i/>
                <w:sz w:val="20"/>
                <w:lang w:val="fr-FR"/>
              </w:rPr>
              <w:t>Code de procédure civile</w:t>
            </w:r>
            <w:r w:rsidRPr="00F24723">
              <w:rPr>
                <w:rFonts w:eastAsia="Calibri"/>
                <w:sz w:val="20"/>
                <w:lang w:val="fr-FR"/>
              </w:rPr>
              <w:t>, L.R.Q. ch. C</w:t>
            </w:r>
            <w:r w:rsidRPr="00F24723">
              <w:rPr>
                <w:rFonts w:eastAsia="Calibri"/>
                <w:sz w:val="20"/>
                <w:lang w:val="fr-FR"/>
              </w:rPr>
              <w:noBreakHyphen/>
              <w:t xml:space="preserve">25, art. 31, 453,462 – </w:t>
            </w:r>
            <w:r w:rsidRPr="00F24723">
              <w:rPr>
                <w:rFonts w:eastAsia="Calibri"/>
                <w:i/>
                <w:sz w:val="20"/>
                <w:lang w:val="fr-FR"/>
              </w:rPr>
              <w:t>Code des professions</w:t>
            </w:r>
            <w:r w:rsidRPr="00F24723">
              <w:rPr>
                <w:rFonts w:eastAsia="Calibri"/>
                <w:sz w:val="20"/>
                <w:lang w:val="fr-FR"/>
              </w:rPr>
              <w:t>, L.R.Q. ch. C</w:t>
            </w:r>
            <w:r w:rsidRPr="00F24723">
              <w:rPr>
                <w:rFonts w:eastAsia="Calibri"/>
                <w:sz w:val="20"/>
                <w:lang w:val="fr-FR"/>
              </w:rPr>
              <w:noBreakHyphen/>
              <w:t>26, art. 189.</w:t>
            </w:r>
          </w:p>
        </w:tc>
      </w:tr>
      <w:tr w:rsidR="004008A0" w:rsidRPr="00F24723" w:rsidTr="00936316">
        <w:tc>
          <w:tcPr>
            <w:tcW w:w="5000" w:type="pct"/>
            <w:gridSpan w:val="3"/>
          </w:tcPr>
          <w:p w:rsidR="004008A0" w:rsidRPr="00F24723" w:rsidRDefault="004008A0" w:rsidP="00936316">
            <w:pPr>
              <w:jc w:val="both"/>
              <w:rPr>
                <w:rFonts w:eastAsia="Calibri"/>
                <w:sz w:val="20"/>
                <w:lang w:val="fr-CA"/>
              </w:rPr>
            </w:pPr>
          </w:p>
        </w:tc>
      </w:tr>
      <w:tr w:rsidR="004008A0" w:rsidRPr="00B36F35" w:rsidTr="00936316">
        <w:tc>
          <w:tcPr>
            <w:tcW w:w="5000" w:type="pct"/>
            <w:gridSpan w:val="3"/>
          </w:tcPr>
          <w:p w:rsidR="004008A0" w:rsidRPr="00F24723" w:rsidRDefault="004008A0" w:rsidP="00936316">
            <w:pPr>
              <w:jc w:val="both"/>
              <w:rPr>
                <w:rFonts w:eastAsia="Calibri"/>
                <w:sz w:val="20"/>
                <w:lang w:val="fr-CA"/>
              </w:rPr>
            </w:pPr>
            <w:r w:rsidRPr="00F24723">
              <w:rPr>
                <w:rFonts w:eastAsia="Calibri"/>
                <w:sz w:val="20"/>
                <w:lang w:val="fr-CA"/>
              </w:rPr>
              <w:t>Les compagnies demanderesses offrent des lentilles ophtalmiques et des lunettes sur Internet. L’Ordre professionnel intimé demande à la Cour supérieure de déclarer qu’au moyen de sites tels verredecontact.com et lunettesarabais.com, elles contreviennent aux lois québécoises. Les compagnies déposent une requête en irrecevabilité de l’action déclaratoire de l’Ordre.</w:t>
            </w:r>
          </w:p>
          <w:p w:rsidR="004008A0" w:rsidRPr="00F24723" w:rsidRDefault="004008A0" w:rsidP="00936316">
            <w:pPr>
              <w:jc w:val="both"/>
              <w:rPr>
                <w:rFonts w:eastAsia="Calibri"/>
                <w:sz w:val="20"/>
                <w:lang w:val="fr-CA"/>
              </w:rPr>
            </w:pPr>
          </w:p>
        </w:tc>
      </w:tr>
      <w:tr w:rsidR="004008A0" w:rsidRPr="00B36F35" w:rsidTr="00936316">
        <w:tc>
          <w:tcPr>
            <w:tcW w:w="2427" w:type="pct"/>
          </w:tcPr>
          <w:p w:rsidR="004008A0" w:rsidRPr="00F24723" w:rsidRDefault="004008A0" w:rsidP="00936316">
            <w:pPr>
              <w:jc w:val="both"/>
              <w:rPr>
                <w:rFonts w:eastAsia="Calibri"/>
                <w:sz w:val="20"/>
                <w:lang w:val="fr-CA"/>
              </w:rPr>
            </w:pPr>
            <w:r w:rsidRPr="00F24723">
              <w:rPr>
                <w:rFonts w:eastAsia="Calibri"/>
                <w:sz w:val="20"/>
                <w:lang w:val="fr-CA"/>
              </w:rPr>
              <w:t>Le 9 septembre 2010</w:t>
            </w:r>
          </w:p>
          <w:p w:rsidR="004008A0" w:rsidRPr="00F24723" w:rsidRDefault="004008A0" w:rsidP="00936316">
            <w:pPr>
              <w:jc w:val="both"/>
              <w:rPr>
                <w:rFonts w:eastAsia="Calibri"/>
                <w:sz w:val="20"/>
                <w:lang w:val="fr-CA"/>
              </w:rPr>
            </w:pPr>
            <w:r w:rsidRPr="00F24723">
              <w:rPr>
                <w:rFonts w:eastAsia="Calibri"/>
                <w:sz w:val="20"/>
                <w:lang w:val="fr-CA"/>
              </w:rPr>
              <w:t>Cour supérieure du Québec</w:t>
            </w:r>
          </w:p>
          <w:p w:rsidR="004008A0" w:rsidRPr="00F24723" w:rsidRDefault="004008A0" w:rsidP="00936316">
            <w:pPr>
              <w:jc w:val="both"/>
              <w:rPr>
                <w:rFonts w:eastAsia="Calibri"/>
                <w:sz w:val="20"/>
                <w:lang w:val="fr-CA"/>
              </w:rPr>
            </w:pPr>
            <w:r w:rsidRPr="00F24723">
              <w:rPr>
                <w:rFonts w:eastAsia="Calibri"/>
                <w:sz w:val="20"/>
                <w:lang w:val="fr-CA"/>
              </w:rPr>
              <w:t>(La juge Grenier)</w:t>
            </w:r>
          </w:p>
          <w:p w:rsidR="004008A0" w:rsidRPr="00F24723" w:rsidRDefault="004008A0" w:rsidP="00936316">
            <w:pPr>
              <w:jc w:val="both"/>
              <w:rPr>
                <w:rFonts w:eastAsia="Calibri"/>
                <w:sz w:val="20"/>
                <w:lang w:val="fr-CA"/>
              </w:rPr>
            </w:pPr>
            <w:r w:rsidRPr="00F24723">
              <w:rPr>
                <w:rFonts w:eastAsia="Calibri"/>
                <w:sz w:val="20"/>
                <w:lang w:val="fr-CA"/>
              </w:rPr>
              <w:t>2010 QCCS 6097</w:t>
            </w:r>
          </w:p>
          <w:p w:rsidR="004008A0" w:rsidRPr="00F24723" w:rsidRDefault="004008A0" w:rsidP="00936316">
            <w:pPr>
              <w:jc w:val="both"/>
              <w:rPr>
                <w:rFonts w:eastAsia="Calibri"/>
                <w:sz w:val="20"/>
                <w:lang w:val="fr-CA"/>
              </w:rPr>
            </w:pPr>
          </w:p>
        </w:tc>
        <w:tc>
          <w:tcPr>
            <w:tcW w:w="243" w:type="pct"/>
          </w:tcPr>
          <w:p w:rsidR="004008A0" w:rsidRPr="00F24723" w:rsidRDefault="004008A0" w:rsidP="00936316">
            <w:pPr>
              <w:jc w:val="both"/>
              <w:rPr>
                <w:rFonts w:eastAsia="Calibri"/>
                <w:sz w:val="20"/>
                <w:lang w:val="fr-FR"/>
              </w:rPr>
            </w:pPr>
          </w:p>
        </w:tc>
        <w:tc>
          <w:tcPr>
            <w:tcW w:w="2330" w:type="pct"/>
          </w:tcPr>
          <w:p w:rsidR="004008A0" w:rsidRPr="00F24723" w:rsidRDefault="004008A0" w:rsidP="00936316">
            <w:pPr>
              <w:jc w:val="both"/>
              <w:rPr>
                <w:rFonts w:eastAsia="Calibri"/>
                <w:sz w:val="20"/>
                <w:lang w:val="fr-CA"/>
              </w:rPr>
            </w:pPr>
            <w:r w:rsidRPr="00F24723">
              <w:rPr>
                <w:rFonts w:eastAsia="Calibri"/>
                <w:sz w:val="20"/>
                <w:lang w:val="fr-CA"/>
              </w:rPr>
              <w:t>Rejet de la requête des demanderesses en irrecevabilité de l’action déclaratoire de l’intimé.</w:t>
            </w:r>
          </w:p>
        </w:tc>
      </w:tr>
      <w:tr w:rsidR="004008A0" w:rsidRPr="00F24723" w:rsidTr="00F915D8">
        <w:trPr>
          <w:cantSplit/>
        </w:trPr>
        <w:tc>
          <w:tcPr>
            <w:tcW w:w="2427" w:type="pct"/>
          </w:tcPr>
          <w:p w:rsidR="004008A0" w:rsidRPr="00F24723" w:rsidRDefault="004008A0" w:rsidP="00936316">
            <w:pPr>
              <w:jc w:val="both"/>
              <w:rPr>
                <w:rFonts w:eastAsia="Calibri"/>
                <w:sz w:val="20"/>
                <w:lang w:val="fr-CA"/>
              </w:rPr>
            </w:pPr>
            <w:r w:rsidRPr="00F24723">
              <w:rPr>
                <w:rFonts w:eastAsia="Calibri"/>
                <w:sz w:val="20"/>
                <w:lang w:val="fr-CA"/>
              </w:rPr>
              <w:lastRenderedPageBreak/>
              <w:t>Le 4 octobre 2011</w:t>
            </w:r>
          </w:p>
          <w:p w:rsidR="004008A0" w:rsidRPr="00F24723" w:rsidRDefault="004008A0" w:rsidP="00936316">
            <w:pPr>
              <w:jc w:val="both"/>
              <w:rPr>
                <w:rFonts w:eastAsia="Calibri"/>
                <w:sz w:val="20"/>
                <w:lang w:val="fr-CA"/>
              </w:rPr>
            </w:pPr>
            <w:r w:rsidRPr="00F24723">
              <w:rPr>
                <w:rFonts w:eastAsia="Calibri"/>
                <w:sz w:val="20"/>
                <w:lang w:val="fr-CA"/>
              </w:rPr>
              <w:t>Cour d’appel du Québec (Montréal)</w:t>
            </w:r>
          </w:p>
          <w:p w:rsidR="004008A0" w:rsidRPr="00F24723" w:rsidRDefault="004008A0" w:rsidP="00936316">
            <w:pPr>
              <w:jc w:val="both"/>
              <w:rPr>
                <w:rFonts w:eastAsia="Calibri"/>
                <w:sz w:val="20"/>
                <w:lang w:val="fr-CA"/>
              </w:rPr>
            </w:pPr>
            <w:r w:rsidRPr="00F24723">
              <w:rPr>
                <w:rFonts w:eastAsia="Calibri"/>
                <w:sz w:val="20"/>
                <w:lang w:val="fr-CA"/>
              </w:rPr>
              <w:t>(Les juges Chamberland, Rochon et Léger)</w:t>
            </w:r>
          </w:p>
          <w:p w:rsidR="004008A0" w:rsidRPr="00F24723" w:rsidRDefault="004008A0" w:rsidP="00936316">
            <w:pPr>
              <w:jc w:val="both"/>
              <w:rPr>
                <w:rFonts w:eastAsia="Calibri"/>
                <w:sz w:val="20"/>
                <w:lang w:val="fr-CA"/>
              </w:rPr>
            </w:pPr>
            <w:r w:rsidRPr="00F24723">
              <w:rPr>
                <w:rFonts w:eastAsia="Calibri"/>
                <w:sz w:val="20"/>
                <w:lang w:val="fr-CA"/>
              </w:rPr>
              <w:t>2011 QCCA 1820</w:t>
            </w:r>
          </w:p>
          <w:p w:rsidR="004008A0" w:rsidRPr="00F24723" w:rsidRDefault="004008A0" w:rsidP="00936316">
            <w:pPr>
              <w:jc w:val="both"/>
              <w:rPr>
                <w:rFonts w:eastAsia="Calibri"/>
                <w:sz w:val="20"/>
                <w:lang w:val="fr-FR"/>
              </w:rPr>
            </w:pPr>
          </w:p>
        </w:tc>
        <w:tc>
          <w:tcPr>
            <w:tcW w:w="243" w:type="pct"/>
          </w:tcPr>
          <w:p w:rsidR="004008A0" w:rsidRPr="00F24723" w:rsidRDefault="004008A0" w:rsidP="00936316">
            <w:pPr>
              <w:jc w:val="both"/>
              <w:rPr>
                <w:rFonts w:eastAsia="Calibri"/>
                <w:sz w:val="20"/>
                <w:lang w:val="fr-FR"/>
              </w:rPr>
            </w:pPr>
          </w:p>
        </w:tc>
        <w:tc>
          <w:tcPr>
            <w:tcW w:w="2330" w:type="pct"/>
          </w:tcPr>
          <w:p w:rsidR="004008A0" w:rsidRPr="00F24723" w:rsidRDefault="004008A0" w:rsidP="00936316">
            <w:pPr>
              <w:jc w:val="both"/>
              <w:rPr>
                <w:rFonts w:eastAsia="Calibri"/>
                <w:sz w:val="20"/>
                <w:lang w:val="fr-CA"/>
              </w:rPr>
            </w:pPr>
            <w:r w:rsidRPr="00F24723">
              <w:rPr>
                <w:rFonts w:eastAsia="Calibri"/>
                <w:sz w:val="20"/>
                <w:lang w:val="fr-CA"/>
              </w:rPr>
              <w:t>Rejet de l’appel.</w:t>
            </w:r>
          </w:p>
        </w:tc>
      </w:tr>
      <w:tr w:rsidR="004008A0" w:rsidRPr="00B36F35" w:rsidTr="00F915D8">
        <w:trPr>
          <w:cantSplit/>
        </w:trPr>
        <w:tc>
          <w:tcPr>
            <w:tcW w:w="2427" w:type="pct"/>
          </w:tcPr>
          <w:p w:rsidR="004008A0" w:rsidRPr="00F24723" w:rsidRDefault="004008A0" w:rsidP="00936316">
            <w:pPr>
              <w:jc w:val="both"/>
              <w:rPr>
                <w:rFonts w:eastAsia="Calibri"/>
                <w:sz w:val="20"/>
                <w:lang w:val="fr-CA"/>
              </w:rPr>
            </w:pPr>
            <w:r w:rsidRPr="00F24723">
              <w:rPr>
                <w:rFonts w:eastAsia="Calibri"/>
                <w:sz w:val="20"/>
                <w:lang w:val="fr-CA"/>
              </w:rPr>
              <w:t>Le 5 décembre 2011</w:t>
            </w:r>
          </w:p>
          <w:p w:rsidR="004008A0" w:rsidRPr="00F24723" w:rsidRDefault="004008A0" w:rsidP="00936316">
            <w:pPr>
              <w:jc w:val="both"/>
              <w:rPr>
                <w:rFonts w:eastAsia="Calibri"/>
                <w:sz w:val="20"/>
                <w:lang w:val="fr-FR"/>
              </w:rPr>
            </w:pPr>
            <w:r w:rsidRPr="00F24723">
              <w:rPr>
                <w:rFonts w:eastAsia="Calibri"/>
                <w:sz w:val="20"/>
                <w:lang w:val="fr-CA"/>
              </w:rPr>
              <w:t>Cour suprême du Canada</w:t>
            </w:r>
          </w:p>
        </w:tc>
        <w:tc>
          <w:tcPr>
            <w:tcW w:w="243" w:type="pct"/>
          </w:tcPr>
          <w:p w:rsidR="004008A0" w:rsidRPr="00F24723" w:rsidRDefault="004008A0" w:rsidP="00936316">
            <w:pPr>
              <w:jc w:val="both"/>
              <w:rPr>
                <w:rFonts w:eastAsia="Calibri"/>
                <w:sz w:val="20"/>
                <w:lang w:val="fr-FR"/>
              </w:rPr>
            </w:pPr>
          </w:p>
        </w:tc>
        <w:tc>
          <w:tcPr>
            <w:tcW w:w="2330" w:type="pct"/>
          </w:tcPr>
          <w:p w:rsidR="004008A0" w:rsidRPr="00F24723" w:rsidRDefault="004008A0" w:rsidP="00936316">
            <w:pPr>
              <w:jc w:val="both"/>
              <w:rPr>
                <w:rFonts w:eastAsia="Calibri"/>
                <w:sz w:val="20"/>
                <w:lang w:val="fr-CA"/>
              </w:rPr>
            </w:pPr>
            <w:r w:rsidRPr="00F24723">
              <w:rPr>
                <w:rFonts w:eastAsia="Calibri"/>
                <w:sz w:val="20"/>
                <w:lang w:val="fr-CA"/>
              </w:rPr>
              <w:t>Dépôt de la demande d'autorisation d'appel.</w:t>
            </w:r>
          </w:p>
          <w:p w:rsidR="004008A0" w:rsidRPr="00F24723" w:rsidRDefault="004008A0" w:rsidP="00936316">
            <w:pPr>
              <w:jc w:val="both"/>
              <w:rPr>
                <w:rFonts w:eastAsia="Calibri"/>
                <w:sz w:val="20"/>
                <w:lang w:val="fr-CA"/>
              </w:rPr>
            </w:pPr>
          </w:p>
        </w:tc>
      </w:tr>
    </w:tbl>
    <w:p w:rsidR="001823C0" w:rsidRPr="004008A0"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71"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915D8" w:rsidRPr="00A00637" w:rsidTr="008B3BEA">
        <w:trPr>
          <w:cantSplit/>
        </w:trPr>
        <w:tc>
          <w:tcPr>
            <w:tcW w:w="1458" w:type="dxa"/>
          </w:tcPr>
          <w:p w:rsidR="00F915D8" w:rsidRPr="00A00637" w:rsidRDefault="00F915D8" w:rsidP="008B3BEA">
            <w:pPr>
              <w:rPr>
                <w:sz w:val="20"/>
                <w:szCs w:val="20"/>
              </w:rPr>
            </w:pPr>
            <w:r w:rsidRPr="00A00637">
              <w:rPr>
                <w:rStyle w:val="SCCFileNumberChar"/>
                <w:sz w:val="20"/>
                <w:szCs w:val="20"/>
              </w:rPr>
              <w:t>34564</w:t>
            </w:r>
          </w:p>
          <w:p w:rsidR="00F915D8" w:rsidRPr="00A00637" w:rsidRDefault="00F915D8" w:rsidP="008B3BEA">
            <w:pPr>
              <w:rPr>
                <w:b/>
                <w:sz w:val="20"/>
                <w:szCs w:val="20"/>
                <w:lang w:val="fr-CA"/>
              </w:rPr>
            </w:pPr>
          </w:p>
        </w:tc>
        <w:tc>
          <w:tcPr>
            <w:tcW w:w="8118" w:type="dxa"/>
          </w:tcPr>
          <w:p w:rsidR="00F915D8" w:rsidRPr="00A00637" w:rsidRDefault="00F915D8" w:rsidP="008B3BEA">
            <w:pPr>
              <w:jc w:val="both"/>
              <w:rPr>
                <w:sz w:val="20"/>
                <w:szCs w:val="20"/>
              </w:rPr>
            </w:pPr>
            <w:r w:rsidRPr="00F915D8">
              <w:rPr>
                <w:rStyle w:val="SCCLsocChar"/>
                <w:sz w:val="20"/>
                <w:szCs w:val="20"/>
                <w:lang w:val="en-CA"/>
              </w:rPr>
              <w:t>Anton Oleynik v. University of Calgary</w:t>
            </w:r>
            <w:r>
              <w:rPr>
                <w:rStyle w:val="SCCLsocChar"/>
                <w:sz w:val="20"/>
                <w:szCs w:val="20"/>
                <w:lang w:val="en-CA"/>
              </w:rPr>
              <w:t xml:space="preserve"> and</w:t>
            </w:r>
            <w:r w:rsidRPr="00F915D8">
              <w:rPr>
                <w:rStyle w:val="SCCLsocChar"/>
                <w:sz w:val="20"/>
                <w:szCs w:val="20"/>
                <w:lang w:val="en-CA"/>
              </w:rPr>
              <w:t xml:space="preserve"> Information and Privacy Commissioner of Alberta</w:t>
            </w:r>
            <w:r w:rsidRPr="00A00637">
              <w:rPr>
                <w:sz w:val="20"/>
                <w:szCs w:val="20"/>
              </w:rPr>
              <w:t xml:space="preserve"> (Alta.) (Civil) (By Leave)</w:t>
            </w:r>
          </w:p>
          <w:p w:rsidR="00F915D8" w:rsidRPr="00A00637" w:rsidRDefault="00F915D8" w:rsidP="008B3BEA">
            <w:pPr>
              <w:rPr>
                <w:sz w:val="20"/>
                <w:szCs w:val="20"/>
              </w:rPr>
            </w:pPr>
          </w:p>
        </w:tc>
      </w:tr>
      <w:tr w:rsidR="00F915D8" w:rsidRPr="00A00637" w:rsidTr="008B3BEA">
        <w:trPr>
          <w:cantSplit/>
        </w:trPr>
        <w:tc>
          <w:tcPr>
            <w:tcW w:w="1458" w:type="dxa"/>
          </w:tcPr>
          <w:p w:rsidR="00F915D8" w:rsidRPr="00A00637" w:rsidRDefault="00F915D8" w:rsidP="008B3BEA">
            <w:pPr>
              <w:rPr>
                <w:sz w:val="20"/>
                <w:szCs w:val="20"/>
              </w:rPr>
            </w:pPr>
            <w:r w:rsidRPr="00A00637">
              <w:rPr>
                <w:sz w:val="20"/>
                <w:szCs w:val="20"/>
              </w:rPr>
              <w:t>Coram :</w:t>
            </w:r>
          </w:p>
        </w:tc>
        <w:tc>
          <w:tcPr>
            <w:tcW w:w="8118" w:type="dxa"/>
          </w:tcPr>
          <w:p w:rsidR="00F915D8" w:rsidRPr="00A00637" w:rsidRDefault="00F915D8" w:rsidP="008B3BEA">
            <w:pPr>
              <w:rPr>
                <w:sz w:val="20"/>
                <w:szCs w:val="20"/>
              </w:rPr>
            </w:pPr>
            <w:r w:rsidRPr="00F915D8">
              <w:rPr>
                <w:rStyle w:val="SCCCoramChar"/>
                <w:sz w:val="20"/>
                <w:szCs w:val="20"/>
                <w:lang w:val="en-CA"/>
              </w:rPr>
              <w:t>McLachlin C.J. and Rothstein and Moldaver JJ.</w:t>
            </w:r>
          </w:p>
          <w:p w:rsidR="00F915D8" w:rsidRPr="00A00637" w:rsidRDefault="00F915D8" w:rsidP="008B3BEA">
            <w:pPr>
              <w:rPr>
                <w:sz w:val="20"/>
                <w:szCs w:val="20"/>
                <w:u w:val="single"/>
              </w:rPr>
            </w:pPr>
          </w:p>
        </w:tc>
      </w:tr>
      <w:tr w:rsidR="00F915D8" w:rsidRPr="00B36F35" w:rsidTr="008B3BEA">
        <w:trPr>
          <w:cantSplit/>
        </w:trPr>
        <w:tc>
          <w:tcPr>
            <w:tcW w:w="9576" w:type="dxa"/>
            <w:gridSpan w:val="2"/>
          </w:tcPr>
          <w:p w:rsidR="00F915D8" w:rsidRPr="00A00637" w:rsidRDefault="00F915D8" w:rsidP="008B3BEA">
            <w:pPr>
              <w:pStyle w:val="SCCShortJudgment"/>
              <w:rPr>
                <w:szCs w:val="20"/>
                <w:lang w:val="fr-CA"/>
              </w:rPr>
            </w:pPr>
            <w:r w:rsidRPr="00A00637">
              <w:rPr>
                <w:szCs w:val="20"/>
              </w:rPr>
              <w:t xml:space="preserve">The motion for an extension of time to serve and file the application for leave to appeal is granted. The application for leave to appeal from the judgment of the Court of Appeal of Alberta (Edmonton), Number 1003-0169-AC, 2011 ABCA 281, dated October 5, 2011, is dismissed with costs to the respondent University of Calgary.  </w:t>
            </w:r>
            <w:r w:rsidRPr="00A00637">
              <w:rPr>
                <w:szCs w:val="20"/>
                <w:lang w:val="fr-CA"/>
              </w:rPr>
              <w:t>The request for special costs award is denied.</w:t>
            </w:r>
          </w:p>
          <w:p w:rsidR="00F915D8" w:rsidRPr="00A00637" w:rsidRDefault="00F915D8" w:rsidP="008B3BEA">
            <w:pPr>
              <w:pStyle w:val="SCCShortJudgment"/>
              <w:ind w:firstLine="0"/>
              <w:rPr>
                <w:szCs w:val="20"/>
                <w:lang w:val="fr-CA"/>
              </w:rPr>
            </w:pPr>
          </w:p>
          <w:p w:rsidR="00F915D8" w:rsidRPr="00A00637" w:rsidRDefault="00F915D8" w:rsidP="008B3BEA">
            <w:pPr>
              <w:pStyle w:val="SCCShortJudgment"/>
              <w:rPr>
                <w:szCs w:val="20"/>
                <w:lang w:val="fr-CA"/>
              </w:rPr>
            </w:pPr>
            <w:r w:rsidRPr="00A00637">
              <w:rPr>
                <w:szCs w:val="20"/>
                <w:lang w:val="fr-CA"/>
              </w:rPr>
              <w:t>La requête en prorogation du délai de signification et de dépôt de la demande d’autorisation d’appel est accueillie. La demande d’autorisation d’appel de l’arrêt de la Cour d’appel de l’Alberta (Edmonton), numéro 1003-0169-AC, 2011 ABCA 281, daté du 5 octobre 2011, est rejetée avec dépens en faveur de l’intimée University of Calgary.  La demande en vue d’obtenir des dépens spéciaux est refusée.</w:t>
            </w:r>
          </w:p>
        </w:tc>
      </w:tr>
    </w:tbl>
    <w:p w:rsidR="001823C0" w:rsidRPr="00F915D8"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6EE" w:rsidRPr="00F24723" w:rsidTr="00936316">
        <w:tc>
          <w:tcPr>
            <w:tcW w:w="5000" w:type="pct"/>
            <w:gridSpan w:val="3"/>
          </w:tcPr>
          <w:p w:rsidR="005B16EE" w:rsidRPr="00F24723" w:rsidRDefault="005B16EE" w:rsidP="00936316">
            <w:pPr>
              <w:jc w:val="both"/>
              <w:rPr>
                <w:rFonts w:eastAsia="Calibri"/>
                <w:sz w:val="20"/>
              </w:rPr>
            </w:pPr>
            <w:r w:rsidRPr="00F24723">
              <w:rPr>
                <w:rFonts w:eastAsia="Calibri"/>
                <w:sz w:val="20"/>
              </w:rPr>
              <w:t>Civil procedure – Preliminary motions – Access to justice – Procedural fairness – Chambers judge granting respondent’s application to change venue of hearing over the objections of the applicant – Chambers judge considering respondent’s application before prior application filed by applicant – Effect of respondent disclosing communication made without prejudice.</w:t>
            </w:r>
          </w:p>
        </w:tc>
      </w:tr>
      <w:tr w:rsidR="005B16EE" w:rsidRPr="00F24723" w:rsidTr="00936316">
        <w:tc>
          <w:tcPr>
            <w:tcW w:w="5000" w:type="pct"/>
            <w:gridSpan w:val="3"/>
          </w:tcPr>
          <w:p w:rsidR="005B16EE" w:rsidRPr="00F24723" w:rsidRDefault="005B16EE" w:rsidP="00936316">
            <w:pPr>
              <w:jc w:val="both"/>
              <w:rPr>
                <w:rFonts w:eastAsia="Calibri"/>
                <w:sz w:val="20"/>
              </w:rPr>
            </w:pPr>
          </w:p>
        </w:tc>
      </w:tr>
      <w:tr w:rsidR="005B16EE" w:rsidRPr="00F24723" w:rsidTr="00936316">
        <w:tc>
          <w:tcPr>
            <w:tcW w:w="5000" w:type="pct"/>
            <w:gridSpan w:val="3"/>
          </w:tcPr>
          <w:p w:rsidR="005B16EE" w:rsidRPr="00F24723" w:rsidRDefault="005B16EE" w:rsidP="00936316">
            <w:pPr>
              <w:jc w:val="both"/>
              <w:rPr>
                <w:rFonts w:eastAsia="Calibri"/>
                <w:sz w:val="20"/>
              </w:rPr>
            </w:pPr>
            <w:r w:rsidRPr="00F24723">
              <w:rPr>
                <w:rFonts w:eastAsia="Calibri"/>
                <w:sz w:val="20"/>
              </w:rPr>
              <w:t xml:space="preserve">The applicant submitted an access to information request under the </w:t>
            </w:r>
            <w:r w:rsidRPr="00F24723">
              <w:rPr>
                <w:rFonts w:eastAsia="Calibri"/>
                <w:i/>
                <w:sz w:val="20"/>
              </w:rPr>
              <w:t>Freedom of Information and Protection of Privacy Act</w:t>
            </w:r>
            <w:r w:rsidRPr="00F24723">
              <w:rPr>
                <w:rFonts w:eastAsia="Calibri"/>
                <w:sz w:val="20"/>
              </w:rPr>
              <w:t>, RSA 2000, c. F-25, to the respondent University of Calgary, which was denied on the basis that the University did not have any of the records requested. The applicant filed a complaint with the Office of the Information and Privacy Commission of Alberta (the “Commission”), which was dismissed.  The applicant sought judicial review of the Commission’s decision. He also filed an interlocutory application seeking various relief, including that the court: i) issue directions concerning the respondent’s lack of response to his application or, alternatively, set a time schedule for perfecting the case; ii) allow written interrogatories to be conducted in lieu of oral discoveries of the University; iii) exempt the applicant from the costs of examining an employee of the University; and iv) allow the applicant to appear at the hearing by telephone.  The University filed an application seeking to have the action moved from Edmonton to Calgary and for an abridgment of time of that application. It also asked that certain portions of the applicant’s affidavit and all of another affidavit be struck and that a date for the hearing be set down. A chambers judge dealt only with the change of venue and abridgment of time, granting both requests. The applicant appealed.</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June 9, 2011</w:t>
            </w:r>
          </w:p>
          <w:p w:rsidR="005B16EE" w:rsidRPr="00F24723" w:rsidRDefault="005B16EE" w:rsidP="00936316">
            <w:pPr>
              <w:jc w:val="both"/>
              <w:rPr>
                <w:rFonts w:eastAsia="Calibri"/>
                <w:sz w:val="20"/>
              </w:rPr>
            </w:pPr>
            <w:r w:rsidRPr="00F24723">
              <w:rPr>
                <w:rFonts w:eastAsia="Calibri"/>
                <w:sz w:val="20"/>
              </w:rPr>
              <w:t>Court of Queen’s Bench of Alberta</w:t>
            </w:r>
          </w:p>
          <w:p w:rsidR="005B16EE" w:rsidRPr="00F24723" w:rsidRDefault="005B16EE" w:rsidP="00936316">
            <w:pPr>
              <w:jc w:val="both"/>
              <w:rPr>
                <w:rFonts w:eastAsia="Calibri"/>
                <w:sz w:val="20"/>
              </w:rPr>
            </w:pPr>
            <w:r w:rsidRPr="00F24723">
              <w:rPr>
                <w:rFonts w:eastAsia="Calibri"/>
                <w:sz w:val="20"/>
              </w:rPr>
              <w:t>(Belzil J.)</w:t>
            </w:r>
          </w:p>
          <w:p w:rsidR="005B16EE" w:rsidRPr="00F24723" w:rsidRDefault="005B16EE" w:rsidP="00936316">
            <w:pPr>
              <w:jc w:val="both"/>
              <w:rPr>
                <w:rFonts w:eastAsia="Calibri"/>
                <w:sz w:val="20"/>
              </w:rPr>
            </w:pPr>
            <w:r w:rsidRPr="00F24723">
              <w:rPr>
                <w:rFonts w:eastAsia="Calibri"/>
                <w:sz w:val="20"/>
              </w:rPr>
              <w:t>Docket 1003-07658</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Order granting change of venue of hearing of Mr. Oleynik’s application for judicial review from Edmonton to Calgary and abridging time; all other pending applications adjourned.</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lastRenderedPageBreak/>
              <w:t>October 5, 2011</w:t>
            </w:r>
          </w:p>
          <w:p w:rsidR="005B16EE" w:rsidRPr="00F24723" w:rsidRDefault="005B16EE" w:rsidP="00936316">
            <w:pPr>
              <w:jc w:val="both"/>
              <w:rPr>
                <w:rFonts w:eastAsia="Calibri"/>
                <w:sz w:val="20"/>
              </w:rPr>
            </w:pPr>
            <w:r w:rsidRPr="00F24723">
              <w:rPr>
                <w:rFonts w:eastAsia="Calibri"/>
                <w:sz w:val="20"/>
              </w:rPr>
              <w:t>Court of Appeal of Alberta (Edmonton)</w:t>
            </w:r>
          </w:p>
          <w:p w:rsidR="005B16EE" w:rsidRPr="00F24723" w:rsidRDefault="005B16EE" w:rsidP="00936316">
            <w:pPr>
              <w:jc w:val="both"/>
              <w:rPr>
                <w:rFonts w:eastAsia="Calibri"/>
                <w:sz w:val="20"/>
              </w:rPr>
            </w:pPr>
            <w:r w:rsidRPr="00F24723">
              <w:rPr>
                <w:rFonts w:eastAsia="Calibri"/>
                <w:sz w:val="20"/>
              </w:rPr>
              <w:t>(Ritter, O'Brien and Bielby JJ.A.)</w:t>
            </w:r>
          </w:p>
          <w:p w:rsidR="005B16EE" w:rsidRPr="00F24723" w:rsidRDefault="005B16EE" w:rsidP="00936316">
            <w:pPr>
              <w:jc w:val="both"/>
              <w:rPr>
                <w:rFonts w:eastAsia="Calibri"/>
                <w:sz w:val="20"/>
              </w:rPr>
            </w:pPr>
            <w:r w:rsidRPr="00F24723">
              <w:rPr>
                <w:rFonts w:eastAsia="Calibri"/>
                <w:sz w:val="20"/>
              </w:rPr>
              <w:t>2011 ABCA 281</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Mr. Oleynik’s appeal dismissed.</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November 30, 2011</w:t>
            </w:r>
          </w:p>
          <w:p w:rsidR="005B16EE" w:rsidRPr="00F24723" w:rsidRDefault="005B16EE" w:rsidP="00936316">
            <w:pPr>
              <w:jc w:val="both"/>
              <w:rPr>
                <w:rFonts w:eastAsia="Calibri"/>
                <w:sz w:val="20"/>
              </w:rPr>
            </w:pPr>
            <w:r w:rsidRPr="00F24723">
              <w:rPr>
                <w:rFonts w:eastAsia="Calibri"/>
                <w:sz w:val="20"/>
              </w:rPr>
              <w:t>Supreme Court of Canada</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Application for leave to appeal filed</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January 9, 2012</w:t>
            </w:r>
          </w:p>
          <w:p w:rsidR="005B16EE" w:rsidRPr="00F24723" w:rsidRDefault="005B16EE" w:rsidP="00936316">
            <w:pPr>
              <w:jc w:val="both"/>
              <w:rPr>
                <w:rFonts w:eastAsia="Calibri"/>
                <w:sz w:val="20"/>
              </w:rPr>
            </w:pPr>
            <w:r w:rsidRPr="00F24723">
              <w:rPr>
                <w:rFonts w:eastAsia="Calibri"/>
                <w:sz w:val="20"/>
              </w:rPr>
              <w:t>Supreme Court of Canada</w:t>
            </w: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Motion for an extension of time to serve the application for leave to appeal filed</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72"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B16EE" w:rsidRPr="00B36F35" w:rsidTr="00936316">
        <w:tc>
          <w:tcPr>
            <w:tcW w:w="5000" w:type="pct"/>
            <w:gridSpan w:val="3"/>
          </w:tcPr>
          <w:p w:rsidR="005B16EE" w:rsidRPr="00F24723" w:rsidRDefault="005B16EE" w:rsidP="00936316">
            <w:pPr>
              <w:jc w:val="both"/>
              <w:rPr>
                <w:rFonts w:eastAsia="Calibri"/>
                <w:sz w:val="20"/>
                <w:lang w:val="fr-CA"/>
              </w:rPr>
            </w:pPr>
            <w:r w:rsidRPr="00F24723">
              <w:rPr>
                <w:rFonts w:eastAsia="Calibri"/>
                <w:sz w:val="20"/>
                <w:lang w:val="fr-CA"/>
              </w:rPr>
              <w:t>Procédure civile – Requêtes préliminaires – Accès à la justice – Équité procédurale – Le juge en chambre a accueilli la demande des intimés en renvoi devant une autre juridiction malgré les objections du demandeur – Le juge en chambre a considéré la demande des intimés avant la demande antérieure déposée par le demandeur – Effet de la divulgation par un intimé d’une communication faite sans préjudice.</w:t>
            </w:r>
          </w:p>
        </w:tc>
      </w:tr>
      <w:tr w:rsidR="005B16EE" w:rsidRPr="00B36F35" w:rsidTr="00936316">
        <w:tc>
          <w:tcPr>
            <w:tcW w:w="5000" w:type="pct"/>
            <w:gridSpan w:val="3"/>
          </w:tcPr>
          <w:p w:rsidR="005B16EE" w:rsidRPr="00F24723" w:rsidRDefault="005B16EE" w:rsidP="00936316">
            <w:pPr>
              <w:jc w:val="both"/>
              <w:rPr>
                <w:rFonts w:eastAsia="Calibri"/>
                <w:sz w:val="20"/>
                <w:lang w:val="fr-CA"/>
              </w:rPr>
            </w:pPr>
          </w:p>
        </w:tc>
      </w:tr>
      <w:tr w:rsidR="005B16EE" w:rsidRPr="00F24723" w:rsidTr="00936316">
        <w:tc>
          <w:tcPr>
            <w:tcW w:w="5000" w:type="pct"/>
            <w:gridSpan w:val="3"/>
          </w:tcPr>
          <w:p w:rsidR="005B16EE" w:rsidRPr="00F24723" w:rsidRDefault="005B16EE" w:rsidP="00936316">
            <w:pPr>
              <w:jc w:val="both"/>
              <w:rPr>
                <w:rFonts w:eastAsia="Calibri"/>
                <w:sz w:val="20"/>
                <w:lang w:val="fr-CA"/>
              </w:rPr>
            </w:pPr>
            <w:r w:rsidRPr="00F24723">
              <w:rPr>
                <w:rFonts w:eastAsia="Calibri"/>
                <w:sz w:val="20"/>
                <w:lang w:val="fr-CA"/>
              </w:rPr>
              <w:t xml:space="preserve">Le demandeur a présenté une demande d'accès à l'information en vertu de la </w:t>
            </w:r>
            <w:r w:rsidRPr="00F24723">
              <w:rPr>
                <w:rFonts w:eastAsia="Calibri"/>
                <w:i/>
                <w:sz w:val="20"/>
                <w:lang w:val="fr-CA"/>
              </w:rPr>
              <w:t>Freedom of Information and Protection of Privacy Act</w:t>
            </w:r>
            <w:r w:rsidRPr="00F24723">
              <w:rPr>
                <w:rFonts w:eastAsia="Calibri"/>
                <w:sz w:val="20"/>
                <w:lang w:val="fr-CA"/>
              </w:rPr>
              <w:t>, RSA 2000, ch. F</w:t>
            </w:r>
            <w:r w:rsidRPr="00F24723">
              <w:rPr>
                <w:rFonts w:eastAsia="Calibri"/>
                <w:sz w:val="20"/>
                <w:lang w:val="fr-CA"/>
              </w:rPr>
              <w:noBreakHyphen/>
              <w:t>25, à l’Université de Calgary, intimée, une demande qui a été rejetée au motif que l'université n'avait pas les documents demandés. Le demandeur a déposé une plainte au bureau de l’Information and Privacy Commission of Alberta (la « Commission »); la plainte a été rejetée. Le demandeur a sollicité le contrôle judiciaire de la décision de la Commission. Il a également déposé une demande interlocutoire pour obtenir divers redressements, notamment que la cour : i) émette des directives concernant le fait que l'intimée n'avait pas donné suite à sa demande ou, à titre subsidiaire, fixe un échéancier pour mettre l’affaire en état; ii) autorise la tenue d’interrogatoires de l'université par écrit au lieu d'interrogatoires oraux; iii) dispense le demandeur des frais d'interrogatoire d'un employé de l'université; et iv) permette aux demandeurs de comparaître à l'audience par voie téléphonique. L'université a déposé une demande pour que l'instruction de l’action soit renvoyée d’Edmonton à Calgary et un abrègement des délais d'instruction de cette demande. Elle a également demandé la radiation de certaines parties de l'affidavit du demandeur et la totalité d'un autre affidavit ainsi que la fixation d'une date d'audience. Un juge en chambre s'est limité à traiter les demandes de renvoi devant une autre juridiction et d'abrègement des délais, accueillant les deux demandes. Le demandeur a interjeté appel.</w:t>
            </w:r>
          </w:p>
          <w:p w:rsidR="005B16EE" w:rsidRPr="00F24723" w:rsidRDefault="005B16EE" w:rsidP="00936316">
            <w:pPr>
              <w:jc w:val="both"/>
              <w:rPr>
                <w:rFonts w:eastAsia="Calibri"/>
                <w:sz w:val="20"/>
                <w:lang w:val="fr-CA"/>
              </w:rPr>
            </w:pPr>
          </w:p>
        </w:tc>
      </w:tr>
      <w:tr w:rsidR="005B16EE" w:rsidRPr="00B36F35"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9 juin 2011</w:t>
            </w:r>
          </w:p>
          <w:p w:rsidR="005B16EE" w:rsidRPr="00F24723" w:rsidRDefault="005B16EE" w:rsidP="00936316">
            <w:pPr>
              <w:jc w:val="both"/>
              <w:rPr>
                <w:rFonts w:eastAsia="Calibri"/>
                <w:sz w:val="20"/>
                <w:lang w:val="fr-CA"/>
              </w:rPr>
            </w:pPr>
            <w:r w:rsidRPr="00F24723">
              <w:rPr>
                <w:rFonts w:eastAsia="Calibri"/>
                <w:sz w:val="20"/>
                <w:lang w:val="fr-CA"/>
              </w:rPr>
              <w:t>Cour du Banc de la Reine de l’Alberta</w:t>
            </w:r>
          </w:p>
          <w:p w:rsidR="005B16EE" w:rsidRPr="00F24723" w:rsidRDefault="005B16EE" w:rsidP="00936316">
            <w:pPr>
              <w:jc w:val="both"/>
              <w:rPr>
                <w:rFonts w:eastAsia="Calibri"/>
                <w:sz w:val="20"/>
                <w:lang w:val="fr-CA"/>
              </w:rPr>
            </w:pPr>
            <w:r w:rsidRPr="00F24723">
              <w:rPr>
                <w:rFonts w:eastAsia="Calibri"/>
                <w:sz w:val="20"/>
                <w:lang w:val="fr-CA"/>
              </w:rPr>
              <w:t>(Juge Belzil)</w:t>
            </w:r>
          </w:p>
          <w:p w:rsidR="005B16EE" w:rsidRPr="00F24723" w:rsidRDefault="005B16EE" w:rsidP="00936316">
            <w:pPr>
              <w:jc w:val="both"/>
              <w:rPr>
                <w:rFonts w:eastAsia="Calibri"/>
                <w:sz w:val="20"/>
                <w:lang w:val="fr-CA"/>
              </w:rPr>
            </w:pPr>
            <w:r w:rsidRPr="00F24723">
              <w:rPr>
                <w:rFonts w:eastAsia="Calibri"/>
                <w:sz w:val="20"/>
                <w:lang w:val="fr-CA"/>
              </w:rPr>
              <w:t>N</w:t>
            </w:r>
            <w:r w:rsidRPr="00F24723">
              <w:rPr>
                <w:rFonts w:eastAsia="Calibri"/>
                <w:sz w:val="20"/>
                <w:vertAlign w:val="superscript"/>
                <w:lang w:val="fr-CA"/>
              </w:rPr>
              <w:t>o</w:t>
            </w:r>
            <w:r w:rsidRPr="00F24723">
              <w:rPr>
                <w:rFonts w:eastAsia="Calibri"/>
                <w:sz w:val="20"/>
                <w:lang w:val="fr-CA"/>
              </w:rPr>
              <w:t xml:space="preserve"> du greffe 1003</w:t>
            </w:r>
            <w:r w:rsidRPr="00F24723">
              <w:rPr>
                <w:rFonts w:eastAsia="Calibri"/>
                <w:sz w:val="20"/>
                <w:lang w:val="fr-CA"/>
              </w:rPr>
              <w:noBreakHyphen/>
              <w:t>07658</w:t>
            </w:r>
          </w:p>
          <w:p w:rsidR="005B16EE" w:rsidRPr="00F24723" w:rsidRDefault="005B16EE" w:rsidP="00936316">
            <w:pPr>
              <w:jc w:val="both"/>
              <w:rPr>
                <w:rFonts w:eastAsia="Calibri"/>
                <w:sz w:val="20"/>
                <w:lang w:val="fr-CA"/>
              </w:rPr>
            </w:pPr>
          </w:p>
        </w:tc>
        <w:tc>
          <w:tcPr>
            <w:tcW w:w="243" w:type="pct"/>
          </w:tcPr>
          <w:p w:rsidR="005B16EE" w:rsidRPr="00F24723"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Ordonnance de renvoi d’Edmonton à Calgary de l'instruction de la demande en contrôle judiciaire de M. Oleynik et d'abrègement des délais; toutes les autres demandes en instance sont ajournées.</w:t>
            </w:r>
          </w:p>
          <w:p w:rsidR="005B16EE" w:rsidRPr="00F24723" w:rsidRDefault="005B16EE" w:rsidP="00936316">
            <w:pPr>
              <w:jc w:val="both"/>
              <w:rPr>
                <w:rFonts w:eastAsia="Calibri"/>
                <w:sz w:val="20"/>
                <w:lang w:val="fr-CA"/>
              </w:rPr>
            </w:pPr>
          </w:p>
        </w:tc>
      </w:tr>
      <w:tr w:rsidR="005B16EE" w:rsidRPr="00B36F35"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5 octobre 2011</w:t>
            </w:r>
          </w:p>
          <w:p w:rsidR="005B16EE" w:rsidRPr="00F24723" w:rsidRDefault="005B16EE" w:rsidP="00936316">
            <w:pPr>
              <w:jc w:val="both"/>
              <w:rPr>
                <w:rFonts w:eastAsia="Calibri"/>
                <w:sz w:val="20"/>
                <w:lang w:val="fr-CA"/>
              </w:rPr>
            </w:pPr>
            <w:r w:rsidRPr="00F24723">
              <w:rPr>
                <w:rFonts w:eastAsia="Calibri"/>
                <w:sz w:val="20"/>
                <w:lang w:val="fr-CA"/>
              </w:rPr>
              <w:t>Cour d'appel de l'Alberta (Edmonton)</w:t>
            </w:r>
          </w:p>
          <w:p w:rsidR="005B16EE" w:rsidRPr="00F24723" w:rsidRDefault="005B16EE" w:rsidP="00936316">
            <w:pPr>
              <w:jc w:val="both"/>
              <w:rPr>
                <w:rFonts w:eastAsia="Calibri"/>
                <w:sz w:val="20"/>
                <w:lang w:val="fr-CA"/>
              </w:rPr>
            </w:pPr>
            <w:r w:rsidRPr="00F24723">
              <w:rPr>
                <w:rFonts w:eastAsia="Calibri"/>
                <w:sz w:val="20"/>
                <w:lang w:val="fr-CA"/>
              </w:rPr>
              <w:t>(Juges Ritter, O'Brien et Bielby)</w:t>
            </w:r>
          </w:p>
          <w:p w:rsidR="005B16EE" w:rsidRPr="00F24723" w:rsidRDefault="005B16EE" w:rsidP="00936316">
            <w:pPr>
              <w:jc w:val="both"/>
              <w:rPr>
                <w:rFonts w:eastAsia="Calibri"/>
                <w:sz w:val="20"/>
                <w:lang w:val="fr-CA"/>
              </w:rPr>
            </w:pPr>
            <w:r w:rsidRPr="00F24723">
              <w:rPr>
                <w:rFonts w:eastAsia="Calibri"/>
                <w:sz w:val="20"/>
                <w:lang w:val="fr-CA"/>
              </w:rPr>
              <w:t>2011 ABCA 281</w:t>
            </w:r>
          </w:p>
          <w:p w:rsidR="005B16EE" w:rsidRPr="00F24723" w:rsidRDefault="005B16EE" w:rsidP="00936316">
            <w:pPr>
              <w:jc w:val="both"/>
              <w:rPr>
                <w:rFonts w:eastAsia="Calibri"/>
                <w:sz w:val="20"/>
                <w:lang w:val="fr-CA"/>
              </w:rPr>
            </w:pPr>
          </w:p>
        </w:tc>
        <w:tc>
          <w:tcPr>
            <w:tcW w:w="243" w:type="pct"/>
          </w:tcPr>
          <w:p w:rsidR="005B16EE" w:rsidRPr="00F24723"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Appel de M. Oleynik, rejeté.</w:t>
            </w:r>
          </w:p>
          <w:p w:rsidR="005B16EE" w:rsidRPr="00F24723" w:rsidRDefault="005B16EE" w:rsidP="00936316">
            <w:pPr>
              <w:jc w:val="both"/>
              <w:rPr>
                <w:rFonts w:eastAsia="Calibri"/>
                <w:sz w:val="20"/>
                <w:lang w:val="fr-CA"/>
              </w:rPr>
            </w:pPr>
          </w:p>
        </w:tc>
      </w:tr>
      <w:tr w:rsidR="005B16EE" w:rsidRPr="00F24723"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30 novembre 2011</w:t>
            </w:r>
          </w:p>
          <w:p w:rsidR="005B16EE" w:rsidRPr="00F24723" w:rsidRDefault="005B16EE" w:rsidP="007776CF">
            <w:pPr>
              <w:jc w:val="both"/>
              <w:rPr>
                <w:rFonts w:eastAsia="Calibri"/>
                <w:sz w:val="20"/>
                <w:lang w:val="fr-CA"/>
              </w:rPr>
            </w:pPr>
            <w:r w:rsidRPr="00F24723">
              <w:rPr>
                <w:rFonts w:eastAsia="Calibri"/>
                <w:sz w:val="20"/>
                <w:lang w:val="fr-CA"/>
              </w:rPr>
              <w:t>Cour suprême du Canada</w:t>
            </w:r>
          </w:p>
        </w:tc>
        <w:tc>
          <w:tcPr>
            <w:tcW w:w="243" w:type="pct"/>
          </w:tcPr>
          <w:p w:rsidR="005B16EE" w:rsidRPr="00F24723"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Demande d'autorisation d'appel, déposée</w:t>
            </w:r>
          </w:p>
          <w:p w:rsidR="005B16EE" w:rsidRPr="00F24723" w:rsidRDefault="005B16EE" w:rsidP="00936316">
            <w:pPr>
              <w:jc w:val="both"/>
              <w:rPr>
                <w:rFonts w:eastAsia="Calibri"/>
                <w:sz w:val="20"/>
                <w:lang w:val="fr-CA"/>
              </w:rPr>
            </w:pPr>
          </w:p>
        </w:tc>
      </w:tr>
    </w:tbl>
    <w:p w:rsidR="007776CF" w:rsidRDefault="007776CF"/>
    <w:p w:rsidR="007776CF" w:rsidRDefault="007776CF">
      <w:r>
        <w:br w:type="page"/>
      </w:r>
    </w:p>
    <w:tbl>
      <w:tblPr>
        <w:tblW w:w="4952" w:type="pct"/>
        <w:tblLayout w:type="fixed"/>
        <w:tblCellMar>
          <w:left w:w="0" w:type="dxa"/>
          <w:bottom w:w="99" w:type="dxa"/>
          <w:right w:w="0" w:type="dxa"/>
        </w:tblCellMar>
        <w:tblLook w:val="00A0"/>
      </w:tblPr>
      <w:tblGrid>
        <w:gridCol w:w="4624"/>
        <w:gridCol w:w="463"/>
        <w:gridCol w:w="4440"/>
      </w:tblGrid>
      <w:tr w:rsidR="005B16EE" w:rsidRPr="00B36F35"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lastRenderedPageBreak/>
              <w:t>9 janvier 2012</w:t>
            </w:r>
          </w:p>
          <w:p w:rsidR="005B16EE" w:rsidRPr="00F24723" w:rsidRDefault="005B16EE" w:rsidP="00936316">
            <w:pPr>
              <w:jc w:val="both"/>
              <w:rPr>
                <w:rFonts w:eastAsia="Calibri"/>
                <w:sz w:val="20"/>
                <w:lang w:val="fr-CA"/>
              </w:rPr>
            </w:pPr>
            <w:r w:rsidRPr="00F24723">
              <w:rPr>
                <w:rFonts w:eastAsia="Calibri"/>
                <w:sz w:val="20"/>
                <w:lang w:val="fr-CA"/>
              </w:rPr>
              <w:t>Cour suprême du Canada</w:t>
            </w:r>
          </w:p>
        </w:tc>
        <w:tc>
          <w:tcPr>
            <w:tcW w:w="243" w:type="pct"/>
          </w:tcPr>
          <w:p w:rsidR="005B16EE" w:rsidRPr="00F24723"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Requête en prorogation du délai de signification de la demande d'autorisation d'appel, déposée</w:t>
            </w:r>
          </w:p>
        </w:tc>
      </w:tr>
    </w:tbl>
    <w:p w:rsidR="001823C0" w:rsidRPr="005B16EE"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73"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76CF" w:rsidRPr="00B36F35" w:rsidTr="008B3BEA">
        <w:trPr>
          <w:cantSplit/>
        </w:trPr>
        <w:tc>
          <w:tcPr>
            <w:tcW w:w="1458" w:type="dxa"/>
          </w:tcPr>
          <w:p w:rsidR="007776CF" w:rsidRPr="00A00637" w:rsidRDefault="007776CF" w:rsidP="008B3BEA">
            <w:pPr>
              <w:rPr>
                <w:sz w:val="20"/>
                <w:szCs w:val="20"/>
              </w:rPr>
            </w:pPr>
            <w:r w:rsidRPr="00A00637">
              <w:rPr>
                <w:rStyle w:val="SCCFileNumberChar"/>
                <w:sz w:val="20"/>
                <w:szCs w:val="20"/>
              </w:rPr>
              <w:t>34565</w:t>
            </w:r>
          </w:p>
          <w:p w:rsidR="007776CF" w:rsidRPr="00A00637" w:rsidRDefault="007776CF" w:rsidP="008B3BEA">
            <w:pPr>
              <w:rPr>
                <w:b/>
                <w:sz w:val="20"/>
                <w:szCs w:val="20"/>
                <w:lang w:val="fr-CA"/>
              </w:rPr>
            </w:pPr>
          </w:p>
        </w:tc>
        <w:tc>
          <w:tcPr>
            <w:tcW w:w="8118" w:type="dxa"/>
          </w:tcPr>
          <w:p w:rsidR="007776CF" w:rsidRPr="00A00637" w:rsidRDefault="007776CF" w:rsidP="008B3BEA">
            <w:pPr>
              <w:jc w:val="both"/>
              <w:rPr>
                <w:sz w:val="20"/>
                <w:szCs w:val="20"/>
                <w:lang w:val="fr-CA"/>
              </w:rPr>
            </w:pPr>
            <w:r w:rsidRPr="00A00637">
              <w:rPr>
                <w:rStyle w:val="SCCLsocChar"/>
                <w:sz w:val="20"/>
                <w:szCs w:val="20"/>
              </w:rPr>
              <w:t>Huguette Lepage</w:t>
            </w:r>
            <w:r>
              <w:rPr>
                <w:rStyle w:val="SCCLsocChar"/>
                <w:sz w:val="20"/>
                <w:szCs w:val="20"/>
              </w:rPr>
              <w:t xml:space="preserve"> et</w:t>
            </w:r>
            <w:r w:rsidRPr="00A00637">
              <w:rPr>
                <w:rStyle w:val="SCCLsocChar"/>
                <w:sz w:val="20"/>
                <w:szCs w:val="20"/>
              </w:rPr>
              <w:t xml:space="preserve"> François Ouellet c. Valeurs mobilières Desjardins Inc.</w:t>
            </w:r>
            <w:r>
              <w:rPr>
                <w:rStyle w:val="SCCLsocChar"/>
                <w:sz w:val="20"/>
                <w:szCs w:val="20"/>
              </w:rPr>
              <w:t xml:space="preserve"> et</w:t>
            </w:r>
            <w:r w:rsidRPr="00A00637">
              <w:rPr>
                <w:rStyle w:val="SCCLsocChar"/>
                <w:sz w:val="20"/>
                <w:szCs w:val="20"/>
              </w:rPr>
              <w:t xml:space="preserve"> Jean-François Bastien</w:t>
            </w:r>
            <w:r w:rsidRPr="00A00637">
              <w:rPr>
                <w:sz w:val="20"/>
                <w:szCs w:val="20"/>
                <w:lang w:val="fr-CA"/>
              </w:rPr>
              <w:t xml:space="preserve"> (Qc) (Civile) (Autorisation)</w:t>
            </w:r>
          </w:p>
          <w:p w:rsidR="007776CF" w:rsidRPr="00A00637" w:rsidRDefault="007776CF" w:rsidP="008B3BEA">
            <w:pPr>
              <w:rPr>
                <w:sz w:val="20"/>
                <w:szCs w:val="20"/>
                <w:lang w:val="fr-CA"/>
              </w:rPr>
            </w:pPr>
          </w:p>
        </w:tc>
      </w:tr>
      <w:tr w:rsidR="007776CF" w:rsidRPr="00B36F35" w:rsidTr="008B3BEA">
        <w:trPr>
          <w:cantSplit/>
        </w:trPr>
        <w:tc>
          <w:tcPr>
            <w:tcW w:w="1458" w:type="dxa"/>
          </w:tcPr>
          <w:p w:rsidR="007776CF" w:rsidRPr="007776CF" w:rsidRDefault="007776CF" w:rsidP="008B3BEA">
            <w:pPr>
              <w:rPr>
                <w:sz w:val="20"/>
                <w:szCs w:val="20"/>
                <w:lang w:val="fr-CA"/>
              </w:rPr>
            </w:pPr>
            <w:r w:rsidRPr="007776CF">
              <w:rPr>
                <w:sz w:val="20"/>
                <w:szCs w:val="20"/>
                <w:lang w:val="fr-CA"/>
              </w:rPr>
              <w:t>Coram :</w:t>
            </w:r>
          </w:p>
        </w:tc>
        <w:tc>
          <w:tcPr>
            <w:tcW w:w="8118" w:type="dxa"/>
          </w:tcPr>
          <w:p w:rsidR="007776CF" w:rsidRPr="00A00637" w:rsidRDefault="007776CF" w:rsidP="008B3BEA">
            <w:pPr>
              <w:rPr>
                <w:sz w:val="20"/>
                <w:szCs w:val="20"/>
                <w:lang w:val="fr-CA"/>
              </w:rPr>
            </w:pPr>
            <w:r w:rsidRPr="00A00637">
              <w:rPr>
                <w:rStyle w:val="SCCCoramChar"/>
                <w:sz w:val="20"/>
                <w:szCs w:val="20"/>
              </w:rPr>
              <w:t>Les juges Deschamps, Fish et Karakatsanis</w:t>
            </w:r>
          </w:p>
          <w:p w:rsidR="007776CF" w:rsidRPr="00A00637" w:rsidRDefault="007776CF" w:rsidP="008B3BEA">
            <w:pPr>
              <w:rPr>
                <w:sz w:val="20"/>
                <w:szCs w:val="20"/>
                <w:u w:val="single"/>
                <w:lang w:val="fr-CA"/>
              </w:rPr>
            </w:pPr>
          </w:p>
        </w:tc>
      </w:tr>
      <w:tr w:rsidR="007776CF" w:rsidRPr="00A00637" w:rsidTr="008B3BEA">
        <w:trPr>
          <w:cantSplit/>
        </w:trPr>
        <w:tc>
          <w:tcPr>
            <w:tcW w:w="9576" w:type="dxa"/>
            <w:gridSpan w:val="2"/>
          </w:tcPr>
          <w:p w:rsidR="007776CF" w:rsidRPr="00A00637" w:rsidRDefault="007776CF" w:rsidP="008B3BEA">
            <w:pPr>
              <w:pStyle w:val="SCCShortJudgment"/>
              <w:rPr>
                <w:szCs w:val="20"/>
                <w:lang w:val="fr-CA"/>
              </w:rPr>
            </w:pPr>
            <w:r w:rsidRPr="00A00637">
              <w:rPr>
                <w:szCs w:val="20"/>
                <w:lang w:val="fr-CA"/>
              </w:rPr>
              <w:t>La demande d’autorisation d’appel de l’arrêt de la Cour d’appel du Québec (Montréal), numéros 500-09-019764-091 et 500-09-019766-096, 2011 QCCA 1837,  daté du 6 octobre 2011, est rejetée avec dépens en faveur de l’intimée Valeurs mobilières Desjardins Inc.</w:t>
            </w:r>
          </w:p>
          <w:p w:rsidR="007776CF" w:rsidRPr="00A00637" w:rsidRDefault="007776CF" w:rsidP="008B3BEA">
            <w:pPr>
              <w:pStyle w:val="SCCShortJudgment"/>
              <w:ind w:firstLine="0"/>
              <w:rPr>
                <w:szCs w:val="20"/>
                <w:lang w:val="fr-CA"/>
              </w:rPr>
            </w:pPr>
          </w:p>
          <w:p w:rsidR="007776CF" w:rsidRPr="00A00637" w:rsidRDefault="007776CF" w:rsidP="008B3BEA">
            <w:pPr>
              <w:pStyle w:val="SCCShortJudgment"/>
              <w:rPr>
                <w:szCs w:val="20"/>
              </w:rPr>
            </w:pPr>
            <w:r w:rsidRPr="00A00637">
              <w:rPr>
                <w:szCs w:val="20"/>
              </w:rPr>
              <w:t>The application for leave to appeal from the judgment of the Court of Appeal of Quebec (Montréal), Numbers  500-09-019764-091 and 500-09-019766-096, 2011 QCCA 1837, dated October 6, 2011, is dismissed with costs to the respondent Desjardins Securities Inc.</w:t>
            </w:r>
          </w:p>
        </w:tc>
      </w:tr>
    </w:tbl>
    <w:p w:rsidR="001823C0" w:rsidRDefault="001823C0" w:rsidP="001823C0">
      <w:pPr>
        <w:rPr>
          <w:sz w:val="20"/>
          <w:szCs w:val="20"/>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6EE" w:rsidRPr="00F24723" w:rsidTr="00936316">
        <w:tc>
          <w:tcPr>
            <w:tcW w:w="5000" w:type="pct"/>
            <w:gridSpan w:val="3"/>
          </w:tcPr>
          <w:p w:rsidR="005B16EE" w:rsidRPr="00F24723" w:rsidRDefault="005B16EE" w:rsidP="00936316">
            <w:pPr>
              <w:jc w:val="both"/>
              <w:rPr>
                <w:rFonts w:eastAsia="Calibri"/>
                <w:sz w:val="20"/>
              </w:rPr>
            </w:pPr>
            <w:r w:rsidRPr="00F24723">
              <w:rPr>
                <w:rFonts w:eastAsia="Calibri"/>
                <w:sz w:val="20"/>
              </w:rPr>
              <w:t>Civil liability — Professional liability — Securities adviser — Adviser’s obligations — Evidence of causal connection between fault and damage — Under assisted management mandate, whether financial adviser is relieved of obligation to provide appropriate advice and act with prudence in relation to investment that seems unsuited to client simply because adviser believes client will reject his advice — Under assisted management mandate, whether financial adviser’s duty to warn means that adviser must refuse to carry out order by client that adviser knows or should know is contrary to client’s investment goals, needs and financial situation — Whether it is appropriate in context of assisted management mandate to assess investor’s losses by putting together hypothetical portfolio that would have been suitable and evaluating its performance for duration of mandate.</w:t>
            </w:r>
          </w:p>
        </w:tc>
      </w:tr>
      <w:tr w:rsidR="005B16EE" w:rsidRPr="00F24723" w:rsidTr="00936316">
        <w:tc>
          <w:tcPr>
            <w:tcW w:w="5000" w:type="pct"/>
            <w:gridSpan w:val="3"/>
          </w:tcPr>
          <w:p w:rsidR="005B16EE" w:rsidRPr="00F24723" w:rsidRDefault="005B16EE" w:rsidP="00936316">
            <w:pPr>
              <w:jc w:val="both"/>
              <w:rPr>
                <w:rFonts w:eastAsia="Calibri"/>
                <w:sz w:val="20"/>
              </w:rPr>
            </w:pPr>
          </w:p>
        </w:tc>
      </w:tr>
      <w:tr w:rsidR="005B16EE" w:rsidRPr="00F24723" w:rsidTr="00936316">
        <w:tc>
          <w:tcPr>
            <w:tcW w:w="5000" w:type="pct"/>
            <w:gridSpan w:val="3"/>
          </w:tcPr>
          <w:p w:rsidR="005B16EE" w:rsidRPr="00F24723" w:rsidRDefault="005B16EE" w:rsidP="00936316">
            <w:pPr>
              <w:jc w:val="both"/>
              <w:rPr>
                <w:rFonts w:eastAsia="Calibri"/>
                <w:sz w:val="20"/>
              </w:rPr>
            </w:pPr>
            <w:r w:rsidRPr="00F24723">
              <w:rPr>
                <w:rFonts w:eastAsia="Calibri"/>
                <w:sz w:val="20"/>
              </w:rPr>
              <w:t>The applicants opened accounts with Desjardins Securities.  The respondent Mr. Bastien was their investment adviser.  Under the mandate assigned to him, he did not act as a portfolio manager and had to obtain his clients’ authorization before completing a transaction.  Between the time when the applicants opened their accounts and the time when they left Desjardins Securities, the total value of their respective portfolios decreased considerably.  After closing their accounts at Desjardins Securities, the applicants brought a civil liability action against Mr. Bastien, alleging that he had breached his obligation to know his clients well and his duty to provide information and advice by not explaining to them the risks associated with concentrating their portfolios and not recommending that they diversify them.  The applicants also sued Desjardins Securities, alleging that it had failed to properly supervise the actions of its employee, Mr. Bastien.</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May 22, 2009</w:t>
            </w:r>
          </w:p>
          <w:p w:rsidR="005B16EE" w:rsidRPr="00F24723" w:rsidRDefault="005B16EE" w:rsidP="00936316">
            <w:pPr>
              <w:jc w:val="both"/>
              <w:rPr>
                <w:rFonts w:eastAsia="Calibri"/>
                <w:sz w:val="20"/>
              </w:rPr>
            </w:pPr>
            <w:r w:rsidRPr="00F24723">
              <w:rPr>
                <w:rFonts w:eastAsia="Calibri"/>
                <w:sz w:val="20"/>
              </w:rPr>
              <w:t>Quebec Superior Court</w:t>
            </w:r>
          </w:p>
          <w:p w:rsidR="005B16EE" w:rsidRPr="00F24723" w:rsidRDefault="005B16EE" w:rsidP="00936316">
            <w:pPr>
              <w:jc w:val="both"/>
              <w:rPr>
                <w:rFonts w:eastAsia="Calibri"/>
                <w:sz w:val="20"/>
              </w:rPr>
            </w:pPr>
            <w:r w:rsidRPr="00F24723">
              <w:rPr>
                <w:rFonts w:eastAsia="Calibri"/>
                <w:sz w:val="20"/>
              </w:rPr>
              <w:t>(Cullen J.)</w:t>
            </w:r>
          </w:p>
          <w:p w:rsidR="005B16EE" w:rsidRPr="00F24723" w:rsidRDefault="005B16EE" w:rsidP="00936316">
            <w:pPr>
              <w:jc w:val="both"/>
              <w:rPr>
                <w:rFonts w:eastAsia="Calibri"/>
                <w:sz w:val="20"/>
              </w:rPr>
            </w:pPr>
            <w:r w:rsidRPr="00F24723">
              <w:rPr>
                <w:rFonts w:eastAsia="Calibri"/>
                <w:sz w:val="20"/>
              </w:rPr>
              <w:t>2009 QCCS 2275</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Action in damages allowed in part</w:t>
            </w: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October 6, 2011</w:t>
            </w:r>
          </w:p>
          <w:p w:rsidR="005B16EE" w:rsidRPr="00F24723" w:rsidRDefault="005B16EE" w:rsidP="00936316">
            <w:pPr>
              <w:jc w:val="both"/>
              <w:rPr>
                <w:rFonts w:eastAsia="Calibri"/>
                <w:sz w:val="20"/>
              </w:rPr>
            </w:pPr>
            <w:r w:rsidRPr="00F24723">
              <w:rPr>
                <w:rFonts w:eastAsia="Calibri"/>
                <w:sz w:val="20"/>
              </w:rPr>
              <w:t xml:space="preserve">Quebec Court of Appeal (Montréal) </w:t>
            </w:r>
          </w:p>
          <w:p w:rsidR="005B16EE" w:rsidRPr="00F24723" w:rsidRDefault="005B16EE" w:rsidP="00936316">
            <w:pPr>
              <w:jc w:val="both"/>
              <w:rPr>
                <w:rFonts w:eastAsia="Calibri"/>
                <w:sz w:val="20"/>
              </w:rPr>
            </w:pPr>
            <w:r w:rsidRPr="00F24723">
              <w:rPr>
                <w:rFonts w:eastAsia="Calibri"/>
                <w:sz w:val="20"/>
              </w:rPr>
              <w:t>(Dalphond, Hilton and Dutil JJ.A.)</w:t>
            </w:r>
          </w:p>
          <w:p w:rsidR="005B16EE" w:rsidRPr="00F24723" w:rsidRDefault="005B16EE" w:rsidP="00936316">
            <w:pPr>
              <w:jc w:val="both"/>
              <w:rPr>
                <w:rFonts w:eastAsia="Calibri"/>
                <w:sz w:val="20"/>
              </w:rPr>
            </w:pPr>
            <w:r w:rsidRPr="00F24723">
              <w:rPr>
                <w:rFonts w:eastAsia="Calibri"/>
                <w:sz w:val="20"/>
              </w:rPr>
              <w:t xml:space="preserve">2011 QCCA 1837 </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Appeals allowed; incidental appeal dismissed</w:t>
            </w:r>
          </w:p>
        </w:tc>
      </w:tr>
      <w:tr w:rsidR="005B16EE" w:rsidRPr="00F24723" w:rsidTr="007776CF">
        <w:trPr>
          <w:cantSplit/>
        </w:trPr>
        <w:tc>
          <w:tcPr>
            <w:tcW w:w="2427" w:type="pct"/>
          </w:tcPr>
          <w:p w:rsidR="005B16EE" w:rsidRPr="00F24723" w:rsidRDefault="005B16EE" w:rsidP="00936316">
            <w:pPr>
              <w:jc w:val="both"/>
              <w:rPr>
                <w:rFonts w:eastAsia="Calibri"/>
                <w:sz w:val="20"/>
              </w:rPr>
            </w:pPr>
            <w:r w:rsidRPr="00F24723">
              <w:rPr>
                <w:rFonts w:eastAsia="Calibri"/>
                <w:sz w:val="20"/>
              </w:rPr>
              <w:lastRenderedPageBreak/>
              <w:t>December 5, 2011</w:t>
            </w:r>
          </w:p>
          <w:p w:rsidR="005B16EE" w:rsidRPr="00F24723" w:rsidRDefault="005B16EE" w:rsidP="00936316">
            <w:pPr>
              <w:jc w:val="both"/>
              <w:rPr>
                <w:rFonts w:eastAsia="Calibri"/>
                <w:sz w:val="20"/>
              </w:rPr>
            </w:pPr>
            <w:r w:rsidRPr="00F24723">
              <w:rPr>
                <w:rFonts w:eastAsia="Calibri"/>
                <w:sz w:val="20"/>
              </w:rPr>
              <w:t>Supreme Court of Canada</w:t>
            </w: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Application for leave to appeal filed</w:t>
            </w:r>
          </w:p>
          <w:p w:rsidR="005B16EE" w:rsidRPr="00F24723" w:rsidRDefault="005B16EE"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74"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6EE" w:rsidRPr="00B36F35" w:rsidTr="00936316">
        <w:tc>
          <w:tcPr>
            <w:tcW w:w="5000" w:type="pct"/>
            <w:gridSpan w:val="3"/>
          </w:tcPr>
          <w:p w:rsidR="005B16EE" w:rsidRPr="00F24723" w:rsidRDefault="005B16EE" w:rsidP="00936316">
            <w:pPr>
              <w:jc w:val="both"/>
              <w:rPr>
                <w:rFonts w:eastAsia="Calibri"/>
                <w:sz w:val="20"/>
                <w:lang w:val="fr-CA"/>
              </w:rPr>
            </w:pPr>
            <w:r w:rsidRPr="00F24723">
              <w:rPr>
                <w:rFonts w:eastAsia="Calibri"/>
                <w:sz w:val="20"/>
                <w:lang w:val="fr-CA"/>
              </w:rPr>
              <w:t>Responsabilité civile — Responsabilité professionnelle — Conseiller en valeurs mobilières — Obligations qui incombent au conseiller — Preuve du lien de causalité entre la faute et les dommages — Dans le cadre d’un mandat de gestion assistée, le conseiller financier est-il libéré de son obligation de fournir des conseils appropriés et de prendre des mesures de prudence à propos d’un placement qui ne semble pas convenir au client, du seul fait qu’il estime que le client déclinerait ses conseils? — Dans le cadre d’un mandat de gestion assistée, le devoir de mise en garde du conseiller financier (« duty to warn ») lui impose-t-il de refuser d’exécuter l’ordre du client qu’il sait ou devrait savoir contraire aux objectifs de placement, aux besoins et à la situation financière du client? — La méthode d’évaluation des pertes subies par un investisseur, consistant à composer un portefeuille hypothétique qui aurait été convenable et d’en évaluer le rendement pendant la durée du mandat, est-elle appropriée dans le contexte d’un mandat de gestion assistée?</w:t>
            </w:r>
          </w:p>
        </w:tc>
      </w:tr>
      <w:tr w:rsidR="005B16EE" w:rsidRPr="00B36F35" w:rsidTr="00936316">
        <w:tc>
          <w:tcPr>
            <w:tcW w:w="5000" w:type="pct"/>
            <w:gridSpan w:val="3"/>
          </w:tcPr>
          <w:p w:rsidR="005B16EE" w:rsidRPr="00F24723" w:rsidRDefault="005B16EE" w:rsidP="00936316">
            <w:pPr>
              <w:jc w:val="both"/>
              <w:rPr>
                <w:rFonts w:eastAsia="Calibri"/>
                <w:sz w:val="20"/>
                <w:lang w:val="fr-CA"/>
              </w:rPr>
            </w:pPr>
          </w:p>
        </w:tc>
      </w:tr>
      <w:tr w:rsidR="005B16EE" w:rsidRPr="00B36F35" w:rsidTr="00936316">
        <w:tc>
          <w:tcPr>
            <w:tcW w:w="5000" w:type="pct"/>
            <w:gridSpan w:val="3"/>
          </w:tcPr>
          <w:p w:rsidR="005B16EE" w:rsidRPr="00F24723" w:rsidRDefault="005B16EE" w:rsidP="00936316">
            <w:pPr>
              <w:jc w:val="both"/>
              <w:rPr>
                <w:rFonts w:eastAsia="Calibri"/>
                <w:sz w:val="20"/>
                <w:lang w:val="fr-CA"/>
              </w:rPr>
            </w:pPr>
            <w:r w:rsidRPr="00F24723">
              <w:rPr>
                <w:rFonts w:eastAsia="Calibri"/>
                <w:sz w:val="20"/>
                <w:lang w:val="fr-CA"/>
              </w:rPr>
              <w:t>Les demandeurs ouvrent des comptes chez Valeurs mobilières Desjardins (« VMD »). L’intimé M. Bastien est leur conseiller en placement. Dans le cadre du mandat conféré, M. Bastien n’agit pas comme gestionnaire de portefeuille et il doit nécessairement obtenir l'autorisation de ses clients avant d’effectuer une transaction. Entre le moment où les demandeurs ouvrent leur compte et où ils quittent VMD, la valeur totale de leurs portefeuilles respectifs diminuent considérablement. Après avoir fermé leurs comptes chez VMD, les demandeurs intentent une poursuite en responsabilité civile contre M. Bastien, alléguant qu’il a manqué à son obligation de bien connaître ses clients ainsi qu’à son devoir d’information et de conseil, en ne leur expliquant pas les risques associés à la concentration de leurs portefeuilles et en ne leur recommandant pas de les diversifier. Les demandeurs poursuivent également VMD parce qu’elle aurait omis de surveiller adéquatement les agissements de son préposé M. Bastien.</w:t>
            </w:r>
          </w:p>
          <w:p w:rsidR="005B16EE" w:rsidRPr="00F24723" w:rsidRDefault="005B16EE" w:rsidP="00936316">
            <w:pPr>
              <w:jc w:val="both"/>
              <w:rPr>
                <w:rFonts w:eastAsia="Calibri"/>
                <w:sz w:val="20"/>
                <w:lang w:val="fr-CA"/>
              </w:rPr>
            </w:pPr>
          </w:p>
        </w:tc>
      </w:tr>
      <w:tr w:rsidR="005B16EE" w:rsidRPr="00B36F35"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Le 22 mai 2009</w:t>
            </w:r>
          </w:p>
          <w:p w:rsidR="005B16EE" w:rsidRPr="00F24723" w:rsidRDefault="005B16EE" w:rsidP="00936316">
            <w:pPr>
              <w:jc w:val="both"/>
              <w:rPr>
                <w:rFonts w:eastAsia="Calibri"/>
                <w:sz w:val="20"/>
                <w:lang w:val="fr-CA"/>
              </w:rPr>
            </w:pPr>
            <w:r w:rsidRPr="00F24723">
              <w:rPr>
                <w:rFonts w:eastAsia="Calibri"/>
                <w:sz w:val="20"/>
                <w:lang w:val="fr-CA"/>
              </w:rPr>
              <w:t>Cour supérieure du Québec</w:t>
            </w:r>
          </w:p>
          <w:p w:rsidR="005B16EE" w:rsidRPr="00F24723" w:rsidRDefault="005B16EE" w:rsidP="00936316">
            <w:pPr>
              <w:jc w:val="both"/>
              <w:rPr>
                <w:rFonts w:eastAsia="Calibri"/>
                <w:sz w:val="20"/>
                <w:lang w:val="fr-CA"/>
              </w:rPr>
            </w:pPr>
            <w:r w:rsidRPr="00F24723">
              <w:rPr>
                <w:rFonts w:eastAsia="Calibri"/>
                <w:sz w:val="20"/>
                <w:lang w:val="fr-CA"/>
              </w:rPr>
              <w:t>(Le juge Cullen)</w:t>
            </w:r>
          </w:p>
          <w:p w:rsidR="005B16EE" w:rsidRPr="00F24723" w:rsidRDefault="005B16EE" w:rsidP="00936316">
            <w:pPr>
              <w:jc w:val="both"/>
              <w:rPr>
                <w:rFonts w:eastAsia="Calibri"/>
                <w:sz w:val="20"/>
                <w:lang w:val="fr-CA"/>
              </w:rPr>
            </w:pPr>
            <w:r w:rsidRPr="00F24723">
              <w:rPr>
                <w:rFonts w:eastAsia="Calibri"/>
                <w:sz w:val="20"/>
                <w:lang w:val="fr-CA"/>
              </w:rPr>
              <w:t>2009 QCCS 2275</w:t>
            </w:r>
          </w:p>
          <w:p w:rsidR="005B16EE" w:rsidRPr="00F24723" w:rsidRDefault="005B16EE" w:rsidP="00936316">
            <w:pPr>
              <w:jc w:val="both"/>
              <w:rPr>
                <w:rFonts w:eastAsia="Calibri"/>
                <w:sz w:val="20"/>
                <w:lang w:val="fr-FR"/>
              </w:rPr>
            </w:pPr>
          </w:p>
        </w:tc>
        <w:tc>
          <w:tcPr>
            <w:tcW w:w="243" w:type="pct"/>
          </w:tcPr>
          <w:p w:rsidR="005B16EE" w:rsidRPr="00F24723" w:rsidRDefault="005B16EE" w:rsidP="00936316">
            <w:pPr>
              <w:jc w:val="both"/>
              <w:rPr>
                <w:rFonts w:eastAsia="Calibri"/>
                <w:sz w:val="20"/>
                <w:lang w:val="fr-FR"/>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Action en dommages-intérêts accueillie en partie</w:t>
            </w:r>
          </w:p>
        </w:tc>
      </w:tr>
      <w:tr w:rsidR="005B16EE" w:rsidRPr="00B36F35"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Le 6 octobre 2011</w:t>
            </w:r>
          </w:p>
          <w:p w:rsidR="005B16EE" w:rsidRPr="00F24723" w:rsidRDefault="005B16EE" w:rsidP="00936316">
            <w:pPr>
              <w:jc w:val="both"/>
              <w:rPr>
                <w:rFonts w:eastAsia="Calibri"/>
                <w:sz w:val="20"/>
                <w:lang w:val="fr-CA"/>
              </w:rPr>
            </w:pPr>
            <w:r w:rsidRPr="00F24723">
              <w:rPr>
                <w:rFonts w:eastAsia="Calibri"/>
                <w:sz w:val="20"/>
                <w:lang w:val="fr-CA"/>
              </w:rPr>
              <w:t xml:space="preserve">Cour d’appel du Québec (Montréal) </w:t>
            </w:r>
          </w:p>
          <w:p w:rsidR="005B16EE" w:rsidRPr="00F24723" w:rsidRDefault="005B16EE" w:rsidP="00936316">
            <w:pPr>
              <w:jc w:val="both"/>
              <w:rPr>
                <w:rFonts w:eastAsia="Calibri"/>
                <w:sz w:val="20"/>
                <w:lang w:val="fr-CA"/>
              </w:rPr>
            </w:pPr>
            <w:r w:rsidRPr="00F24723">
              <w:rPr>
                <w:rFonts w:eastAsia="Calibri"/>
                <w:sz w:val="20"/>
                <w:lang w:val="fr-CA"/>
              </w:rPr>
              <w:t>(Les juges Dalphond, Hilton et Dutil)</w:t>
            </w:r>
          </w:p>
          <w:p w:rsidR="005B16EE" w:rsidRPr="00F24723" w:rsidRDefault="005B16EE" w:rsidP="00936316">
            <w:pPr>
              <w:jc w:val="both"/>
              <w:rPr>
                <w:rFonts w:eastAsia="Calibri"/>
                <w:sz w:val="20"/>
                <w:lang w:val="fr-FR"/>
              </w:rPr>
            </w:pPr>
            <w:r w:rsidRPr="00F24723">
              <w:rPr>
                <w:rFonts w:eastAsia="Calibri"/>
                <w:sz w:val="20"/>
                <w:lang w:val="fr-CA"/>
              </w:rPr>
              <w:t>2011 QCCA 1837</w:t>
            </w:r>
            <w:r w:rsidRPr="00F24723">
              <w:rPr>
                <w:rFonts w:eastAsia="Calibri"/>
                <w:sz w:val="20"/>
                <w:lang w:val="fr-FR"/>
              </w:rPr>
              <w:t xml:space="preserve"> </w:t>
            </w:r>
          </w:p>
          <w:p w:rsidR="005B16EE" w:rsidRPr="00F24723" w:rsidRDefault="005B16EE" w:rsidP="00936316">
            <w:pPr>
              <w:jc w:val="both"/>
              <w:rPr>
                <w:rFonts w:eastAsia="Calibri"/>
                <w:sz w:val="20"/>
                <w:lang w:val="fr-FR"/>
              </w:rPr>
            </w:pPr>
          </w:p>
        </w:tc>
        <w:tc>
          <w:tcPr>
            <w:tcW w:w="243" w:type="pct"/>
          </w:tcPr>
          <w:p w:rsidR="005B16EE" w:rsidRPr="00F24723" w:rsidRDefault="005B16EE" w:rsidP="00936316">
            <w:pPr>
              <w:jc w:val="both"/>
              <w:rPr>
                <w:rFonts w:eastAsia="Calibri"/>
                <w:sz w:val="20"/>
                <w:lang w:val="fr-FR"/>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Appels accueillis; appel incident rejeté</w:t>
            </w:r>
          </w:p>
        </w:tc>
      </w:tr>
      <w:tr w:rsidR="005B16EE" w:rsidRPr="00F24723"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Le 5 décembre 2011</w:t>
            </w:r>
          </w:p>
          <w:p w:rsidR="005B16EE" w:rsidRPr="00F24723" w:rsidRDefault="005B16EE" w:rsidP="00936316">
            <w:pPr>
              <w:jc w:val="both"/>
              <w:rPr>
                <w:rFonts w:eastAsia="Calibri"/>
                <w:sz w:val="20"/>
                <w:lang w:val="fr-FR"/>
              </w:rPr>
            </w:pPr>
            <w:r w:rsidRPr="00F24723">
              <w:rPr>
                <w:rFonts w:eastAsia="Calibri"/>
                <w:sz w:val="20"/>
                <w:lang w:val="fr-CA"/>
              </w:rPr>
              <w:t>Cour suprême du Canada</w:t>
            </w:r>
          </w:p>
        </w:tc>
        <w:tc>
          <w:tcPr>
            <w:tcW w:w="243" w:type="pct"/>
          </w:tcPr>
          <w:p w:rsidR="005B16EE" w:rsidRPr="00F24723" w:rsidRDefault="005B16EE" w:rsidP="00936316">
            <w:pPr>
              <w:jc w:val="both"/>
              <w:rPr>
                <w:rFonts w:eastAsia="Calibri"/>
                <w:sz w:val="20"/>
                <w:lang w:val="fr-FR"/>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Demande d'autorisation d'appel déposée</w:t>
            </w:r>
          </w:p>
          <w:p w:rsidR="005B16EE" w:rsidRPr="00F24723" w:rsidRDefault="005B16EE" w:rsidP="00936316">
            <w:pPr>
              <w:jc w:val="both"/>
              <w:rPr>
                <w:rFonts w:eastAsia="Calibri"/>
                <w:sz w:val="20"/>
                <w:lang w:val="fr-CA"/>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75"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B3BEA" w:rsidRPr="00A00637" w:rsidTr="008B3BEA">
        <w:trPr>
          <w:cantSplit/>
        </w:trPr>
        <w:tc>
          <w:tcPr>
            <w:tcW w:w="1458" w:type="dxa"/>
          </w:tcPr>
          <w:p w:rsidR="008B3BEA" w:rsidRPr="00A00637" w:rsidRDefault="008B3BEA" w:rsidP="008B3BEA">
            <w:pPr>
              <w:rPr>
                <w:sz w:val="20"/>
                <w:szCs w:val="20"/>
              </w:rPr>
            </w:pPr>
            <w:r w:rsidRPr="00A00637">
              <w:rPr>
                <w:rStyle w:val="SCCFileNumberChar"/>
                <w:sz w:val="20"/>
                <w:szCs w:val="20"/>
              </w:rPr>
              <w:t>34569</w:t>
            </w:r>
          </w:p>
          <w:p w:rsidR="008B3BEA" w:rsidRPr="00A00637" w:rsidRDefault="008B3BEA" w:rsidP="008B3BEA">
            <w:pPr>
              <w:rPr>
                <w:b/>
                <w:sz w:val="20"/>
                <w:szCs w:val="20"/>
                <w:lang w:val="fr-CA"/>
              </w:rPr>
            </w:pPr>
          </w:p>
        </w:tc>
        <w:tc>
          <w:tcPr>
            <w:tcW w:w="8118" w:type="dxa"/>
          </w:tcPr>
          <w:p w:rsidR="008B3BEA" w:rsidRPr="00A00637" w:rsidRDefault="008B3BEA" w:rsidP="008B3BEA">
            <w:pPr>
              <w:rPr>
                <w:sz w:val="20"/>
                <w:szCs w:val="20"/>
              </w:rPr>
            </w:pPr>
            <w:r w:rsidRPr="008B3BEA">
              <w:rPr>
                <w:rStyle w:val="SCCLsocChar"/>
                <w:sz w:val="20"/>
                <w:szCs w:val="20"/>
                <w:lang w:val="en-CA"/>
              </w:rPr>
              <w:t>James Richard Smith v. Law Society of Manitoba</w:t>
            </w:r>
            <w:r w:rsidRPr="00A00637">
              <w:rPr>
                <w:sz w:val="20"/>
                <w:szCs w:val="20"/>
              </w:rPr>
              <w:t xml:space="preserve"> (Man.) (Civil) (By Leave)</w:t>
            </w:r>
          </w:p>
          <w:p w:rsidR="008B3BEA" w:rsidRPr="00A00637" w:rsidRDefault="008B3BEA" w:rsidP="008B3BEA">
            <w:pPr>
              <w:rPr>
                <w:sz w:val="20"/>
                <w:szCs w:val="20"/>
              </w:rPr>
            </w:pPr>
          </w:p>
        </w:tc>
      </w:tr>
      <w:tr w:rsidR="008B3BEA" w:rsidRPr="00A00637" w:rsidTr="008B3BEA">
        <w:trPr>
          <w:cantSplit/>
        </w:trPr>
        <w:tc>
          <w:tcPr>
            <w:tcW w:w="1458" w:type="dxa"/>
          </w:tcPr>
          <w:p w:rsidR="008B3BEA" w:rsidRPr="00A00637" w:rsidRDefault="008B3BEA" w:rsidP="008B3BEA">
            <w:pPr>
              <w:rPr>
                <w:sz w:val="20"/>
                <w:szCs w:val="20"/>
              </w:rPr>
            </w:pPr>
            <w:r w:rsidRPr="00A00637">
              <w:rPr>
                <w:sz w:val="20"/>
                <w:szCs w:val="20"/>
              </w:rPr>
              <w:t>Coram :</w:t>
            </w:r>
          </w:p>
        </w:tc>
        <w:tc>
          <w:tcPr>
            <w:tcW w:w="8118" w:type="dxa"/>
          </w:tcPr>
          <w:p w:rsidR="008B3BEA" w:rsidRPr="00A00637" w:rsidRDefault="008B3BEA" w:rsidP="008B3BEA">
            <w:pPr>
              <w:rPr>
                <w:sz w:val="20"/>
                <w:szCs w:val="20"/>
              </w:rPr>
            </w:pPr>
            <w:r w:rsidRPr="008B3BEA">
              <w:rPr>
                <w:rStyle w:val="SCCCoramChar"/>
                <w:sz w:val="20"/>
                <w:szCs w:val="20"/>
                <w:lang w:val="en-CA"/>
              </w:rPr>
              <w:t>McLachlin C.J. and Rothstein and Moldaver JJ.</w:t>
            </w:r>
          </w:p>
          <w:p w:rsidR="008B3BEA" w:rsidRPr="00A00637" w:rsidRDefault="008B3BEA" w:rsidP="008B3BEA">
            <w:pPr>
              <w:rPr>
                <w:sz w:val="20"/>
                <w:szCs w:val="20"/>
                <w:u w:val="single"/>
              </w:rPr>
            </w:pPr>
          </w:p>
        </w:tc>
      </w:tr>
      <w:tr w:rsidR="008B3BEA" w:rsidRPr="00B36F35" w:rsidTr="008B3BEA">
        <w:trPr>
          <w:cantSplit/>
        </w:trPr>
        <w:tc>
          <w:tcPr>
            <w:tcW w:w="9576" w:type="dxa"/>
            <w:gridSpan w:val="2"/>
          </w:tcPr>
          <w:p w:rsidR="008B3BEA" w:rsidRPr="00A00637" w:rsidRDefault="008B3BEA" w:rsidP="008B3BEA">
            <w:pPr>
              <w:pStyle w:val="SCCShortJudgment"/>
              <w:rPr>
                <w:szCs w:val="20"/>
              </w:rPr>
            </w:pPr>
            <w:r w:rsidRPr="00A00637">
              <w:rPr>
                <w:szCs w:val="20"/>
              </w:rPr>
              <w:lastRenderedPageBreak/>
              <w:t>The application for leave to appeal from the judgment of the Court of Appeal of Manitoba, Number AI 11-30-07540, 2011 MBCA 81, dated October 19, 2011, is dismissed with costs.</w:t>
            </w:r>
          </w:p>
          <w:p w:rsidR="008B3BEA" w:rsidRPr="00A00637" w:rsidRDefault="008B3BEA" w:rsidP="008B3BEA">
            <w:pPr>
              <w:pStyle w:val="SCCShortJudgment"/>
              <w:ind w:firstLine="0"/>
              <w:rPr>
                <w:szCs w:val="20"/>
              </w:rPr>
            </w:pPr>
          </w:p>
          <w:p w:rsidR="008B3BEA" w:rsidRPr="00A00637" w:rsidRDefault="008B3BEA" w:rsidP="008B3BEA">
            <w:pPr>
              <w:pStyle w:val="SCCShortJudgment"/>
              <w:rPr>
                <w:szCs w:val="20"/>
                <w:lang w:val="fr-CA"/>
              </w:rPr>
            </w:pPr>
            <w:r w:rsidRPr="00A00637">
              <w:rPr>
                <w:szCs w:val="20"/>
                <w:lang w:val="fr-CA"/>
              </w:rPr>
              <w:t>La demande d’autorisation d’appel de l’arrêt de la Cour d’appel du Manitoba, numéro AI 11-30-07540, 2011 MBCA 81, daté du 19 octobre 2011, est rejetée avec dépens.</w:t>
            </w:r>
          </w:p>
        </w:tc>
      </w:tr>
    </w:tbl>
    <w:p w:rsidR="001823C0" w:rsidRPr="008B3BEA"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6EE" w:rsidRPr="00F24723" w:rsidTr="00936316">
        <w:tc>
          <w:tcPr>
            <w:tcW w:w="5000" w:type="pct"/>
            <w:gridSpan w:val="3"/>
          </w:tcPr>
          <w:p w:rsidR="005B16EE" w:rsidRPr="00F24723" w:rsidRDefault="005B16EE" w:rsidP="00936316">
            <w:pPr>
              <w:jc w:val="both"/>
              <w:rPr>
                <w:rFonts w:eastAsia="Calibri"/>
                <w:sz w:val="20"/>
              </w:rPr>
            </w:pPr>
            <w:r w:rsidRPr="00F24723">
              <w:rPr>
                <w:rFonts w:eastAsia="Calibri"/>
                <w:sz w:val="20"/>
              </w:rPr>
              <w:t xml:space="preserve">Charter of Rights – Right to full answer and defence – Law of professions – Barristers and solicitors – Discipline – Routine audit by Law Society of Applicant’s accounts disclosing irregularities on solicitor’s estate files – Where a citizen of Canada is charged with conduct involving penal consequences, does that citizen, under the </w:t>
            </w:r>
            <w:r w:rsidRPr="00F24723">
              <w:rPr>
                <w:rFonts w:eastAsia="Calibri"/>
                <w:i/>
                <w:sz w:val="20"/>
              </w:rPr>
              <w:t>Charter</w:t>
            </w:r>
            <w:r w:rsidRPr="00F24723">
              <w:rPr>
                <w:rFonts w:eastAsia="Calibri"/>
                <w:sz w:val="20"/>
              </w:rPr>
              <w:t xml:space="preserve"> have the right to make full answer and defence? – Where a citizen of Canada is charged with conduct involving penal consequences, should the exercise of the right to make full answer and defence result in punitive consequences for the citizen having done so?</w:t>
            </w:r>
          </w:p>
        </w:tc>
      </w:tr>
      <w:tr w:rsidR="005B16EE" w:rsidRPr="00F24723" w:rsidTr="00936316">
        <w:tc>
          <w:tcPr>
            <w:tcW w:w="5000" w:type="pct"/>
            <w:gridSpan w:val="3"/>
          </w:tcPr>
          <w:p w:rsidR="005B16EE" w:rsidRPr="00F24723" w:rsidRDefault="005B16EE" w:rsidP="00936316">
            <w:pPr>
              <w:jc w:val="both"/>
              <w:rPr>
                <w:rFonts w:eastAsia="Calibri"/>
                <w:sz w:val="20"/>
              </w:rPr>
            </w:pPr>
          </w:p>
        </w:tc>
      </w:tr>
      <w:tr w:rsidR="005B16EE" w:rsidRPr="00F24723" w:rsidTr="00936316">
        <w:tc>
          <w:tcPr>
            <w:tcW w:w="5000" w:type="pct"/>
            <w:gridSpan w:val="3"/>
          </w:tcPr>
          <w:p w:rsidR="005B16EE" w:rsidRPr="00F24723" w:rsidRDefault="005B16EE" w:rsidP="00936316">
            <w:pPr>
              <w:jc w:val="both"/>
              <w:rPr>
                <w:rFonts w:eastAsia="Calibri"/>
                <w:color w:val="000000"/>
                <w:sz w:val="20"/>
              </w:rPr>
            </w:pPr>
            <w:r w:rsidRPr="00F24723">
              <w:rPr>
                <w:rFonts w:eastAsia="Calibri"/>
                <w:color w:val="000000"/>
                <w:sz w:val="20"/>
              </w:rPr>
              <w:t>Mr. Smith was called to the bar in 1974. In 2007 the Law Society conducted a routine audit of his books, which led the auditor to request certain files.  Mr. Smith voluntarily turned the files over to the auditor who determined that three estate files raised concerns. The most serious matter arose from Mr. Smith’s handling of the C.B. estate.  Mr. Smith was the lawyer for C.B.’s estate and her will designated him as sole executor.  The estate consisted of $20,000 cash and a house appraised at $90,000.  The beneficiaries were C.B.’s two adult sons and a charity.  One son in particular began pressing Mr. Smith for a cash distribution.  About two months after C.B.'s death, Mr. Smith wrote to the sons, but not to the charity, advising them that he had located an investor who was interested in purchasing the house for $50,000.  The two sons signed authorizations for sale.  Only when the file was reviewed by the Law Society was it discovered that the investor who purchased the house was Mr. Smith’s wife.  When the Law Society commenced its investigation into the C.B. estate matters, Mr. Smith engaged counsel.  He paid certain of his counsel's legal bills with estate funds.  Mr. Smith also declined to answer certain questions raised by the Law Society during its investigation.  He faced nine counts of professional misconduct.</w:t>
            </w:r>
          </w:p>
          <w:p w:rsidR="005B16EE" w:rsidRPr="00F24723" w:rsidRDefault="005B16EE" w:rsidP="00936316">
            <w:pPr>
              <w:ind w:right="227"/>
              <w:jc w:val="both"/>
              <w:rPr>
                <w:rFonts w:eastAsia="Calibri"/>
                <w:color w:val="000000"/>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December 10, 2010</w:t>
            </w:r>
          </w:p>
          <w:p w:rsidR="005B16EE" w:rsidRPr="00F24723" w:rsidRDefault="005B16EE" w:rsidP="00936316">
            <w:pPr>
              <w:jc w:val="both"/>
              <w:rPr>
                <w:rFonts w:eastAsia="Calibri"/>
                <w:sz w:val="20"/>
              </w:rPr>
            </w:pPr>
            <w:r w:rsidRPr="00F24723">
              <w:rPr>
                <w:rFonts w:eastAsia="Calibri"/>
                <w:sz w:val="20"/>
              </w:rPr>
              <w:t>Law Society of Manitoba</w:t>
            </w:r>
          </w:p>
          <w:p w:rsidR="005B16EE" w:rsidRPr="00F24723" w:rsidRDefault="005B16EE" w:rsidP="00936316">
            <w:pPr>
              <w:jc w:val="both"/>
              <w:rPr>
                <w:rFonts w:eastAsia="Calibri"/>
                <w:sz w:val="20"/>
              </w:rPr>
            </w:pPr>
            <w:r w:rsidRPr="00F24723">
              <w:rPr>
                <w:rFonts w:eastAsia="Calibri"/>
                <w:sz w:val="20"/>
              </w:rPr>
              <w:t>(Gibson, Leonoff and McInnes , Panel)</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Applicant disbarred after being found guilty of several counts of professional misconduct.</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October 19, 2011</w:t>
            </w:r>
          </w:p>
          <w:p w:rsidR="005B16EE" w:rsidRPr="00F24723" w:rsidRDefault="005B16EE" w:rsidP="00936316">
            <w:pPr>
              <w:jc w:val="both"/>
              <w:rPr>
                <w:rFonts w:eastAsia="Calibri"/>
                <w:sz w:val="20"/>
              </w:rPr>
            </w:pPr>
            <w:r w:rsidRPr="00F24723">
              <w:rPr>
                <w:rFonts w:eastAsia="Calibri"/>
                <w:sz w:val="20"/>
              </w:rPr>
              <w:t>Court of Appeal of Manitoba</w:t>
            </w:r>
          </w:p>
          <w:p w:rsidR="005B16EE" w:rsidRPr="00F24723" w:rsidRDefault="005B16EE" w:rsidP="00936316">
            <w:pPr>
              <w:jc w:val="both"/>
              <w:rPr>
                <w:rFonts w:eastAsia="Calibri"/>
                <w:sz w:val="20"/>
              </w:rPr>
            </w:pPr>
            <w:r w:rsidRPr="00F24723">
              <w:rPr>
                <w:rFonts w:eastAsia="Calibri"/>
                <w:sz w:val="20"/>
              </w:rPr>
              <w:t>(Freedman, Chartier and Monnin JJ.A.)</w:t>
            </w:r>
          </w:p>
          <w:p w:rsidR="005B16EE" w:rsidRPr="00F24723" w:rsidRDefault="005B16EE" w:rsidP="00936316">
            <w:pPr>
              <w:jc w:val="both"/>
              <w:rPr>
                <w:rFonts w:eastAsia="Calibri"/>
                <w:sz w:val="20"/>
              </w:rPr>
            </w:pPr>
            <w:r w:rsidRPr="00F24723">
              <w:rPr>
                <w:rFonts w:eastAsia="Calibri"/>
                <w:sz w:val="20"/>
              </w:rPr>
              <w:t>2011 MBCA 81</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Appeal dismissed</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December 7, 2011</w:t>
            </w:r>
          </w:p>
          <w:p w:rsidR="005B16EE" w:rsidRPr="00F24723" w:rsidRDefault="005B16EE" w:rsidP="00936316">
            <w:pPr>
              <w:jc w:val="both"/>
              <w:rPr>
                <w:rFonts w:eastAsia="Calibri"/>
                <w:sz w:val="20"/>
              </w:rPr>
            </w:pPr>
            <w:r w:rsidRPr="00F24723">
              <w:rPr>
                <w:rFonts w:eastAsia="Calibri"/>
                <w:sz w:val="20"/>
              </w:rPr>
              <w:t>Supreme Court of Canada</w:t>
            </w: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Application for leave to appeal filed</w:t>
            </w:r>
          </w:p>
          <w:p w:rsidR="005B16EE" w:rsidRPr="00F24723" w:rsidRDefault="005B16EE"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76"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6EE" w:rsidRPr="00B36F35" w:rsidTr="00936316">
        <w:tc>
          <w:tcPr>
            <w:tcW w:w="5000" w:type="pct"/>
            <w:gridSpan w:val="3"/>
          </w:tcPr>
          <w:p w:rsidR="005B16EE" w:rsidRPr="00F24723" w:rsidRDefault="005B16EE" w:rsidP="00936316">
            <w:pPr>
              <w:jc w:val="both"/>
              <w:rPr>
                <w:rFonts w:eastAsia="Calibri"/>
                <w:sz w:val="20"/>
                <w:lang w:val="fr-FR"/>
              </w:rPr>
            </w:pPr>
            <w:r w:rsidRPr="00F24723">
              <w:rPr>
                <w:rFonts w:eastAsia="Calibri"/>
                <w:sz w:val="20"/>
                <w:lang w:val="fr-FR"/>
              </w:rPr>
              <w:t xml:space="preserve">Charte des droits – Droit à une défense pleine et entière – Droit des professions – Avocats et procureurs – Discipline – Une vérification de routine des comptes du procureur demandeur par la Société du Barreau révèle des irrégularités dans ses dossiers de succession. – La </w:t>
            </w:r>
            <w:r w:rsidRPr="00F24723">
              <w:rPr>
                <w:rFonts w:eastAsia="Calibri"/>
                <w:i/>
                <w:sz w:val="20"/>
                <w:lang w:val="fr-FR"/>
              </w:rPr>
              <w:t>Charte</w:t>
            </w:r>
            <w:r w:rsidRPr="00F24723">
              <w:rPr>
                <w:rFonts w:eastAsia="Calibri"/>
                <w:sz w:val="20"/>
                <w:lang w:val="fr-FR"/>
              </w:rPr>
              <w:t xml:space="preserve"> garantit-elle au citoyen canadien accusé d’un acte entraînant des conséquences pénales le droit de présenter une défense pleine et entière? – Le citoyen canadien accusé d’un acte entraînant des conséquences pénales doit-il être puni pour avoir exercé son droit de présenter une défense pleine et entière?</w:t>
            </w:r>
          </w:p>
        </w:tc>
      </w:tr>
      <w:tr w:rsidR="005B16EE" w:rsidRPr="00B36F35" w:rsidTr="00936316">
        <w:tc>
          <w:tcPr>
            <w:tcW w:w="5000" w:type="pct"/>
            <w:gridSpan w:val="3"/>
          </w:tcPr>
          <w:p w:rsidR="005B16EE" w:rsidRPr="00F24723" w:rsidRDefault="005B16EE" w:rsidP="00936316">
            <w:pPr>
              <w:jc w:val="both"/>
              <w:rPr>
                <w:rFonts w:eastAsia="Calibri"/>
                <w:sz w:val="20"/>
                <w:lang w:val="fr-FR"/>
              </w:rPr>
            </w:pPr>
          </w:p>
        </w:tc>
      </w:tr>
      <w:tr w:rsidR="005B16EE" w:rsidRPr="00B36F35" w:rsidTr="00936316">
        <w:tc>
          <w:tcPr>
            <w:tcW w:w="5000" w:type="pct"/>
            <w:gridSpan w:val="3"/>
          </w:tcPr>
          <w:p w:rsidR="005B16EE" w:rsidRPr="00F24723" w:rsidRDefault="005B16EE" w:rsidP="00936316">
            <w:pPr>
              <w:jc w:val="both"/>
              <w:rPr>
                <w:rFonts w:eastAsia="Calibri"/>
                <w:color w:val="000000"/>
                <w:sz w:val="20"/>
                <w:lang w:val="fr-FR"/>
              </w:rPr>
            </w:pPr>
            <w:r w:rsidRPr="00F24723">
              <w:rPr>
                <w:rFonts w:eastAsia="Calibri"/>
                <w:color w:val="000000"/>
                <w:sz w:val="20"/>
                <w:lang w:val="fr-FR"/>
              </w:rPr>
              <w:t>M. Smith a été admis au barreau en 1974.  En 2007, la Société du Barreau a effectué une vérification de routine de ses livres, et le vérificateurs a demandé l’accès à certains dossiers. M. Smith a remis les dossiers de son plein gré au vérificateur, qui a établi que trois dossiers de succession posaient problème.  Le plus grave problème était imputable au traitement par M. Smith de la succession de C.B.  M. Smith était l’avocat de la succession de C.B., dont le testament le désignait comme seul exécuteur testamentaire.  La succession consistait en 20 000 $ en argent et une propriété évaluée à 90 000 $.  Les bénéficiaires étaient les deux fils adultes de C.B. et un organisme de charité.  L’un des fils a commencé à insister auprès de M. Smith pour qu’il distribue les fonds.  Environ deux mois après la mort de C.B., M. Smith a écrit aux fils, mais non à l’organisme de charité, pour les aviser qu’il avait trouvé un investisseur désireux d’acheter la propriété au prix de 50 000 $.  Les deux fils ont signé des autorisations de vente.  C’est seulement lorsque la Société du Barreau a examiné le dossier qu’on a constaté que l’investisseur ayant acheté la propriété était l’épouse de M. Smith.  Quand la Société du Barreau a commencé son enquête sur la succession de C.B., M. Smith a retenu les services d’un avocat.  Il a payé certaines des factures de son avocat à même la succession.  M. Smith a également refusé de répondre à des questions posées par la Société du Barreau au cours de son enquête.  Il a été accusé de neuf chefs de faute professionnelle.</w:t>
            </w:r>
          </w:p>
          <w:p w:rsidR="005B16EE" w:rsidRPr="00F24723" w:rsidRDefault="005B16EE" w:rsidP="00936316">
            <w:pPr>
              <w:ind w:right="227"/>
              <w:jc w:val="both"/>
              <w:rPr>
                <w:rFonts w:eastAsia="Calibri"/>
                <w:color w:val="000000"/>
                <w:sz w:val="20"/>
                <w:lang w:val="fr-FR"/>
              </w:rPr>
            </w:pPr>
          </w:p>
        </w:tc>
      </w:tr>
      <w:tr w:rsidR="005B16EE" w:rsidRPr="00B36F35" w:rsidTr="00936316">
        <w:tc>
          <w:tcPr>
            <w:tcW w:w="2427" w:type="pct"/>
          </w:tcPr>
          <w:p w:rsidR="005B16EE" w:rsidRPr="00F24723" w:rsidRDefault="005B16EE" w:rsidP="00936316">
            <w:pPr>
              <w:jc w:val="both"/>
              <w:rPr>
                <w:rFonts w:eastAsia="Calibri"/>
                <w:sz w:val="20"/>
                <w:lang w:val="fr-FR"/>
              </w:rPr>
            </w:pPr>
            <w:r w:rsidRPr="00F24723">
              <w:rPr>
                <w:rFonts w:eastAsia="Calibri"/>
                <w:sz w:val="20"/>
                <w:lang w:val="fr-FR"/>
              </w:rPr>
              <w:t>10 décembre 2010</w:t>
            </w:r>
          </w:p>
          <w:p w:rsidR="005B16EE" w:rsidRPr="00F24723" w:rsidRDefault="005B16EE" w:rsidP="00936316">
            <w:pPr>
              <w:jc w:val="both"/>
              <w:rPr>
                <w:rFonts w:eastAsia="Calibri"/>
                <w:sz w:val="20"/>
                <w:lang w:val="fr-FR"/>
              </w:rPr>
            </w:pPr>
            <w:r w:rsidRPr="00F24723">
              <w:rPr>
                <w:rFonts w:eastAsia="Calibri"/>
                <w:sz w:val="20"/>
                <w:lang w:val="fr-FR"/>
              </w:rPr>
              <w:t>Société du Barreau du Manitoba</w:t>
            </w:r>
          </w:p>
          <w:p w:rsidR="005B16EE" w:rsidRPr="00F24723" w:rsidRDefault="005B16EE" w:rsidP="00936316">
            <w:pPr>
              <w:jc w:val="both"/>
              <w:rPr>
                <w:rFonts w:eastAsia="Calibri"/>
                <w:sz w:val="20"/>
                <w:lang w:val="fr-FR"/>
              </w:rPr>
            </w:pPr>
            <w:r w:rsidRPr="00F24723">
              <w:rPr>
                <w:rFonts w:eastAsia="Calibri"/>
                <w:sz w:val="20"/>
                <w:lang w:val="fr-FR"/>
              </w:rPr>
              <w:t>(Formation du comité de discipline : M</w:t>
            </w:r>
            <w:r w:rsidRPr="00F24723">
              <w:rPr>
                <w:rFonts w:eastAsia="Calibri"/>
                <w:sz w:val="20"/>
                <w:vertAlign w:val="superscript"/>
                <w:lang w:val="fr-FR"/>
              </w:rPr>
              <w:t>es </w:t>
            </w:r>
            <w:r w:rsidRPr="00F24723">
              <w:rPr>
                <w:rFonts w:eastAsia="Calibri"/>
                <w:sz w:val="20"/>
                <w:lang w:val="fr-FR"/>
              </w:rPr>
              <w:t>Gibson, Leonoff et McInnes)</w:t>
            </w:r>
          </w:p>
          <w:p w:rsidR="005B16EE" w:rsidRPr="00F24723" w:rsidRDefault="005B16EE" w:rsidP="00936316">
            <w:pPr>
              <w:jc w:val="both"/>
              <w:rPr>
                <w:rFonts w:eastAsia="Calibri"/>
                <w:sz w:val="20"/>
                <w:lang w:val="fr-FR"/>
              </w:rPr>
            </w:pPr>
          </w:p>
        </w:tc>
        <w:tc>
          <w:tcPr>
            <w:tcW w:w="243" w:type="pct"/>
          </w:tcPr>
          <w:p w:rsidR="005B16EE" w:rsidRPr="00F24723" w:rsidRDefault="005B16EE" w:rsidP="00936316">
            <w:pPr>
              <w:jc w:val="both"/>
              <w:rPr>
                <w:rFonts w:eastAsia="Calibri"/>
                <w:sz w:val="20"/>
                <w:lang w:val="fr-FR"/>
              </w:rPr>
            </w:pPr>
          </w:p>
        </w:tc>
        <w:tc>
          <w:tcPr>
            <w:tcW w:w="2330" w:type="pct"/>
          </w:tcPr>
          <w:p w:rsidR="005B16EE" w:rsidRPr="00F24723" w:rsidRDefault="005B16EE" w:rsidP="00936316">
            <w:pPr>
              <w:jc w:val="both"/>
              <w:rPr>
                <w:rFonts w:eastAsia="Calibri"/>
                <w:sz w:val="20"/>
                <w:lang w:val="fr-FR"/>
              </w:rPr>
            </w:pPr>
            <w:r w:rsidRPr="00F24723">
              <w:rPr>
                <w:rFonts w:eastAsia="Calibri"/>
                <w:sz w:val="20"/>
                <w:lang w:val="fr-FR"/>
              </w:rPr>
              <w:t>Demandeur radié après avoir été déclaré coupable de plusieurs chefs de faute professionnelle</w:t>
            </w:r>
          </w:p>
          <w:p w:rsidR="005B16EE" w:rsidRPr="00F24723" w:rsidRDefault="005B16EE" w:rsidP="00936316">
            <w:pPr>
              <w:jc w:val="both"/>
              <w:rPr>
                <w:rFonts w:eastAsia="Calibri"/>
                <w:sz w:val="20"/>
                <w:lang w:val="fr-FR"/>
              </w:rPr>
            </w:pPr>
          </w:p>
        </w:tc>
      </w:tr>
      <w:tr w:rsidR="005B16EE" w:rsidRPr="00F24723" w:rsidTr="00936316">
        <w:tc>
          <w:tcPr>
            <w:tcW w:w="2427" w:type="pct"/>
          </w:tcPr>
          <w:p w:rsidR="005B16EE" w:rsidRPr="00F24723" w:rsidRDefault="005B16EE" w:rsidP="00936316">
            <w:pPr>
              <w:jc w:val="both"/>
              <w:rPr>
                <w:rFonts w:eastAsia="Calibri"/>
                <w:sz w:val="20"/>
                <w:lang w:val="fr-FR"/>
              </w:rPr>
            </w:pPr>
            <w:r w:rsidRPr="00F24723">
              <w:rPr>
                <w:rFonts w:eastAsia="Calibri"/>
                <w:sz w:val="20"/>
                <w:lang w:val="fr-FR"/>
              </w:rPr>
              <w:t>19 octobre 2011</w:t>
            </w:r>
          </w:p>
          <w:p w:rsidR="005B16EE" w:rsidRPr="00F24723" w:rsidRDefault="005B16EE" w:rsidP="00936316">
            <w:pPr>
              <w:jc w:val="both"/>
              <w:rPr>
                <w:rFonts w:eastAsia="Calibri"/>
                <w:sz w:val="20"/>
                <w:lang w:val="fr-FR"/>
              </w:rPr>
            </w:pPr>
            <w:r w:rsidRPr="00F24723">
              <w:rPr>
                <w:rFonts w:eastAsia="Calibri"/>
                <w:sz w:val="20"/>
                <w:lang w:val="fr-FR"/>
              </w:rPr>
              <w:t>Cour d’appel du Manitoba</w:t>
            </w:r>
          </w:p>
          <w:p w:rsidR="005B16EE" w:rsidRPr="00F24723" w:rsidRDefault="005B16EE" w:rsidP="00936316">
            <w:pPr>
              <w:jc w:val="both"/>
              <w:rPr>
                <w:rFonts w:eastAsia="Calibri"/>
                <w:sz w:val="20"/>
                <w:lang w:val="fr-FR"/>
              </w:rPr>
            </w:pPr>
            <w:r w:rsidRPr="00F24723">
              <w:rPr>
                <w:rFonts w:eastAsia="Calibri"/>
                <w:sz w:val="20"/>
                <w:lang w:val="fr-FR"/>
              </w:rPr>
              <w:t>(Juges Freedman, Chartier et Monnin)</w:t>
            </w:r>
          </w:p>
          <w:p w:rsidR="005B16EE" w:rsidRPr="00F24723" w:rsidRDefault="005B16EE" w:rsidP="00936316">
            <w:pPr>
              <w:jc w:val="both"/>
              <w:rPr>
                <w:rFonts w:eastAsia="Calibri"/>
                <w:sz w:val="20"/>
              </w:rPr>
            </w:pPr>
            <w:r w:rsidRPr="00F24723">
              <w:rPr>
                <w:rFonts w:eastAsia="Calibri"/>
                <w:sz w:val="20"/>
              </w:rPr>
              <w:t>2011 MBCA 81</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Appel rejeté</w:t>
            </w:r>
          </w:p>
          <w:p w:rsidR="005B16EE" w:rsidRPr="00F24723" w:rsidRDefault="005B16EE" w:rsidP="00936316">
            <w:pPr>
              <w:jc w:val="both"/>
              <w:rPr>
                <w:rFonts w:eastAsia="Calibri"/>
                <w:sz w:val="20"/>
              </w:rPr>
            </w:pPr>
          </w:p>
        </w:tc>
      </w:tr>
      <w:tr w:rsidR="005B16EE" w:rsidRPr="00F24723" w:rsidTr="00936316">
        <w:tc>
          <w:tcPr>
            <w:tcW w:w="2427" w:type="pct"/>
          </w:tcPr>
          <w:p w:rsidR="005B16EE" w:rsidRPr="005B16EE" w:rsidRDefault="005B16EE" w:rsidP="00936316">
            <w:pPr>
              <w:jc w:val="both"/>
              <w:rPr>
                <w:rFonts w:eastAsia="Calibri"/>
                <w:sz w:val="20"/>
                <w:lang w:val="fr-CA"/>
              </w:rPr>
            </w:pPr>
            <w:r w:rsidRPr="005B16EE">
              <w:rPr>
                <w:rFonts w:eastAsia="Calibri"/>
                <w:sz w:val="20"/>
                <w:lang w:val="fr-CA"/>
              </w:rPr>
              <w:t>7 décembre 2011</w:t>
            </w:r>
          </w:p>
          <w:p w:rsidR="005B16EE" w:rsidRPr="005B16EE" w:rsidRDefault="005B16EE" w:rsidP="00936316">
            <w:pPr>
              <w:jc w:val="both"/>
              <w:rPr>
                <w:rFonts w:eastAsia="Calibri"/>
                <w:sz w:val="20"/>
                <w:lang w:val="fr-CA"/>
              </w:rPr>
            </w:pPr>
            <w:r w:rsidRPr="005B16EE">
              <w:rPr>
                <w:rFonts w:eastAsia="Calibri"/>
                <w:sz w:val="20"/>
                <w:lang w:val="fr-CA"/>
              </w:rPr>
              <w:t>Cour suprême du Canada</w:t>
            </w:r>
          </w:p>
        </w:tc>
        <w:tc>
          <w:tcPr>
            <w:tcW w:w="243" w:type="pct"/>
          </w:tcPr>
          <w:p w:rsidR="005B16EE" w:rsidRPr="005B16EE"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rPr>
            </w:pPr>
            <w:r w:rsidRPr="00F24723">
              <w:rPr>
                <w:rFonts w:eastAsia="Calibri"/>
                <w:sz w:val="20"/>
              </w:rPr>
              <w:t xml:space="preserve">Demande d’autorisation d’appel rejetée </w:t>
            </w:r>
          </w:p>
          <w:p w:rsidR="005B16EE" w:rsidRPr="00F24723" w:rsidRDefault="005B16EE" w:rsidP="00936316">
            <w:pPr>
              <w:jc w:val="both"/>
              <w:rPr>
                <w:rFonts w:eastAsia="Calibri"/>
                <w:sz w:val="20"/>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77"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6FF0" w:rsidRPr="00A00637" w:rsidTr="00E86FF0">
        <w:trPr>
          <w:cantSplit/>
        </w:trPr>
        <w:tc>
          <w:tcPr>
            <w:tcW w:w="1458" w:type="dxa"/>
          </w:tcPr>
          <w:p w:rsidR="00E86FF0" w:rsidRPr="00A00637" w:rsidRDefault="00E86FF0" w:rsidP="00E86FF0">
            <w:pPr>
              <w:rPr>
                <w:sz w:val="20"/>
                <w:szCs w:val="20"/>
              </w:rPr>
            </w:pPr>
            <w:r w:rsidRPr="00A00637">
              <w:rPr>
                <w:rStyle w:val="SCCFileNumberChar"/>
                <w:sz w:val="20"/>
                <w:szCs w:val="20"/>
              </w:rPr>
              <w:t>34573</w:t>
            </w:r>
          </w:p>
          <w:p w:rsidR="00E86FF0" w:rsidRPr="00A00637" w:rsidRDefault="00E86FF0" w:rsidP="00E86FF0">
            <w:pPr>
              <w:rPr>
                <w:b/>
                <w:sz w:val="20"/>
                <w:szCs w:val="20"/>
                <w:lang w:val="fr-CA"/>
              </w:rPr>
            </w:pPr>
          </w:p>
        </w:tc>
        <w:tc>
          <w:tcPr>
            <w:tcW w:w="8118" w:type="dxa"/>
          </w:tcPr>
          <w:p w:rsidR="00E86FF0" w:rsidRPr="00A00637" w:rsidRDefault="00E86FF0" w:rsidP="00E86FF0">
            <w:pPr>
              <w:jc w:val="both"/>
              <w:rPr>
                <w:sz w:val="20"/>
                <w:szCs w:val="20"/>
              </w:rPr>
            </w:pPr>
            <w:r w:rsidRPr="00E86FF0">
              <w:rPr>
                <w:rStyle w:val="SCCLsocChar"/>
                <w:sz w:val="20"/>
                <w:szCs w:val="20"/>
                <w:lang w:val="en-CA"/>
              </w:rPr>
              <w:t>Lisa Koerner v. Capital Health Authority, Royal Alexander Hospital, University of Alberta Hospital, Grey Nuns Community Hospital, Misericordia Community Hospital, Walter Yakimets, Todd McMullen, Doug Davey, D. San Agustin, Kata Matic and G. Sandha</w:t>
            </w:r>
            <w:r w:rsidRPr="00A00637">
              <w:rPr>
                <w:sz w:val="20"/>
                <w:szCs w:val="20"/>
              </w:rPr>
              <w:t xml:space="preserve"> (Alta.) (Civil) (By Leave)</w:t>
            </w:r>
          </w:p>
          <w:p w:rsidR="00E86FF0" w:rsidRPr="00A00637" w:rsidRDefault="00E86FF0" w:rsidP="00E86FF0">
            <w:pPr>
              <w:rPr>
                <w:sz w:val="20"/>
                <w:szCs w:val="20"/>
              </w:rPr>
            </w:pPr>
          </w:p>
        </w:tc>
      </w:tr>
      <w:tr w:rsidR="00E86FF0" w:rsidRPr="00A00637" w:rsidTr="00E86FF0">
        <w:trPr>
          <w:cantSplit/>
        </w:trPr>
        <w:tc>
          <w:tcPr>
            <w:tcW w:w="1458" w:type="dxa"/>
          </w:tcPr>
          <w:p w:rsidR="00E86FF0" w:rsidRPr="00A00637" w:rsidRDefault="00E86FF0" w:rsidP="00E86FF0">
            <w:pPr>
              <w:rPr>
                <w:sz w:val="20"/>
                <w:szCs w:val="20"/>
              </w:rPr>
            </w:pPr>
            <w:r w:rsidRPr="00A00637">
              <w:rPr>
                <w:sz w:val="20"/>
                <w:szCs w:val="20"/>
              </w:rPr>
              <w:t>Coram :</w:t>
            </w:r>
          </w:p>
        </w:tc>
        <w:tc>
          <w:tcPr>
            <w:tcW w:w="8118" w:type="dxa"/>
          </w:tcPr>
          <w:p w:rsidR="00E86FF0" w:rsidRPr="00A00637" w:rsidRDefault="00E86FF0" w:rsidP="00E86FF0">
            <w:pPr>
              <w:rPr>
                <w:sz w:val="20"/>
                <w:szCs w:val="20"/>
              </w:rPr>
            </w:pPr>
            <w:r w:rsidRPr="00E86FF0">
              <w:rPr>
                <w:rStyle w:val="SCCCoramChar"/>
                <w:sz w:val="20"/>
                <w:szCs w:val="20"/>
                <w:lang w:val="en-CA"/>
              </w:rPr>
              <w:t>McLachlin C.J. and Rothstein and Moldaver JJ.</w:t>
            </w:r>
          </w:p>
          <w:p w:rsidR="00E86FF0" w:rsidRPr="00A00637" w:rsidRDefault="00E86FF0" w:rsidP="00E86FF0">
            <w:pPr>
              <w:rPr>
                <w:sz w:val="20"/>
                <w:szCs w:val="20"/>
                <w:u w:val="single"/>
              </w:rPr>
            </w:pPr>
          </w:p>
        </w:tc>
      </w:tr>
      <w:tr w:rsidR="00E86FF0" w:rsidRPr="00B36F35" w:rsidTr="00E86FF0">
        <w:trPr>
          <w:cantSplit/>
        </w:trPr>
        <w:tc>
          <w:tcPr>
            <w:tcW w:w="9576" w:type="dxa"/>
            <w:gridSpan w:val="2"/>
          </w:tcPr>
          <w:p w:rsidR="00E86FF0" w:rsidRPr="00A00637" w:rsidRDefault="00E86FF0" w:rsidP="00E86FF0">
            <w:pPr>
              <w:pStyle w:val="SCCShortJudgment"/>
              <w:rPr>
                <w:szCs w:val="20"/>
              </w:rPr>
            </w:pPr>
            <w:r w:rsidRPr="00A00637">
              <w:rPr>
                <w:szCs w:val="20"/>
              </w:rPr>
              <w:t>The motion to expedite the application for leave to appeal is dismissed.  The motion to appoint counsel is dismissed. The application for leave to appeal from the judgment of the Court of Appeal of Alberta (Edmonton), Number 1103-0096-AC, 2011 ABCA 289, dated October 11, 2011, is dismissed with costs.</w:t>
            </w:r>
          </w:p>
          <w:p w:rsidR="00E86FF0" w:rsidRPr="00A00637" w:rsidRDefault="00E86FF0" w:rsidP="00E86FF0">
            <w:pPr>
              <w:pStyle w:val="SCCShortJudgment"/>
              <w:ind w:firstLine="0"/>
              <w:rPr>
                <w:szCs w:val="20"/>
              </w:rPr>
            </w:pPr>
          </w:p>
          <w:p w:rsidR="00E86FF0" w:rsidRPr="00A00637" w:rsidRDefault="00E86FF0" w:rsidP="00E86FF0">
            <w:pPr>
              <w:pStyle w:val="SCCShortJudgment"/>
              <w:rPr>
                <w:szCs w:val="20"/>
                <w:lang w:val="fr-CA"/>
              </w:rPr>
            </w:pPr>
            <w:r w:rsidRPr="00A00637">
              <w:rPr>
                <w:szCs w:val="20"/>
                <w:lang w:val="fr-CA"/>
              </w:rPr>
              <w:t>La requête visant à accélérer la procédure de la demande d’autorisation d’appel est rejetée.  La requête demandant la nomination d’un avocat est rejetée.  La demande d’autorisation d’appel de l’arrêt de la Cour d'appel de l’Alberta (Edmonton), numéro 1103-0096-AC, 2011 ABCA 289, daté du 11 octobre 2011, est rejetée avec dépens.</w:t>
            </w:r>
          </w:p>
        </w:tc>
      </w:tr>
    </w:tbl>
    <w:p w:rsidR="001823C0" w:rsidRPr="00E86FF0"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B16EE" w:rsidRPr="00F24723" w:rsidTr="00936316">
        <w:tc>
          <w:tcPr>
            <w:tcW w:w="5000" w:type="pct"/>
            <w:gridSpan w:val="3"/>
          </w:tcPr>
          <w:p w:rsidR="005B16EE" w:rsidRPr="00F24723" w:rsidRDefault="005B16EE" w:rsidP="00936316">
            <w:pPr>
              <w:jc w:val="both"/>
              <w:rPr>
                <w:rFonts w:eastAsia="Calibri"/>
                <w:sz w:val="20"/>
              </w:rPr>
            </w:pPr>
            <w:r w:rsidRPr="00F24723">
              <w:rPr>
                <w:rFonts w:eastAsia="Calibri"/>
                <w:sz w:val="20"/>
              </w:rPr>
              <w:t xml:space="preserve">Civil procedure – Case management – Self-represented litigants -- Whether the Court of Appeal correctly denied the appeal from the decision of the case management judge – Whether the decision of the case management judge was in </w:t>
            </w:r>
            <w:r w:rsidRPr="00F24723">
              <w:rPr>
                <w:rFonts w:eastAsia="Calibri"/>
                <w:sz w:val="20"/>
              </w:rPr>
              <w:lastRenderedPageBreak/>
              <w:t>error – Whether the case management judge correctly required expert evidence in support of the applicant’s claims – Whether the applicant was prejudiced due to her status as a self-represented litigant – Whether the case management judge was inappropriately focussed on moving the litigation forward rather than with the applicant’s health -- Whether the case management judge properly accommodated the applicant’s needs.</w:t>
            </w:r>
          </w:p>
        </w:tc>
      </w:tr>
      <w:tr w:rsidR="005B16EE" w:rsidRPr="00F24723" w:rsidTr="00936316">
        <w:tc>
          <w:tcPr>
            <w:tcW w:w="5000" w:type="pct"/>
            <w:gridSpan w:val="3"/>
          </w:tcPr>
          <w:p w:rsidR="005B16EE" w:rsidRPr="00F24723" w:rsidRDefault="005B16EE" w:rsidP="00936316">
            <w:pPr>
              <w:jc w:val="both"/>
              <w:rPr>
                <w:rFonts w:eastAsia="Calibri"/>
                <w:sz w:val="20"/>
              </w:rPr>
            </w:pPr>
          </w:p>
        </w:tc>
      </w:tr>
      <w:tr w:rsidR="005B16EE" w:rsidRPr="00F24723" w:rsidTr="00936316">
        <w:tc>
          <w:tcPr>
            <w:tcW w:w="5000" w:type="pct"/>
            <w:gridSpan w:val="3"/>
          </w:tcPr>
          <w:p w:rsidR="005B16EE" w:rsidRPr="00F24723" w:rsidRDefault="005B16EE" w:rsidP="00936316">
            <w:pPr>
              <w:jc w:val="both"/>
              <w:rPr>
                <w:rFonts w:eastAsia="Calibri"/>
                <w:sz w:val="20"/>
              </w:rPr>
            </w:pPr>
            <w:r w:rsidRPr="00F24723">
              <w:rPr>
                <w:rFonts w:eastAsia="Calibri"/>
                <w:sz w:val="20"/>
              </w:rPr>
              <w:t>On January 31, 2008, Ms. Koerner issued a statement of claim naming as defendants the Respondent physicians and hospitals, and Her Majesty the Queen, as represented by the Minister of Health. She sought damages arising from alleged malpractice by the Respondents. Ms. Koerner claimed that she was admitted to hospital for gallbladder surgery, but that two of the Respondent doctors did not remove her gallbladder, as they say they did. She further claimed that she was denied treatment for several life threatening conditions and must seek healthcare outside Canada because the Canadian medical system has failed to assist her.</w:t>
            </w:r>
          </w:p>
          <w:p w:rsidR="005B16EE" w:rsidRPr="00F24723" w:rsidRDefault="005B16EE" w:rsidP="00936316">
            <w:pPr>
              <w:jc w:val="both"/>
              <w:rPr>
                <w:rFonts w:eastAsia="Calibri"/>
                <w:sz w:val="20"/>
              </w:rPr>
            </w:pPr>
          </w:p>
          <w:p w:rsidR="005B16EE" w:rsidRPr="00F24723" w:rsidRDefault="005B16EE" w:rsidP="00936316">
            <w:pPr>
              <w:jc w:val="both"/>
              <w:rPr>
                <w:rFonts w:eastAsia="Calibri"/>
                <w:sz w:val="20"/>
              </w:rPr>
            </w:pPr>
            <w:r w:rsidRPr="00F24723">
              <w:rPr>
                <w:rFonts w:eastAsia="Calibri"/>
                <w:sz w:val="20"/>
              </w:rPr>
              <w:t xml:space="preserve">Early on, the case was assigned to a case management judge. On March 22, 2011, the case management judge, dismissed the entire statement of claim. She awarded the Respondents costs of that application on a solicitor/client basis. The final appeal of that decision was dismissed. </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March 22, 2011</w:t>
            </w:r>
          </w:p>
          <w:p w:rsidR="005B16EE" w:rsidRPr="00F24723" w:rsidRDefault="005B16EE" w:rsidP="00936316">
            <w:pPr>
              <w:jc w:val="both"/>
              <w:rPr>
                <w:rFonts w:eastAsia="Calibri"/>
                <w:sz w:val="20"/>
              </w:rPr>
            </w:pPr>
            <w:r w:rsidRPr="00F24723">
              <w:rPr>
                <w:rFonts w:eastAsia="Calibri"/>
                <w:sz w:val="20"/>
              </w:rPr>
              <w:t>Court of Queen’s Bench of Alberta</w:t>
            </w:r>
          </w:p>
          <w:p w:rsidR="005B16EE" w:rsidRPr="00F24723" w:rsidRDefault="005B16EE" w:rsidP="00936316">
            <w:pPr>
              <w:jc w:val="both"/>
              <w:rPr>
                <w:rFonts w:eastAsia="Calibri"/>
                <w:sz w:val="20"/>
              </w:rPr>
            </w:pPr>
            <w:r w:rsidRPr="00F24723">
              <w:rPr>
                <w:rFonts w:eastAsia="Calibri"/>
                <w:sz w:val="20"/>
              </w:rPr>
              <w:t>(Shelley J.)</w:t>
            </w:r>
          </w:p>
          <w:p w:rsidR="005B16EE" w:rsidRPr="00F24723" w:rsidRDefault="005B16EE" w:rsidP="00936316">
            <w:pPr>
              <w:jc w:val="both"/>
              <w:rPr>
                <w:rFonts w:eastAsia="Calibri"/>
                <w:sz w:val="20"/>
              </w:rPr>
            </w:pPr>
            <w:r w:rsidRPr="00F24723">
              <w:rPr>
                <w:rFonts w:eastAsia="Calibri"/>
                <w:sz w:val="20"/>
              </w:rPr>
              <w:t>Neutral citation: 2011 ABQB 191</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Statement of claim dismissed with solicitor/client costs of the application to the Respondents</w:t>
            </w:r>
          </w:p>
          <w:p w:rsidR="005B16EE" w:rsidRPr="00F24723" w:rsidRDefault="005B16EE" w:rsidP="00936316">
            <w:pPr>
              <w:jc w:val="both"/>
              <w:rPr>
                <w:rFonts w:eastAsia="Calibri"/>
                <w:sz w:val="20"/>
              </w:rPr>
            </w:pP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October 11, 2011</w:t>
            </w:r>
          </w:p>
          <w:p w:rsidR="005B16EE" w:rsidRPr="00F24723" w:rsidRDefault="005B16EE" w:rsidP="00936316">
            <w:pPr>
              <w:jc w:val="both"/>
              <w:rPr>
                <w:rFonts w:eastAsia="Calibri"/>
                <w:sz w:val="20"/>
              </w:rPr>
            </w:pPr>
            <w:r w:rsidRPr="00F24723">
              <w:rPr>
                <w:rFonts w:eastAsia="Calibri"/>
                <w:sz w:val="20"/>
              </w:rPr>
              <w:t>Court of Appeal of Alberta (Edmonton)</w:t>
            </w:r>
          </w:p>
          <w:p w:rsidR="005B16EE" w:rsidRPr="00F24723" w:rsidRDefault="005B16EE" w:rsidP="00936316">
            <w:pPr>
              <w:jc w:val="both"/>
              <w:rPr>
                <w:rFonts w:eastAsia="Calibri"/>
                <w:sz w:val="20"/>
              </w:rPr>
            </w:pPr>
            <w:r w:rsidRPr="00F24723">
              <w:rPr>
                <w:rFonts w:eastAsia="Calibri"/>
                <w:sz w:val="20"/>
              </w:rPr>
              <w:t>(Slatter, Bielby, Verville JJ.A.)</w:t>
            </w:r>
          </w:p>
          <w:p w:rsidR="005B16EE" w:rsidRPr="00F24723" w:rsidRDefault="005B16EE" w:rsidP="00936316">
            <w:pPr>
              <w:jc w:val="both"/>
              <w:rPr>
                <w:rFonts w:eastAsia="Calibri"/>
                <w:sz w:val="20"/>
              </w:rPr>
            </w:pPr>
            <w:r w:rsidRPr="00F24723">
              <w:rPr>
                <w:rFonts w:eastAsia="Calibri"/>
                <w:sz w:val="20"/>
              </w:rPr>
              <w:t>Neutral citation: 2011 ABCA 289</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Appeal dismissed</w:t>
            </w: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December 7, 2011</w:t>
            </w:r>
          </w:p>
          <w:p w:rsidR="005B16EE" w:rsidRPr="00F24723" w:rsidRDefault="005B16EE" w:rsidP="00936316">
            <w:pPr>
              <w:jc w:val="both"/>
              <w:rPr>
                <w:rFonts w:eastAsia="Calibri"/>
                <w:sz w:val="20"/>
              </w:rPr>
            </w:pPr>
            <w:r w:rsidRPr="00F24723">
              <w:rPr>
                <w:rFonts w:eastAsia="Calibri"/>
                <w:sz w:val="20"/>
              </w:rPr>
              <w:t>Supreme Court of Canada</w:t>
            </w:r>
          </w:p>
          <w:p w:rsidR="005B16EE" w:rsidRPr="00F24723" w:rsidRDefault="005B16EE" w:rsidP="00936316">
            <w:pPr>
              <w:jc w:val="both"/>
              <w:rPr>
                <w:rFonts w:eastAsia="Calibri"/>
                <w:sz w:val="20"/>
              </w:rPr>
            </w:pP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Application for leave to appeal and motion appoint counsel filed</w:t>
            </w:r>
          </w:p>
        </w:tc>
      </w:tr>
      <w:tr w:rsidR="005B16EE" w:rsidRPr="00F24723" w:rsidTr="00936316">
        <w:tc>
          <w:tcPr>
            <w:tcW w:w="2427" w:type="pct"/>
          </w:tcPr>
          <w:p w:rsidR="005B16EE" w:rsidRPr="00F24723" w:rsidRDefault="005B16EE" w:rsidP="00936316">
            <w:pPr>
              <w:jc w:val="both"/>
              <w:rPr>
                <w:rFonts w:eastAsia="Calibri"/>
                <w:sz w:val="20"/>
              </w:rPr>
            </w:pPr>
            <w:r w:rsidRPr="00F24723">
              <w:rPr>
                <w:rFonts w:eastAsia="Calibri"/>
                <w:sz w:val="20"/>
              </w:rPr>
              <w:t>January 12, 2012</w:t>
            </w:r>
          </w:p>
          <w:p w:rsidR="005B16EE" w:rsidRPr="00F24723" w:rsidRDefault="005B16EE" w:rsidP="00936316">
            <w:pPr>
              <w:jc w:val="both"/>
              <w:rPr>
                <w:rFonts w:eastAsia="Calibri"/>
                <w:sz w:val="20"/>
              </w:rPr>
            </w:pPr>
            <w:r w:rsidRPr="00F24723">
              <w:rPr>
                <w:rFonts w:eastAsia="Calibri"/>
                <w:sz w:val="20"/>
              </w:rPr>
              <w:t>Supreme Court of Canada</w:t>
            </w:r>
          </w:p>
        </w:tc>
        <w:tc>
          <w:tcPr>
            <w:tcW w:w="243" w:type="pct"/>
          </w:tcPr>
          <w:p w:rsidR="005B16EE" w:rsidRPr="00F24723" w:rsidRDefault="005B16EE" w:rsidP="00936316">
            <w:pPr>
              <w:jc w:val="both"/>
              <w:rPr>
                <w:rFonts w:eastAsia="Calibri"/>
                <w:sz w:val="20"/>
              </w:rPr>
            </w:pPr>
          </w:p>
        </w:tc>
        <w:tc>
          <w:tcPr>
            <w:tcW w:w="2330" w:type="pct"/>
          </w:tcPr>
          <w:p w:rsidR="005B16EE" w:rsidRPr="00F24723" w:rsidRDefault="005B16EE" w:rsidP="00936316">
            <w:pPr>
              <w:jc w:val="both"/>
              <w:rPr>
                <w:rFonts w:eastAsia="Calibri"/>
                <w:sz w:val="20"/>
              </w:rPr>
            </w:pPr>
            <w:r w:rsidRPr="00F24723">
              <w:rPr>
                <w:rFonts w:eastAsia="Calibri"/>
                <w:sz w:val="20"/>
              </w:rPr>
              <w:t>Motion to expedite application for leave to appeal filed</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78"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B16EE" w:rsidRPr="00B36F35" w:rsidTr="00936316">
        <w:tc>
          <w:tcPr>
            <w:tcW w:w="5000" w:type="pct"/>
            <w:gridSpan w:val="3"/>
          </w:tcPr>
          <w:p w:rsidR="005B16EE" w:rsidRPr="00F24723" w:rsidRDefault="005B16EE" w:rsidP="00936316">
            <w:pPr>
              <w:jc w:val="both"/>
              <w:rPr>
                <w:rFonts w:eastAsia="Calibri"/>
                <w:sz w:val="20"/>
                <w:lang w:val="fr-CA"/>
              </w:rPr>
            </w:pPr>
            <w:r w:rsidRPr="00F24723">
              <w:rPr>
                <w:rFonts w:eastAsia="Calibri"/>
                <w:sz w:val="20"/>
                <w:lang w:val="fr-CA"/>
              </w:rPr>
              <w:t xml:space="preserve">Procédure civile – Gestion de l’instance – Parties non représentées par un avocat </w:t>
            </w:r>
            <w:r w:rsidRPr="00F24723">
              <w:rPr>
                <w:rFonts w:eastAsia="Calibri"/>
                <w:sz w:val="20"/>
                <w:lang w:val="fr-CA"/>
              </w:rPr>
              <w:noBreakHyphen/>
            </w:r>
            <w:r w:rsidRPr="00F24723">
              <w:rPr>
                <w:rFonts w:eastAsia="Calibri"/>
                <w:sz w:val="20"/>
                <w:lang w:val="fr-CA"/>
              </w:rPr>
              <w:noBreakHyphen/>
              <w:t xml:space="preserve"> La Cour d'appel a</w:t>
            </w:r>
            <w:r w:rsidRPr="00F24723">
              <w:rPr>
                <w:rFonts w:eastAsia="Calibri"/>
                <w:sz w:val="20"/>
                <w:lang w:val="fr-CA"/>
              </w:rPr>
              <w:noBreakHyphen/>
              <w:t>t</w:t>
            </w:r>
            <w:r w:rsidRPr="00F24723">
              <w:rPr>
                <w:rFonts w:eastAsia="Calibri"/>
                <w:sz w:val="20"/>
                <w:lang w:val="fr-CA"/>
              </w:rPr>
              <w:noBreakHyphen/>
              <w:t>elle rejeté à bon droit l'appel de la décision de la juge responsable de la gestion de l'instance? – La décision de la juge chargée de la gestion de l'instance était</w:t>
            </w:r>
            <w:r w:rsidRPr="00F24723">
              <w:rPr>
                <w:rFonts w:eastAsia="Calibri"/>
                <w:sz w:val="20"/>
                <w:lang w:val="fr-CA"/>
              </w:rPr>
              <w:noBreakHyphen/>
              <w:t>elle erronée? – La juge chargée de la gestion de l'instance a</w:t>
            </w:r>
            <w:r w:rsidRPr="00F24723">
              <w:rPr>
                <w:rFonts w:eastAsia="Calibri"/>
                <w:sz w:val="20"/>
                <w:lang w:val="fr-CA"/>
              </w:rPr>
              <w:noBreakHyphen/>
              <w:t>t</w:t>
            </w:r>
            <w:r w:rsidRPr="00F24723">
              <w:rPr>
                <w:rFonts w:eastAsia="Calibri"/>
                <w:sz w:val="20"/>
                <w:lang w:val="fr-CA"/>
              </w:rPr>
              <w:noBreakHyphen/>
              <w:t>elle exigé à bon droit une preuve d'expert au soutien des allégations de la demanderesse? – La demanderesse a</w:t>
            </w:r>
            <w:r w:rsidRPr="00F24723">
              <w:rPr>
                <w:rFonts w:eastAsia="Calibri"/>
                <w:sz w:val="20"/>
                <w:lang w:val="fr-CA"/>
              </w:rPr>
              <w:noBreakHyphen/>
              <w:t>t</w:t>
            </w:r>
            <w:r w:rsidRPr="00F24723">
              <w:rPr>
                <w:rFonts w:eastAsia="Calibri"/>
                <w:sz w:val="20"/>
                <w:lang w:val="fr-CA"/>
              </w:rPr>
              <w:noBreakHyphen/>
              <w:t>elle subi un préjudice du fait qu'elle n'était pas représentée par un avocat? – La juge chargée de la gestion de l'instance a</w:t>
            </w:r>
            <w:r w:rsidRPr="00F24723">
              <w:rPr>
                <w:rFonts w:eastAsia="Calibri"/>
                <w:sz w:val="20"/>
                <w:lang w:val="fr-CA"/>
              </w:rPr>
              <w:noBreakHyphen/>
              <w:t>t</w:t>
            </w:r>
            <w:r w:rsidRPr="00F24723">
              <w:rPr>
                <w:rFonts w:eastAsia="Calibri"/>
                <w:sz w:val="20"/>
                <w:lang w:val="fr-CA"/>
              </w:rPr>
              <w:noBreakHyphen/>
              <w:t>elle indûment mis l'accent sur l'avancement de la procédure plutôt que sur la santé de la demanderesse? – La juge chargée de la gestion de l'instance a</w:t>
            </w:r>
            <w:r w:rsidRPr="00F24723">
              <w:rPr>
                <w:rFonts w:eastAsia="Calibri"/>
                <w:sz w:val="20"/>
                <w:lang w:val="fr-CA"/>
              </w:rPr>
              <w:noBreakHyphen/>
              <w:t>t</w:t>
            </w:r>
            <w:r w:rsidRPr="00F24723">
              <w:rPr>
                <w:rFonts w:eastAsia="Calibri"/>
                <w:sz w:val="20"/>
                <w:lang w:val="fr-CA"/>
              </w:rPr>
              <w:noBreakHyphen/>
              <w:t>elle dûment répondu aux besoins de la demanderesse?</w:t>
            </w:r>
          </w:p>
          <w:p w:rsidR="005B16EE" w:rsidRPr="00F24723" w:rsidRDefault="005B16EE" w:rsidP="00936316">
            <w:pPr>
              <w:jc w:val="both"/>
              <w:rPr>
                <w:rFonts w:eastAsia="Calibri"/>
                <w:sz w:val="20"/>
                <w:lang w:val="fr-CA"/>
              </w:rPr>
            </w:pPr>
          </w:p>
        </w:tc>
      </w:tr>
      <w:tr w:rsidR="005B16EE" w:rsidRPr="00F24723" w:rsidTr="00936316">
        <w:tc>
          <w:tcPr>
            <w:tcW w:w="5000" w:type="pct"/>
            <w:gridSpan w:val="3"/>
          </w:tcPr>
          <w:p w:rsidR="005B16EE" w:rsidRPr="00F24723" w:rsidRDefault="005B16EE" w:rsidP="00936316">
            <w:pPr>
              <w:jc w:val="both"/>
              <w:rPr>
                <w:rFonts w:eastAsia="Calibri"/>
                <w:sz w:val="20"/>
                <w:lang w:val="fr-CA"/>
              </w:rPr>
            </w:pPr>
            <w:r w:rsidRPr="00F24723">
              <w:rPr>
                <w:rFonts w:eastAsia="Calibri"/>
                <w:sz w:val="20"/>
                <w:lang w:val="fr-CA"/>
              </w:rPr>
              <w:t>Le 31 janvier 2008, Mme Koerner a produit une déclaration désignant comme défendeurs les médecins et hôpitaux intimés et Sa Majesté la Reine, représentée par le ministre de la Santé. Elle a sollicité des dommages</w:t>
            </w:r>
            <w:r w:rsidRPr="00F24723">
              <w:rPr>
                <w:rFonts w:eastAsia="Calibri"/>
                <w:sz w:val="20"/>
                <w:lang w:val="fr-CA"/>
              </w:rPr>
              <w:noBreakHyphen/>
              <w:t>intérêts découlant de la faute médicale présumée des intimés. Madame Koerner a allégué avoir été hospitalisée pour une chirurgie à la vésicule biliaire, mais que deux des médecins intimés ne la lui avaient pas enlevée comme ils affirment l'avoir fait. Elle a allégué en outre s'être vu refuser des traitements pour plusieurs maladies graves et avoir dû obtenir des soins de santé à l'extérieur du Canada parce que le système médical canadien ne l’avait pas aidée.</w:t>
            </w:r>
          </w:p>
          <w:p w:rsidR="005B16EE" w:rsidRPr="00F24723" w:rsidRDefault="005B16EE" w:rsidP="00936316">
            <w:pPr>
              <w:jc w:val="both"/>
              <w:rPr>
                <w:rFonts w:eastAsia="Calibri"/>
                <w:sz w:val="20"/>
                <w:lang w:val="fr-CA"/>
              </w:rPr>
            </w:pPr>
          </w:p>
          <w:p w:rsidR="005B16EE" w:rsidRPr="00F24723" w:rsidRDefault="005B16EE" w:rsidP="00936316">
            <w:pPr>
              <w:jc w:val="both"/>
              <w:rPr>
                <w:rFonts w:eastAsia="Calibri"/>
                <w:sz w:val="20"/>
                <w:lang w:val="fr-CA"/>
              </w:rPr>
            </w:pPr>
            <w:r w:rsidRPr="00F24723">
              <w:rPr>
                <w:rFonts w:eastAsia="Calibri"/>
                <w:sz w:val="20"/>
                <w:lang w:val="fr-CA"/>
              </w:rPr>
              <w:t>Peu de temps après la production de la déclaration, le dossier a été confié à une juge chargée de la gestion de l'instance. Le 22 mars 2011, la juge chargée de la gestion de l'instance a rejeté la déclaration au complet. Elle a accordé aux intimés les dépens de cette demande sur la base procureur</w:t>
            </w:r>
            <w:r w:rsidRPr="00F24723">
              <w:rPr>
                <w:rFonts w:eastAsia="Calibri"/>
                <w:sz w:val="20"/>
                <w:lang w:val="fr-CA"/>
              </w:rPr>
              <w:noBreakHyphen/>
              <w:t>client. L’appel final de cette décision a été rejeté.</w:t>
            </w:r>
          </w:p>
          <w:p w:rsidR="005B16EE" w:rsidRPr="00F24723" w:rsidRDefault="005B16EE" w:rsidP="00936316">
            <w:pPr>
              <w:jc w:val="both"/>
              <w:rPr>
                <w:rFonts w:eastAsia="Calibri"/>
                <w:sz w:val="20"/>
                <w:lang w:val="fr-CA"/>
              </w:rPr>
            </w:pPr>
          </w:p>
        </w:tc>
      </w:tr>
      <w:tr w:rsidR="005B16EE" w:rsidRPr="00B36F35"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lastRenderedPageBreak/>
              <w:t>22 mars 2011</w:t>
            </w:r>
          </w:p>
          <w:p w:rsidR="005B16EE" w:rsidRPr="00F24723" w:rsidRDefault="005B16EE" w:rsidP="00936316">
            <w:pPr>
              <w:jc w:val="both"/>
              <w:rPr>
                <w:rFonts w:eastAsia="Calibri"/>
                <w:sz w:val="20"/>
                <w:lang w:val="fr-CA"/>
              </w:rPr>
            </w:pPr>
            <w:r w:rsidRPr="00F24723">
              <w:rPr>
                <w:rFonts w:eastAsia="Calibri"/>
                <w:sz w:val="20"/>
                <w:lang w:val="fr-CA"/>
              </w:rPr>
              <w:t>Cour du Banc de la Reine de l’Alberta</w:t>
            </w:r>
          </w:p>
          <w:p w:rsidR="005B16EE" w:rsidRPr="00F24723" w:rsidRDefault="005B16EE" w:rsidP="00936316">
            <w:pPr>
              <w:jc w:val="both"/>
              <w:rPr>
                <w:rFonts w:eastAsia="Calibri"/>
                <w:sz w:val="20"/>
                <w:lang w:val="fr-CA"/>
              </w:rPr>
            </w:pPr>
            <w:r w:rsidRPr="00F24723">
              <w:rPr>
                <w:rFonts w:eastAsia="Calibri"/>
                <w:sz w:val="20"/>
                <w:lang w:val="fr-CA"/>
              </w:rPr>
              <w:t>(Juge Shelley)</w:t>
            </w:r>
          </w:p>
          <w:p w:rsidR="005B16EE" w:rsidRPr="00F24723" w:rsidRDefault="005B16EE" w:rsidP="00936316">
            <w:pPr>
              <w:jc w:val="both"/>
              <w:rPr>
                <w:rFonts w:eastAsia="Calibri"/>
                <w:sz w:val="20"/>
                <w:lang w:val="fr-CA"/>
              </w:rPr>
            </w:pPr>
            <w:r w:rsidRPr="00F24723">
              <w:rPr>
                <w:rFonts w:eastAsia="Calibri"/>
                <w:sz w:val="20"/>
                <w:lang w:val="fr-CA"/>
              </w:rPr>
              <w:t>Référence neutre : 2011 ABQB 191</w:t>
            </w:r>
          </w:p>
          <w:p w:rsidR="005B16EE" w:rsidRPr="00F24723" w:rsidRDefault="005B16EE" w:rsidP="00936316">
            <w:pPr>
              <w:jc w:val="both"/>
              <w:rPr>
                <w:rFonts w:eastAsia="Calibri"/>
                <w:sz w:val="20"/>
                <w:lang w:val="fr-CA"/>
              </w:rPr>
            </w:pPr>
          </w:p>
        </w:tc>
        <w:tc>
          <w:tcPr>
            <w:tcW w:w="243" w:type="pct"/>
          </w:tcPr>
          <w:p w:rsidR="005B16EE" w:rsidRPr="00F24723"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Déclaration rejetée avec dépens de la demande sur la base procureur</w:t>
            </w:r>
            <w:r w:rsidRPr="00F24723">
              <w:rPr>
                <w:rFonts w:eastAsia="Calibri"/>
                <w:sz w:val="20"/>
                <w:lang w:val="fr-CA"/>
              </w:rPr>
              <w:noBreakHyphen/>
              <w:t>client accordés aux intimés</w:t>
            </w:r>
          </w:p>
          <w:p w:rsidR="005B16EE" w:rsidRPr="00F24723" w:rsidRDefault="005B16EE" w:rsidP="00936316">
            <w:pPr>
              <w:jc w:val="both"/>
              <w:rPr>
                <w:rFonts w:eastAsia="Calibri"/>
                <w:sz w:val="20"/>
                <w:lang w:val="fr-CA"/>
              </w:rPr>
            </w:pPr>
          </w:p>
        </w:tc>
      </w:tr>
      <w:tr w:rsidR="005B16EE" w:rsidRPr="00F24723"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11 octobre 2011</w:t>
            </w:r>
          </w:p>
          <w:p w:rsidR="005B16EE" w:rsidRPr="00F24723" w:rsidRDefault="005B16EE" w:rsidP="00936316">
            <w:pPr>
              <w:jc w:val="both"/>
              <w:rPr>
                <w:rFonts w:eastAsia="Calibri"/>
                <w:sz w:val="20"/>
                <w:lang w:val="fr-CA"/>
              </w:rPr>
            </w:pPr>
            <w:r w:rsidRPr="00F24723">
              <w:rPr>
                <w:rFonts w:eastAsia="Calibri"/>
                <w:sz w:val="20"/>
                <w:lang w:val="fr-CA"/>
              </w:rPr>
              <w:t>Cour d'appel de l’Alberta (Edmonton)</w:t>
            </w:r>
          </w:p>
          <w:p w:rsidR="005B16EE" w:rsidRPr="00F24723" w:rsidRDefault="005B16EE" w:rsidP="00936316">
            <w:pPr>
              <w:jc w:val="both"/>
              <w:rPr>
                <w:rFonts w:eastAsia="Calibri"/>
                <w:sz w:val="20"/>
                <w:lang w:val="fr-CA"/>
              </w:rPr>
            </w:pPr>
            <w:r w:rsidRPr="00F24723">
              <w:rPr>
                <w:rFonts w:eastAsia="Calibri"/>
                <w:sz w:val="20"/>
                <w:lang w:val="fr-CA"/>
              </w:rPr>
              <w:t>(Juges Slatter, Bielby et Verville)</w:t>
            </w:r>
          </w:p>
          <w:p w:rsidR="005B16EE" w:rsidRPr="00F24723" w:rsidRDefault="005B16EE" w:rsidP="00936316">
            <w:pPr>
              <w:jc w:val="both"/>
              <w:rPr>
                <w:rFonts w:eastAsia="Calibri"/>
                <w:sz w:val="20"/>
                <w:lang w:val="fr-CA"/>
              </w:rPr>
            </w:pPr>
            <w:r w:rsidRPr="00F24723">
              <w:rPr>
                <w:rFonts w:eastAsia="Calibri"/>
                <w:sz w:val="20"/>
                <w:lang w:val="fr-CA"/>
              </w:rPr>
              <w:t>Référence neutre : 2011 ABCA 289</w:t>
            </w:r>
          </w:p>
          <w:p w:rsidR="005B16EE" w:rsidRPr="00F24723" w:rsidRDefault="005B16EE" w:rsidP="00936316">
            <w:pPr>
              <w:jc w:val="both"/>
              <w:rPr>
                <w:rFonts w:eastAsia="Calibri"/>
                <w:sz w:val="20"/>
                <w:lang w:val="fr-CA"/>
              </w:rPr>
            </w:pPr>
          </w:p>
        </w:tc>
        <w:tc>
          <w:tcPr>
            <w:tcW w:w="243" w:type="pct"/>
          </w:tcPr>
          <w:p w:rsidR="005B16EE" w:rsidRPr="00F24723"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Appel rejeté</w:t>
            </w:r>
          </w:p>
        </w:tc>
      </w:tr>
      <w:tr w:rsidR="005B16EE" w:rsidRPr="00B36F35"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7 décembre 2011</w:t>
            </w:r>
          </w:p>
          <w:p w:rsidR="005B16EE" w:rsidRPr="00F24723" w:rsidRDefault="005B16EE" w:rsidP="00936316">
            <w:pPr>
              <w:jc w:val="both"/>
              <w:rPr>
                <w:rFonts w:eastAsia="Calibri"/>
                <w:sz w:val="20"/>
                <w:lang w:val="fr-CA"/>
              </w:rPr>
            </w:pPr>
            <w:r w:rsidRPr="00F24723">
              <w:rPr>
                <w:rFonts w:eastAsia="Calibri"/>
                <w:sz w:val="20"/>
                <w:lang w:val="fr-CA"/>
              </w:rPr>
              <w:t>Cour suprême du Canada</w:t>
            </w:r>
          </w:p>
          <w:p w:rsidR="005B16EE" w:rsidRPr="00F24723" w:rsidRDefault="005B16EE" w:rsidP="00936316">
            <w:pPr>
              <w:jc w:val="both"/>
              <w:rPr>
                <w:rFonts w:eastAsia="Calibri"/>
                <w:sz w:val="20"/>
                <w:lang w:val="fr-CA"/>
              </w:rPr>
            </w:pPr>
          </w:p>
        </w:tc>
        <w:tc>
          <w:tcPr>
            <w:tcW w:w="243" w:type="pct"/>
          </w:tcPr>
          <w:p w:rsidR="005B16EE" w:rsidRPr="00F24723"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 xml:space="preserve">Demande d'autorisation d'appel et requête en nomination d'un procureur, déposées </w:t>
            </w:r>
          </w:p>
        </w:tc>
      </w:tr>
      <w:tr w:rsidR="005B16EE" w:rsidRPr="00B36F35" w:rsidTr="00936316">
        <w:tc>
          <w:tcPr>
            <w:tcW w:w="2427" w:type="pct"/>
          </w:tcPr>
          <w:p w:rsidR="005B16EE" w:rsidRPr="00F24723" w:rsidRDefault="005B16EE" w:rsidP="00936316">
            <w:pPr>
              <w:jc w:val="both"/>
              <w:rPr>
                <w:rFonts w:eastAsia="Calibri"/>
                <w:sz w:val="20"/>
                <w:lang w:val="fr-CA"/>
              </w:rPr>
            </w:pPr>
            <w:r w:rsidRPr="00F24723">
              <w:rPr>
                <w:rFonts w:eastAsia="Calibri"/>
                <w:sz w:val="20"/>
                <w:lang w:val="fr-CA"/>
              </w:rPr>
              <w:t>12 janvier 2012</w:t>
            </w:r>
          </w:p>
          <w:p w:rsidR="005B16EE" w:rsidRPr="00F24723" w:rsidRDefault="005B16EE" w:rsidP="00936316">
            <w:pPr>
              <w:jc w:val="both"/>
              <w:rPr>
                <w:rFonts w:eastAsia="Calibri"/>
                <w:sz w:val="20"/>
                <w:lang w:val="fr-CA"/>
              </w:rPr>
            </w:pPr>
            <w:r w:rsidRPr="00F24723">
              <w:rPr>
                <w:rFonts w:eastAsia="Calibri"/>
                <w:sz w:val="20"/>
                <w:lang w:val="fr-CA"/>
              </w:rPr>
              <w:t>Cour suprême du Canada</w:t>
            </w:r>
          </w:p>
        </w:tc>
        <w:tc>
          <w:tcPr>
            <w:tcW w:w="243" w:type="pct"/>
          </w:tcPr>
          <w:p w:rsidR="005B16EE" w:rsidRPr="00F24723" w:rsidRDefault="005B16EE" w:rsidP="00936316">
            <w:pPr>
              <w:jc w:val="both"/>
              <w:rPr>
                <w:rFonts w:eastAsia="Calibri"/>
                <w:sz w:val="20"/>
                <w:lang w:val="fr-CA"/>
              </w:rPr>
            </w:pPr>
          </w:p>
        </w:tc>
        <w:tc>
          <w:tcPr>
            <w:tcW w:w="2330" w:type="pct"/>
          </w:tcPr>
          <w:p w:rsidR="005B16EE" w:rsidRPr="00F24723" w:rsidRDefault="005B16EE" w:rsidP="00936316">
            <w:pPr>
              <w:jc w:val="both"/>
              <w:rPr>
                <w:rFonts w:eastAsia="Calibri"/>
                <w:sz w:val="20"/>
                <w:lang w:val="fr-CA"/>
              </w:rPr>
            </w:pPr>
            <w:r w:rsidRPr="00F24723">
              <w:rPr>
                <w:rFonts w:eastAsia="Calibri"/>
                <w:sz w:val="20"/>
                <w:lang w:val="fr-CA"/>
              </w:rPr>
              <w:t>Requête visant à accélérer la procédure de demande d'autorisation d'appel, déposée</w:t>
            </w:r>
          </w:p>
        </w:tc>
      </w:tr>
    </w:tbl>
    <w:p w:rsidR="001823C0" w:rsidRPr="005B16EE"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79"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6FF0" w:rsidRPr="00A00637" w:rsidTr="00E86FF0">
        <w:trPr>
          <w:cantSplit/>
        </w:trPr>
        <w:tc>
          <w:tcPr>
            <w:tcW w:w="1458" w:type="dxa"/>
          </w:tcPr>
          <w:p w:rsidR="00E86FF0" w:rsidRPr="00A00637" w:rsidRDefault="00E86FF0" w:rsidP="00E86FF0">
            <w:pPr>
              <w:rPr>
                <w:sz w:val="20"/>
                <w:szCs w:val="20"/>
              </w:rPr>
            </w:pPr>
            <w:r w:rsidRPr="00A00637">
              <w:rPr>
                <w:rStyle w:val="SCCFileNumberChar"/>
                <w:sz w:val="20"/>
                <w:szCs w:val="20"/>
              </w:rPr>
              <w:t>34578</w:t>
            </w:r>
          </w:p>
          <w:p w:rsidR="00E86FF0" w:rsidRPr="00A00637" w:rsidRDefault="00E86FF0" w:rsidP="00E86FF0">
            <w:pPr>
              <w:rPr>
                <w:b/>
                <w:sz w:val="20"/>
                <w:szCs w:val="20"/>
                <w:lang w:val="fr-CA"/>
              </w:rPr>
            </w:pPr>
          </w:p>
        </w:tc>
        <w:tc>
          <w:tcPr>
            <w:tcW w:w="8118" w:type="dxa"/>
          </w:tcPr>
          <w:p w:rsidR="00E86FF0" w:rsidRPr="00A00637" w:rsidRDefault="00E86FF0" w:rsidP="00E86FF0">
            <w:pPr>
              <w:rPr>
                <w:sz w:val="20"/>
                <w:szCs w:val="20"/>
              </w:rPr>
            </w:pPr>
            <w:r w:rsidRPr="00E86FF0">
              <w:rPr>
                <w:rStyle w:val="SCCLsocChar"/>
                <w:sz w:val="20"/>
                <w:szCs w:val="20"/>
                <w:lang w:val="en-CA"/>
              </w:rPr>
              <w:t>Helen Roussy v. Red Seal Vacations Inc.</w:t>
            </w:r>
            <w:r w:rsidRPr="00A00637">
              <w:rPr>
                <w:sz w:val="20"/>
                <w:szCs w:val="20"/>
              </w:rPr>
              <w:t xml:space="preserve"> (Sask.) (Civil) (By Leave)</w:t>
            </w:r>
          </w:p>
          <w:p w:rsidR="00E86FF0" w:rsidRPr="00A00637" w:rsidRDefault="00E86FF0" w:rsidP="00E86FF0">
            <w:pPr>
              <w:rPr>
                <w:sz w:val="20"/>
                <w:szCs w:val="20"/>
              </w:rPr>
            </w:pPr>
          </w:p>
        </w:tc>
      </w:tr>
      <w:tr w:rsidR="00E86FF0" w:rsidRPr="00A00637" w:rsidTr="00E86FF0">
        <w:trPr>
          <w:cantSplit/>
        </w:trPr>
        <w:tc>
          <w:tcPr>
            <w:tcW w:w="1458" w:type="dxa"/>
          </w:tcPr>
          <w:p w:rsidR="00E86FF0" w:rsidRPr="00A00637" w:rsidRDefault="00E86FF0" w:rsidP="00E86FF0">
            <w:pPr>
              <w:rPr>
                <w:sz w:val="20"/>
                <w:szCs w:val="20"/>
              </w:rPr>
            </w:pPr>
            <w:r w:rsidRPr="00A00637">
              <w:rPr>
                <w:sz w:val="20"/>
                <w:szCs w:val="20"/>
              </w:rPr>
              <w:t>Coram :</w:t>
            </w:r>
          </w:p>
        </w:tc>
        <w:tc>
          <w:tcPr>
            <w:tcW w:w="8118" w:type="dxa"/>
          </w:tcPr>
          <w:p w:rsidR="00E86FF0" w:rsidRPr="00A00637" w:rsidRDefault="00E86FF0" w:rsidP="00E86FF0">
            <w:pPr>
              <w:rPr>
                <w:sz w:val="20"/>
                <w:szCs w:val="20"/>
              </w:rPr>
            </w:pPr>
            <w:r w:rsidRPr="00E86FF0">
              <w:rPr>
                <w:rStyle w:val="SCCCoramChar"/>
                <w:sz w:val="20"/>
                <w:szCs w:val="20"/>
                <w:lang w:val="en-CA"/>
              </w:rPr>
              <w:t>McLachlin C.J. and Rothstein and Moldaver JJ.</w:t>
            </w:r>
          </w:p>
          <w:p w:rsidR="00E86FF0" w:rsidRPr="00A00637" w:rsidRDefault="00E86FF0" w:rsidP="00E86FF0">
            <w:pPr>
              <w:rPr>
                <w:sz w:val="20"/>
                <w:szCs w:val="20"/>
                <w:u w:val="single"/>
              </w:rPr>
            </w:pPr>
          </w:p>
        </w:tc>
      </w:tr>
      <w:tr w:rsidR="00E86FF0" w:rsidRPr="00B36F35" w:rsidTr="00E86FF0">
        <w:trPr>
          <w:cantSplit/>
        </w:trPr>
        <w:tc>
          <w:tcPr>
            <w:tcW w:w="9576" w:type="dxa"/>
            <w:gridSpan w:val="2"/>
          </w:tcPr>
          <w:p w:rsidR="00E86FF0" w:rsidRPr="00A00637" w:rsidRDefault="00E86FF0" w:rsidP="00E86FF0">
            <w:pPr>
              <w:pStyle w:val="SCCShortJudgment"/>
              <w:rPr>
                <w:szCs w:val="20"/>
              </w:rPr>
            </w:pPr>
            <w:r w:rsidRPr="00A00637">
              <w:rPr>
                <w:szCs w:val="20"/>
              </w:rPr>
              <w:t>The application for leave to appeal from the judgment of the Court of Appeal for Saskatchewan, Number 1886, 2011 SKCA 116, dated October 18, 2011, is dismissed with costs on a party and party basis.</w:t>
            </w:r>
          </w:p>
          <w:p w:rsidR="00E86FF0" w:rsidRPr="00A00637" w:rsidRDefault="00E86FF0" w:rsidP="00E86FF0">
            <w:pPr>
              <w:pStyle w:val="SCCShortJudgment"/>
              <w:ind w:firstLine="0"/>
              <w:rPr>
                <w:szCs w:val="20"/>
              </w:rPr>
            </w:pPr>
          </w:p>
          <w:p w:rsidR="00E86FF0" w:rsidRPr="00A00637" w:rsidRDefault="00E86FF0" w:rsidP="00E86FF0">
            <w:pPr>
              <w:pStyle w:val="SCCShortJudgment"/>
              <w:rPr>
                <w:szCs w:val="20"/>
                <w:lang w:val="fr-CA"/>
              </w:rPr>
            </w:pPr>
            <w:r w:rsidRPr="00A00637">
              <w:rPr>
                <w:szCs w:val="20"/>
                <w:lang w:val="fr-CA"/>
              </w:rPr>
              <w:t>La demande d’autorisation d’appel de l’arrêt de la Cour d’appel de la Saskatchewan, numéro 1886, 2011 SKCA 116, daté du 18 octobre 2011, est rejetée avec dépens entre parties.</w:t>
            </w:r>
          </w:p>
        </w:tc>
      </w:tr>
    </w:tbl>
    <w:p w:rsidR="00E86FF0" w:rsidRPr="00E86FF0" w:rsidRDefault="00E86FF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10E27" w:rsidRPr="00F24723" w:rsidTr="00936316">
        <w:tc>
          <w:tcPr>
            <w:tcW w:w="5000" w:type="pct"/>
            <w:gridSpan w:val="3"/>
          </w:tcPr>
          <w:p w:rsidR="00310E27" w:rsidRPr="00F24723" w:rsidRDefault="00310E27" w:rsidP="00936316">
            <w:pPr>
              <w:jc w:val="both"/>
              <w:rPr>
                <w:rFonts w:eastAsia="Calibri"/>
                <w:sz w:val="20"/>
              </w:rPr>
            </w:pPr>
            <w:r w:rsidRPr="00F24723">
              <w:rPr>
                <w:rFonts w:eastAsia="Calibri"/>
                <w:sz w:val="20"/>
              </w:rPr>
              <w:t xml:space="preserve">Civil procedure – Class actions – Certification – Pleadings – Parties – Costs – Courts below refusing to add applicant as plaintiff to proposed class action – Whether the Court of Appeal erred by awarding costs against applicant in contravention of s. 40(1) of </w:t>
            </w:r>
            <w:r w:rsidRPr="00F24723">
              <w:rPr>
                <w:rFonts w:eastAsia="Calibri"/>
                <w:i/>
                <w:sz w:val="20"/>
              </w:rPr>
              <w:t>The Class Actions Act</w:t>
            </w:r>
            <w:r w:rsidRPr="00F24723">
              <w:rPr>
                <w:rFonts w:eastAsia="Calibri"/>
                <w:sz w:val="20"/>
              </w:rPr>
              <w:t>, S.S. 2001, c. C-12.01</w:t>
            </w:r>
          </w:p>
        </w:tc>
      </w:tr>
      <w:tr w:rsidR="00310E27" w:rsidRPr="00F24723" w:rsidTr="00936316">
        <w:tc>
          <w:tcPr>
            <w:tcW w:w="5000" w:type="pct"/>
            <w:gridSpan w:val="3"/>
          </w:tcPr>
          <w:p w:rsidR="00310E27" w:rsidRPr="00F24723" w:rsidRDefault="00310E27" w:rsidP="00936316">
            <w:pPr>
              <w:jc w:val="both"/>
              <w:rPr>
                <w:rFonts w:eastAsia="Calibri"/>
                <w:sz w:val="20"/>
              </w:rPr>
            </w:pPr>
          </w:p>
        </w:tc>
      </w:tr>
      <w:tr w:rsidR="00310E27" w:rsidRPr="00F24723" w:rsidTr="00936316">
        <w:tc>
          <w:tcPr>
            <w:tcW w:w="5000" w:type="pct"/>
            <w:gridSpan w:val="3"/>
          </w:tcPr>
          <w:p w:rsidR="00310E27" w:rsidRPr="00F24723" w:rsidRDefault="00310E27" w:rsidP="00936316">
            <w:pPr>
              <w:jc w:val="both"/>
              <w:rPr>
                <w:rFonts w:eastAsia="Calibri"/>
                <w:sz w:val="20"/>
              </w:rPr>
            </w:pPr>
            <w:r w:rsidRPr="00F24723">
              <w:rPr>
                <w:rFonts w:eastAsia="Calibri"/>
                <w:sz w:val="20"/>
              </w:rPr>
              <w:t xml:space="preserve">A number of Canadians (“the travellers”) all purchased and/or took vacation holidays in Holguin, Cuba between late 2004 and early 2005 from various travel companies.  In January 2005, certain travellers served a number of travel companies, including the respondent Red Seal Vacations Inc., with a statement of claim in the Court of Queen’s Bench for Saskatchewan, seeking damages and alleging that the travel companies failed to warn them that there were severe water shortages for weeks prior to the booked vacation holidays at various Holguin resorts, and arguing that such water shortages prevented resort operators from providing basic services such as clean dishes, plumbing, and usable swimming pools.  In November 2008, the plaintiffs moved to certify the proceeding as a class action.  The respondent Red Seal brought a motion to dismiss the action against it, including the application for certification, on the basis that none of the named plaintiffs had purchased a vacation through Red Seal.  The plaintiffs then sought to amend their </w:t>
            </w:r>
            <w:r w:rsidRPr="00F24723">
              <w:rPr>
                <w:rFonts w:eastAsia="Calibri"/>
                <w:sz w:val="20"/>
              </w:rPr>
              <w:lastRenderedPageBreak/>
              <w:t>statement of claim to add Helen Roussy as a plaintiff in the litigation.  The Court of Queen’s Bench for Saskatchewan dismissed the motion to add Ms. Roussy as a party to the proceeding, with no order as to costs, finding that Ms. Roussy had already settled her claim against Red Seal.  The Court of Appeal for Saskatchewan dismissed Ms. Roussy’s appeal, and awarded costs against Ms. Roussy in favour of Red Seal.  Ms. Roussy seeks leave to appeal the costs portion of the Court of Appeal’s decision.</w:t>
            </w:r>
          </w:p>
          <w:p w:rsidR="00310E27" w:rsidRPr="00F24723" w:rsidRDefault="00310E27" w:rsidP="00936316">
            <w:pPr>
              <w:jc w:val="both"/>
              <w:rPr>
                <w:rFonts w:eastAsia="Calibri"/>
                <w:sz w:val="20"/>
              </w:rPr>
            </w:pPr>
          </w:p>
        </w:tc>
      </w:tr>
      <w:tr w:rsidR="00310E27" w:rsidRPr="00F24723" w:rsidTr="00936316">
        <w:tc>
          <w:tcPr>
            <w:tcW w:w="2427" w:type="pct"/>
          </w:tcPr>
          <w:p w:rsidR="00310E27" w:rsidRPr="00F24723" w:rsidRDefault="00310E27" w:rsidP="00936316">
            <w:pPr>
              <w:jc w:val="both"/>
              <w:rPr>
                <w:rFonts w:eastAsia="Calibri"/>
                <w:sz w:val="20"/>
              </w:rPr>
            </w:pPr>
            <w:r w:rsidRPr="00F24723">
              <w:rPr>
                <w:rFonts w:eastAsia="Calibri"/>
                <w:sz w:val="20"/>
              </w:rPr>
              <w:lastRenderedPageBreak/>
              <w:t>December 14, 2009</w:t>
            </w:r>
          </w:p>
          <w:p w:rsidR="00310E27" w:rsidRPr="00F24723" w:rsidRDefault="00310E27" w:rsidP="00936316">
            <w:pPr>
              <w:jc w:val="both"/>
              <w:rPr>
                <w:rFonts w:eastAsia="Calibri"/>
                <w:sz w:val="20"/>
              </w:rPr>
            </w:pPr>
            <w:r w:rsidRPr="00F24723">
              <w:rPr>
                <w:rFonts w:eastAsia="Calibri"/>
                <w:sz w:val="20"/>
              </w:rPr>
              <w:t>Court of Queen’s Bench for Saskatchewan</w:t>
            </w:r>
          </w:p>
          <w:p w:rsidR="00310E27" w:rsidRPr="00F24723" w:rsidRDefault="00310E27" w:rsidP="00936316">
            <w:pPr>
              <w:jc w:val="both"/>
              <w:rPr>
                <w:rFonts w:eastAsia="Calibri"/>
                <w:sz w:val="20"/>
              </w:rPr>
            </w:pPr>
            <w:r w:rsidRPr="00F24723">
              <w:rPr>
                <w:rFonts w:eastAsia="Calibri"/>
                <w:sz w:val="20"/>
              </w:rPr>
              <w:t>(Keene J.)</w:t>
            </w:r>
          </w:p>
          <w:p w:rsidR="00310E27" w:rsidRPr="00F24723" w:rsidRDefault="00310E27" w:rsidP="00936316">
            <w:pPr>
              <w:jc w:val="both"/>
              <w:rPr>
                <w:rFonts w:eastAsia="Calibri"/>
                <w:sz w:val="20"/>
              </w:rPr>
            </w:pPr>
            <w:r w:rsidRPr="00F24723">
              <w:rPr>
                <w:rFonts w:eastAsia="Calibri"/>
                <w:sz w:val="20"/>
              </w:rPr>
              <w:t>2009 SKQB 518</w:t>
            </w:r>
          </w:p>
          <w:p w:rsidR="00310E27" w:rsidRPr="00F24723" w:rsidRDefault="00310E27" w:rsidP="00936316">
            <w:pPr>
              <w:jc w:val="both"/>
              <w:rPr>
                <w:rFonts w:eastAsia="Calibri"/>
                <w:sz w:val="20"/>
              </w:rPr>
            </w:pP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rPr>
            </w:pPr>
            <w:r w:rsidRPr="00F24723">
              <w:rPr>
                <w:rFonts w:eastAsia="Calibri"/>
                <w:sz w:val="20"/>
              </w:rPr>
              <w:t>Motion to amend claim to add Helen Roussy as a plaintiff, dismissed.</w:t>
            </w:r>
          </w:p>
          <w:p w:rsidR="00310E27" w:rsidRPr="00F24723" w:rsidRDefault="00310E27" w:rsidP="00936316">
            <w:pPr>
              <w:jc w:val="both"/>
              <w:rPr>
                <w:rFonts w:eastAsia="Calibri"/>
                <w:sz w:val="20"/>
              </w:rPr>
            </w:pPr>
          </w:p>
        </w:tc>
      </w:tr>
      <w:tr w:rsidR="00310E27" w:rsidRPr="00F24723" w:rsidTr="00936316">
        <w:tc>
          <w:tcPr>
            <w:tcW w:w="2427" w:type="pct"/>
          </w:tcPr>
          <w:p w:rsidR="00310E27" w:rsidRPr="00F24723" w:rsidRDefault="00310E27" w:rsidP="00936316">
            <w:pPr>
              <w:jc w:val="both"/>
              <w:rPr>
                <w:rFonts w:eastAsia="Calibri"/>
                <w:sz w:val="20"/>
              </w:rPr>
            </w:pPr>
            <w:r w:rsidRPr="00F24723">
              <w:rPr>
                <w:rFonts w:eastAsia="Calibri"/>
                <w:sz w:val="20"/>
              </w:rPr>
              <w:t>October 18, 2011</w:t>
            </w:r>
          </w:p>
          <w:p w:rsidR="00310E27" w:rsidRPr="00F24723" w:rsidRDefault="00310E27" w:rsidP="00936316">
            <w:pPr>
              <w:jc w:val="both"/>
              <w:rPr>
                <w:rFonts w:eastAsia="Calibri"/>
                <w:sz w:val="20"/>
              </w:rPr>
            </w:pPr>
            <w:r w:rsidRPr="00F24723">
              <w:rPr>
                <w:rFonts w:eastAsia="Calibri"/>
                <w:sz w:val="20"/>
              </w:rPr>
              <w:t>Court of Appeal for Saskatchewan</w:t>
            </w:r>
          </w:p>
          <w:p w:rsidR="00310E27" w:rsidRPr="00F24723" w:rsidRDefault="00310E27" w:rsidP="00936316">
            <w:pPr>
              <w:jc w:val="both"/>
              <w:rPr>
                <w:rFonts w:eastAsia="Calibri"/>
                <w:sz w:val="20"/>
              </w:rPr>
            </w:pPr>
            <w:r w:rsidRPr="00F24723">
              <w:rPr>
                <w:rFonts w:eastAsia="Calibri"/>
                <w:sz w:val="20"/>
              </w:rPr>
              <w:t>(Vancise, Richards and Caldwell JJ.A.)</w:t>
            </w:r>
          </w:p>
          <w:p w:rsidR="00310E27" w:rsidRPr="00F24723" w:rsidRDefault="00310E27" w:rsidP="00936316">
            <w:pPr>
              <w:jc w:val="both"/>
              <w:rPr>
                <w:rFonts w:eastAsia="Calibri"/>
                <w:sz w:val="20"/>
              </w:rPr>
            </w:pPr>
            <w:r w:rsidRPr="00F24723">
              <w:rPr>
                <w:rFonts w:eastAsia="Calibri"/>
                <w:sz w:val="20"/>
              </w:rPr>
              <w:t>2011 SKCA 116</w:t>
            </w:r>
          </w:p>
          <w:p w:rsidR="00310E27" w:rsidRPr="00F24723" w:rsidRDefault="00310E27" w:rsidP="00936316">
            <w:pPr>
              <w:jc w:val="both"/>
              <w:rPr>
                <w:rFonts w:eastAsia="Calibri"/>
                <w:sz w:val="20"/>
              </w:rPr>
            </w:pPr>
            <w:r w:rsidRPr="00F24723">
              <w:rPr>
                <w:rFonts w:eastAsia="Calibri"/>
                <w:sz w:val="20"/>
              </w:rPr>
              <w:t xml:space="preserve">Docket:  1886 </w:t>
            </w:r>
          </w:p>
          <w:p w:rsidR="00310E27" w:rsidRPr="00F24723" w:rsidRDefault="00310E27" w:rsidP="00936316">
            <w:pPr>
              <w:jc w:val="both"/>
              <w:rPr>
                <w:rFonts w:eastAsia="Calibri"/>
                <w:sz w:val="20"/>
              </w:rPr>
            </w:pP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rPr>
            </w:pPr>
            <w:r w:rsidRPr="00F24723">
              <w:rPr>
                <w:rFonts w:eastAsia="Calibri"/>
                <w:sz w:val="20"/>
              </w:rPr>
              <w:t>Appeal dismissed, with costs awarded against Helen Roussy, in favour of Red Seal.</w:t>
            </w:r>
          </w:p>
          <w:p w:rsidR="00310E27" w:rsidRPr="00F24723" w:rsidRDefault="00310E27" w:rsidP="00936316">
            <w:pPr>
              <w:jc w:val="both"/>
              <w:rPr>
                <w:rFonts w:eastAsia="Calibri"/>
                <w:sz w:val="20"/>
              </w:rPr>
            </w:pPr>
          </w:p>
        </w:tc>
      </w:tr>
      <w:tr w:rsidR="00310E27" w:rsidRPr="00F24723" w:rsidTr="00936316">
        <w:tc>
          <w:tcPr>
            <w:tcW w:w="2427" w:type="pct"/>
          </w:tcPr>
          <w:p w:rsidR="00310E27" w:rsidRPr="00F24723" w:rsidRDefault="00310E27" w:rsidP="00936316">
            <w:pPr>
              <w:jc w:val="both"/>
              <w:rPr>
                <w:rFonts w:eastAsia="Calibri"/>
                <w:sz w:val="20"/>
              </w:rPr>
            </w:pPr>
            <w:r w:rsidRPr="00F24723">
              <w:rPr>
                <w:rFonts w:eastAsia="Calibri"/>
                <w:sz w:val="20"/>
              </w:rPr>
              <w:t>December 19, 2011</w:t>
            </w:r>
          </w:p>
          <w:p w:rsidR="00310E27" w:rsidRPr="00F24723" w:rsidRDefault="00310E27" w:rsidP="00936316">
            <w:pPr>
              <w:jc w:val="both"/>
              <w:rPr>
                <w:rFonts w:eastAsia="Calibri"/>
                <w:sz w:val="20"/>
              </w:rPr>
            </w:pPr>
            <w:r w:rsidRPr="00F24723">
              <w:rPr>
                <w:rFonts w:eastAsia="Calibri"/>
                <w:sz w:val="20"/>
              </w:rPr>
              <w:t>Supreme Court of Canada</w:t>
            </w: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rPr>
            </w:pPr>
            <w:r w:rsidRPr="00F24723">
              <w:rPr>
                <w:rFonts w:eastAsia="Calibri"/>
                <w:sz w:val="20"/>
              </w:rPr>
              <w:t>Application for leave to appeal on the costs issue, filed by the applicant Helen Roussy.</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80"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10E27" w:rsidRPr="00C40F4C" w:rsidTr="00936316">
        <w:tc>
          <w:tcPr>
            <w:tcW w:w="5000" w:type="pct"/>
            <w:gridSpan w:val="3"/>
          </w:tcPr>
          <w:p w:rsidR="00310E27" w:rsidRPr="00F24723" w:rsidRDefault="00310E27" w:rsidP="00936316">
            <w:pPr>
              <w:jc w:val="both"/>
              <w:rPr>
                <w:rFonts w:eastAsia="Calibri"/>
                <w:sz w:val="20"/>
                <w:lang w:val="fr-FR"/>
              </w:rPr>
            </w:pPr>
            <w:r w:rsidRPr="00F24723">
              <w:rPr>
                <w:rFonts w:eastAsia="Calibri"/>
                <w:sz w:val="20"/>
                <w:lang w:val="fr-FR"/>
              </w:rPr>
              <w:t>Procédure civile – Recours collectifs – Autorisation – Actes de procédure – Parties – Dépens – Refus des juridictions inférieures d’ajouter la demanderesse en cette qualité au recours collectif projeté – La Cour d’appel a</w:t>
            </w:r>
            <w:r w:rsidRPr="00F24723">
              <w:rPr>
                <w:rFonts w:eastAsia="Calibri"/>
                <w:sz w:val="20"/>
                <w:lang w:val="fr-FR"/>
              </w:rPr>
              <w:noBreakHyphen/>
              <w:t>t</w:t>
            </w:r>
            <w:r w:rsidRPr="00F24723">
              <w:rPr>
                <w:rFonts w:eastAsia="Calibri"/>
                <w:sz w:val="20"/>
                <w:lang w:val="fr-FR"/>
              </w:rPr>
              <w:noBreakHyphen/>
              <w:t xml:space="preserve">elle condamné à tort la demanderesse aux dépens, en violation du par. 40(1) de la </w:t>
            </w:r>
            <w:r w:rsidRPr="00F24723">
              <w:rPr>
                <w:rFonts w:eastAsia="Calibri"/>
                <w:i/>
                <w:sz w:val="20"/>
                <w:lang w:val="fr-FR"/>
              </w:rPr>
              <w:t>Loi sur les recours collectifs</w:t>
            </w:r>
            <w:r w:rsidRPr="00F24723">
              <w:rPr>
                <w:rFonts w:eastAsia="Calibri"/>
                <w:sz w:val="20"/>
                <w:lang w:val="fr-FR"/>
              </w:rPr>
              <w:t>, L.S. 2001, ch. C</w:t>
            </w:r>
            <w:r w:rsidRPr="00F24723">
              <w:rPr>
                <w:rFonts w:eastAsia="Calibri"/>
                <w:sz w:val="20"/>
                <w:lang w:val="fr-FR"/>
              </w:rPr>
              <w:noBreakHyphen/>
              <w:t>12.01?</w:t>
            </w:r>
          </w:p>
        </w:tc>
      </w:tr>
      <w:tr w:rsidR="00310E27" w:rsidRPr="00C40F4C" w:rsidTr="00936316">
        <w:tc>
          <w:tcPr>
            <w:tcW w:w="5000" w:type="pct"/>
            <w:gridSpan w:val="3"/>
          </w:tcPr>
          <w:p w:rsidR="00310E27" w:rsidRPr="00F24723" w:rsidRDefault="00310E27" w:rsidP="00936316">
            <w:pPr>
              <w:jc w:val="both"/>
              <w:rPr>
                <w:rFonts w:eastAsia="Calibri"/>
                <w:sz w:val="20"/>
                <w:lang w:val="fr-FR"/>
              </w:rPr>
            </w:pPr>
          </w:p>
        </w:tc>
      </w:tr>
      <w:tr w:rsidR="00310E27" w:rsidRPr="00B36F35" w:rsidTr="00936316">
        <w:tc>
          <w:tcPr>
            <w:tcW w:w="5000" w:type="pct"/>
            <w:gridSpan w:val="3"/>
          </w:tcPr>
          <w:p w:rsidR="00310E27" w:rsidRPr="00F24723" w:rsidRDefault="00310E27" w:rsidP="00936316">
            <w:pPr>
              <w:jc w:val="both"/>
              <w:rPr>
                <w:rFonts w:eastAsia="Calibri"/>
                <w:sz w:val="20"/>
                <w:lang w:val="fr-FR"/>
              </w:rPr>
            </w:pPr>
            <w:r w:rsidRPr="00F24723">
              <w:rPr>
                <w:rFonts w:eastAsia="Calibri"/>
                <w:sz w:val="20"/>
                <w:lang w:val="fr-FR"/>
              </w:rPr>
              <w:t>Plusieurs Canadiens (« les voyageurs ») ont réservé ou pris des vacances à Holguin, à Cuba, à la fin de 2004 ou au début de 2005 auprès de différentes compagnies de voyage. En janvier 2005, certains voyageurs ont signifié à certaines de ces compagnies, dont l’intimée Red Seal Vacations Inc., une déclaration en Cour du Banc de la Reine de la Saskatchewan dans laquelle ils réclament des dommages</w:t>
            </w:r>
            <w:r w:rsidRPr="00F24723">
              <w:rPr>
                <w:rFonts w:eastAsia="Calibri"/>
                <w:sz w:val="20"/>
                <w:lang w:val="fr-FR"/>
              </w:rPr>
              <w:noBreakHyphen/>
              <w:t>intérêts et prétendent que les compagnies de voyage ne les ont pas prévenus qu’il y avait de graves pénuries d’eau pendant des semaines avant les vacances réservées à divers centres de villégiature d’Holguin. Toujours selon eux, ces pénuries d’eau ont empêché les exploitants des centres de villégiature de fournir des services de base comme de la vaisselle propre, des travaux de plomberie et des piscines utilisables. Les demandeurs ont sollicité en novembre 2008 l’autorisation de l’action comme recours collectif. L’intimée Red Seal a présenté une requête en rejet de l’action intentée contre elle, y compris la demande d’autorisation de recours collectif, au motif qu’aucun des demandeurs désignés n’avait réservé des vacances auprès d’elle. Les demandeurs ont ensuite sollicité l’autorisation de modifier la déclaration par l’ajout d’Helen Roussy en qualité de demanderesse dans l’instance. La Cour du Banc de la Reine de la Saskatchewan a rejeté, sans prononcer d’ordonnance quant aux dépens, la requête en ajout de Mme Roussy à titre de partie à l’instance, concluant que M</w:t>
            </w:r>
            <w:r w:rsidRPr="00F24723">
              <w:rPr>
                <w:rFonts w:eastAsia="Calibri"/>
                <w:sz w:val="20"/>
                <w:vertAlign w:val="superscript"/>
                <w:lang w:val="fr-FR"/>
              </w:rPr>
              <w:t>me</w:t>
            </w:r>
            <w:r w:rsidRPr="00F24723">
              <w:rPr>
                <w:rFonts w:eastAsia="Calibri"/>
                <w:sz w:val="20"/>
                <w:lang w:val="fr-FR"/>
              </w:rPr>
              <w:t> Roussy avait déjà réglé sa poursuite intentée contre Red Seal. La Cour d’appel de la Saskatchewan a rejeté l’appel de M</w:t>
            </w:r>
            <w:r w:rsidRPr="00F24723">
              <w:rPr>
                <w:rFonts w:eastAsia="Calibri"/>
                <w:sz w:val="20"/>
                <w:vertAlign w:val="superscript"/>
                <w:lang w:val="fr-FR"/>
              </w:rPr>
              <w:t>me </w:t>
            </w:r>
            <w:r w:rsidRPr="00F24723">
              <w:rPr>
                <w:rFonts w:eastAsia="Calibri"/>
                <w:sz w:val="20"/>
                <w:lang w:val="fr-FR"/>
              </w:rPr>
              <w:t>Roussy avec dépens en faveur de Red Seal. M</w:t>
            </w:r>
            <w:r w:rsidRPr="00F24723">
              <w:rPr>
                <w:rFonts w:eastAsia="Calibri"/>
                <w:sz w:val="20"/>
                <w:vertAlign w:val="superscript"/>
                <w:lang w:val="fr-FR"/>
              </w:rPr>
              <w:t>me</w:t>
            </w:r>
            <w:r w:rsidRPr="00F24723">
              <w:rPr>
                <w:rFonts w:eastAsia="Calibri"/>
                <w:sz w:val="20"/>
                <w:lang w:val="fr-FR"/>
              </w:rPr>
              <w:t xml:space="preserve"> Roussy demande l’autorisation d’interjeter appel de la partie de l’arrêt de la Cour d’appel touchant les dépens.</w:t>
            </w:r>
          </w:p>
          <w:p w:rsidR="00310E27" w:rsidRPr="00F24723" w:rsidRDefault="00310E27" w:rsidP="00936316">
            <w:pPr>
              <w:jc w:val="both"/>
              <w:rPr>
                <w:rFonts w:eastAsia="Calibri"/>
                <w:sz w:val="20"/>
                <w:lang w:val="fr-FR"/>
              </w:rPr>
            </w:pPr>
          </w:p>
        </w:tc>
      </w:tr>
      <w:tr w:rsidR="00310E27" w:rsidRPr="00B36F35" w:rsidTr="00936316">
        <w:tc>
          <w:tcPr>
            <w:tcW w:w="2427" w:type="pct"/>
          </w:tcPr>
          <w:p w:rsidR="00310E27" w:rsidRPr="00F24723" w:rsidRDefault="00310E27" w:rsidP="00936316">
            <w:pPr>
              <w:jc w:val="both"/>
              <w:rPr>
                <w:rFonts w:eastAsia="Calibri"/>
                <w:sz w:val="20"/>
                <w:lang w:val="fr-FR"/>
              </w:rPr>
            </w:pPr>
            <w:r w:rsidRPr="00F24723">
              <w:rPr>
                <w:rFonts w:eastAsia="Calibri"/>
                <w:sz w:val="20"/>
                <w:lang w:val="fr-FR"/>
              </w:rPr>
              <w:t>14 décembre 2009</w:t>
            </w:r>
          </w:p>
          <w:p w:rsidR="00310E27" w:rsidRPr="00F24723" w:rsidRDefault="00310E27" w:rsidP="00936316">
            <w:pPr>
              <w:jc w:val="both"/>
              <w:rPr>
                <w:rFonts w:eastAsia="Calibri"/>
                <w:sz w:val="20"/>
                <w:lang w:val="fr-FR"/>
              </w:rPr>
            </w:pPr>
            <w:r w:rsidRPr="00F24723">
              <w:rPr>
                <w:rFonts w:eastAsia="Calibri"/>
                <w:sz w:val="20"/>
                <w:lang w:val="fr-FR"/>
              </w:rPr>
              <w:t>Cour du Banc de la Reine de la Saskatchewan</w:t>
            </w:r>
          </w:p>
          <w:p w:rsidR="00310E27" w:rsidRPr="00F24723" w:rsidRDefault="00310E27" w:rsidP="00936316">
            <w:pPr>
              <w:jc w:val="both"/>
              <w:rPr>
                <w:rFonts w:eastAsia="Calibri"/>
                <w:sz w:val="20"/>
              </w:rPr>
            </w:pPr>
            <w:r w:rsidRPr="00F24723">
              <w:rPr>
                <w:rFonts w:eastAsia="Calibri"/>
                <w:sz w:val="20"/>
              </w:rPr>
              <w:t>(Juge Keene)</w:t>
            </w:r>
          </w:p>
          <w:p w:rsidR="00310E27" w:rsidRPr="00F24723" w:rsidRDefault="00310E27" w:rsidP="00936316">
            <w:pPr>
              <w:jc w:val="both"/>
              <w:rPr>
                <w:rFonts w:eastAsia="Calibri"/>
                <w:sz w:val="20"/>
              </w:rPr>
            </w:pPr>
            <w:r w:rsidRPr="00F24723">
              <w:rPr>
                <w:rFonts w:eastAsia="Calibri"/>
                <w:sz w:val="20"/>
              </w:rPr>
              <w:t>2009 SKQB 518</w:t>
            </w:r>
          </w:p>
          <w:p w:rsidR="00310E27" w:rsidRPr="00F24723" w:rsidRDefault="00310E27" w:rsidP="00936316">
            <w:pPr>
              <w:jc w:val="both"/>
              <w:rPr>
                <w:rFonts w:eastAsia="Calibri"/>
                <w:sz w:val="20"/>
              </w:rPr>
            </w:pP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lang w:val="fr-FR"/>
              </w:rPr>
            </w:pPr>
            <w:r w:rsidRPr="00F24723">
              <w:rPr>
                <w:rFonts w:eastAsia="Calibri"/>
                <w:sz w:val="20"/>
                <w:lang w:val="fr-FR"/>
              </w:rPr>
              <w:t>Requête en modification de la déclaration par l’ajout d’Helen Roussy à titre de demanderesse, rejetée.</w:t>
            </w:r>
          </w:p>
          <w:p w:rsidR="00310E27" w:rsidRPr="00F24723" w:rsidRDefault="00310E27" w:rsidP="00936316">
            <w:pPr>
              <w:jc w:val="both"/>
              <w:rPr>
                <w:rFonts w:eastAsia="Calibri"/>
                <w:sz w:val="20"/>
                <w:lang w:val="fr-FR"/>
              </w:rPr>
            </w:pPr>
          </w:p>
        </w:tc>
      </w:tr>
      <w:tr w:rsidR="00310E27" w:rsidRPr="00B36F35" w:rsidTr="00E86FF0">
        <w:trPr>
          <w:cantSplit/>
        </w:trPr>
        <w:tc>
          <w:tcPr>
            <w:tcW w:w="2427" w:type="pct"/>
          </w:tcPr>
          <w:p w:rsidR="00310E27" w:rsidRPr="00F24723" w:rsidRDefault="00310E27" w:rsidP="00936316">
            <w:pPr>
              <w:jc w:val="both"/>
              <w:rPr>
                <w:rFonts w:eastAsia="Calibri"/>
                <w:sz w:val="20"/>
                <w:lang w:val="fr-FR"/>
              </w:rPr>
            </w:pPr>
            <w:r w:rsidRPr="00F24723">
              <w:rPr>
                <w:rFonts w:eastAsia="Calibri"/>
                <w:sz w:val="20"/>
                <w:lang w:val="fr-FR"/>
              </w:rPr>
              <w:lastRenderedPageBreak/>
              <w:t>18 octobre 2011</w:t>
            </w:r>
          </w:p>
          <w:p w:rsidR="00310E27" w:rsidRPr="00F24723" w:rsidRDefault="00310E27" w:rsidP="00936316">
            <w:pPr>
              <w:jc w:val="both"/>
              <w:rPr>
                <w:rFonts w:eastAsia="Calibri"/>
                <w:sz w:val="20"/>
                <w:lang w:val="fr-FR"/>
              </w:rPr>
            </w:pPr>
            <w:r w:rsidRPr="00F24723">
              <w:rPr>
                <w:rFonts w:eastAsia="Calibri"/>
                <w:sz w:val="20"/>
                <w:lang w:val="fr-FR"/>
              </w:rPr>
              <w:t>Cour d’appel de la Saskatchewan</w:t>
            </w:r>
          </w:p>
          <w:p w:rsidR="00310E27" w:rsidRPr="00F24723" w:rsidRDefault="00310E27" w:rsidP="00936316">
            <w:pPr>
              <w:jc w:val="both"/>
              <w:rPr>
                <w:rFonts w:eastAsia="Calibri"/>
                <w:sz w:val="20"/>
                <w:lang w:val="fr-FR"/>
              </w:rPr>
            </w:pPr>
            <w:r w:rsidRPr="00F24723">
              <w:rPr>
                <w:rFonts w:eastAsia="Calibri"/>
                <w:sz w:val="20"/>
                <w:lang w:val="fr-FR"/>
              </w:rPr>
              <w:t>(Juges Vancise, Richards et Caldwell)</w:t>
            </w:r>
          </w:p>
          <w:p w:rsidR="00310E27" w:rsidRPr="00F24723" w:rsidRDefault="00310E27" w:rsidP="00936316">
            <w:pPr>
              <w:jc w:val="both"/>
              <w:rPr>
                <w:rFonts w:eastAsia="Calibri"/>
                <w:sz w:val="20"/>
              </w:rPr>
            </w:pPr>
            <w:r w:rsidRPr="00F24723">
              <w:rPr>
                <w:rFonts w:eastAsia="Calibri"/>
                <w:sz w:val="20"/>
              </w:rPr>
              <w:t>2011 SKCA 116</w:t>
            </w:r>
          </w:p>
          <w:p w:rsidR="00310E27" w:rsidRPr="00F24723" w:rsidRDefault="00310E27" w:rsidP="00936316">
            <w:pPr>
              <w:jc w:val="both"/>
              <w:rPr>
                <w:rFonts w:eastAsia="Calibri"/>
                <w:sz w:val="20"/>
              </w:rPr>
            </w:pPr>
            <w:r w:rsidRPr="00F24723">
              <w:rPr>
                <w:rFonts w:eastAsia="Calibri"/>
                <w:sz w:val="20"/>
              </w:rPr>
              <w:t xml:space="preserve">Dossier : 1886 </w:t>
            </w:r>
          </w:p>
          <w:p w:rsidR="00310E27" w:rsidRPr="00F24723" w:rsidRDefault="00310E27" w:rsidP="00936316">
            <w:pPr>
              <w:jc w:val="both"/>
              <w:rPr>
                <w:rFonts w:eastAsia="Calibri"/>
                <w:sz w:val="20"/>
              </w:rPr>
            </w:pP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lang w:val="fr-FR"/>
              </w:rPr>
            </w:pPr>
            <w:r w:rsidRPr="00F24723">
              <w:rPr>
                <w:rFonts w:eastAsia="Calibri"/>
                <w:sz w:val="20"/>
                <w:lang w:val="fr-FR"/>
              </w:rPr>
              <w:t>Appel rejeté avec dépens adjugés contre Helen Roussy en faveur de Red Seal.</w:t>
            </w:r>
          </w:p>
          <w:p w:rsidR="00310E27" w:rsidRPr="00F24723" w:rsidRDefault="00310E27" w:rsidP="00936316">
            <w:pPr>
              <w:jc w:val="both"/>
              <w:rPr>
                <w:rFonts w:eastAsia="Calibri"/>
                <w:sz w:val="20"/>
                <w:lang w:val="fr-FR"/>
              </w:rPr>
            </w:pPr>
          </w:p>
        </w:tc>
      </w:tr>
      <w:tr w:rsidR="00310E27" w:rsidRPr="00B36F35" w:rsidTr="00E86FF0">
        <w:trPr>
          <w:cantSplit/>
        </w:trPr>
        <w:tc>
          <w:tcPr>
            <w:tcW w:w="2427" w:type="pct"/>
          </w:tcPr>
          <w:p w:rsidR="00310E27" w:rsidRPr="00310E27" w:rsidRDefault="00310E27" w:rsidP="00936316">
            <w:pPr>
              <w:jc w:val="both"/>
              <w:rPr>
                <w:rFonts w:eastAsia="Calibri"/>
                <w:sz w:val="20"/>
                <w:lang w:val="fr-CA"/>
              </w:rPr>
            </w:pPr>
            <w:r w:rsidRPr="00310E27">
              <w:rPr>
                <w:rFonts w:eastAsia="Calibri"/>
                <w:sz w:val="20"/>
                <w:lang w:val="fr-CA"/>
              </w:rPr>
              <w:t>19 décembre 2011</w:t>
            </w:r>
          </w:p>
          <w:p w:rsidR="00310E27" w:rsidRPr="00310E27" w:rsidRDefault="00310E27" w:rsidP="00936316">
            <w:pPr>
              <w:jc w:val="both"/>
              <w:rPr>
                <w:rFonts w:eastAsia="Calibri"/>
                <w:sz w:val="20"/>
                <w:lang w:val="fr-CA"/>
              </w:rPr>
            </w:pPr>
            <w:r w:rsidRPr="00310E27">
              <w:rPr>
                <w:rFonts w:eastAsia="Calibri"/>
                <w:sz w:val="20"/>
                <w:lang w:val="fr-CA"/>
              </w:rPr>
              <w:t>Cour suprême du Canada</w:t>
            </w:r>
          </w:p>
        </w:tc>
        <w:tc>
          <w:tcPr>
            <w:tcW w:w="243" w:type="pct"/>
          </w:tcPr>
          <w:p w:rsidR="00310E27" w:rsidRPr="00310E27" w:rsidRDefault="00310E27" w:rsidP="00936316">
            <w:pPr>
              <w:jc w:val="both"/>
              <w:rPr>
                <w:rFonts w:eastAsia="Calibri"/>
                <w:sz w:val="20"/>
                <w:lang w:val="fr-CA"/>
              </w:rPr>
            </w:pPr>
          </w:p>
        </w:tc>
        <w:tc>
          <w:tcPr>
            <w:tcW w:w="2330" w:type="pct"/>
          </w:tcPr>
          <w:p w:rsidR="00310E27" w:rsidRPr="00F24723" w:rsidRDefault="00310E27" w:rsidP="00936316">
            <w:pPr>
              <w:jc w:val="both"/>
              <w:rPr>
                <w:rFonts w:eastAsia="Calibri"/>
                <w:sz w:val="20"/>
                <w:lang w:val="fr-FR"/>
              </w:rPr>
            </w:pPr>
            <w:r w:rsidRPr="00F24723">
              <w:rPr>
                <w:rFonts w:eastAsia="Calibri"/>
                <w:sz w:val="20"/>
                <w:lang w:val="fr-FR"/>
              </w:rPr>
              <w:t>Demande d’autorisation d’appel sur la question des dépens déposée par la demanderesse Helen Roussy.</w:t>
            </w:r>
          </w:p>
        </w:tc>
      </w:tr>
    </w:tbl>
    <w:p w:rsidR="001823C0" w:rsidRPr="00310E27"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81"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6FF0" w:rsidRPr="00A00637" w:rsidTr="00E86FF0">
        <w:trPr>
          <w:cantSplit/>
        </w:trPr>
        <w:tc>
          <w:tcPr>
            <w:tcW w:w="1458" w:type="dxa"/>
          </w:tcPr>
          <w:p w:rsidR="00E86FF0" w:rsidRPr="00A00637" w:rsidRDefault="00E86FF0" w:rsidP="00E86FF0">
            <w:pPr>
              <w:rPr>
                <w:sz w:val="20"/>
                <w:szCs w:val="20"/>
              </w:rPr>
            </w:pPr>
            <w:r w:rsidRPr="00A00637">
              <w:rPr>
                <w:rStyle w:val="SCCFileNumberChar"/>
                <w:sz w:val="20"/>
                <w:szCs w:val="20"/>
              </w:rPr>
              <w:t>34579</w:t>
            </w:r>
          </w:p>
          <w:p w:rsidR="00E86FF0" w:rsidRPr="00A00637" w:rsidRDefault="00E86FF0" w:rsidP="00E86FF0">
            <w:pPr>
              <w:rPr>
                <w:b/>
                <w:sz w:val="20"/>
                <w:szCs w:val="20"/>
                <w:lang w:val="fr-CA"/>
              </w:rPr>
            </w:pPr>
          </w:p>
        </w:tc>
        <w:tc>
          <w:tcPr>
            <w:tcW w:w="8118" w:type="dxa"/>
          </w:tcPr>
          <w:p w:rsidR="00E86FF0" w:rsidRPr="00A00637" w:rsidRDefault="00E86FF0" w:rsidP="00E86FF0">
            <w:pPr>
              <w:jc w:val="both"/>
              <w:rPr>
                <w:sz w:val="20"/>
                <w:szCs w:val="20"/>
              </w:rPr>
            </w:pPr>
            <w:r w:rsidRPr="00E86FF0">
              <w:rPr>
                <w:rStyle w:val="SCCLsocChar"/>
                <w:sz w:val="20"/>
                <w:szCs w:val="20"/>
                <w:lang w:val="en-CA"/>
              </w:rPr>
              <w:t>Rosa Alves, Danielle Bercovitch, Brendan Kennedy, Inez Sanche and Peter Tatham v. First Choice Canada Inc., MyTravel Canada Holidays Inc., Thomas Cook Canada Inc., Red Seal Vacations Inc.</w:t>
            </w:r>
            <w:r>
              <w:rPr>
                <w:rStyle w:val="SCCLsocChar"/>
                <w:sz w:val="20"/>
                <w:szCs w:val="20"/>
                <w:lang w:val="en-CA"/>
              </w:rPr>
              <w:t xml:space="preserve"> and</w:t>
            </w:r>
            <w:r w:rsidRPr="00E86FF0">
              <w:rPr>
                <w:rStyle w:val="SCCLsocChar"/>
                <w:sz w:val="20"/>
                <w:szCs w:val="20"/>
                <w:lang w:val="en-CA"/>
              </w:rPr>
              <w:t xml:space="preserve"> Transat A.T. Inc.</w:t>
            </w:r>
            <w:r w:rsidRPr="00A00637">
              <w:rPr>
                <w:sz w:val="20"/>
                <w:szCs w:val="20"/>
              </w:rPr>
              <w:t xml:space="preserve"> (Sask.) (Civil) (By Leave)</w:t>
            </w:r>
          </w:p>
          <w:p w:rsidR="00E86FF0" w:rsidRPr="00A00637" w:rsidRDefault="00E86FF0" w:rsidP="00E86FF0">
            <w:pPr>
              <w:rPr>
                <w:sz w:val="20"/>
                <w:szCs w:val="20"/>
              </w:rPr>
            </w:pPr>
          </w:p>
        </w:tc>
      </w:tr>
      <w:tr w:rsidR="00E86FF0" w:rsidRPr="00A00637" w:rsidTr="00E86FF0">
        <w:trPr>
          <w:cantSplit/>
        </w:trPr>
        <w:tc>
          <w:tcPr>
            <w:tcW w:w="1458" w:type="dxa"/>
          </w:tcPr>
          <w:p w:rsidR="00E86FF0" w:rsidRPr="00A00637" w:rsidRDefault="00E86FF0" w:rsidP="00E86FF0">
            <w:pPr>
              <w:rPr>
                <w:sz w:val="20"/>
                <w:szCs w:val="20"/>
              </w:rPr>
            </w:pPr>
            <w:r w:rsidRPr="00A00637">
              <w:rPr>
                <w:sz w:val="20"/>
                <w:szCs w:val="20"/>
              </w:rPr>
              <w:t>Coram :</w:t>
            </w:r>
          </w:p>
        </w:tc>
        <w:tc>
          <w:tcPr>
            <w:tcW w:w="8118" w:type="dxa"/>
          </w:tcPr>
          <w:p w:rsidR="00E86FF0" w:rsidRPr="00A00637" w:rsidRDefault="00E86FF0" w:rsidP="00E86FF0">
            <w:pPr>
              <w:rPr>
                <w:sz w:val="20"/>
                <w:szCs w:val="20"/>
              </w:rPr>
            </w:pPr>
            <w:r w:rsidRPr="00E86FF0">
              <w:rPr>
                <w:rStyle w:val="SCCCoramChar"/>
                <w:sz w:val="20"/>
                <w:szCs w:val="20"/>
                <w:lang w:val="en-CA"/>
              </w:rPr>
              <w:t>McLachlin C.J. and Rothstein and Moldaver JJ.</w:t>
            </w:r>
          </w:p>
          <w:p w:rsidR="00E86FF0" w:rsidRPr="00A00637" w:rsidRDefault="00E86FF0" w:rsidP="00E86FF0">
            <w:pPr>
              <w:rPr>
                <w:sz w:val="20"/>
                <w:szCs w:val="20"/>
                <w:u w:val="single"/>
              </w:rPr>
            </w:pPr>
          </w:p>
        </w:tc>
      </w:tr>
      <w:tr w:rsidR="00E86FF0" w:rsidRPr="00B36F35" w:rsidTr="00E86FF0">
        <w:trPr>
          <w:cantSplit/>
        </w:trPr>
        <w:tc>
          <w:tcPr>
            <w:tcW w:w="9576" w:type="dxa"/>
            <w:gridSpan w:val="2"/>
          </w:tcPr>
          <w:p w:rsidR="00E86FF0" w:rsidRPr="00A00637" w:rsidRDefault="00E86FF0" w:rsidP="00E86FF0">
            <w:pPr>
              <w:pStyle w:val="SCCShortJudgment"/>
              <w:rPr>
                <w:szCs w:val="20"/>
              </w:rPr>
            </w:pPr>
            <w:r w:rsidRPr="00A00637">
              <w:rPr>
                <w:szCs w:val="20"/>
              </w:rPr>
              <w:t>The application for leave to appeal from the judgment of the Court of Appeal for Saskatchewan, Number 1923, 2011 SKCA 118, dated October 18, 2011, is dismissed with costs on a party and party basis.</w:t>
            </w:r>
          </w:p>
          <w:p w:rsidR="00E86FF0" w:rsidRPr="00A00637" w:rsidRDefault="00E86FF0" w:rsidP="00E86FF0">
            <w:pPr>
              <w:pStyle w:val="SCCShortJudgment"/>
              <w:ind w:firstLine="0"/>
              <w:rPr>
                <w:szCs w:val="20"/>
              </w:rPr>
            </w:pPr>
          </w:p>
          <w:p w:rsidR="00E86FF0" w:rsidRPr="00A00637" w:rsidRDefault="00E86FF0" w:rsidP="00E86FF0">
            <w:pPr>
              <w:pStyle w:val="SCCShortJudgment"/>
              <w:rPr>
                <w:szCs w:val="20"/>
                <w:lang w:val="fr-CA"/>
              </w:rPr>
            </w:pPr>
            <w:r w:rsidRPr="00A00637">
              <w:rPr>
                <w:szCs w:val="20"/>
                <w:lang w:val="fr-CA"/>
              </w:rPr>
              <w:t>La demande d’autorisation d’appel de l’arrêt de la Cour d’appel de la Saskatchewan, numéro 1923, 2011 SKCA 118, daté du 18 octobre 2011, est rejetée avec dépens entre parties.</w:t>
            </w:r>
          </w:p>
        </w:tc>
      </w:tr>
    </w:tbl>
    <w:p w:rsidR="001823C0" w:rsidRPr="00E86FF0"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10E27" w:rsidRPr="00F24723" w:rsidTr="00936316">
        <w:tc>
          <w:tcPr>
            <w:tcW w:w="5000" w:type="pct"/>
            <w:gridSpan w:val="3"/>
          </w:tcPr>
          <w:p w:rsidR="00310E27" w:rsidRPr="00F24723" w:rsidRDefault="00310E27" w:rsidP="00936316">
            <w:pPr>
              <w:jc w:val="both"/>
              <w:rPr>
                <w:rFonts w:eastAsia="Calibri"/>
                <w:sz w:val="20"/>
              </w:rPr>
            </w:pPr>
            <w:r w:rsidRPr="00F24723">
              <w:rPr>
                <w:rFonts w:eastAsia="Calibri"/>
                <w:sz w:val="20"/>
              </w:rPr>
              <w:t xml:space="preserve">Civil procedure – Class Actions – Certification – Pleadings – Courts below refusing to certify proceeding as class action – Upon what standard are causes of action assessed in the context of a certification hearing – At certification, should the court consider pleadings </w:t>
            </w:r>
            <w:r w:rsidRPr="00F24723">
              <w:rPr>
                <w:rFonts w:eastAsia="Calibri"/>
                <w:i/>
                <w:sz w:val="20"/>
              </w:rPr>
              <w:t>as they are drafted</w:t>
            </w:r>
            <w:r w:rsidRPr="00F24723">
              <w:rPr>
                <w:rFonts w:eastAsia="Calibri"/>
                <w:sz w:val="20"/>
              </w:rPr>
              <w:t xml:space="preserve"> or as they </w:t>
            </w:r>
            <w:r w:rsidRPr="00F24723">
              <w:rPr>
                <w:rFonts w:eastAsia="Calibri"/>
                <w:i/>
                <w:sz w:val="20"/>
              </w:rPr>
              <w:t>might be amended</w:t>
            </w:r>
            <w:r w:rsidRPr="00F24723">
              <w:rPr>
                <w:rFonts w:eastAsia="Calibri"/>
                <w:sz w:val="20"/>
              </w:rPr>
              <w:t xml:space="preserve"> – Are the common issues proposed at certification the end of the matter, or did the Court of Appeal err in not considering that the scope and direction of the common issues trial could be altered depending on the answer and resolution to a common issue</w:t>
            </w:r>
          </w:p>
          <w:p w:rsidR="00310E27" w:rsidRPr="00F24723" w:rsidRDefault="00310E27" w:rsidP="00936316">
            <w:pPr>
              <w:jc w:val="both"/>
              <w:rPr>
                <w:rFonts w:eastAsia="Calibri"/>
                <w:smallCaps/>
                <w:sz w:val="20"/>
              </w:rPr>
            </w:pPr>
          </w:p>
          <w:p w:rsidR="00310E27" w:rsidRPr="00F24723" w:rsidRDefault="00310E27" w:rsidP="00936316">
            <w:pPr>
              <w:jc w:val="both"/>
              <w:rPr>
                <w:rFonts w:eastAsia="Calibri"/>
                <w:sz w:val="20"/>
              </w:rPr>
            </w:pPr>
            <w:r w:rsidRPr="00F24723">
              <w:rPr>
                <w:rFonts w:eastAsia="Calibri"/>
                <w:sz w:val="20"/>
              </w:rPr>
              <w:t>The applicants all purchased and/or took vacation holidays in Holguin, Cuba between late 2004 and early 2005 from one of the respondent travel companies.  In January 2005, the applicants served the respondents with a statement of claim in the Court of Queen’s Bench for Saskatchewan, seeking damages and alleging that the respondents failed to warn them that there were severe water shortages for weeks prior to the booked vacation holidays at various Holguin resorts, arguing that such water shortages prevented resort operators from providing basic services such as clean dishes, plumbing, and usable swimming pools.  In some cases, travellers were sent on very long and uncomfortable bus rides to alternative resorts outside Holguin.  In November 2008, the applicants moved to certify the proceeding as a class action.  The Court of Queen’s Bench for Saskatchewan dismissed the application for certification; this decision was then affirmed by the Court of Appeal for Saskatchewan.</w:t>
            </w:r>
          </w:p>
          <w:p w:rsidR="00310E27" w:rsidRPr="00F24723" w:rsidRDefault="00310E27" w:rsidP="00936316">
            <w:pPr>
              <w:jc w:val="both"/>
              <w:rPr>
                <w:rFonts w:eastAsia="Calibri"/>
                <w:sz w:val="20"/>
              </w:rPr>
            </w:pPr>
          </w:p>
        </w:tc>
      </w:tr>
      <w:tr w:rsidR="00310E27" w:rsidRPr="00F24723" w:rsidTr="00936316">
        <w:tc>
          <w:tcPr>
            <w:tcW w:w="2427" w:type="pct"/>
          </w:tcPr>
          <w:p w:rsidR="00310E27" w:rsidRPr="00F24723" w:rsidRDefault="00310E27" w:rsidP="00936316">
            <w:pPr>
              <w:jc w:val="both"/>
              <w:rPr>
                <w:rFonts w:eastAsia="Calibri"/>
                <w:sz w:val="20"/>
              </w:rPr>
            </w:pPr>
            <w:r w:rsidRPr="00F24723">
              <w:rPr>
                <w:rFonts w:eastAsia="Calibri"/>
                <w:sz w:val="20"/>
              </w:rPr>
              <w:t>March 12, 2010</w:t>
            </w:r>
          </w:p>
          <w:p w:rsidR="00310E27" w:rsidRPr="00F24723" w:rsidRDefault="00310E27" w:rsidP="00936316">
            <w:pPr>
              <w:jc w:val="both"/>
              <w:rPr>
                <w:rFonts w:eastAsia="Calibri"/>
                <w:sz w:val="20"/>
              </w:rPr>
            </w:pPr>
            <w:r w:rsidRPr="00F24723">
              <w:rPr>
                <w:rFonts w:eastAsia="Calibri"/>
                <w:sz w:val="20"/>
              </w:rPr>
              <w:t>Court of Queen’s Bench for Saskatchewan</w:t>
            </w:r>
          </w:p>
          <w:p w:rsidR="00310E27" w:rsidRPr="00F24723" w:rsidRDefault="00310E27" w:rsidP="00936316">
            <w:pPr>
              <w:jc w:val="both"/>
              <w:rPr>
                <w:rFonts w:eastAsia="Calibri"/>
                <w:sz w:val="20"/>
              </w:rPr>
            </w:pPr>
            <w:r w:rsidRPr="00F24723">
              <w:rPr>
                <w:rFonts w:eastAsia="Calibri"/>
                <w:sz w:val="20"/>
              </w:rPr>
              <w:t>(Keene J.)</w:t>
            </w:r>
          </w:p>
          <w:p w:rsidR="00310E27" w:rsidRPr="00F24723" w:rsidRDefault="00310E27" w:rsidP="00936316">
            <w:pPr>
              <w:jc w:val="both"/>
              <w:rPr>
                <w:rFonts w:eastAsia="Calibri"/>
                <w:sz w:val="20"/>
              </w:rPr>
            </w:pPr>
            <w:r w:rsidRPr="00F24723">
              <w:rPr>
                <w:rFonts w:eastAsia="Calibri"/>
                <w:sz w:val="20"/>
              </w:rPr>
              <w:t>2010 SKQB 104</w:t>
            </w:r>
          </w:p>
          <w:p w:rsidR="00310E27" w:rsidRPr="00F24723" w:rsidRDefault="00310E27" w:rsidP="00936316">
            <w:pPr>
              <w:jc w:val="both"/>
              <w:rPr>
                <w:rFonts w:eastAsia="Calibri"/>
                <w:sz w:val="20"/>
              </w:rPr>
            </w:pP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rPr>
            </w:pPr>
            <w:r w:rsidRPr="00F24723">
              <w:rPr>
                <w:rFonts w:eastAsia="Calibri"/>
                <w:sz w:val="20"/>
              </w:rPr>
              <w:t>Application for certification of class action, dismissed.</w:t>
            </w:r>
          </w:p>
          <w:p w:rsidR="00310E27" w:rsidRPr="00F24723" w:rsidRDefault="00310E27" w:rsidP="00936316">
            <w:pPr>
              <w:jc w:val="both"/>
              <w:rPr>
                <w:rFonts w:eastAsia="Calibri"/>
                <w:sz w:val="20"/>
              </w:rPr>
            </w:pPr>
          </w:p>
        </w:tc>
      </w:tr>
      <w:tr w:rsidR="00310E27" w:rsidRPr="00F24723" w:rsidTr="00E86FF0">
        <w:trPr>
          <w:cantSplit/>
        </w:trPr>
        <w:tc>
          <w:tcPr>
            <w:tcW w:w="2427" w:type="pct"/>
          </w:tcPr>
          <w:p w:rsidR="00310E27" w:rsidRPr="00F24723" w:rsidRDefault="00310E27" w:rsidP="00936316">
            <w:pPr>
              <w:jc w:val="both"/>
              <w:rPr>
                <w:rFonts w:eastAsia="Calibri"/>
                <w:sz w:val="20"/>
              </w:rPr>
            </w:pPr>
            <w:r w:rsidRPr="00F24723">
              <w:rPr>
                <w:rFonts w:eastAsia="Calibri"/>
                <w:sz w:val="20"/>
              </w:rPr>
              <w:lastRenderedPageBreak/>
              <w:t>October 18, 2011</w:t>
            </w:r>
          </w:p>
          <w:p w:rsidR="00310E27" w:rsidRPr="00F24723" w:rsidRDefault="00310E27" w:rsidP="00936316">
            <w:pPr>
              <w:jc w:val="both"/>
              <w:rPr>
                <w:rFonts w:eastAsia="Calibri"/>
                <w:sz w:val="20"/>
              </w:rPr>
            </w:pPr>
            <w:r w:rsidRPr="00F24723">
              <w:rPr>
                <w:rFonts w:eastAsia="Calibri"/>
                <w:sz w:val="20"/>
              </w:rPr>
              <w:t>Court of Appeal for Saskatchewan</w:t>
            </w:r>
          </w:p>
          <w:p w:rsidR="00310E27" w:rsidRPr="00F24723" w:rsidRDefault="00310E27" w:rsidP="00936316">
            <w:pPr>
              <w:jc w:val="both"/>
              <w:rPr>
                <w:rFonts w:eastAsia="Calibri"/>
                <w:sz w:val="20"/>
              </w:rPr>
            </w:pPr>
            <w:r w:rsidRPr="00F24723">
              <w:rPr>
                <w:rFonts w:eastAsia="Calibri"/>
                <w:sz w:val="20"/>
              </w:rPr>
              <w:t>(Vancise, Richards and Caldwell JJ.A.)</w:t>
            </w:r>
          </w:p>
          <w:p w:rsidR="00310E27" w:rsidRPr="00F24723" w:rsidRDefault="00310E27" w:rsidP="00936316">
            <w:pPr>
              <w:jc w:val="both"/>
              <w:rPr>
                <w:rFonts w:eastAsia="Calibri"/>
                <w:sz w:val="20"/>
              </w:rPr>
            </w:pPr>
            <w:r w:rsidRPr="00F24723">
              <w:rPr>
                <w:rFonts w:eastAsia="Calibri"/>
                <w:sz w:val="20"/>
              </w:rPr>
              <w:t>2011 SKCA 118</w:t>
            </w:r>
          </w:p>
          <w:p w:rsidR="00310E27" w:rsidRPr="00F24723" w:rsidRDefault="00310E27" w:rsidP="00936316">
            <w:pPr>
              <w:jc w:val="both"/>
              <w:rPr>
                <w:rFonts w:eastAsia="Calibri"/>
                <w:sz w:val="20"/>
              </w:rPr>
            </w:pPr>
            <w:r w:rsidRPr="00F24723">
              <w:rPr>
                <w:rFonts w:eastAsia="Calibri"/>
                <w:sz w:val="20"/>
              </w:rPr>
              <w:t>Docket:  1923</w:t>
            </w:r>
          </w:p>
          <w:p w:rsidR="00310E27" w:rsidRPr="00F24723" w:rsidRDefault="00310E27" w:rsidP="00936316">
            <w:pPr>
              <w:jc w:val="both"/>
              <w:rPr>
                <w:rFonts w:eastAsia="Calibri"/>
                <w:sz w:val="20"/>
              </w:rPr>
            </w:pP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rPr>
            </w:pPr>
            <w:r w:rsidRPr="00F24723">
              <w:rPr>
                <w:rFonts w:eastAsia="Calibri"/>
                <w:sz w:val="20"/>
              </w:rPr>
              <w:t>Appeal dismissed.</w:t>
            </w:r>
          </w:p>
          <w:p w:rsidR="00310E27" w:rsidRPr="00F24723" w:rsidRDefault="00310E27" w:rsidP="00936316">
            <w:pPr>
              <w:jc w:val="both"/>
              <w:rPr>
                <w:rFonts w:eastAsia="Calibri"/>
                <w:sz w:val="20"/>
              </w:rPr>
            </w:pPr>
          </w:p>
        </w:tc>
      </w:tr>
      <w:tr w:rsidR="00310E27" w:rsidRPr="00F24723" w:rsidTr="00E86FF0">
        <w:trPr>
          <w:cantSplit/>
        </w:trPr>
        <w:tc>
          <w:tcPr>
            <w:tcW w:w="2427" w:type="pct"/>
          </w:tcPr>
          <w:p w:rsidR="00310E27" w:rsidRPr="00F24723" w:rsidRDefault="00310E27" w:rsidP="00936316">
            <w:pPr>
              <w:jc w:val="both"/>
              <w:rPr>
                <w:rFonts w:eastAsia="Calibri"/>
                <w:sz w:val="20"/>
              </w:rPr>
            </w:pPr>
            <w:r w:rsidRPr="00F24723">
              <w:rPr>
                <w:rFonts w:eastAsia="Calibri"/>
                <w:sz w:val="20"/>
              </w:rPr>
              <w:t>December 19, 2011</w:t>
            </w:r>
          </w:p>
          <w:p w:rsidR="00310E27" w:rsidRPr="00F24723" w:rsidRDefault="00310E27" w:rsidP="00936316">
            <w:pPr>
              <w:jc w:val="both"/>
              <w:rPr>
                <w:rFonts w:eastAsia="Calibri"/>
                <w:sz w:val="20"/>
              </w:rPr>
            </w:pPr>
            <w:r w:rsidRPr="00F24723">
              <w:rPr>
                <w:rFonts w:eastAsia="Calibri"/>
                <w:sz w:val="20"/>
              </w:rPr>
              <w:t>Supreme Court of Canada</w:t>
            </w: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rPr>
            </w:pPr>
            <w:r w:rsidRPr="00F24723">
              <w:rPr>
                <w:rFonts w:eastAsia="Calibri"/>
                <w:sz w:val="20"/>
              </w:rPr>
              <w:t>Application for leave to appeal filed by the applicants Rosa Alves et al.</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82"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10E27" w:rsidRPr="00B36F35" w:rsidTr="00936316">
        <w:tc>
          <w:tcPr>
            <w:tcW w:w="5000" w:type="pct"/>
            <w:gridSpan w:val="3"/>
          </w:tcPr>
          <w:p w:rsidR="00310E27" w:rsidRPr="00F24723" w:rsidRDefault="00310E27" w:rsidP="00936316">
            <w:pPr>
              <w:jc w:val="both"/>
              <w:rPr>
                <w:rFonts w:eastAsia="Calibri"/>
                <w:sz w:val="20"/>
                <w:lang w:val="fr-FR"/>
              </w:rPr>
            </w:pPr>
            <w:r w:rsidRPr="00F24723">
              <w:rPr>
                <w:rFonts w:eastAsia="Calibri"/>
                <w:sz w:val="20"/>
                <w:lang w:val="fr-FR"/>
              </w:rPr>
              <w:t xml:space="preserve">Procédure civile – Recours collectifs – Autorisation – Actes de procédure – Refus des juridictions inférieures d’autoriser l’action comme recours collectif – En fonction de quelle norme les causes d’action sont-elles évaluées dans le cadre de l’audition d’une demande d’autorisation de recours collectif? – À l’étape de l’autorisation, la cour doit-elle examiner les actes de procédure </w:t>
            </w:r>
            <w:r w:rsidRPr="00F24723">
              <w:rPr>
                <w:rFonts w:eastAsia="Calibri"/>
                <w:i/>
                <w:sz w:val="20"/>
                <w:lang w:val="fr-FR"/>
              </w:rPr>
              <w:t>tels quels</w:t>
            </w:r>
            <w:r w:rsidRPr="00F24723">
              <w:rPr>
                <w:rFonts w:eastAsia="Calibri"/>
                <w:sz w:val="20"/>
                <w:lang w:val="fr-FR"/>
              </w:rPr>
              <w:t xml:space="preserve"> ou compte tenu </w:t>
            </w:r>
            <w:r w:rsidRPr="00F24723">
              <w:rPr>
                <w:rFonts w:eastAsia="Calibri"/>
                <w:i/>
                <w:sz w:val="20"/>
                <w:lang w:val="fr-FR"/>
              </w:rPr>
              <w:t>des modifications qui pourraient leur être apportées</w:t>
            </w:r>
            <w:r w:rsidRPr="00F24723">
              <w:rPr>
                <w:rFonts w:eastAsia="Calibri"/>
                <w:sz w:val="20"/>
                <w:lang w:val="fr-FR"/>
              </w:rPr>
              <w:t xml:space="preserve">? – L’examen des questions communes proposées à l’étape de l’autorisation clôt-il le débat, ou la Cour d’appel a-t-elle commis une erreur en ne considérant pas que la réponse à une question commune et le règlement de celle-ci pouvaient influer sur l’ampleur et l’orientation de l’instruction des autres questions communes? </w:t>
            </w:r>
          </w:p>
          <w:p w:rsidR="00310E27" w:rsidRPr="00F24723" w:rsidRDefault="00310E27" w:rsidP="00936316">
            <w:pPr>
              <w:jc w:val="both"/>
              <w:rPr>
                <w:rFonts w:eastAsia="Calibri"/>
                <w:smallCaps/>
                <w:sz w:val="20"/>
                <w:lang w:val="fr-FR"/>
              </w:rPr>
            </w:pPr>
          </w:p>
          <w:p w:rsidR="00310E27" w:rsidRPr="00F24723" w:rsidRDefault="00310E27" w:rsidP="00936316">
            <w:pPr>
              <w:jc w:val="both"/>
              <w:rPr>
                <w:rFonts w:eastAsia="Calibri"/>
                <w:sz w:val="20"/>
                <w:lang w:val="fr-FR"/>
              </w:rPr>
            </w:pPr>
            <w:r w:rsidRPr="00F24723">
              <w:rPr>
                <w:rFonts w:eastAsia="Calibri"/>
                <w:sz w:val="20"/>
                <w:lang w:val="fr-FR"/>
              </w:rPr>
              <w:t>Les demandeurs ont tous réservé ou pris des vacances à Holguin, à Cuba, à la fin de 2004 ou au début de 2005 auprès de l’une des compagnies de voyage intimées. En janvier 2005, les demandeurs ont signifié aux intimées une déclaration en Cour du Banc de la Reine de la Saskatchewan dans laquelle ils réclament des dommages-intérêts et prétendent que les intimées ne les ont pas prévenus qu’il y avait eu de graves pénuries d’eau pendant des semaines avant les vacances réservées à différents centres de villégiature d’Holguin. Selon eux, ces pénuries d’eau ont empêché les exploitants des centres de villégiature de fournir des services de base comme de la vaisselle propre, des travaux de plomberie et des piscines utilisables. Certains voyageurs ont dû faire un trajet en autobus très long et inconfortable pour se rendre à d’autres centres de villégiature, à l’extérieur d’Holguin. Les demandeurs ont sollicité en novembre 2008 l’autorisation de l’action comme recours collectif, demande qui a été rejetée par la Cour du Banc de la Reine de la Saskatchewan; la Cour d’appel de la Saskatchewan a confirmé par la suite cette décision.</w:t>
            </w:r>
          </w:p>
          <w:p w:rsidR="00310E27" w:rsidRPr="00F24723" w:rsidRDefault="00310E27" w:rsidP="00936316">
            <w:pPr>
              <w:jc w:val="both"/>
              <w:rPr>
                <w:rFonts w:eastAsia="Calibri"/>
                <w:sz w:val="20"/>
                <w:lang w:val="fr-FR"/>
              </w:rPr>
            </w:pPr>
          </w:p>
        </w:tc>
      </w:tr>
      <w:tr w:rsidR="00310E27" w:rsidRPr="00B36F35" w:rsidTr="00936316">
        <w:tc>
          <w:tcPr>
            <w:tcW w:w="2427" w:type="pct"/>
          </w:tcPr>
          <w:p w:rsidR="00310E27" w:rsidRPr="00F24723" w:rsidRDefault="00310E27" w:rsidP="00936316">
            <w:pPr>
              <w:jc w:val="both"/>
              <w:rPr>
                <w:rFonts w:eastAsia="Calibri"/>
                <w:sz w:val="20"/>
                <w:lang w:val="fr-FR"/>
              </w:rPr>
            </w:pPr>
            <w:r w:rsidRPr="00F24723">
              <w:rPr>
                <w:rFonts w:eastAsia="Calibri"/>
                <w:sz w:val="20"/>
                <w:lang w:val="fr-FR"/>
              </w:rPr>
              <w:t>12 mars 2010</w:t>
            </w:r>
          </w:p>
          <w:p w:rsidR="00310E27" w:rsidRPr="00F24723" w:rsidRDefault="00310E27" w:rsidP="00936316">
            <w:pPr>
              <w:jc w:val="both"/>
              <w:rPr>
                <w:rFonts w:eastAsia="Calibri"/>
                <w:sz w:val="20"/>
                <w:lang w:val="fr-FR"/>
              </w:rPr>
            </w:pPr>
            <w:r w:rsidRPr="00F24723">
              <w:rPr>
                <w:rFonts w:eastAsia="Calibri"/>
                <w:sz w:val="20"/>
                <w:lang w:val="fr-FR"/>
              </w:rPr>
              <w:t>Cour du Banc de la Reine de la Saskatchewan</w:t>
            </w:r>
          </w:p>
          <w:p w:rsidR="00310E27" w:rsidRPr="00F24723" w:rsidRDefault="00310E27" w:rsidP="00936316">
            <w:pPr>
              <w:jc w:val="both"/>
              <w:rPr>
                <w:rFonts w:eastAsia="Calibri"/>
                <w:sz w:val="20"/>
              </w:rPr>
            </w:pPr>
            <w:r w:rsidRPr="00F24723">
              <w:rPr>
                <w:rFonts w:eastAsia="Calibri"/>
                <w:sz w:val="20"/>
              </w:rPr>
              <w:t>(Juge Keene)</w:t>
            </w:r>
          </w:p>
          <w:p w:rsidR="00310E27" w:rsidRPr="00F24723" w:rsidRDefault="00310E27" w:rsidP="00936316">
            <w:pPr>
              <w:jc w:val="both"/>
              <w:rPr>
                <w:rFonts w:eastAsia="Calibri"/>
                <w:sz w:val="20"/>
              </w:rPr>
            </w:pPr>
            <w:r w:rsidRPr="00F24723">
              <w:rPr>
                <w:rFonts w:eastAsia="Calibri"/>
                <w:sz w:val="20"/>
              </w:rPr>
              <w:t>2010 SKQB 104</w:t>
            </w:r>
          </w:p>
          <w:p w:rsidR="00310E27" w:rsidRPr="00F24723" w:rsidRDefault="00310E27" w:rsidP="00936316">
            <w:pPr>
              <w:jc w:val="both"/>
              <w:rPr>
                <w:rFonts w:eastAsia="Calibri"/>
                <w:sz w:val="20"/>
              </w:rPr>
            </w:pP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lang w:val="fr-FR"/>
              </w:rPr>
            </w:pPr>
            <w:r w:rsidRPr="00F24723">
              <w:rPr>
                <w:rFonts w:eastAsia="Calibri"/>
                <w:sz w:val="20"/>
                <w:lang w:val="fr-FR"/>
              </w:rPr>
              <w:t>Demande d’autorisation de recours collectif rejetée.</w:t>
            </w:r>
          </w:p>
          <w:p w:rsidR="00310E27" w:rsidRPr="00F24723" w:rsidRDefault="00310E27" w:rsidP="00936316">
            <w:pPr>
              <w:jc w:val="both"/>
              <w:rPr>
                <w:rFonts w:eastAsia="Calibri"/>
                <w:sz w:val="20"/>
                <w:lang w:val="fr-FR"/>
              </w:rPr>
            </w:pPr>
          </w:p>
        </w:tc>
      </w:tr>
      <w:tr w:rsidR="00310E27" w:rsidRPr="00F24723" w:rsidTr="00936316">
        <w:tc>
          <w:tcPr>
            <w:tcW w:w="2427" w:type="pct"/>
          </w:tcPr>
          <w:p w:rsidR="00310E27" w:rsidRPr="00F24723" w:rsidRDefault="00310E27" w:rsidP="00936316">
            <w:pPr>
              <w:jc w:val="both"/>
              <w:rPr>
                <w:rFonts w:eastAsia="Calibri"/>
                <w:sz w:val="20"/>
                <w:lang w:val="fr-FR"/>
              </w:rPr>
            </w:pPr>
            <w:r w:rsidRPr="00F24723">
              <w:rPr>
                <w:rFonts w:eastAsia="Calibri"/>
                <w:sz w:val="20"/>
                <w:lang w:val="fr-FR"/>
              </w:rPr>
              <w:t>18 octobre 2011</w:t>
            </w:r>
          </w:p>
          <w:p w:rsidR="00310E27" w:rsidRPr="00F24723" w:rsidRDefault="00310E27" w:rsidP="00936316">
            <w:pPr>
              <w:jc w:val="both"/>
              <w:rPr>
                <w:rFonts w:eastAsia="Calibri"/>
                <w:sz w:val="20"/>
                <w:lang w:val="fr-FR"/>
              </w:rPr>
            </w:pPr>
            <w:r w:rsidRPr="00F24723">
              <w:rPr>
                <w:rFonts w:eastAsia="Calibri"/>
                <w:sz w:val="20"/>
                <w:lang w:val="fr-FR"/>
              </w:rPr>
              <w:t>Cour d’appel de la Saskatchewan</w:t>
            </w:r>
          </w:p>
          <w:p w:rsidR="00310E27" w:rsidRPr="00F24723" w:rsidRDefault="00310E27" w:rsidP="00936316">
            <w:pPr>
              <w:jc w:val="both"/>
              <w:rPr>
                <w:rFonts w:eastAsia="Calibri"/>
                <w:sz w:val="20"/>
                <w:lang w:val="fr-FR"/>
              </w:rPr>
            </w:pPr>
            <w:r w:rsidRPr="00F24723">
              <w:rPr>
                <w:rFonts w:eastAsia="Calibri"/>
                <w:sz w:val="20"/>
                <w:lang w:val="fr-FR"/>
              </w:rPr>
              <w:t>(Juges Vancise, Richards et Caldwell)</w:t>
            </w:r>
          </w:p>
          <w:p w:rsidR="00310E27" w:rsidRPr="00F24723" w:rsidRDefault="00310E27" w:rsidP="00936316">
            <w:pPr>
              <w:jc w:val="both"/>
              <w:rPr>
                <w:rFonts w:eastAsia="Calibri"/>
                <w:sz w:val="20"/>
              </w:rPr>
            </w:pPr>
            <w:r w:rsidRPr="00F24723">
              <w:rPr>
                <w:rFonts w:eastAsia="Calibri"/>
                <w:sz w:val="20"/>
              </w:rPr>
              <w:t>2011 SKCA 118</w:t>
            </w:r>
          </w:p>
          <w:p w:rsidR="00310E27" w:rsidRPr="00F24723" w:rsidRDefault="00310E27" w:rsidP="00936316">
            <w:pPr>
              <w:jc w:val="both"/>
              <w:rPr>
                <w:rFonts w:eastAsia="Calibri"/>
                <w:sz w:val="20"/>
              </w:rPr>
            </w:pPr>
            <w:r w:rsidRPr="00F24723">
              <w:rPr>
                <w:rFonts w:eastAsia="Calibri"/>
                <w:sz w:val="20"/>
              </w:rPr>
              <w:t>Dossier :  1923</w:t>
            </w:r>
          </w:p>
          <w:p w:rsidR="00310E27" w:rsidRPr="00F24723" w:rsidRDefault="00310E27" w:rsidP="00936316">
            <w:pPr>
              <w:jc w:val="both"/>
              <w:rPr>
                <w:rFonts w:eastAsia="Calibri"/>
                <w:sz w:val="20"/>
              </w:rPr>
            </w:pPr>
          </w:p>
        </w:tc>
        <w:tc>
          <w:tcPr>
            <w:tcW w:w="243" w:type="pct"/>
          </w:tcPr>
          <w:p w:rsidR="00310E27" w:rsidRPr="00F24723" w:rsidRDefault="00310E27" w:rsidP="00936316">
            <w:pPr>
              <w:jc w:val="both"/>
              <w:rPr>
                <w:rFonts w:eastAsia="Calibri"/>
                <w:sz w:val="20"/>
              </w:rPr>
            </w:pPr>
          </w:p>
        </w:tc>
        <w:tc>
          <w:tcPr>
            <w:tcW w:w="2330" w:type="pct"/>
          </w:tcPr>
          <w:p w:rsidR="00310E27" w:rsidRPr="00F24723" w:rsidRDefault="00310E27" w:rsidP="00936316">
            <w:pPr>
              <w:jc w:val="both"/>
              <w:rPr>
                <w:rFonts w:eastAsia="Calibri"/>
                <w:sz w:val="20"/>
              </w:rPr>
            </w:pPr>
            <w:r w:rsidRPr="00F24723">
              <w:rPr>
                <w:rFonts w:eastAsia="Calibri"/>
                <w:sz w:val="20"/>
              </w:rPr>
              <w:t>Appel rejeté.</w:t>
            </w:r>
          </w:p>
          <w:p w:rsidR="00310E27" w:rsidRPr="00F24723" w:rsidRDefault="00310E27" w:rsidP="00936316">
            <w:pPr>
              <w:jc w:val="both"/>
              <w:rPr>
                <w:rFonts w:eastAsia="Calibri"/>
                <w:sz w:val="20"/>
              </w:rPr>
            </w:pPr>
          </w:p>
        </w:tc>
      </w:tr>
      <w:tr w:rsidR="00310E27" w:rsidRPr="00B36F35" w:rsidTr="00936316">
        <w:tc>
          <w:tcPr>
            <w:tcW w:w="2427" w:type="pct"/>
          </w:tcPr>
          <w:p w:rsidR="00310E27" w:rsidRPr="00310E27" w:rsidRDefault="00310E27" w:rsidP="00936316">
            <w:pPr>
              <w:jc w:val="both"/>
              <w:rPr>
                <w:rFonts w:eastAsia="Calibri"/>
                <w:sz w:val="20"/>
                <w:lang w:val="fr-CA"/>
              </w:rPr>
            </w:pPr>
            <w:r w:rsidRPr="00310E27">
              <w:rPr>
                <w:rFonts w:eastAsia="Calibri"/>
                <w:sz w:val="20"/>
                <w:lang w:val="fr-CA"/>
              </w:rPr>
              <w:t>19 décembre 2011</w:t>
            </w:r>
          </w:p>
          <w:p w:rsidR="00310E27" w:rsidRPr="00310E27" w:rsidRDefault="00310E27" w:rsidP="00936316">
            <w:pPr>
              <w:jc w:val="both"/>
              <w:rPr>
                <w:rFonts w:eastAsia="Calibri"/>
                <w:sz w:val="20"/>
                <w:lang w:val="fr-CA"/>
              </w:rPr>
            </w:pPr>
            <w:r w:rsidRPr="00310E27">
              <w:rPr>
                <w:rFonts w:eastAsia="Calibri"/>
                <w:sz w:val="20"/>
                <w:lang w:val="fr-CA"/>
              </w:rPr>
              <w:t>Cour suprême du Canada</w:t>
            </w:r>
          </w:p>
        </w:tc>
        <w:tc>
          <w:tcPr>
            <w:tcW w:w="243" w:type="pct"/>
          </w:tcPr>
          <w:p w:rsidR="00310E27" w:rsidRPr="00310E27" w:rsidRDefault="00310E27" w:rsidP="00936316">
            <w:pPr>
              <w:jc w:val="both"/>
              <w:rPr>
                <w:rFonts w:eastAsia="Calibri"/>
                <w:sz w:val="20"/>
                <w:lang w:val="fr-CA"/>
              </w:rPr>
            </w:pPr>
          </w:p>
        </w:tc>
        <w:tc>
          <w:tcPr>
            <w:tcW w:w="2330" w:type="pct"/>
          </w:tcPr>
          <w:p w:rsidR="00310E27" w:rsidRPr="00F24723" w:rsidRDefault="00310E27" w:rsidP="00936316">
            <w:pPr>
              <w:jc w:val="both"/>
              <w:rPr>
                <w:rFonts w:eastAsia="Calibri"/>
                <w:sz w:val="20"/>
                <w:lang w:val="fr-FR"/>
              </w:rPr>
            </w:pPr>
            <w:r w:rsidRPr="00F24723">
              <w:rPr>
                <w:rFonts w:eastAsia="Calibri"/>
                <w:sz w:val="20"/>
                <w:lang w:val="fr-FR"/>
              </w:rPr>
              <w:t>Demande d’autorisation d’appel déposée par les demandeurs Rosa Alves et autres.</w:t>
            </w:r>
          </w:p>
        </w:tc>
      </w:tr>
    </w:tbl>
    <w:p w:rsidR="001823C0" w:rsidRPr="00310E27"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83" style="width:2in;height:1pt" o:hrpct="0" o:hralign="center" o:hrstd="t" o:hrnoshade="t" o:hr="t" fillcolor="black [3213]" stroked="f"/>
        </w:pict>
      </w:r>
    </w:p>
    <w:p w:rsidR="001823C0" w:rsidRDefault="001823C0" w:rsidP="001823C0">
      <w:pPr>
        <w:rPr>
          <w:sz w:val="20"/>
          <w:szCs w:val="20"/>
        </w:rPr>
      </w:pPr>
    </w:p>
    <w:p w:rsidR="00E86FF0" w:rsidRDefault="00E86FF0">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6FF0" w:rsidRPr="00A00637" w:rsidTr="00E86FF0">
        <w:trPr>
          <w:cantSplit/>
        </w:trPr>
        <w:tc>
          <w:tcPr>
            <w:tcW w:w="1458" w:type="dxa"/>
          </w:tcPr>
          <w:p w:rsidR="00E86FF0" w:rsidRPr="00A00637" w:rsidRDefault="00E86FF0" w:rsidP="00E86FF0">
            <w:pPr>
              <w:rPr>
                <w:sz w:val="20"/>
                <w:szCs w:val="20"/>
              </w:rPr>
            </w:pPr>
            <w:r w:rsidRPr="00A00637">
              <w:rPr>
                <w:rStyle w:val="SCCFileNumberChar"/>
                <w:sz w:val="20"/>
                <w:szCs w:val="20"/>
              </w:rPr>
              <w:lastRenderedPageBreak/>
              <w:t>34601</w:t>
            </w:r>
          </w:p>
          <w:p w:rsidR="00E86FF0" w:rsidRPr="00A00637" w:rsidRDefault="00E86FF0" w:rsidP="00E86FF0">
            <w:pPr>
              <w:rPr>
                <w:b/>
                <w:sz w:val="20"/>
                <w:szCs w:val="20"/>
                <w:lang w:val="fr-CA"/>
              </w:rPr>
            </w:pPr>
          </w:p>
        </w:tc>
        <w:tc>
          <w:tcPr>
            <w:tcW w:w="8118" w:type="dxa"/>
          </w:tcPr>
          <w:p w:rsidR="00E86FF0" w:rsidRPr="00A00637" w:rsidRDefault="00E86FF0" w:rsidP="00E86FF0">
            <w:pPr>
              <w:jc w:val="both"/>
              <w:rPr>
                <w:sz w:val="20"/>
                <w:szCs w:val="20"/>
              </w:rPr>
            </w:pPr>
            <w:r w:rsidRPr="00A00637">
              <w:rPr>
                <w:rStyle w:val="SCCLsocChar"/>
                <w:sz w:val="20"/>
                <w:szCs w:val="20"/>
              </w:rPr>
              <w:t>Peter Michalakopoulos v. Professional Liability Insurance Fund of the Barreau du Québec</w:t>
            </w:r>
            <w:r w:rsidRPr="00A00637">
              <w:rPr>
                <w:sz w:val="20"/>
                <w:szCs w:val="20"/>
              </w:rPr>
              <w:t xml:space="preserve"> (Que.) (Civil) (By Leave)</w:t>
            </w:r>
          </w:p>
          <w:p w:rsidR="00E86FF0" w:rsidRPr="00A00637" w:rsidRDefault="00E86FF0" w:rsidP="00E86FF0">
            <w:pPr>
              <w:rPr>
                <w:sz w:val="20"/>
                <w:szCs w:val="20"/>
              </w:rPr>
            </w:pPr>
          </w:p>
        </w:tc>
      </w:tr>
      <w:tr w:rsidR="00E86FF0" w:rsidRPr="00A00637" w:rsidTr="00E86FF0">
        <w:trPr>
          <w:cantSplit/>
        </w:trPr>
        <w:tc>
          <w:tcPr>
            <w:tcW w:w="1458" w:type="dxa"/>
          </w:tcPr>
          <w:p w:rsidR="00E86FF0" w:rsidRPr="00A00637" w:rsidRDefault="00E86FF0" w:rsidP="00E86FF0">
            <w:pPr>
              <w:rPr>
                <w:sz w:val="20"/>
                <w:szCs w:val="20"/>
              </w:rPr>
            </w:pPr>
            <w:r w:rsidRPr="00A00637">
              <w:rPr>
                <w:sz w:val="20"/>
                <w:szCs w:val="20"/>
              </w:rPr>
              <w:t>Coram :</w:t>
            </w:r>
          </w:p>
        </w:tc>
        <w:tc>
          <w:tcPr>
            <w:tcW w:w="8118" w:type="dxa"/>
          </w:tcPr>
          <w:p w:rsidR="00E86FF0" w:rsidRPr="00A00637" w:rsidRDefault="00E86FF0" w:rsidP="00E86FF0">
            <w:pPr>
              <w:rPr>
                <w:sz w:val="20"/>
                <w:szCs w:val="20"/>
              </w:rPr>
            </w:pPr>
            <w:r w:rsidRPr="00E86FF0">
              <w:rPr>
                <w:rStyle w:val="SCCCoramChar"/>
                <w:sz w:val="20"/>
                <w:szCs w:val="20"/>
                <w:lang w:val="en-CA"/>
              </w:rPr>
              <w:t>Deschamps, Fish and Karakatsanis JJ.</w:t>
            </w:r>
          </w:p>
          <w:p w:rsidR="00E86FF0" w:rsidRPr="00A00637" w:rsidRDefault="00E86FF0" w:rsidP="00E86FF0">
            <w:pPr>
              <w:rPr>
                <w:sz w:val="20"/>
                <w:szCs w:val="20"/>
                <w:u w:val="single"/>
              </w:rPr>
            </w:pPr>
          </w:p>
        </w:tc>
      </w:tr>
      <w:tr w:rsidR="00E86FF0" w:rsidRPr="00B36F35" w:rsidTr="00E86FF0">
        <w:trPr>
          <w:cantSplit/>
        </w:trPr>
        <w:tc>
          <w:tcPr>
            <w:tcW w:w="9576" w:type="dxa"/>
            <w:gridSpan w:val="2"/>
          </w:tcPr>
          <w:p w:rsidR="00E86FF0" w:rsidRDefault="00E86FF0" w:rsidP="00E86FF0">
            <w:pPr>
              <w:pStyle w:val="SCCShortJudgment"/>
              <w:rPr>
                <w:szCs w:val="20"/>
              </w:rPr>
            </w:pPr>
            <w:r w:rsidRPr="00A00637">
              <w:rPr>
                <w:szCs w:val="20"/>
              </w:rPr>
              <w:t>The application for leave to appeal from the judgment of the Court of Appeal of Quebec (Montréal), Number 500-09-0</w:t>
            </w:r>
            <w:r w:rsidR="00612A6D">
              <w:rPr>
                <w:szCs w:val="20"/>
              </w:rPr>
              <w:t>2</w:t>
            </w:r>
            <w:r w:rsidRPr="00A00637">
              <w:rPr>
                <w:szCs w:val="20"/>
              </w:rPr>
              <w:t>19</w:t>
            </w:r>
            <w:r w:rsidR="00612A6D">
              <w:rPr>
                <w:szCs w:val="20"/>
              </w:rPr>
              <w:t>00</w:t>
            </w:r>
            <w:r w:rsidRPr="00A00637">
              <w:rPr>
                <w:szCs w:val="20"/>
              </w:rPr>
              <w:t>-</w:t>
            </w:r>
            <w:r w:rsidR="00612A6D">
              <w:rPr>
                <w:szCs w:val="20"/>
              </w:rPr>
              <w:t>113</w:t>
            </w:r>
            <w:r w:rsidRPr="00A00637">
              <w:rPr>
                <w:szCs w:val="20"/>
              </w:rPr>
              <w:t xml:space="preserve">, 2011 QCCA </w:t>
            </w:r>
            <w:r w:rsidR="00612A6D">
              <w:rPr>
                <w:szCs w:val="20"/>
              </w:rPr>
              <w:t>2079</w:t>
            </w:r>
            <w:r w:rsidRPr="00A00637">
              <w:rPr>
                <w:szCs w:val="20"/>
              </w:rPr>
              <w:t xml:space="preserve">, dated </w:t>
            </w:r>
            <w:r w:rsidR="00612A6D">
              <w:rPr>
                <w:szCs w:val="20"/>
              </w:rPr>
              <w:t>Novem</w:t>
            </w:r>
            <w:r w:rsidRPr="00A00637">
              <w:rPr>
                <w:szCs w:val="20"/>
              </w:rPr>
              <w:t xml:space="preserve">ber </w:t>
            </w:r>
            <w:r w:rsidR="00612A6D">
              <w:rPr>
                <w:szCs w:val="20"/>
              </w:rPr>
              <w:t>8</w:t>
            </w:r>
            <w:r w:rsidRPr="00A00637">
              <w:rPr>
                <w:szCs w:val="20"/>
              </w:rPr>
              <w:t>, 2011, is dismissed with</w:t>
            </w:r>
            <w:r w:rsidR="005B1BB8">
              <w:rPr>
                <w:szCs w:val="20"/>
              </w:rPr>
              <w:t>out</w:t>
            </w:r>
            <w:r w:rsidRPr="00A00637">
              <w:rPr>
                <w:szCs w:val="20"/>
              </w:rPr>
              <w:t xml:space="preserve"> costs.</w:t>
            </w:r>
          </w:p>
          <w:p w:rsidR="004141A0" w:rsidRDefault="004141A0" w:rsidP="004141A0">
            <w:pPr>
              <w:pStyle w:val="SCCShortJudgment"/>
              <w:ind w:firstLine="0"/>
              <w:rPr>
                <w:szCs w:val="20"/>
              </w:rPr>
            </w:pPr>
          </w:p>
          <w:p w:rsidR="004141A0" w:rsidRPr="004141A0" w:rsidRDefault="004141A0" w:rsidP="00586EAC">
            <w:pPr>
              <w:pStyle w:val="SCCShortJudgment"/>
              <w:rPr>
                <w:szCs w:val="20"/>
                <w:lang w:val="fr-CA"/>
              </w:rPr>
            </w:pPr>
            <w:r w:rsidRPr="00A00637">
              <w:rPr>
                <w:szCs w:val="20"/>
                <w:lang w:val="fr-CA"/>
              </w:rPr>
              <w:t>La demande d’autorisation d’appel de l’arrêt de la Cour d’appel du Québec (Montréal), numéro 500-09-0</w:t>
            </w:r>
            <w:r w:rsidR="00612A6D">
              <w:rPr>
                <w:szCs w:val="20"/>
                <w:lang w:val="fr-CA"/>
              </w:rPr>
              <w:t>2</w:t>
            </w:r>
            <w:r w:rsidRPr="00A00637">
              <w:rPr>
                <w:szCs w:val="20"/>
                <w:lang w:val="fr-CA"/>
              </w:rPr>
              <w:t>19</w:t>
            </w:r>
            <w:r w:rsidR="00612A6D">
              <w:rPr>
                <w:szCs w:val="20"/>
                <w:lang w:val="fr-CA"/>
              </w:rPr>
              <w:t>00</w:t>
            </w:r>
            <w:r w:rsidRPr="00A00637">
              <w:rPr>
                <w:szCs w:val="20"/>
                <w:lang w:val="fr-CA"/>
              </w:rPr>
              <w:t>-1</w:t>
            </w:r>
            <w:r w:rsidR="00612A6D">
              <w:rPr>
                <w:szCs w:val="20"/>
                <w:lang w:val="fr-CA"/>
              </w:rPr>
              <w:t>13</w:t>
            </w:r>
            <w:r w:rsidRPr="00A00637">
              <w:rPr>
                <w:szCs w:val="20"/>
                <w:lang w:val="fr-CA"/>
              </w:rPr>
              <w:t xml:space="preserve">, 2011 QCCA </w:t>
            </w:r>
            <w:r w:rsidR="00586EAC">
              <w:rPr>
                <w:szCs w:val="20"/>
                <w:lang w:val="fr-CA"/>
              </w:rPr>
              <w:t>20</w:t>
            </w:r>
            <w:r w:rsidRPr="00A00637">
              <w:rPr>
                <w:szCs w:val="20"/>
                <w:lang w:val="fr-CA"/>
              </w:rPr>
              <w:t>7</w:t>
            </w:r>
            <w:r w:rsidR="00586EAC">
              <w:rPr>
                <w:szCs w:val="20"/>
                <w:lang w:val="fr-CA"/>
              </w:rPr>
              <w:t>9</w:t>
            </w:r>
            <w:r w:rsidRPr="00A00637">
              <w:rPr>
                <w:szCs w:val="20"/>
                <w:lang w:val="fr-CA"/>
              </w:rPr>
              <w:t xml:space="preserve">, daté du </w:t>
            </w:r>
            <w:r w:rsidR="00612A6D">
              <w:rPr>
                <w:szCs w:val="20"/>
                <w:lang w:val="fr-CA"/>
              </w:rPr>
              <w:t>8 novem</w:t>
            </w:r>
            <w:r w:rsidRPr="00A00637">
              <w:rPr>
                <w:szCs w:val="20"/>
                <w:lang w:val="fr-CA"/>
              </w:rPr>
              <w:t xml:space="preserve">bre 2011, est rejetée </w:t>
            </w:r>
            <w:r w:rsidR="005B1BB8">
              <w:rPr>
                <w:szCs w:val="20"/>
                <w:lang w:val="fr-CA"/>
              </w:rPr>
              <w:t>s</w:t>
            </w:r>
            <w:r w:rsidRPr="00A00637">
              <w:rPr>
                <w:szCs w:val="20"/>
                <w:lang w:val="fr-CA"/>
              </w:rPr>
              <w:t>a</w:t>
            </w:r>
            <w:r w:rsidR="005B1BB8">
              <w:rPr>
                <w:szCs w:val="20"/>
                <w:lang w:val="fr-CA"/>
              </w:rPr>
              <w:t>ns</w:t>
            </w:r>
            <w:r w:rsidRPr="00A00637">
              <w:rPr>
                <w:szCs w:val="20"/>
                <w:lang w:val="fr-CA"/>
              </w:rPr>
              <w:t xml:space="preserve"> dépens.</w:t>
            </w:r>
          </w:p>
        </w:tc>
      </w:tr>
    </w:tbl>
    <w:p w:rsidR="001823C0" w:rsidRPr="004141A0"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3B78" w:rsidRPr="00F24723" w:rsidTr="00936316">
        <w:tc>
          <w:tcPr>
            <w:tcW w:w="5000" w:type="pct"/>
            <w:gridSpan w:val="3"/>
          </w:tcPr>
          <w:p w:rsidR="005F3B78" w:rsidRPr="00F24723" w:rsidRDefault="005F3B78" w:rsidP="00936316">
            <w:pPr>
              <w:jc w:val="both"/>
              <w:rPr>
                <w:rFonts w:eastAsia="Calibri"/>
                <w:sz w:val="20"/>
              </w:rPr>
            </w:pPr>
            <w:r w:rsidRPr="00F24723">
              <w:rPr>
                <w:rFonts w:eastAsia="Calibri"/>
                <w:sz w:val="20"/>
              </w:rPr>
              <w:t xml:space="preserve">Civil procedure — Preliminary exceptions — Improper use of procedure — </w:t>
            </w:r>
            <w:r w:rsidRPr="00F24723">
              <w:rPr>
                <w:rFonts w:eastAsia="Calibri"/>
                <w:i/>
                <w:sz w:val="20"/>
              </w:rPr>
              <w:t>Res judicata</w:t>
            </w:r>
            <w:r w:rsidRPr="00F24723">
              <w:rPr>
                <w:rFonts w:eastAsia="Calibri"/>
                <w:sz w:val="20"/>
              </w:rPr>
              <w:t xml:space="preserve"> — Whether courts below could find that there was </w:t>
            </w:r>
            <w:r w:rsidRPr="00F24723">
              <w:rPr>
                <w:rFonts w:eastAsia="Calibri"/>
                <w:i/>
                <w:sz w:val="20"/>
              </w:rPr>
              <w:t>res judicata</w:t>
            </w:r>
            <w:r w:rsidRPr="00F24723">
              <w:rPr>
                <w:rFonts w:eastAsia="Calibri"/>
                <w:sz w:val="20"/>
              </w:rPr>
              <w:t xml:space="preserve"> in this case —</w:t>
            </w:r>
            <w:r w:rsidRPr="00F24723">
              <w:rPr>
                <w:rFonts w:eastAsia="Calibri"/>
                <w:i/>
                <w:sz w:val="20"/>
              </w:rPr>
              <w:t xml:space="preserve"> </w:t>
            </w:r>
            <w:r w:rsidRPr="00F24723">
              <w:rPr>
                <w:rFonts w:eastAsia="Calibri"/>
                <w:sz w:val="20"/>
              </w:rPr>
              <w:t>Whether courts below could find proceedings improper or clearly unfounded in this case — Whether there was reasonable apprehension of bias in this case —</w:t>
            </w:r>
            <w:r w:rsidRPr="00F24723">
              <w:rPr>
                <w:rFonts w:eastAsia="Calibri"/>
                <w:i/>
                <w:sz w:val="20"/>
              </w:rPr>
              <w:t xml:space="preserve"> </w:t>
            </w:r>
            <w:r w:rsidRPr="00F24723">
              <w:rPr>
                <w:rFonts w:eastAsia="Calibri"/>
                <w:sz w:val="20"/>
              </w:rPr>
              <w:t>Whether Court of Appeal should have granted leave to appeal —</w:t>
            </w:r>
            <w:r w:rsidRPr="00F24723">
              <w:rPr>
                <w:rFonts w:eastAsia="Calibri"/>
                <w:i/>
                <w:sz w:val="20"/>
              </w:rPr>
              <w:t xml:space="preserve"> </w:t>
            </w:r>
            <w:r w:rsidRPr="00F24723">
              <w:rPr>
                <w:rFonts w:eastAsia="Calibri"/>
                <w:i/>
                <w:color w:val="000000"/>
                <w:sz w:val="20"/>
              </w:rPr>
              <w:t>Code of Civil Procedure</w:t>
            </w:r>
            <w:r w:rsidRPr="00F24723">
              <w:rPr>
                <w:rFonts w:eastAsia="Calibri"/>
                <w:color w:val="000000"/>
                <w:sz w:val="20"/>
              </w:rPr>
              <w:t>, R.S.Q., c. C</w:t>
            </w:r>
            <w:r w:rsidRPr="00F24723">
              <w:rPr>
                <w:rFonts w:eastAsia="Calibri"/>
                <w:color w:val="000000"/>
                <w:sz w:val="20"/>
              </w:rPr>
              <w:noBreakHyphen/>
              <w:t>25, arts. 54.1 and 54.2.</w:t>
            </w:r>
          </w:p>
        </w:tc>
      </w:tr>
      <w:tr w:rsidR="005F3B78" w:rsidRPr="00F24723" w:rsidTr="00936316">
        <w:tc>
          <w:tcPr>
            <w:tcW w:w="5000" w:type="pct"/>
            <w:gridSpan w:val="3"/>
          </w:tcPr>
          <w:p w:rsidR="005F3B78" w:rsidRPr="00F24723" w:rsidRDefault="005F3B78" w:rsidP="00936316">
            <w:pPr>
              <w:jc w:val="both"/>
              <w:rPr>
                <w:rFonts w:eastAsia="Calibri"/>
                <w:sz w:val="20"/>
              </w:rPr>
            </w:pPr>
          </w:p>
        </w:tc>
      </w:tr>
      <w:tr w:rsidR="005F3B78" w:rsidRPr="00F24723" w:rsidTr="00936316">
        <w:tc>
          <w:tcPr>
            <w:tcW w:w="5000" w:type="pct"/>
            <w:gridSpan w:val="3"/>
          </w:tcPr>
          <w:p w:rsidR="005F3B78" w:rsidRPr="00F24723" w:rsidRDefault="005F3B78" w:rsidP="00936316">
            <w:pPr>
              <w:jc w:val="both"/>
              <w:rPr>
                <w:rFonts w:eastAsia="Calibri"/>
                <w:sz w:val="20"/>
              </w:rPr>
            </w:pPr>
            <w:r w:rsidRPr="00F24723">
              <w:rPr>
                <w:rFonts w:eastAsia="Calibri"/>
                <w:sz w:val="20"/>
              </w:rPr>
              <w:t xml:space="preserve">In 2004, Mr. Michalakopoulos and the respondent Fund were ordered to pay $47,343.98 to the Lawyers Title Insurance Corporation and its attorneys (“Lawyers Title”).  The Fund did not appeal the decision.  In 2007, Mr. Michalakopoulos brought a first action against the Fund and Lawyers Title claiming $99,999 in damages.  He alleged that Lawyers Title had instituted improper proceedings and claimed excessive amounts from him.  He criticized the Fund for not defending him or appealing the 2004 judgment.  In 2009, Masse J. of the Superior Court allowed motions to dismiss the action under art. 54.1 </w:t>
            </w:r>
            <w:r w:rsidRPr="00F24723">
              <w:rPr>
                <w:rFonts w:eastAsia="Calibri"/>
                <w:i/>
                <w:sz w:val="20"/>
              </w:rPr>
              <w:t xml:space="preserve">C.C.P. </w:t>
            </w:r>
            <w:r w:rsidRPr="00F24723">
              <w:rPr>
                <w:rFonts w:eastAsia="Calibri"/>
                <w:sz w:val="20"/>
              </w:rPr>
              <w:t>(improper use of procedure) and dismissed Mr. Michalakopoulos’ action.  The Court of Appeal dismissed the appeal and the Supreme Court of Canada refused leave to appeal (No. 33662).</w:t>
            </w:r>
          </w:p>
          <w:p w:rsidR="005F3B78" w:rsidRPr="00F24723" w:rsidRDefault="005F3B78" w:rsidP="00936316">
            <w:pPr>
              <w:jc w:val="both"/>
              <w:rPr>
                <w:rFonts w:eastAsia="Calibri"/>
                <w:sz w:val="20"/>
              </w:rPr>
            </w:pPr>
          </w:p>
          <w:p w:rsidR="005F3B78" w:rsidRPr="00F24723" w:rsidRDefault="005F3B78" w:rsidP="00936316">
            <w:pPr>
              <w:jc w:val="both"/>
              <w:rPr>
                <w:rFonts w:eastAsia="Calibri"/>
                <w:sz w:val="20"/>
              </w:rPr>
            </w:pPr>
            <w:r w:rsidRPr="00F24723">
              <w:rPr>
                <w:rFonts w:eastAsia="Calibri"/>
                <w:sz w:val="20"/>
              </w:rPr>
              <w:t xml:space="preserve">In 2010, Mr. Michalakopoulos brought a new action against the Fund in the Superior Court.  At the same time, he sued Lawyers Title and three new defendants in the Court of Québec.  In the Superior Court, the Fund filed a motion to dismiss the action, arguing that there was </w:t>
            </w:r>
            <w:r w:rsidRPr="00F24723">
              <w:rPr>
                <w:rFonts w:eastAsia="Calibri"/>
                <w:i/>
                <w:sz w:val="20"/>
              </w:rPr>
              <w:t>res judicata</w:t>
            </w:r>
            <w:r w:rsidRPr="00F24723">
              <w:rPr>
                <w:rFonts w:eastAsia="Calibri"/>
                <w:sz w:val="20"/>
              </w:rPr>
              <w:t xml:space="preserve"> as a result of the 2009 judgment rendered by Masse J., that the action was improper within the meaning of art. 54.1 </w:t>
            </w:r>
            <w:r w:rsidRPr="00F24723">
              <w:rPr>
                <w:rFonts w:eastAsia="Calibri"/>
                <w:i/>
                <w:sz w:val="20"/>
              </w:rPr>
              <w:t>C.C.P.</w:t>
            </w:r>
            <w:r w:rsidRPr="00F24723">
              <w:rPr>
                <w:rFonts w:eastAsia="Calibri"/>
                <w:sz w:val="20"/>
              </w:rPr>
              <w:t xml:space="preserve"> and that the action was prescribed.  Fournier J. of the Superior Court allowed the motion and dismissed the action.  The Court of Appeal dismissed the motion for leave to appeal.</w:t>
            </w: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July 14, 2011</w:t>
            </w:r>
          </w:p>
          <w:p w:rsidR="005F3B78" w:rsidRPr="00F24723" w:rsidRDefault="005F3B78" w:rsidP="00936316">
            <w:pPr>
              <w:jc w:val="both"/>
              <w:rPr>
                <w:rFonts w:eastAsia="Calibri"/>
                <w:sz w:val="20"/>
              </w:rPr>
            </w:pPr>
            <w:r w:rsidRPr="00F24723">
              <w:rPr>
                <w:rFonts w:eastAsia="Calibri"/>
                <w:sz w:val="20"/>
              </w:rPr>
              <w:t>Quebec Superior Court</w:t>
            </w:r>
          </w:p>
          <w:p w:rsidR="005F3B78" w:rsidRPr="00F24723" w:rsidRDefault="005F3B78" w:rsidP="00936316">
            <w:pPr>
              <w:jc w:val="both"/>
              <w:rPr>
                <w:rFonts w:eastAsia="Calibri"/>
                <w:sz w:val="20"/>
              </w:rPr>
            </w:pPr>
            <w:r w:rsidRPr="00F24723">
              <w:rPr>
                <w:rFonts w:eastAsia="Calibri"/>
                <w:sz w:val="20"/>
              </w:rPr>
              <w:t>(Fournier J.)</w:t>
            </w:r>
          </w:p>
          <w:p w:rsidR="005F3B78" w:rsidRPr="00F24723" w:rsidRDefault="005F3B78" w:rsidP="00936316">
            <w:pPr>
              <w:rPr>
                <w:bCs/>
                <w:color w:val="000000"/>
                <w:sz w:val="20"/>
                <w:lang w:eastAsia="en-CA"/>
              </w:rPr>
            </w:pPr>
            <w:r w:rsidRPr="00F24723">
              <w:rPr>
                <w:bCs/>
                <w:color w:val="000000"/>
                <w:sz w:val="20"/>
                <w:lang w:eastAsia="en-CA"/>
              </w:rPr>
              <w:t>2011 QCCS 6007</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Respondent’s motion to dismiss action allowed; applicant’s motion to institute proceedings dismissed</w:t>
            </w: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November 8, 2011</w:t>
            </w:r>
          </w:p>
          <w:p w:rsidR="005F3B78" w:rsidRPr="00F24723" w:rsidRDefault="005F3B78" w:rsidP="00936316">
            <w:pPr>
              <w:jc w:val="both"/>
              <w:rPr>
                <w:rFonts w:eastAsia="Calibri"/>
                <w:sz w:val="20"/>
              </w:rPr>
            </w:pPr>
            <w:r w:rsidRPr="00F24723">
              <w:rPr>
                <w:rFonts w:eastAsia="Calibri"/>
                <w:sz w:val="20"/>
              </w:rPr>
              <w:t>Quebec Court of Appeal (Montréal)</w:t>
            </w:r>
          </w:p>
          <w:p w:rsidR="005F3B78" w:rsidRPr="00F24723" w:rsidRDefault="005F3B78" w:rsidP="00936316">
            <w:pPr>
              <w:jc w:val="both"/>
              <w:rPr>
                <w:rFonts w:eastAsia="Calibri"/>
                <w:sz w:val="20"/>
              </w:rPr>
            </w:pPr>
            <w:r w:rsidRPr="00F24723">
              <w:rPr>
                <w:rFonts w:eastAsia="Calibri"/>
                <w:sz w:val="20"/>
              </w:rPr>
              <w:t>(Forget, Rochon and Fournier JJ.A.)</w:t>
            </w:r>
          </w:p>
          <w:p w:rsidR="005F3B78" w:rsidRPr="00F24723" w:rsidRDefault="005F3B78" w:rsidP="00936316">
            <w:pPr>
              <w:jc w:val="both"/>
              <w:rPr>
                <w:rFonts w:eastAsia="Calibri"/>
                <w:color w:val="000000"/>
                <w:sz w:val="20"/>
              </w:rPr>
            </w:pPr>
            <w:r w:rsidRPr="00F24723">
              <w:rPr>
                <w:rFonts w:eastAsia="Calibri"/>
                <w:color w:val="000000"/>
                <w:sz w:val="20"/>
              </w:rPr>
              <w:t>2011 QCCA 2079</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 xml:space="preserve">Respondent’s motion to dismiss appeal allowed; motion for leave to appeal dismissed </w:t>
            </w: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January 6, 2012</w:t>
            </w:r>
          </w:p>
          <w:p w:rsidR="005F3B78" w:rsidRPr="00F24723" w:rsidRDefault="005F3B78" w:rsidP="00936316">
            <w:pPr>
              <w:jc w:val="both"/>
              <w:rPr>
                <w:rFonts w:eastAsia="Calibri"/>
                <w:sz w:val="20"/>
              </w:rPr>
            </w:pPr>
            <w:r w:rsidRPr="00F24723">
              <w:rPr>
                <w:rFonts w:eastAsia="Calibri"/>
                <w:sz w:val="20"/>
              </w:rPr>
              <w:t>Supreme Court of Canada</w:t>
            </w: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Application for leave to appeal filed</w:t>
            </w:r>
          </w:p>
          <w:p w:rsidR="005F3B78" w:rsidRPr="00F24723" w:rsidRDefault="005F3B78"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84" style="width:2in;height:1pt" o:hrpct="0" o:hralign="center" o:hrstd="t" o:hrnoshade="t" o:hr="t" fillcolor="black [3213]" stroked="f"/>
        </w:pict>
      </w:r>
    </w:p>
    <w:p w:rsidR="001823C0" w:rsidRDefault="001823C0" w:rsidP="001823C0">
      <w:pPr>
        <w:rPr>
          <w:sz w:val="20"/>
          <w:szCs w:val="20"/>
        </w:rPr>
      </w:pPr>
    </w:p>
    <w:p w:rsidR="00586EAC" w:rsidRDefault="00586EAC">
      <w:pPr>
        <w:rPr>
          <w:sz w:val="20"/>
          <w:szCs w:val="20"/>
          <w:u w:val="single"/>
          <w:lang w:val="fr-CA"/>
        </w:rPr>
      </w:pPr>
      <w:r>
        <w:rPr>
          <w:sz w:val="20"/>
          <w:szCs w:val="20"/>
          <w:u w:val="single"/>
          <w:lang w:val="fr-CA"/>
        </w:rPr>
        <w:br w:type="page"/>
      </w:r>
    </w:p>
    <w:p w:rsidR="001823C0" w:rsidRPr="001B157C" w:rsidRDefault="001823C0" w:rsidP="001823C0">
      <w:pPr>
        <w:rPr>
          <w:sz w:val="20"/>
          <w:szCs w:val="20"/>
          <w:u w:val="single"/>
          <w:lang w:val="fr-CA"/>
        </w:rPr>
      </w:pPr>
      <w:r w:rsidRPr="001B157C">
        <w:rPr>
          <w:sz w:val="20"/>
          <w:szCs w:val="20"/>
          <w:u w:val="single"/>
          <w:lang w:val="fr-CA"/>
        </w:rPr>
        <w:lastRenderedPageBreak/>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3B78" w:rsidRPr="00F24723" w:rsidTr="00936316">
        <w:tc>
          <w:tcPr>
            <w:tcW w:w="5000" w:type="pct"/>
            <w:gridSpan w:val="3"/>
          </w:tcPr>
          <w:p w:rsidR="005F3B78" w:rsidRPr="00F24723" w:rsidRDefault="005F3B78" w:rsidP="00936316">
            <w:pPr>
              <w:jc w:val="both"/>
              <w:rPr>
                <w:rFonts w:eastAsia="Calibri"/>
                <w:sz w:val="20"/>
                <w:lang w:val="fr-CA"/>
              </w:rPr>
            </w:pPr>
            <w:r w:rsidRPr="00F24723">
              <w:rPr>
                <w:rFonts w:eastAsia="Calibri"/>
                <w:sz w:val="20"/>
                <w:lang w:val="fr-CA"/>
              </w:rPr>
              <w:t xml:space="preserve">Procédure civile </w:t>
            </w:r>
            <w:r w:rsidRPr="00F24723">
              <w:rPr>
                <w:rFonts w:eastAsia="Calibri"/>
                <w:sz w:val="20"/>
                <w:lang w:val="fr-FR"/>
              </w:rPr>
              <w:t>—</w:t>
            </w:r>
            <w:r w:rsidRPr="00F24723">
              <w:rPr>
                <w:rFonts w:eastAsia="Calibri"/>
                <w:i/>
                <w:sz w:val="20"/>
                <w:lang w:val="fr-CA"/>
              </w:rPr>
              <w:t xml:space="preserve"> </w:t>
            </w:r>
            <w:r w:rsidRPr="00F24723">
              <w:rPr>
                <w:rFonts w:eastAsia="Calibri"/>
                <w:sz w:val="20"/>
                <w:lang w:val="fr-CA"/>
              </w:rPr>
              <w:t xml:space="preserve">Moyens préliminaires </w:t>
            </w:r>
            <w:r w:rsidRPr="00F24723">
              <w:rPr>
                <w:rFonts w:eastAsia="Calibri"/>
                <w:sz w:val="20"/>
                <w:lang w:val="fr-FR"/>
              </w:rPr>
              <w:t>— Abus de procédures</w:t>
            </w:r>
            <w:r w:rsidRPr="00F24723">
              <w:rPr>
                <w:rFonts w:eastAsia="Calibri"/>
                <w:sz w:val="20"/>
                <w:lang w:val="fr-CA"/>
              </w:rPr>
              <w:t xml:space="preserve"> </w:t>
            </w:r>
            <w:r w:rsidRPr="00F24723">
              <w:rPr>
                <w:rFonts w:eastAsia="Calibri"/>
                <w:sz w:val="20"/>
                <w:lang w:val="fr-FR"/>
              </w:rPr>
              <w:t>—</w:t>
            </w:r>
            <w:r w:rsidRPr="00F24723">
              <w:rPr>
                <w:rFonts w:eastAsia="Calibri"/>
                <w:i/>
                <w:sz w:val="20"/>
                <w:lang w:val="fr-CA"/>
              </w:rPr>
              <w:t xml:space="preserve"> </w:t>
            </w:r>
            <w:r w:rsidRPr="00F24723">
              <w:rPr>
                <w:rFonts w:eastAsia="Calibri"/>
                <w:sz w:val="20"/>
                <w:lang w:val="fr-CA"/>
              </w:rPr>
              <w:t xml:space="preserve">Chose jugée </w:t>
            </w:r>
            <w:r w:rsidRPr="00F24723">
              <w:rPr>
                <w:rFonts w:eastAsia="Calibri"/>
                <w:sz w:val="20"/>
                <w:lang w:val="fr-FR"/>
              </w:rPr>
              <w:t>—</w:t>
            </w:r>
            <w:r w:rsidRPr="00F24723">
              <w:rPr>
                <w:rFonts w:eastAsia="Calibri"/>
                <w:i/>
                <w:sz w:val="20"/>
                <w:lang w:val="fr-CA"/>
              </w:rPr>
              <w:t xml:space="preserve"> </w:t>
            </w:r>
            <w:r w:rsidRPr="00F24723">
              <w:rPr>
                <w:rFonts w:eastAsia="Calibri"/>
                <w:sz w:val="20"/>
                <w:lang w:val="fr-CA"/>
              </w:rPr>
              <w:t>Les tribunaux inférieurs pouvaient</w:t>
            </w:r>
            <w:r w:rsidRPr="00F24723">
              <w:rPr>
                <w:rFonts w:eastAsia="Calibri"/>
                <w:sz w:val="20"/>
                <w:lang w:val="fr-CA"/>
              </w:rPr>
              <w:noBreakHyphen/>
              <w:t xml:space="preserve">ils conclure à l’existence de la chose jugée en l’espèce? </w:t>
            </w:r>
            <w:r w:rsidRPr="00F24723">
              <w:rPr>
                <w:rFonts w:eastAsia="Calibri"/>
                <w:sz w:val="20"/>
                <w:lang w:val="fr-FR"/>
              </w:rPr>
              <w:t>—</w:t>
            </w:r>
            <w:r w:rsidRPr="00F24723">
              <w:rPr>
                <w:rFonts w:eastAsia="Calibri"/>
                <w:i/>
                <w:sz w:val="20"/>
                <w:lang w:val="fr-CA"/>
              </w:rPr>
              <w:t xml:space="preserve"> </w:t>
            </w:r>
            <w:r w:rsidRPr="00F24723">
              <w:rPr>
                <w:rFonts w:eastAsia="Calibri"/>
                <w:sz w:val="20"/>
                <w:lang w:val="fr-CA"/>
              </w:rPr>
              <w:t>Pouvaient</w:t>
            </w:r>
            <w:r w:rsidRPr="00F24723">
              <w:rPr>
                <w:rFonts w:eastAsia="Calibri"/>
                <w:sz w:val="20"/>
                <w:lang w:val="fr-CA"/>
              </w:rPr>
              <w:noBreakHyphen/>
              <w:t>ils conclure au caractère abusif ou manifestement mal fondé des procédures en l’espèce? Y avait</w:t>
            </w:r>
            <w:r w:rsidRPr="00F24723">
              <w:rPr>
                <w:rFonts w:eastAsia="Calibri"/>
                <w:sz w:val="20"/>
                <w:lang w:val="fr-CA"/>
              </w:rPr>
              <w:noBreakHyphen/>
              <w:t xml:space="preserve">il apparence raisonnable de partialité en l’espèce? </w:t>
            </w:r>
            <w:r w:rsidRPr="00F24723">
              <w:rPr>
                <w:rFonts w:eastAsia="Calibri"/>
                <w:sz w:val="20"/>
                <w:lang w:val="fr-FR"/>
              </w:rPr>
              <w:t>—</w:t>
            </w:r>
            <w:r w:rsidRPr="00F24723">
              <w:rPr>
                <w:rFonts w:eastAsia="Calibri"/>
                <w:i/>
                <w:sz w:val="20"/>
                <w:lang w:val="fr-CA"/>
              </w:rPr>
              <w:t xml:space="preserve"> </w:t>
            </w:r>
            <w:r w:rsidRPr="00F24723">
              <w:rPr>
                <w:rFonts w:eastAsia="Calibri"/>
                <w:sz w:val="20"/>
                <w:lang w:val="fr-CA"/>
              </w:rPr>
              <w:t>La Cour d’appel aurait</w:t>
            </w:r>
            <w:r w:rsidRPr="00F24723">
              <w:rPr>
                <w:rFonts w:eastAsia="Calibri"/>
                <w:sz w:val="20"/>
                <w:lang w:val="fr-CA"/>
              </w:rPr>
              <w:noBreakHyphen/>
              <w:t xml:space="preserve">elle dû accorder la permission d’appel? </w:t>
            </w:r>
            <w:r w:rsidRPr="00F24723">
              <w:rPr>
                <w:rFonts w:eastAsia="Calibri"/>
                <w:sz w:val="20"/>
                <w:lang w:val="fr-FR"/>
              </w:rPr>
              <w:t>—</w:t>
            </w:r>
            <w:r w:rsidRPr="00F24723">
              <w:rPr>
                <w:rFonts w:eastAsia="Calibri"/>
                <w:i/>
                <w:sz w:val="20"/>
                <w:lang w:val="fr-CA"/>
              </w:rPr>
              <w:t xml:space="preserve"> </w:t>
            </w:r>
            <w:r w:rsidRPr="00F24723">
              <w:rPr>
                <w:rFonts w:eastAsia="Calibri"/>
                <w:i/>
                <w:color w:val="000000"/>
                <w:sz w:val="20"/>
                <w:lang w:val="fr-FR"/>
              </w:rPr>
              <w:t>Code de procédure civile</w:t>
            </w:r>
            <w:r w:rsidRPr="00F24723">
              <w:rPr>
                <w:rFonts w:eastAsia="Calibri"/>
                <w:color w:val="000000"/>
                <w:sz w:val="20"/>
                <w:lang w:val="fr-FR"/>
              </w:rPr>
              <w:t>, L.R.Q., ch. C</w:t>
            </w:r>
            <w:r w:rsidRPr="00F24723">
              <w:rPr>
                <w:rFonts w:eastAsia="Calibri"/>
                <w:color w:val="000000"/>
                <w:sz w:val="20"/>
                <w:lang w:val="fr-FR"/>
              </w:rPr>
              <w:noBreakHyphen/>
              <w:t>25, art. 54.1 et 54.2.</w:t>
            </w:r>
          </w:p>
        </w:tc>
      </w:tr>
      <w:tr w:rsidR="005F3B78" w:rsidRPr="00F24723" w:rsidTr="00936316">
        <w:tc>
          <w:tcPr>
            <w:tcW w:w="5000" w:type="pct"/>
            <w:gridSpan w:val="3"/>
          </w:tcPr>
          <w:p w:rsidR="005F3B78" w:rsidRPr="00F24723" w:rsidRDefault="005F3B78" w:rsidP="00936316">
            <w:pPr>
              <w:jc w:val="both"/>
              <w:rPr>
                <w:rFonts w:eastAsia="Calibri"/>
                <w:sz w:val="20"/>
                <w:lang w:val="fr-CA"/>
              </w:rPr>
            </w:pPr>
          </w:p>
        </w:tc>
      </w:tr>
      <w:tr w:rsidR="005F3B78" w:rsidRPr="00F24723" w:rsidTr="00936316">
        <w:tc>
          <w:tcPr>
            <w:tcW w:w="5000" w:type="pct"/>
            <w:gridSpan w:val="3"/>
          </w:tcPr>
          <w:p w:rsidR="005F3B78" w:rsidRPr="00F24723" w:rsidRDefault="005F3B78" w:rsidP="00936316">
            <w:pPr>
              <w:jc w:val="both"/>
              <w:rPr>
                <w:rFonts w:eastAsia="Calibri"/>
                <w:sz w:val="20"/>
                <w:lang w:val="fr-CA"/>
              </w:rPr>
            </w:pPr>
            <w:r w:rsidRPr="00F24723">
              <w:rPr>
                <w:rFonts w:eastAsia="Calibri"/>
                <w:sz w:val="20"/>
                <w:lang w:val="fr-CA"/>
              </w:rPr>
              <w:t>En 2004, M. Michalakopoulos et le Fonds intimé sont condamnés à payer 47 343,98$ à Lawyers Title Insurance Corporation et ses avocats (« Lawyers Title »). Le Fonds ne porte pas la décision en appel. En 2007, M. Michalakopoulos intente un premier recours contre le Fonds et Lawyers Title dans lequel il leur réclame des dommages</w:t>
            </w:r>
            <w:r w:rsidRPr="00F24723">
              <w:rPr>
                <w:rFonts w:eastAsia="Calibri"/>
                <w:sz w:val="20"/>
                <w:lang w:val="fr-CA"/>
              </w:rPr>
              <w:noBreakHyphen/>
              <w:t xml:space="preserve">intérêts de 99,999 $. Il reproche à Lawyers Title d’avoir intenté des procédures abusives et de lui avoir réclamé des sommes exagérées. Quant au Fonds, il lui reproche de ne pas avoir défendu sa défense et de ne pas avoir porté en appel le jugement de 2004. En 2009, la juge Masse de la Cour supérieure accueille des requêtes en rejet d’action fondées sur l’art. 54.1 </w:t>
            </w:r>
            <w:r w:rsidRPr="00F24723">
              <w:rPr>
                <w:rFonts w:eastAsia="Calibri"/>
                <w:i/>
                <w:sz w:val="20"/>
                <w:lang w:val="fr-CA"/>
              </w:rPr>
              <w:t xml:space="preserve">C.p.c. </w:t>
            </w:r>
            <w:r w:rsidRPr="00F24723">
              <w:rPr>
                <w:rFonts w:eastAsia="Calibri"/>
                <w:sz w:val="20"/>
                <w:lang w:val="fr-CA"/>
              </w:rPr>
              <w:t>(abus de procédures) et rejette l’action de M. Michalakopoulos. La Cour d’appel rejette l’appel et la Cour suprême du Canada refuse la permission d’appel (n</w:t>
            </w:r>
            <w:r w:rsidRPr="00F24723">
              <w:rPr>
                <w:rFonts w:eastAsia="Calibri"/>
                <w:sz w:val="20"/>
                <w:vertAlign w:val="superscript"/>
                <w:lang w:val="fr-CA"/>
              </w:rPr>
              <w:t>o</w:t>
            </w:r>
            <w:r w:rsidRPr="00F24723">
              <w:rPr>
                <w:rFonts w:eastAsia="Calibri"/>
                <w:sz w:val="20"/>
                <w:lang w:val="fr-CA"/>
              </w:rPr>
              <w:t xml:space="preserve"> 33662).</w:t>
            </w:r>
          </w:p>
          <w:p w:rsidR="005F3B78" w:rsidRPr="00F24723" w:rsidRDefault="005F3B78" w:rsidP="00936316">
            <w:pPr>
              <w:jc w:val="both"/>
              <w:rPr>
                <w:rFonts w:eastAsia="Calibri"/>
                <w:sz w:val="20"/>
                <w:lang w:val="fr-CA"/>
              </w:rPr>
            </w:pPr>
          </w:p>
          <w:p w:rsidR="005F3B78" w:rsidRPr="00F24723" w:rsidRDefault="005F3B78" w:rsidP="00936316">
            <w:pPr>
              <w:jc w:val="both"/>
              <w:rPr>
                <w:rFonts w:eastAsia="Calibri"/>
                <w:sz w:val="20"/>
                <w:lang w:val="fr-CA"/>
              </w:rPr>
            </w:pPr>
            <w:r w:rsidRPr="00F24723">
              <w:rPr>
                <w:rFonts w:eastAsia="Calibri"/>
                <w:sz w:val="20"/>
                <w:lang w:val="fr-CA"/>
              </w:rPr>
              <w:t xml:space="preserve">En 2010, M. Michalakopoulos intente devant la Cour supérieure un nouveau recours contre le Fonds. Parallèllement, il poursuit Lawyers Title et trois nouveaux défendeurs devant la Cour du Québec. Devant la Cour supérieure, le Fonds dépose une requête pour rejet d’action dans laquelle il invoque qu’il y a chose jugée vu le jugement de 2009 rendu par la juge Masse, que le recours est abusif au sens de l’art. 54.1 </w:t>
            </w:r>
            <w:r w:rsidRPr="00F24723">
              <w:rPr>
                <w:rFonts w:eastAsia="Calibri"/>
                <w:i/>
                <w:sz w:val="20"/>
                <w:lang w:val="fr-CA"/>
              </w:rPr>
              <w:t>C.p.c.</w:t>
            </w:r>
            <w:r w:rsidRPr="00F24723">
              <w:rPr>
                <w:rFonts w:eastAsia="Calibri"/>
                <w:sz w:val="20"/>
                <w:lang w:val="fr-CA"/>
              </w:rPr>
              <w:t xml:space="preserve"> et que le recours est prescrit. La juge Fournier de la Cour supérieure accueille la requête et rejette l’action. La Cour d’appel rejette la requête pour permission d’appeler. </w:t>
            </w:r>
          </w:p>
          <w:p w:rsidR="005F3B78" w:rsidRPr="00F24723" w:rsidRDefault="005F3B78" w:rsidP="00936316">
            <w:pPr>
              <w:jc w:val="both"/>
              <w:rPr>
                <w:rFonts w:eastAsia="Calibri"/>
                <w:sz w:val="20"/>
                <w:lang w:val="fr-CA"/>
              </w:rPr>
            </w:pPr>
          </w:p>
        </w:tc>
      </w:tr>
      <w:tr w:rsidR="005F3B78" w:rsidRPr="00B36F35" w:rsidTr="00936316">
        <w:tc>
          <w:tcPr>
            <w:tcW w:w="2427" w:type="pct"/>
          </w:tcPr>
          <w:p w:rsidR="005F3B78" w:rsidRPr="00F24723" w:rsidRDefault="005F3B78" w:rsidP="00936316">
            <w:pPr>
              <w:jc w:val="both"/>
              <w:rPr>
                <w:rFonts w:eastAsia="Calibri"/>
                <w:sz w:val="20"/>
                <w:lang w:val="fr-CA"/>
              </w:rPr>
            </w:pPr>
            <w:r w:rsidRPr="00F24723">
              <w:rPr>
                <w:rFonts w:eastAsia="Calibri"/>
                <w:sz w:val="20"/>
                <w:lang w:val="fr-CA"/>
              </w:rPr>
              <w:t>Le 14 juillet 2011</w:t>
            </w:r>
          </w:p>
          <w:p w:rsidR="005F3B78" w:rsidRPr="00F24723" w:rsidRDefault="005F3B78" w:rsidP="00936316">
            <w:pPr>
              <w:jc w:val="both"/>
              <w:rPr>
                <w:rFonts w:eastAsia="Calibri"/>
                <w:sz w:val="20"/>
                <w:lang w:val="fr-CA"/>
              </w:rPr>
            </w:pPr>
            <w:r w:rsidRPr="00F24723">
              <w:rPr>
                <w:rFonts w:eastAsia="Calibri"/>
                <w:sz w:val="20"/>
                <w:lang w:val="fr-CA"/>
              </w:rPr>
              <w:t>Cour supérieure du Québec</w:t>
            </w:r>
          </w:p>
          <w:p w:rsidR="005F3B78" w:rsidRPr="00F24723" w:rsidRDefault="005F3B78" w:rsidP="00936316">
            <w:pPr>
              <w:jc w:val="both"/>
              <w:rPr>
                <w:rFonts w:eastAsia="Calibri"/>
                <w:sz w:val="20"/>
                <w:lang w:val="fr-CA"/>
              </w:rPr>
            </w:pPr>
            <w:r w:rsidRPr="00F24723">
              <w:rPr>
                <w:rFonts w:eastAsia="Calibri"/>
                <w:sz w:val="20"/>
                <w:lang w:val="fr-CA"/>
              </w:rPr>
              <w:t>(La juge Fournier)</w:t>
            </w:r>
          </w:p>
          <w:p w:rsidR="005F3B78" w:rsidRPr="00F24723" w:rsidRDefault="005F3B78" w:rsidP="00936316">
            <w:pPr>
              <w:rPr>
                <w:bCs/>
                <w:color w:val="000000"/>
                <w:sz w:val="20"/>
                <w:lang w:val="fr-CA" w:eastAsia="en-CA"/>
              </w:rPr>
            </w:pPr>
            <w:r w:rsidRPr="00F24723">
              <w:rPr>
                <w:bCs/>
                <w:color w:val="000000"/>
                <w:sz w:val="20"/>
                <w:lang w:val="fr-CA" w:eastAsia="en-CA"/>
              </w:rPr>
              <w:t>2011 QCCS 6007</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Requête de l’intimé en rejet d’action accueillie; requête introductive d’instance du demandeur rejetée</w:t>
            </w:r>
          </w:p>
          <w:p w:rsidR="005F3B78" w:rsidRPr="00F24723" w:rsidRDefault="005F3B78" w:rsidP="00936316">
            <w:pPr>
              <w:jc w:val="both"/>
              <w:rPr>
                <w:rFonts w:eastAsia="Calibri"/>
                <w:sz w:val="20"/>
                <w:lang w:val="fr-CA"/>
              </w:rPr>
            </w:pPr>
          </w:p>
        </w:tc>
      </w:tr>
      <w:tr w:rsidR="005F3B78" w:rsidRPr="00B36F35" w:rsidTr="00936316">
        <w:tc>
          <w:tcPr>
            <w:tcW w:w="2427" w:type="pct"/>
          </w:tcPr>
          <w:p w:rsidR="005F3B78" w:rsidRPr="00F24723" w:rsidRDefault="005F3B78" w:rsidP="00936316">
            <w:pPr>
              <w:jc w:val="both"/>
              <w:rPr>
                <w:rFonts w:eastAsia="Calibri"/>
                <w:sz w:val="20"/>
                <w:lang w:val="fr-CA"/>
              </w:rPr>
            </w:pPr>
            <w:r w:rsidRPr="00F24723">
              <w:rPr>
                <w:rFonts w:eastAsia="Calibri"/>
                <w:sz w:val="20"/>
                <w:lang w:val="fr-CA"/>
              </w:rPr>
              <w:t>Le 8 novembre 2011</w:t>
            </w:r>
          </w:p>
          <w:p w:rsidR="005F3B78" w:rsidRPr="00F24723" w:rsidRDefault="005F3B78" w:rsidP="00936316">
            <w:pPr>
              <w:jc w:val="both"/>
              <w:rPr>
                <w:rFonts w:eastAsia="Calibri"/>
                <w:sz w:val="20"/>
                <w:lang w:val="fr-CA"/>
              </w:rPr>
            </w:pPr>
            <w:r w:rsidRPr="00F24723">
              <w:rPr>
                <w:rFonts w:eastAsia="Calibri"/>
                <w:sz w:val="20"/>
                <w:lang w:val="fr-CA"/>
              </w:rPr>
              <w:t>Cour d’appel du Québec (Montréal)</w:t>
            </w:r>
          </w:p>
          <w:p w:rsidR="005F3B78" w:rsidRPr="00F24723" w:rsidRDefault="005F3B78" w:rsidP="00936316">
            <w:pPr>
              <w:jc w:val="both"/>
              <w:rPr>
                <w:rFonts w:eastAsia="Calibri"/>
                <w:sz w:val="20"/>
                <w:lang w:val="fr-CA"/>
              </w:rPr>
            </w:pPr>
            <w:r w:rsidRPr="00F24723">
              <w:rPr>
                <w:rFonts w:eastAsia="Calibri"/>
                <w:sz w:val="20"/>
                <w:lang w:val="fr-CA"/>
              </w:rPr>
              <w:t>(Les juges Forget, Rochon et Fournier)</w:t>
            </w:r>
          </w:p>
          <w:p w:rsidR="005F3B78" w:rsidRPr="00F24723" w:rsidRDefault="005F3B78" w:rsidP="00936316">
            <w:pPr>
              <w:jc w:val="both"/>
              <w:rPr>
                <w:rFonts w:eastAsia="Calibri"/>
                <w:color w:val="000000"/>
                <w:sz w:val="20"/>
                <w:lang w:val="fr-FR"/>
              </w:rPr>
            </w:pPr>
            <w:r w:rsidRPr="00F24723">
              <w:rPr>
                <w:rFonts w:eastAsia="Calibri"/>
                <w:color w:val="000000"/>
                <w:sz w:val="20"/>
                <w:lang w:val="fr-FR"/>
              </w:rPr>
              <w:t>2011 QCCA 2079</w:t>
            </w: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 xml:space="preserve">Requête de l’intimé en rejet d’appel accueillie; requête pour permission d’appeler rejetée </w:t>
            </w:r>
          </w:p>
        </w:tc>
      </w:tr>
      <w:tr w:rsidR="005F3B78" w:rsidRPr="00F24723" w:rsidTr="00936316">
        <w:tc>
          <w:tcPr>
            <w:tcW w:w="2427" w:type="pct"/>
          </w:tcPr>
          <w:p w:rsidR="005F3B78" w:rsidRPr="00F24723" w:rsidRDefault="005F3B78" w:rsidP="00936316">
            <w:pPr>
              <w:jc w:val="both"/>
              <w:rPr>
                <w:rFonts w:eastAsia="Calibri"/>
                <w:sz w:val="20"/>
                <w:lang w:val="fr-CA"/>
              </w:rPr>
            </w:pPr>
            <w:r w:rsidRPr="00F24723">
              <w:rPr>
                <w:rFonts w:eastAsia="Calibri"/>
                <w:sz w:val="20"/>
                <w:lang w:val="fr-CA"/>
              </w:rPr>
              <w:t>Le 6 janvier 2012</w:t>
            </w:r>
          </w:p>
          <w:p w:rsidR="005F3B78" w:rsidRPr="00F24723" w:rsidRDefault="005F3B78" w:rsidP="00936316">
            <w:pPr>
              <w:jc w:val="both"/>
              <w:rPr>
                <w:rFonts w:eastAsia="Calibri"/>
                <w:sz w:val="20"/>
                <w:lang w:val="fr-CA"/>
              </w:rPr>
            </w:pPr>
            <w:r w:rsidRPr="00F24723">
              <w:rPr>
                <w:rFonts w:eastAsia="Calibri"/>
                <w:sz w:val="20"/>
                <w:lang w:val="fr-CA"/>
              </w:rPr>
              <w:t>Cour suprême du Canada</w:t>
            </w: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Demande d'autorisation d'appel déposée</w:t>
            </w:r>
          </w:p>
          <w:p w:rsidR="005F3B78" w:rsidRPr="00F24723" w:rsidRDefault="005F3B78" w:rsidP="00936316">
            <w:pPr>
              <w:jc w:val="both"/>
              <w:rPr>
                <w:rFonts w:eastAsia="Calibri"/>
                <w:sz w:val="20"/>
                <w:lang w:val="fr-CA"/>
              </w:rPr>
            </w:pPr>
          </w:p>
        </w:tc>
      </w:tr>
    </w:tbl>
    <w:p w:rsidR="001823C0" w:rsidRDefault="001823C0" w:rsidP="001823C0">
      <w:pPr>
        <w:rPr>
          <w:sz w:val="20"/>
          <w:szCs w:val="20"/>
        </w:rPr>
      </w:pPr>
    </w:p>
    <w:p w:rsidR="001823C0" w:rsidRDefault="009134DA" w:rsidP="001823C0">
      <w:pPr>
        <w:rPr>
          <w:sz w:val="20"/>
          <w:szCs w:val="20"/>
        </w:rPr>
      </w:pPr>
      <w:r w:rsidRPr="009134DA">
        <w:rPr>
          <w:sz w:val="20"/>
          <w:szCs w:val="20"/>
          <w:lang w:val="fr-CA"/>
        </w:rPr>
        <w:pict>
          <v:rect id="_x0000_i1085"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6FF0" w:rsidRPr="00A00637" w:rsidTr="00E86FF0">
        <w:trPr>
          <w:cantSplit/>
        </w:trPr>
        <w:tc>
          <w:tcPr>
            <w:tcW w:w="1458" w:type="dxa"/>
          </w:tcPr>
          <w:p w:rsidR="00E86FF0" w:rsidRPr="00A00637" w:rsidRDefault="00E86FF0" w:rsidP="00E86FF0">
            <w:pPr>
              <w:rPr>
                <w:sz w:val="20"/>
                <w:szCs w:val="20"/>
              </w:rPr>
            </w:pPr>
            <w:r w:rsidRPr="00A00637">
              <w:rPr>
                <w:rStyle w:val="SCCFileNumberChar"/>
                <w:sz w:val="20"/>
                <w:szCs w:val="20"/>
              </w:rPr>
              <w:t>34622</w:t>
            </w:r>
          </w:p>
          <w:p w:rsidR="00E86FF0" w:rsidRPr="00A00637" w:rsidRDefault="00E86FF0" w:rsidP="00E86FF0">
            <w:pPr>
              <w:rPr>
                <w:b/>
                <w:sz w:val="20"/>
                <w:szCs w:val="20"/>
                <w:lang w:val="fr-CA"/>
              </w:rPr>
            </w:pPr>
          </w:p>
        </w:tc>
        <w:tc>
          <w:tcPr>
            <w:tcW w:w="8118" w:type="dxa"/>
          </w:tcPr>
          <w:p w:rsidR="00E86FF0" w:rsidRPr="00A00637" w:rsidRDefault="00E86FF0" w:rsidP="00E86FF0">
            <w:pPr>
              <w:rPr>
                <w:sz w:val="20"/>
                <w:szCs w:val="20"/>
              </w:rPr>
            </w:pPr>
            <w:r w:rsidRPr="00E86FF0">
              <w:rPr>
                <w:rStyle w:val="SCCLsocChar"/>
                <w:sz w:val="20"/>
                <w:szCs w:val="20"/>
                <w:lang w:val="en-CA"/>
              </w:rPr>
              <w:t>Erhun Candir v. Her Majesty the Queen</w:t>
            </w:r>
            <w:r w:rsidRPr="00A00637">
              <w:rPr>
                <w:sz w:val="20"/>
                <w:szCs w:val="20"/>
              </w:rPr>
              <w:t xml:space="preserve"> (Ont.) (Criminal) (By Leave)</w:t>
            </w:r>
          </w:p>
          <w:p w:rsidR="00E86FF0" w:rsidRPr="00A00637" w:rsidRDefault="00E86FF0" w:rsidP="00E86FF0">
            <w:pPr>
              <w:rPr>
                <w:sz w:val="20"/>
                <w:szCs w:val="20"/>
              </w:rPr>
            </w:pPr>
          </w:p>
        </w:tc>
      </w:tr>
      <w:tr w:rsidR="00E86FF0" w:rsidRPr="00A00637" w:rsidTr="00E86FF0">
        <w:trPr>
          <w:cantSplit/>
        </w:trPr>
        <w:tc>
          <w:tcPr>
            <w:tcW w:w="1458" w:type="dxa"/>
          </w:tcPr>
          <w:p w:rsidR="00E86FF0" w:rsidRPr="00A00637" w:rsidRDefault="00E86FF0" w:rsidP="00E86FF0">
            <w:pPr>
              <w:rPr>
                <w:sz w:val="20"/>
                <w:szCs w:val="20"/>
              </w:rPr>
            </w:pPr>
            <w:r w:rsidRPr="00A00637">
              <w:rPr>
                <w:sz w:val="20"/>
                <w:szCs w:val="20"/>
              </w:rPr>
              <w:t>Coram :</w:t>
            </w:r>
          </w:p>
        </w:tc>
        <w:tc>
          <w:tcPr>
            <w:tcW w:w="8118" w:type="dxa"/>
          </w:tcPr>
          <w:p w:rsidR="00E86FF0" w:rsidRPr="00A00637" w:rsidRDefault="00E86FF0" w:rsidP="00E86FF0">
            <w:pPr>
              <w:rPr>
                <w:sz w:val="20"/>
                <w:szCs w:val="20"/>
              </w:rPr>
            </w:pPr>
            <w:r w:rsidRPr="00E86FF0">
              <w:rPr>
                <w:rStyle w:val="SCCCoramChar"/>
                <w:sz w:val="20"/>
                <w:szCs w:val="20"/>
                <w:lang w:val="en-CA"/>
              </w:rPr>
              <w:t>Deschamps, Fish and Karakatsanis JJ.</w:t>
            </w:r>
          </w:p>
          <w:p w:rsidR="00E86FF0" w:rsidRPr="00A00637" w:rsidRDefault="00E86FF0" w:rsidP="00E86FF0">
            <w:pPr>
              <w:rPr>
                <w:sz w:val="20"/>
                <w:szCs w:val="20"/>
                <w:u w:val="single"/>
              </w:rPr>
            </w:pPr>
          </w:p>
        </w:tc>
      </w:tr>
      <w:tr w:rsidR="00E86FF0" w:rsidRPr="00B36F35" w:rsidTr="00E86FF0">
        <w:trPr>
          <w:cantSplit/>
        </w:trPr>
        <w:tc>
          <w:tcPr>
            <w:tcW w:w="9576" w:type="dxa"/>
            <w:gridSpan w:val="2"/>
          </w:tcPr>
          <w:p w:rsidR="00E86FF0" w:rsidRPr="00A00637" w:rsidRDefault="00E86FF0" w:rsidP="00E86FF0">
            <w:pPr>
              <w:pStyle w:val="SCCShortJudgment"/>
              <w:rPr>
                <w:szCs w:val="20"/>
              </w:rPr>
            </w:pPr>
            <w:r w:rsidRPr="00A00637">
              <w:rPr>
                <w:szCs w:val="20"/>
              </w:rPr>
              <w:lastRenderedPageBreak/>
              <w:t>The motions to appoint counsel and for an extension of time to serve and file the application for leave to appeal from the judgment of the Court of Appeal for Ontario, Number C47434, 2009 ONCA 915, dated December 22, 2009, are dismissed. In any event, had such motions been granted, the application for leave to appeal would have been dismissed without costs.</w:t>
            </w:r>
          </w:p>
          <w:p w:rsidR="00E86FF0" w:rsidRPr="00A00637" w:rsidRDefault="00E86FF0" w:rsidP="00E86FF0">
            <w:pPr>
              <w:pStyle w:val="SCCShortJudgment"/>
              <w:ind w:firstLine="0"/>
              <w:rPr>
                <w:szCs w:val="20"/>
              </w:rPr>
            </w:pPr>
          </w:p>
          <w:p w:rsidR="00E86FF0" w:rsidRPr="00A00637" w:rsidRDefault="00E86FF0" w:rsidP="00E86FF0">
            <w:pPr>
              <w:pStyle w:val="SCCShortJudgment"/>
              <w:rPr>
                <w:szCs w:val="20"/>
                <w:lang w:val="fr-CA"/>
              </w:rPr>
            </w:pPr>
            <w:r w:rsidRPr="00A00637">
              <w:rPr>
                <w:szCs w:val="20"/>
                <w:lang w:val="fr-CA"/>
              </w:rPr>
              <w:t>Les requêtes pour nomination d’un avocat et en prorogation du délai de signification et de dépôt de la demande d’autorisation d’appel de l’arrêt de la Cour d’appel de l’Ontario, numéro C47434, 2009 ONCA 915, daté du 22 décembre 2009, sont rejetées. Quoi qu’il en soit, même si les requêtes avaient été accueillies, la demande d’autorisation d’appel aurait été rejetée sans dépens.</w:t>
            </w:r>
          </w:p>
        </w:tc>
      </w:tr>
    </w:tbl>
    <w:p w:rsidR="001823C0" w:rsidRPr="00E86FF0"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3B78" w:rsidRPr="00F24723" w:rsidTr="00936316">
        <w:tc>
          <w:tcPr>
            <w:tcW w:w="5000" w:type="pct"/>
            <w:gridSpan w:val="3"/>
          </w:tcPr>
          <w:p w:rsidR="005F3B78" w:rsidRPr="00F24723" w:rsidRDefault="005F3B78" w:rsidP="00936316">
            <w:pPr>
              <w:jc w:val="both"/>
              <w:rPr>
                <w:rFonts w:eastAsia="Calibri"/>
                <w:sz w:val="20"/>
              </w:rPr>
            </w:pPr>
            <w:r w:rsidRPr="00F24723">
              <w:rPr>
                <w:rFonts w:eastAsia="Calibri"/>
                <w:sz w:val="20"/>
              </w:rPr>
              <w:t xml:space="preserve">Criminal law – Appeals – Charge to jury – Conviction for first degree murder – Whether there were errors in the jury charge – Admissibility of and jury instruction for </w:t>
            </w:r>
            <w:r w:rsidRPr="00F24723">
              <w:rPr>
                <w:rFonts w:eastAsia="Calibri"/>
                <w:i/>
                <w:sz w:val="20"/>
              </w:rPr>
              <w:t>Ante Mortem</w:t>
            </w:r>
            <w:r w:rsidRPr="00F24723">
              <w:rPr>
                <w:rFonts w:eastAsia="Calibri"/>
                <w:sz w:val="20"/>
              </w:rPr>
              <w:t xml:space="preserve"> Statements of the Deceased – Identification evidence – Gunshot residue evidence – Whether trial counsel was ineffective – Whether the Court of Appeal erred – Whether there are issues of public importance raised.</w:t>
            </w:r>
          </w:p>
        </w:tc>
      </w:tr>
      <w:tr w:rsidR="005F3B78" w:rsidRPr="00F24723" w:rsidTr="00936316">
        <w:tc>
          <w:tcPr>
            <w:tcW w:w="5000" w:type="pct"/>
            <w:gridSpan w:val="3"/>
          </w:tcPr>
          <w:p w:rsidR="005F3B78" w:rsidRPr="00F24723" w:rsidRDefault="005F3B78" w:rsidP="00936316">
            <w:pPr>
              <w:jc w:val="both"/>
              <w:rPr>
                <w:rFonts w:eastAsia="Calibri"/>
                <w:sz w:val="20"/>
              </w:rPr>
            </w:pPr>
          </w:p>
        </w:tc>
      </w:tr>
      <w:tr w:rsidR="005F3B78" w:rsidRPr="00F24723" w:rsidTr="00936316">
        <w:tc>
          <w:tcPr>
            <w:tcW w:w="5000" w:type="pct"/>
            <w:gridSpan w:val="3"/>
          </w:tcPr>
          <w:p w:rsidR="005F3B78" w:rsidRPr="00F24723" w:rsidRDefault="005F3B78" w:rsidP="00936316">
            <w:pPr>
              <w:jc w:val="both"/>
              <w:rPr>
                <w:rFonts w:eastAsia="Calibri"/>
                <w:sz w:val="20"/>
              </w:rPr>
            </w:pPr>
            <w:r w:rsidRPr="00F24723">
              <w:rPr>
                <w:rFonts w:eastAsia="Calibri"/>
                <w:sz w:val="20"/>
              </w:rPr>
              <w:t>On December 6, 2004, Mr. Candir returned from a trip to find a letter indicating that his wife had left him. In the next few days he made repeated but unsuccessful attempts to contact her. Four days later, around noon on December 10, 2004, a lone gunman shot Mrs. Candir to death as she sat in the driver’s seat of her car in the parking lot of the school where she taught. The gunman fled. Mr. Candir was arrested that day. The deceased had complained to others that Mr. Candir was possessive and controlling and would never let her leave the marriage. She took the opportunity to leave while he was out of the country. There were two independent witnesses who identified Mr. Candir from photo line-ups. A forensic examination revealed gunshot residue on the gloves he was carrying and on his right hand. After a trial by judge and jury, Mr. Candir was convicted of the first degree murder of his estranged wife. The Court of Appeal dismissed the appeal.</w:t>
            </w: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April 1, 2007</w:t>
            </w:r>
          </w:p>
          <w:p w:rsidR="005F3B78" w:rsidRPr="00F24723" w:rsidRDefault="005F3B78" w:rsidP="00936316">
            <w:pPr>
              <w:jc w:val="both"/>
              <w:rPr>
                <w:rFonts w:eastAsia="Calibri"/>
                <w:sz w:val="20"/>
              </w:rPr>
            </w:pPr>
            <w:r w:rsidRPr="00F24723">
              <w:rPr>
                <w:rFonts w:eastAsia="Calibri"/>
                <w:sz w:val="20"/>
              </w:rPr>
              <w:t>Ontario Superior Court of Justice</w:t>
            </w:r>
          </w:p>
          <w:p w:rsidR="005F3B78" w:rsidRPr="00F24723" w:rsidRDefault="005F3B78" w:rsidP="00936316">
            <w:pPr>
              <w:jc w:val="both"/>
              <w:rPr>
                <w:rFonts w:eastAsia="Calibri"/>
                <w:sz w:val="20"/>
              </w:rPr>
            </w:pPr>
            <w:r w:rsidRPr="00F24723">
              <w:rPr>
                <w:rFonts w:eastAsia="Calibri"/>
                <w:sz w:val="20"/>
              </w:rPr>
              <w:t>(MacKenzie J.)</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Conviction for first degree murder</w:t>
            </w:r>
          </w:p>
          <w:p w:rsidR="005F3B78" w:rsidRPr="00F24723" w:rsidRDefault="005F3B78" w:rsidP="00936316">
            <w:pPr>
              <w:jc w:val="both"/>
              <w:rPr>
                <w:rFonts w:eastAsia="Calibri"/>
                <w:sz w:val="20"/>
              </w:rPr>
            </w:pP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December 22, 2009</w:t>
            </w:r>
          </w:p>
          <w:p w:rsidR="005F3B78" w:rsidRPr="00F24723" w:rsidRDefault="005F3B78" w:rsidP="00936316">
            <w:pPr>
              <w:jc w:val="both"/>
              <w:rPr>
                <w:rFonts w:eastAsia="Calibri"/>
                <w:sz w:val="20"/>
              </w:rPr>
            </w:pPr>
            <w:r w:rsidRPr="00F24723">
              <w:rPr>
                <w:rFonts w:eastAsia="Calibri"/>
                <w:sz w:val="20"/>
              </w:rPr>
              <w:t>Court of Appeal for Ontario</w:t>
            </w:r>
          </w:p>
          <w:p w:rsidR="005F3B78" w:rsidRPr="00F24723" w:rsidRDefault="005F3B78" w:rsidP="00936316">
            <w:pPr>
              <w:jc w:val="both"/>
              <w:rPr>
                <w:rFonts w:eastAsia="Calibri"/>
                <w:sz w:val="20"/>
              </w:rPr>
            </w:pPr>
            <w:r w:rsidRPr="00F24723">
              <w:rPr>
                <w:rFonts w:eastAsia="Calibri"/>
                <w:sz w:val="20"/>
              </w:rPr>
              <w:t>(Lang, Juriansz and Watt JJ.A.)</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Appeal from conviction dismissed</w:t>
            </w:r>
          </w:p>
          <w:p w:rsidR="005F3B78" w:rsidRPr="00F24723" w:rsidRDefault="005F3B78" w:rsidP="00936316">
            <w:pPr>
              <w:jc w:val="both"/>
              <w:rPr>
                <w:rFonts w:eastAsia="Calibri"/>
                <w:sz w:val="20"/>
              </w:rPr>
            </w:pP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January 6, 2012</w:t>
            </w:r>
          </w:p>
          <w:p w:rsidR="005F3B78" w:rsidRPr="00F24723" w:rsidRDefault="005F3B78" w:rsidP="00936316">
            <w:pPr>
              <w:jc w:val="both"/>
              <w:rPr>
                <w:rFonts w:eastAsia="Calibri"/>
                <w:sz w:val="20"/>
              </w:rPr>
            </w:pPr>
            <w:r w:rsidRPr="00F24723">
              <w:rPr>
                <w:rFonts w:eastAsia="Calibri"/>
                <w:sz w:val="20"/>
              </w:rPr>
              <w:t>Supreme Court of Canada</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Motion to appoint counsel, motion for an extension of time to serve and file the application for leave to appeal and application for leave to appeal filed</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86"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F3B78" w:rsidRPr="00B36F35" w:rsidTr="00936316">
        <w:tc>
          <w:tcPr>
            <w:tcW w:w="5000" w:type="pct"/>
            <w:gridSpan w:val="3"/>
          </w:tcPr>
          <w:p w:rsidR="005F3B78" w:rsidRPr="00F24723" w:rsidRDefault="005F3B78" w:rsidP="00936316">
            <w:pPr>
              <w:jc w:val="both"/>
              <w:rPr>
                <w:rFonts w:eastAsia="Calibri"/>
                <w:sz w:val="20"/>
                <w:lang w:val="fr-CA"/>
              </w:rPr>
            </w:pPr>
            <w:r w:rsidRPr="00F24723">
              <w:rPr>
                <w:rFonts w:eastAsia="Calibri"/>
                <w:sz w:val="20"/>
                <w:lang w:val="fr-CA"/>
              </w:rPr>
              <w:t>Droit criminel – Appels – Exposé au jury – Déclaration de culpabilité de meurtre au premier degré – Y a</w:t>
            </w:r>
            <w:r w:rsidRPr="00F24723">
              <w:rPr>
                <w:rFonts w:eastAsia="Calibri"/>
                <w:sz w:val="20"/>
                <w:lang w:val="fr-CA"/>
              </w:rPr>
              <w:noBreakHyphen/>
              <w:t>t</w:t>
            </w:r>
            <w:r w:rsidRPr="00F24723">
              <w:rPr>
                <w:rFonts w:eastAsia="Calibri"/>
                <w:sz w:val="20"/>
                <w:lang w:val="fr-CA"/>
              </w:rPr>
              <w:noBreakHyphen/>
              <w:t xml:space="preserve">il eu des erreurs dans l'exposé au jury? – Admissibilité des déclarations </w:t>
            </w:r>
            <w:r w:rsidRPr="00F24723">
              <w:rPr>
                <w:rFonts w:eastAsia="Calibri"/>
                <w:i/>
                <w:sz w:val="20"/>
                <w:lang w:val="fr-CA"/>
              </w:rPr>
              <w:t>ante mortem</w:t>
            </w:r>
            <w:r w:rsidRPr="00F24723">
              <w:rPr>
                <w:rFonts w:eastAsia="Calibri"/>
                <w:sz w:val="20"/>
                <w:lang w:val="fr-CA"/>
              </w:rPr>
              <w:t xml:space="preserve"> de la défunte et directives données au jury à leur égard – Preuve d'identification – Preuve sous forme de résidus de poudre – L'avocat au procès a</w:t>
            </w:r>
            <w:r w:rsidRPr="00F24723">
              <w:rPr>
                <w:rFonts w:eastAsia="Calibri"/>
                <w:sz w:val="20"/>
                <w:lang w:val="fr-CA"/>
              </w:rPr>
              <w:noBreakHyphen/>
              <w:t>t</w:t>
            </w:r>
            <w:r w:rsidRPr="00F24723">
              <w:rPr>
                <w:rFonts w:eastAsia="Calibri"/>
                <w:sz w:val="20"/>
                <w:lang w:val="fr-CA"/>
              </w:rPr>
              <w:noBreakHyphen/>
              <w:t>il été inefficace? – La Cour d'appel a</w:t>
            </w:r>
            <w:r w:rsidRPr="00F24723">
              <w:rPr>
                <w:rFonts w:eastAsia="Calibri"/>
                <w:sz w:val="20"/>
                <w:lang w:val="fr-CA"/>
              </w:rPr>
              <w:noBreakHyphen/>
              <w:t>t</w:t>
            </w:r>
            <w:r w:rsidRPr="00F24723">
              <w:rPr>
                <w:rFonts w:eastAsia="Calibri"/>
                <w:sz w:val="20"/>
                <w:lang w:val="fr-CA"/>
              </w:rPr>
              <w:noBreakHyphen/>
              <w:t>elle commis une erreur? – L'affaire soulève</w:t>
            </w:r>
            <w:r w:rsidRPr="00F24723">
              <w:rPr>
                <w:rFonts w:eastAsia="Calibri"/>
                <w:sz w:val="20"/>
                <w:lang w:val="fr-CA"/>
              </w:rPr>
              <w:noBreakHyphen/>
              <w:t>t</w:t>
            </w:r>
            <w:r w:rsidRPr="00F24723">
              <w:rPr>
                <w:rFonts w:eastAsia="Calibri"/>
                <w:sz w:val="20"/>
                <w:lang w:val="fr-CA"/>
              </w:rPr>
              <w:noBreakHyphen/>
              <w:t>elle des questions d'importance pour le public?</w:t>
            </w:r>
          </w:p>
        </w:tc>
      </w:tr>
      <w:tr w:rsidR="005F3B78" w:rsidRPr="00B36F35" w:rsidTr="00936316">
        <w:tc>
          <w:tcPr>
            <w:tcW w:w="5000" w:type="pct"/>
            <w:gridSpan w:val="3"/>
          </w:tcPr>
          <w:p w:rsidR="005F3B78" w:rsidRPr="00F24723" w:rsidRDefault="005F3B78" w:rsidP="00936316">
            <w:pPr>
              <w:jc w:val="both"/>
              <w:rPr>
                <w:rFonts w:eastAsia="Calibri"/>
                <w:sz w:val="20"/>
                <w:lang w:val="fr-CA"/>
              </w:rPr>
            </w:pPr>
          </w:p>
        </w:tc>
      </w:tr>
      <w:tr w:rsidR="005F3B78" w:rsidRPr="00F24723" w:rsidTr="00936316">
        <w:tc>
          <w:tcPr>
            <w:tcW w:w="5000" w:type="pct"/>
            <w:gridSpan w:val="3"/>
          </w:tcPr>
          <w:p w:rsidR="005F3B78" w:rsidRPr="00F24723" w:rsidRDefault="005F3B78" w:rsidP="00936316">
            <w:pPr>
              <w:jc w:val="both"/>
              <w:rPr>
                <w:rFonts w:eastAsia="Calibri"/>
                <w:sz w:val="20"/>
                <w:lang w:val="fr-CA"/>
              </w:rPr>
            </w:pPr>
            <w:r w:rsidRPr="00F24723">
              <w:rPr>
                <w:rFonts w:eastAsia="Calibri"/>
                <w:sz w:val="20"/>
                <w:lang w:val="fr-CA"/>
              </w:rPr>
              <w:t xml:space="preserve">Le 6 décembre 2004, M. Candir est rentré de voyage et a trouvé une lettre indiquant que son épouse l'avait quitté. </w:t>
            </w:r>
            <w:r w:rsidRPr="00F24723">
              <w:rPr>
                <w:rFonts w:eastAsia="Calibri"/>
                <w:sz w:val="20"/>
                <w:lang w:val="fr-CA"/>
              </w:rPr>
              <w:lastRenderedPageBreak/>
              <w:t>Dans les jours qui ont suivi, il a tenté à plusieurs reprises de la joindre, mais sans succès. Quatre jours plus tard, vers midi le 10 décembre 2004, un tireur seul a abattu mortellement Mme Candir d’un coup de feu alors qu'elle était assise derrière le volant de sa voiture dans le stationnement de l'école où elle enseignait. Le tireur s'est enfui. Monsieur Candir a été arrêté le jour</w:t>
            </w:r>
            <w:r w:rsidRPr="00F24723">
              <w:rPr>
                <w:rFonts w:eastAsia="Calibri"/>
                <w:sz w:val="20"/>
                <w:lang w:val="fr-CA"/>
              </w:rPr>
              <w:noBreakHyphen/>
              <w:t>même. La défunte s'était plainte à d'autres que M. Candir était possessif et contrôlant et qu'il ne la laisserait jamais quitter le mariage. Elle a saisi l'occasion de le quitter alors qu'il se trouvait à l'extérieur du pays. Deux témoins indépendants ont identifié M. Candir à partir d'étalement de photos. Une expertise judiciaire a révélé des résidus de poudre sur les gants qu'il portait sur lui et sur sa main droite. Au terme d'un procès devant juge et jury, M. Candir a été déclaré coupable du meurtre au premier degré de son ex</w:t>
            </w:r>
            <w:r w:rsidRPr="00F24723">
              <w:rPr>
                <w:rFonts w:eastAsia="Calibri"/>
                <w:sz w:val="20"/>
                <w:lang w:val="fr-CA"/>
              </w:rPr>
              <w:noBreakHyphen/>
              <w:t>épouse. La Cour d'appel a rejeté l'appel.</w:t>
            </w:r>
          </w:p>
          <w:p w:rsidR="005F3B78" w:rsidRPr="00F24723" w:rsidRDefault="005F3B78" w:rsidP="00936316">
            <w:pPr>
              <w:jc w:val="both"/>
              <w:rPr>
                <w:rFonts w:eastAsia="Calibri"/>
                <w:sz w:val="20"/>
                <w:lang w:val="fr-CA"/>
              </w:rPr>
            </w:pPr>
          </w:p>
        </w:tc>
      </w:tr>
      <w:tr w:rsidR="005F3B78" w:rsidRPr="00B36F35" w:rsidTr="00936316">
        <w:tc>
          <w:tcPr>
            <w:tcW w:w="2427" w:type="pct"/>
          </w:tcPr>
          <w:p w:rsidR="005F3B78" w:rsidRPr="00F24723" w:rsidRDefault="005F3B78" w:rsidP="00936316">
            <w:pPr>
              <w:jc w:val="both"/>
              <w:rPr>
                <w:rFonts w:eastAsia="Calibri"/>
                <w:sz w:val="20"/>
                <w:lang w:val="fr-CA"/>
              </w:rPr>
            </w:pPr>
            <w:r w:rsidRPr="00F24723">
              <w:rPr>
                <w:rFonts w:eastAsia="Calibri"/>
                <w:sz w:val="20"/>
                <w:lang w:val="fr-CA"/>
              </w:rPr>
              <w:lastRenderedPageBreak/>
              <w:t>1</w:t>
            </w:r>
            <w:r w:rsidRPr="00F24723">
              <w:rPr>
                <w:rFonts w:eastAsia="Calibri"/>
                <w:sz w:val="20"/>
                <w:vertAlign w:val="superscript"/>
                <w:lang w:val="fr-CA"/>
              </w:rPr>
              <w:t>er</w:t>
            </w:r>
            <w:r w:rsidRPr="00F24723">
              <w:rPr>
                <w:rFonts w:eastAsia="Calibri"/>
                <w:sz w:val="20"/>
                <w:lang w:val="fr-CA"/>
              </w:rPr>
              <w:t xml:space="preserve"> avril 2007</w:t>
            </w:r>
          </w:p>
          <w:p w:rsidR="005F3B78" w:rsidRPr="00F24723" w:rsidRDefault="005F3B78" w:rsidP="00936316">
            <w:pPr>
              <w:jc w:val="both"/>
              <w:rPr>
                <w:rFonts w:eastAsia="Calibri"/>
                <w:sz w:val="20"/>
                <w:lang w:val="fr-CA"/>
              </w:rPr>
            </w:pPr>
            <w:r w:rsidRPr="00F24723">
              <w:rPr>
                <w:rFonts w:eastAsia="Calibri"/>
                <w:sz w:val="20"/>
                <w:lang w:val="fr-CA"/>
              </w:rPr>
              <w:t xml:space="preserve">Cour supérieure de justice de l'Ontario </w:t>
            </w:r>
          </w:p>
          <w:p w:rsidR="005F3B78" w:rsidRPr="00F24723" w:rsidRDefault="005F3B78" w:rsidP="00936316">
            <w:pPr>
              <w:jc w:val="both"/>
              <w:rPr>
                <w:rFonts w:eastAsia="Calibri"/>
                <w:sz w:val="20"/>
                <w:lang w:val="fr-CA"/>
              </w:rPr>
            </w:pPr>
            <w:r w:rsidRPr="00F24723">
              <w:rPr>
                <w:rFonts w:eastAsia="Calibri"/>
                <w:sz w:val="20"/>
                <w:lang w:val="fr-CA"/>
              </w:rPr>
              <w:t>(Juge MacKenzie)</w:t>
            </w: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Déclaration de culpabilité de meurtre au premier degré</w:t>
            </w:r>
          </w:p>
          <w:p w:rsidR="005F3B78" w:rsidRPr="00F24723" w:rsidRDefault="005F3B78" w:rsidP="00936316">
            <w:pPr>
              <w:jc w:val="both"/>
              <w:rPr>
                <w:rFonts w:eastAsia="Calibri"/>
                <w:sz w:val="20"/>
                <w:lang w:val="fr-CA"/>
              </w:rPr>
            </w:pPr>
          </w:p>
          <w:p w:rsidR="005F3B78" w:rsidRPr="00F24723" w:rsidRDefault="005F3B78" w:rsidP="00936316">
            <w:pPr>
              <w:jc w:val="both"/>
              <w:rPr>
                <w:rFonts w:eastAsia="Calibri"/>
                <w:sz w:val="20"/>
                <w:lang w:val="fr-CA"/>
              </w:rPr>
            </w:pPr>
          </w:p>
        </w:tc>
      </w:tr>
      <w:tr w:rsidR="005F3B78" w:rsidRPr="00B36F35" w:rsidTr="00936316">
        <w:tc>
          <w:tcPr>
            <w:tcW w:w="2427" w:type="pct"/>
          </w:tcPr>
          <w:p w:rsidR="005F3B78" w:rsidRPr="00F24723" w:rsidRDefault="005F3B78" w:rsidP="00936316">
            <w:pPr>
              <w:jc w:val="both"/>
              <w:rPr>
                <w:rFonts w:eastAsia="Calibri"/>
                <w:sz w:val="20"/>
                <w:lang w:val="fr-CA"/>
              </w:rPr>
            </w:pPr>
            <w:r w:rsidRPr="00F24723">
              <w:rPr>
                <w:rFonts w:eastAsia="Calibri"/>
                <w:sz w:val="20"/>
                <w:lang w:val="fr-CA"/>
              </w:rPr>
              <w:t>22 décembre 2009</w:t>
            </w:r>
          </w:p>
          <w:p w:rsidR="005F3B78" w:rsidRPr="00F24723" w:rsidRDefault="005F3B78" w:rsidP="00936316">
            <w:pPr>
              <w:jc w:val="both"/>
              <w:rPr>
                <w:rFonts w:eastAsia="Calibri"/>
                <w:sz w:val="20"/>
                <w:lang w:val="fr-CA"/>
              </w:rPr>
            </w:pPr>
            <w:r w:rsidRPr="00F24723">
              <w:rPr>
                <w:rFonts w:eastAsia="Calibri"/>
                <w:sz w:val="20"/>
                <w:lang w:val="fr-CA"/>
              </w:rPr>
              <w:t>Cour d'appel de l'Ontario</w:t>
            </w:r>
          </w:p>
          <w:p w:rsidR="005F3B78" w:rsidRPr="00F24723" w:rsidRDefault="005F3B78" w:rsidP="00936316">
            <w:pPr>
              <w:jc w:val="both"/>
              <w:rPr>
                <w:rFonts w:eastAsia="Calibri"/>
                <w:sz w:val="20"/>
                <w:lang w:val="fr-CA"/>
              </w:rPr>
            </w:pPr>
            <w:r w:rsidRPr="00F24723">
              <w:rPr>
                <w:rFonts w:eastAsia="Calibri"/>
                <w:sz w:val="20"/>
                <w:lang w:val="fr-CA"/>
              </w:rPr>
              <w:t>(Juges Lang, Juriansz et Watt)</w:t>
            </w: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Appel de la déclaration de culpabilité, rejeté</w:t>
            </w:r>
          </w:p>
          <w:p w:rsidR="005F3B78" w:rsidRPr="00F24723" w:rsidRDefault="005F3B78" w:rsidP="00936316">
            <w:pPr>
              <w:jc w:val="both"/>
              <w:rPr>
                <w:rFonts w:eastAsia="Calibri"/>
                <w:sz w:val="20"/>
                <w:lang w:val="fr-CA"/>
              </w:rPr>
            </w:pPr>
          </w:p>
          <w:p w:rsidR="005F3B78" w:rsidRPr="00F24723" w:rsidRDefault="005F3B78" w:rsidP="00936316">
            <w:pPr>
              <w:jc w:val="both"/>
              <w:rPr>
                <w:rFonts w:eastAsia="Calibri"/>
                <w:sz w:val="20"/>
                <w:lang w:val="fr-CA"/>
              </w:rPr>
            </w:pPr>
          </w:p>
        </w:tc>
      </w:tr>
      <w:tr w:rsidR="005F3B78" w:rsidRPr="00B36F35" w:rsidTr="00936316">
        <w:tc>
          <w:tcPr>
            <w:tcW w:w="2427" w:type="pct"/>
          </w:tcPr>
          <w:p w:rsidR="005F3B78" w:rsidRPr="00F24723" w:rsidRDefault="005F3B78" w:rsidP="00936316">
            <w:pPr>
              <w:jc w:val="both"/>
              <w:rPr>
                <w:rFonts w:eastAsia="Calibri"/>
                <w:sz w:val="20"/>
                <w:lang w:val="fr-CA"/>
              </w:rPr>
            </w:pPr>
            <w:r w:rsidRPr="00F24723">
              <w:rPr>
                <w:rFonts w:eastAsia="Calibri"/>
                <w:sz w:val="20"/>
                <w:lang w:val="fr-CA"/>
              </w:rPr>
              <w:t>6 janvier 2012</w:t>
            </w:r>
          </w:p>
          <w:p w:rsidR="005F3B78" w:rsidRPr="00F24723" w:rsidRDefault="005F3B78" w:rsidP="00936316">
            <w:pPr>
              <w:jc w:val="both"/>
              <w:rPr>
                <w:rFonts w:eastAsia="Calibri"/>
                <w:sz w:val="20"/>
                <w:lang w:val="fr-CA"/>
              </w:rPr>
            </w:pPr>
            <w:r w:rsidRPr="00F24723">
              <w:rPr>
                <w:rFonts w:eastAsia="Calibri"/>
                <w:sz w:val="20"/>
                <w:lang w:val="fr-CA"/>
              </w:rPr>
              <w:t>Cour suprême du Canada</w:t>
            </w:r>
          </w:p>
          <w:p w:rsidR="005F3B78" w:rsidRPr="00F24723" w:rsidRDefault="005F3B78" w:rsidP="00936316">
            <w:pPr>
              <w:jc w:val="both"/>
              <w:rPr>
                <w:rFonts w:eastAsia="Calibri"/>
                <w:sz w:val="20"/>
                <w:lang w:val="fr-CA"/>
              </w:rPr>
            </w:pP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Requête en nomination d'un procureur, requête en prorogation du délai de signification et de dépôt de la demande d'autorisation d'appel et demande d'autorisation d'appel, déposées</w:t>
            </w:r>
          </w:p>
        </w:tc>
      </w:tr>
    </w:tbl>
    <w:p w:rsidR="001823C0" w:rsidRPr="005F3B78"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87"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6FF0" w:rsidRPr="00A00637" w:rsidTr="00E86FF0">
        <w:trPr>
          <w:cantSplit/>
        </w:trPr>
        <w:tc>
          <w:tcPr>
            <w:tcW w:w="1458" w:type="dxa"/>
          </w:tcPr>
          <w:p w:rsidR="00E86FF0" w:rsidRPr="00A00637" w:rsidRDefault="00E86FF0" w:rsidP="00E86FF0">
            <w:pPr>
              <w:rPr>
                <w:sz w:val="20"/>
                <w:szCs w:val="20"/>
              </w:rPr>
            </w:pPr>
            <w:r w:rsidRPr="00A00637">
              <w:rPr>
                <w:rStyle w:val="SCCFileNumberChar"/>
                <w:sz w:val="20"/>
                <w:szCs w:val="20"/>
              </w:rPr>
              <w:t>34623</w:t>
            </w:r>
          </w:p>
          <w:p w:rsidR="00E86FF0" w:rsidRPr="00A00637" w:rsidRDefault="00E86FF0" w:rsidP="00E86FF0">
            <w:pPr>
              <w:rPr>
                <w:b/>
                <w:sz w:val="20"/>
                <w:szCs w:val="20"/>
                <w:lang w:val="fr-CA"/>
              </w:rPr>
            </w:pPr>
          </w:p>
        </w:tc>
        <w:tc>
          <w:tcPr>
            <w:tcW w:w="8118" w:type="dxa"/>
          </w:tcPr>
          <w:p w:rsidR="00E86FF0" w:rsidRPr="00A00637" w:rsidRDefault="00E86FF0" w:rsidP="00E86FF0">
            <w:pPr>
              <w:rPr>
                <w:sz w:val="20"/>
                <w:szCs w:val="20"/>
              </w:rPr>
            </w:pPr>
            <w:r w:rsidRPr="00E86FF0">
              <w:rPr>
                <w:rStyle w:val="SCCLsocChar"/>
                <w:sz w:val="20"/>
                <w:szCs w:val="20"/>
                <w:lang w:val="en-CA"/>
              </w:rPr>
              <w:t>D.J.W. v. Her Majesty the Queen</w:t>
            </w:r>
            <w:r w:rsidRPr="00A00637">
              <w:rPr>
                <w:sz w:val="20"/>
                <w:szCs w:val="20"/>
              </w:rPr>
              <w:t xml:space="preserve"> (B.C.) (Criminal) (As of Right / By Leave)</w:t>
            </w:r>
          </w:p>
          <w:p w:rsidR="00E86FF0" w:rsidRPr="00A00637" w:rsidRDefault="00E86FF0" w:rsidP="00E86FF0">
            <w:pPr>
              <w:rPr>
                <w:sz w:val="20"/>
                <w:szCs w:val="20"/>
              </w:rPr>
            </w:pPr>
          </w:p>
        </w:tc>
      </w:tr>
      <w:tr w:rsidR="00E86FF0" w:rsidRPr="00A00637" w:rsidTr="00E86FF0">
        <w:trPr>
          <w:cantSplit/>
        </w:trPr>
        <w:tc>
          <w:tcPr>
            <w:tcW w:w="1458" w:type="dxa"/>
          </w:tcPr>
          <w:p w:rsidR="00E86FF0" w:rsidRPr="00A00637" w:rsidRDefault="00E86FF0" w:rsidP="00E86FF0">
            <w:pPr>
              <w:rPr>
                <w:sz w:val="20"/>
                <w:szCs w:val="20"/>
              </w:rPr>
            </w:pPr>
            <w:r w:rsidRPr="00A00637">
              <w:rPr>
                <w:sz w:val="20"/>
                <w:szCs w:val="20"/>
              </w:rPr>
              <w:t>Coram :</w:t>
            </w:r>
          </w:p>
        </w:tc>
        <w:tc>
          <w:tcPr>
            <w:tcW w:w="8118" w:type="dxa"/>
          </w:tcPr>
          <w:p w:rsidR="00E86FF0" w:rsidRPr="00A00637" w:rsidRDefault="00E86FF0" w:rsidP="00E86FF0">
            <w:pPr>
              <w:rPr>
                <w:sz w:val="20"/>
                <w:szCs w:val="20"/>
              </w:rPr>
            </w:pPr>
            <w:r w:rsidRPr="00E86FF0">
              <w:rPr>
                <w:rStyle w:val="SCCCoramChar"/>
                <w:sz w:val="20"/>
                <w:szCs w:val="20"/>
                <w:lang w:val="en-CA"/>
              </w:rPr>
              <w:t>McLachlin C.J. and Rothstein and Moldaver JJ.</w:t>
            </w:r>
          </w:p>
          <w:p w:rsidR="00E86FF0" w:rsidRPr="00A00637" w:rsidRDefault="00E86FF0" w:rsidP="00E86FF0">
            <w:pPr>
              <w:rPr>
                <w:sz w:val="20"/>
                <w:szCs w:val="20"/>
                <w:u w:val="single"/>
              </w:rPr>
            </w:pPr>
          </w:p>
        </w:tc>
      </w:tr>
      <w:tr w:rsidR="00E86FF0" w:rsidRPr="00B36F35" w:rsidTr="00E86FF0">
        <w:trPr>
          <w:cantSplit/>
        </w:trPr>
        <w:tc>
          <w:tcPr>
            <w:tcW w:w="9576" w:type="dxa"/>
            <w:gridSpan w:val="2"/>
          </w:tcPr>
          <w:p w:rsidR="00E86FF0" w:rsidRPr="00A00637" w:rsidRDefault="00E86FF0" w:rsidP="00E86FF0">
            <w:pPr>
              <w:pStyle w:val="SCCShortJudgment"/>
              <w:rPr>
                <w:szCs w:val="20"/>
              </w:rPr>
            </w:pPr>
            <w:r w:rsidRPr="00A00637">
              <w:rPr>
                <w:szCs w:val="20"/>
              </w:rPr>
              <w:t>The application for leave to appeal from the judgment of the Court of Appeal for British Columbia (Vancouver), Numbers CA037623 and CA037983, 2011 BCCA 522, dated December 22, 2011, is granted without costs.</w:t>
            </w:r>
          </w:p>
          <w:p w:rsidR="00E86FF0" w:rsidRPr="00A00637" w:rsidRDefault="00E86FF0" w:rsidP="00E86FF0">
            <w:pPr>
              <w:pStyle w:val="SCCShortJudgment"/>
              <w:ind w:firstLine="0"/>
              <w:rPr>
                <w:szCs w:val="20"/>
              </w:rPr>
            </w:pPr>
          </w:p>
          <w:p w:rsidR="00E86FF0" w:rsidRPr="00A00637" w:rsidRDefault="00E86FF0" w:rsidP="00E86FF0">
            <w:pPr>
              <w:pStyle w:val="SCCShortJudgment"/>
              <w:rPr>
                <w:szCs w:val="20"/>
                <w:lang w:val="fr-CA"/>
              </w:rPr>
            </w:pPr>
            <w:r w:rsidRPr="00A00637">
              <w:rPr>
                <w:szCs w:val="20"/>
                <w:lang w:val="fr-CA"/>
              </w:rPr>
              <w:t>La demande d’autorisation d’appel de l’arrêt de la Cour d’appel de la Colombie-Britannique (Vancouver), numéros  CA037623 et CA037983, 2011 BCCA 522, daté du 22 décembre 2011, est accueillie sans dépens.</w:t>
            </w:r>
          </w:p>
        </w:tc>
      </w:tr>
    </w:tbl>
    <w:p w:rsidR="001823C0" w:rsidRPr="00E86FF0"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3B78" w:rsidRPr="00F24723" w:rsidTr="00936316">
        <w:tc>
          <w:tcPr>
            <w:tcW w:w="5000" w:type="pct"/>
            <w:gridSpan w:val="3"/>
          </w:tcPr>
          <w:p w:rsidR="005F3B78" w:rsidRPr="00F24723" w:rsidRDefault="005F3B78" w:rsidP="00936316">
            <w:pPr>
              <w:jc w:val="both"/>
              <w:rPr>
                <w:rFonts w:eastAsia="Calibri"/>
                <w:smallCaps/>
                <w:sz w:val="20"/>
              </w:rPr>
            </w:pPr>
            <w:r w:rsidRPr="00F24723">
              <w:rPr>
                <w:rFonts w:eastAsia="Calibri"/>
                <w:smallCaps/>
                <w:sz w:val="20"/>
              </w:rPr>
              <w:t>(Publication Ban in Case) (Publication Ban on Party)</w:t>
            </w:r>
          </w:p>
          <w:p w:rsidR="005F3B78" w:rsidRPr="00F24723" w:rsidRDefault="005F3B78" w:rsidP="00936316">
            <w:pPr>
              <w:jc w:val="both"/>
              <w:rPr>
                <w:rFonts w:eastAsia="Calibri"/>
                <w:smallCaps/>
                <w:sz w:val="20"/>
              </w:rPr>
            </w:pPr>
          </w:p>
        </w:tc>
      </w:tr>
      <w:tr w:rsidR="005F3B78" w:rsidRPr="00F24723" w:rsidTr="00936316">
        <w:tc>
          <w:tcPr>
            <w:tcW w:w="5000" w:type="pct"/>
            <w:gridSpan w:val="3"/>
          </w:tcPr>
          <w:p w:rsidR="005F3B78" w:rsidRPr="00F24723" w:rsidRDefault="005F3B78" w:rsidP="00936316">
            <w:pPr>
              <w:widowControl w:val="0"/>
              <w:jc w:val="both"/>
              <w:rPr>
                <w:rFonts w:eastAsia="Calibri"/>
                <w:sz w:val="20"/>
              </w:rPr>
            </w:pPr>
            <w:r w:rsidRPr="00F24723">
              <w:rPr>
                <w:rFonts w:eastAsia="Calibri"/>
                <w:sz w:val="20"/>
              </w:rPr>
              <w:t xml:space="preserve">Criminal law – Offences – Criminal negligence causing bodily harm – Whether Court of Appeal misapplied and misinterpreted law in regard to criminal negligence by imposing a purely objective test – </w:t>
            </w:r>
            <w:r w:rsidRPr="00F24723">
              <w:rPr>
                <w:rFonts w:eastAsia="Calibri"/>
                <w:i/>
                <w:sz w:val="20"/>
              </w:rPr>
              <w:t>Criminal Code</w:t>
            </w:r>
            <w:r w:rsidRPr="00F24723">
              <w:rPr>
                <w:rFonts w:eastAsia="Calibri"/>
                <w:sz w:val="20"/>
              </w:rPr>
              <w:t xml:space="preserve">, R.S.C. 1985, c. C-46, ss. 216, 219, 221. </w:t>
            </w:r>
          </w:p>
          <w:p w:rsidR="005F3B78" w:rsidRPr="00F24723" w:rsidRDefault="005F3B78" w:rsidP="00936316">
            <w:pPr>
              <w:jc w:val="both"/>
              <w:rPr>
                <w:rFonts w:eastAsia="Calibri"/>
                <w:sz w:val="20"/>
              </w:rPr>
            </w:pPr>
          </w:p>
          <w:p w:rsidR="005F3B78" w:rsidRPr="00F24723" w:rsidRDefault="005F3B78" w:rsidP="00936316">
            <w:pPr>
              <w:widowControl w:val="0"/>
              <w:jc w:val="both"/>
              <w:rPr>
                <w:rFonts w:eastAsia="Calibri"/>
                <w:sz w:val="20"/>
              </w:rPr>
            </w:pPr>
            <w:r w:rsidRPr="00F24723">
              <w:rPr>
                <w:rFonts w:eastAsia="Calibri"/>
                <w:sz w:val="20"/>
              </w:rPr>
              <w:t xml:space="preserve">The applicant was convicted of criminal negligence causing bodily harm for attempting to circumcise his four-year-old son on the kitchen floor of his home.  He was acquitted of aggravated assault and assault using a weapon.  The trial judge found that over the years that followed his son’s birth, the applicant decided to “make things right with God” by following the laws of Moses, which included circumcision.  The Crown appealed the acquittals, and the applicant appealed his conviction, arguing that the trial judge failed to correctly apply the law regarding criminal negligence causing bodily harm in the context of a sincere religious belief in circumcision.  The Court of Appeal allowed the Crown’s appeal and recorded convictions for aggravated assault and assault with a weapon; it entered a stay of the </w:t>
            </w:r>
            <w:r w:rsidRPr="00F24723">
              <w:rPr>
                <w:rFonts w:eastAsia="Calibri"/>
                <w:sz w:val="20"/>
              </w:rPr>
              <w:lastRenderedPageBreak/>
              <w:t xml:space="preserve">conviction for criminal negligence causing bodily harm, conditional upon the conviction for aggravated assault.  The applicant’s appeal was dismissed. </w:t>
            </w: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lastRenderedPageBreak/>
              <w:t>October 14, 2009</w:t>
            </w:r>
          </w:p>
          <w:p w:rsidR="005F3B78" w:rsidRPr="00F24723" w:rsidRDefault="005F3B78" w:rsidP="00936316">
            <w:pPr>
              <w:jc w:val="both"/>
              <w:rPr>
                <w:rFonts w:eastAsia="Calibri"/>
                <w:sz w:val="20"/>
              </w:rPr>
            </w:pPr>
            <w:r w:rsidRPr="00F24723">
              <w:rPr>
                <w:rFonts w:eastAsia="Calibri"/>
                <w:sz w:val="20"/>
              </w:rPr>
              <w:t>Supreme Court of British Columbia</w:t>
            </w:r>
          </w:p>
          <w:p w:rsidR="005F3B78" w:rsidRPr="00F24723" w:rsidRDefault="005F3B78" w:rsidP="00936316">
            <w:pPr>
              <w:jc w:val="both"/>
              <w:rPr>
                <w:rFonts w:eastAsia="Calibri"/>
                <w:sz w:val="20"/>
              </w:rPr>
            </w:pPr>
            <w:r w:rsidRPr="00F24723">
              <w:rPr>
                <w:rFonts w:eastAsia="Calibri"/>
                <w:sz w:val="20"/>
              </w:rPr>
              <w:t>(Allan J.)</w:t>
            </w:r>
          </w:p>
          <w:p w:rsidR="005F3B78" w:rsidRPr="00F24723" w:rsidRDefault="005F3B78" w:rsidP="00936316">
            <w:pPr>
              <w:jc w:val="both"/>
              <w:rPr>
                <w:rFonts w:eastAsia="Calibri"/>
                <w:sz w:val="20"/>
              </w:rPr>
            </w:pPr>
            <w:r w:rsidRPr="00F24723">
              <w:rPr>
                <w:rFonts w:eastAsia="Calibri"/>
                <w:sz w:val="20"/>
              </w:rPr>
              <w:t>2009 BCSC 1397</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Applicant convicted of criminal negligence causing bodily harm and acquitted of aggravated assault and assault using a weapon</w:t>
            </w: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December 22, 2011</w:t>
            </w:r>
          </w:p>
          <w:p w:rsidR="005F3B78" w:rsidRPr="00F24723" w:rsidRDefault="005F3B78" w:rsidP="00936316">
            <w:pPr>
              <w:jc w:val="both"/>
              <w:rPr>
                <w:rFonts w:eastAsia="Calibri"/>
                <w:sz w:val="20"/>
              </w:rPr>
            </w:pPr>
            <w:r w:rsidRPr="00F24723">
              <w:rPr>
                <w:rFonts w:eastAsia="Calibri"/>
                <w:sz w:val="20"/>
              </w:rPr>
              <w:t xml:space="preserve">Court of Appeal for British Columbia </w:t>
            </w:r>
          </w:p>
          <w:p w:rsidR="005F3B78" w:rsidRPr="00F24723" w:rsidRDefault="005F3B78" w:rsidP="00936316">
            <w:pPr>
              <w:jc w:val="both"/>
              <w:rPr>
                <w:rFonts w:eastAsia="Calibri"/>
                <w:sz w:val="20"/>
              </w:rPr>
            </w:pPr>
            <w:r w:rsidRPr="00F24723">
              <w:rPr>
                <w:rFonts w:eastAsia="Calibri"/>
                <w:sz w:val="20"/>
              </w:rPr>
              <w:t>(Finch, Kirkpatrick and Hinkson JJ.A.)</w:t>
            </w:r>
          </w:p>
          <w:p w:rsidR="005F3B78" w:rsidRPr="00F24723" w:rsidRDefault="005F3B78" w:rsidP="00936316">
            <w:pPr>
              <w:jc w:val="both"/>
              <w:rPr>
                <w:rFonts w:eastAsia="Calibri"/>
                <w:sz w:val="20"/>
              </w:rPr>
            </w:pPr>
            <w:r w:rsidRPr="00F24723">
              <w:rPr>
                <w:rFonts w:eastAsia="Calibri"/>
                <w:sz w:val="20"/>
              </w:rPr>
              <w:t>2011 BCCA 522</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Crown’s appeal allowed; convictions recorded for aggravated assault and assault with a weapon; conviction for criminal negligence causing bodily harm stayed, conditional upon conviction for aggravated assault; applicant’s appeal dismissed</w:t>
            </w: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January 11, 2012</w:t>
            </w:r>
          </w:p>
          <w:p w:rsidR="005F3B78" w:rsidRPr="00F24723" w:rsidRDefault="005F3B78" w:rsidP="00936316">
            <w:pPr>
              <w:jc w:val="both"/>
              <w:rPr>
                <w:rFonts w:eastAsia="Calibri"/>
                <w:sz w:val="20"/>
              </w:rPr>
            </w:pPr>
            <w:r w:rsidRPr="00F24723">
              <w:rPr>
                <w:rFonts w:eastAsia="Calibri"/>
                <w:sz w:val="20"/>
              </w:rPr>
              <w:t>Supreme Court of Canada</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Notice of appeal filed</w:t>
            </w:r>
          </w:p>
          <w:p w:rsidR="005F3B78" w:rsidRPr="00F24723" w:rsidRDefault="005F3B78" w:rsidP="00936316">
            <w:pPr>
              <w:jc w:val="both"/>
              <w:rPr>
                <w:rFonts w:eastAsia="Calibri"/>
                <w:sz w:val="20"/>
              </w:rPr>
            </w:pPr>
          </w:p>
        </w:tc>
      </w:tr>
      <w:tr w:rsidR="005F3B78" w:rsidRPr="00F24723" w:rsidTr="00936316">
        <w:tc>
          <w:tcPr>
            <w:tcW w:w="2427" w:type="pct"/>
          </w:tcPr>
          <w:p w:rsidR="005F3B78" w:rsidRPr="00F24723" w:rsidRDefault="005F3B78" w:rsidP="00936316">
            <w:pPr>
              <w:jc w:val="both"/>
              <w:rPr>
                <w:rFonts w:eastAsia="Calibri"/>
                <w:sz w:val="20"/>
              </w:rPr>
            </w:pPr>
            <w:r w:rsidRPr="00F24723">
              <w:rPr>
                <w:rFonts w:eastAsia="Calibri"/>
                <w:sz w:val="20"/>
              </w:rPr>
              <w:t>February 8, 2012</w:t>
            </w:r>
          </w:p>
          <w:p w:rsidR="005F3B78" w:rsidRPr="00F24723" w:rsidRDefault="005F3B78" w:rsidP="00936316">
            <w:pPr>
              <w:jc w:val="both"/>
              <w:rPr>
                <w:rFonts w:eastAsia="Calibri"/>
                <w:sz w:val="20"/>
              </w:rPr>
            </w:pPr>
            <w:r w:rsidRPr="00F24723">
              <w:rPr>
                <w:rFonts w:eastAsia="Calibri"/>
                <w:sz w:val="20"/>
              </w:rPr>
              <w:t>Supreme Court of Canada</w:t>
            </w: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Application for leave to appeal filed</w:t>
            </w:r>
          </w:p>
          <w:p w:rsidR="005F3B78" w:rsidRPr="00F24723" w:rsidRDefault="005F3B78" w:rsidP="00936316">
            <w:pPr>
              <w:jc w:val="both"/>
              <w:rPr>
                <w:rFonts w:eastAsia="Calibri"/>
                <w:sz w:val="20"/>
              </w:rPr>
            </w:pP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88"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3B78" w:rsidRPr="00B36F35" w:rsidTr="00936316">
        <w:tc>
          <w:tcPr>
            <w:tcW w:w="5000" w:type="pct"/>
            <w:gridSpan w:val="3"/>
          </w:tcPr>
          <w:p w:rsidR="005F3B78" w:rsidRPr="00F24723" w:rsidRDefault="005F3B78" w:rsidP="00936316">
            <w:pPr>
              <w:jc w:val="both"/>
              <w:rPr>
                <w:rFonts w:eastAsia="Calibri"/>
                <w:smallCaps/>
                <w:sz w:val="20"/>
                <w:lang w:val="fr-CA"/>
              </w:rPr>
            </w:pPr>
            <w:r w:rsidRPr="00F24723">
              <w:rPr>
                <w:rFonts w:eastAsia="Calibri"/>
                <w:smallCaps/>
                <w:sz w:val="20"/>
                <w:lang w:val="fr-CA"/>
              </w:rPr>
              <w:t>(Ordonnance de non</w:t>
            </w:r>
            <w:r w:rsidRPr="00F24723">
              <w:rPr>
                <w:rFonts w:eastAsia="Calibri"/>
                <w:smallCaps/>
                <w:sz w:val="20"/>
                <w:lang w:val="fr-CA"/>
              </w:rPr>
              <w:noBreakHyphen/>
              <w:t>publication dans le dossier) (Ordonnance de non</w:t>
            </w:r>
            <w:r w:rsidRPr="00F24723">
              <w:rPr>
                <w:rFonts w:eastAsia="Calibri"/>
                <w:smallCaps/>
                <w:sz w:val="20"/>
                <w:lang w:val="fr-CA"/>
              </w:rPr>
              <w:noBreakHyphen/>
              <w:t>publication visant une partie)</w:t>
            </w:r>
          </w:p>
          <w:p w:rsidR="005F3B78" w:rsidRPr="00F24723" w:rsidRDefault="005F3B78" w:rsidP="00936316">
            <w:pPr>
              <w:jc w:val="both"/>
              <w:rPr>
                <w:rFonts w:eastAsia="Calibri"/>
                <w:smallCaps/>
                <w:sz w:val="20"/>
                <w:lang w:val="fr-CA"/>
              </w:rPr>
            </w:pPr>
          </w:p>
        </w:tc>
      </w:tr>
      <w:tr w:rsidR="005F3B78" w:rsidRPr="00F24723" w:rsidTr="00936316">
        <w:tc>
          <w:tcPr>
            <w:tcW w:w="5000" w:type="pct"/>
            <w:gridSpan w:val="3"/>
          </w:tcPr>
          <w:p w:rsidR="005F3B78" w:rsidRPr="00F24723" w:rsidRDefault="005F3B78" w:rsidP="00936316">
            <w:pPr>
              <w:widowControl w:val="0"/>
              <w:jc w:val="both"/>
              <w:rPr>
                <w:rFonts w:eastAsia="Calibri"/>
                <w:sz w:val="20"/>
                <w:lang w:val="fr-CA"/>
              </w:rPr>
            </w:pPr>
            <w:r w:rsidRPr="00F24723">
              <w:rPr>
                <w:rFonts w:eastAsia="Calibri"/>
                <w:sz w:val="20"/>
                <w:lang w:val="fr-CA"/>
              </w:rPr>
              <w:t>Droit criminel – Infractions – Négligence criminelle ayant causé des lésions corporelles – La Cour d’appel a</w:t>
            </w:r>
            <w:r w:rsidRPr="00F24723">
              <w:rPr>
                <w:rFonts w:eastAsia="Calibri"/>
                <w:sz w:val="20"/>
                <w:lang w:val="fr-CA"/>
              </w:rPr>
              <w:noBreakHyphen/>
              <w:t>t</w:t>
            </w:r>
            <w:r w:rsidRPr="00F24723">
              <w:rPr>
                <w:rFonts w:eastAsia="Calibri"/>
                <w:sz w:val="20"/>
                <w:lang w:val="fr-CA"/>
              </w:rPr>
              <w:noBreakHyphen/>
              <w:t xml:space="preserve">elle mal appliqué ou mal interprété le droit applicable en matière de négligence criminelle en imposant un critère purement objectif? – </w:t>
            </w:r>
            <w:r w:rsidRPr="00F24723">
              <w:rPr>
                <w:rFonts w:eastAsia="Calibri"/>
                <w:i/>
                <w:sz w:val="20"/>
                <w:lang w:val="fr-CA"/>
              </w:rPr>
              <w:t>Code criminel</w:t>
            </w:r>
            <w:r w:rsidRPr="00F24723">
              <w:rPr>
                <w:rFonts w:eastAsia="Calibri"/>
                <w:sz w:val="20"/>
                <w:lang w:val="fr-CA"/>
              </w:rPr>
              <w:t>, L.R.C. 1985, ch. C</w:t>
            </w:r>
            <w:r w:rsidRPr="00F24723">
              <w:rPr>
                <w:rFonts w:eastAsia="Calibri"/>
                <w:sz w:val="20"/>
                <w:lang w:val="fr-CA"/>
              </w:rPr>
              <w:noBreakHyphen/>
              <w:t xml:space="preserve">46, art. 216, 219, 221. </w:t>
            </w:r>
          </w:p>
          <w:p w:rsidR="005F3B78" w:rsidRPr="00F24723" w:rsidRDefault="005F3B78" w:rsidP="00936316">
            <w:pPr>
              <w:jc w:val="both"/>
              <w:rPr>
                <w:rFonts w:eastAsia="Calibri"/>
                <w:sz w:val="20"/>
                <w:lang w:val="fr-CA"/>
              </w:rPr>
            </w:pPr>
          </w:p>
          <w:p w:rsidR="005F3B78" w:rsidRPr="00F24723" w:rsidRDefault="005F3B78" w:rsidP="00936316">
            <w:pPr>
              <w:widowControl w:val="0"/>
              <w:jc w:val="both"/>
              <w:rPr>
                <w:rFonts w:eastAsia="Calibri"/>
                <w:sz w:val="20"/>
                <w:lang w:val="fr-CA"/>
              </w:rPr>
            </w:pPr>
            <w:r w:rsidRPr="00F24723">
              <w:rPr>
                <w:rFonts w:eastAsia="Calibri"/>
                <w:sz w:val="20"/>
                <w:lang w:val="fr-CA"/>
              </w:rPr>
              <w:t>Le demandeur a été déclaré coupable de négligence criminelle ayant causé des lésions corporelles pour avoir essayé de circoncire son fils de quatre ans sur le plancher de la cuisine dans sa maison.  Il a été acquitté des accusations de voies de fait graves et d’agression armée.  Selon la juge du procès, le demandeur a décidé, dans les années qui ont suivi la naissance de son fils, de [</w:t>
            </w:r>
            <w:r w:rsidRPr="00F24723">
              <w:rPr>
                <w:rFonts w:eastAsia="Calibri"/>
                <w:smallCaps/>
                <w:sz w:val="20"/>
                <w:lang w:val="fr-CA"/>
              </w:rPr>
              <w:t>traduction</w:t>
            </w:r>
            <w:r w:rsidRPr="00F24723">
              <w:rPr>
                <w:rFonts w:eastAsia="Calibri"/>
                <w:sz w:val="20"/>
                <w:lang w:val="fr-CA"/>
              </w:rPr>
              <w:t>] « suivre la volonté de Dieu » en se conformant aux lois de Moïse, lesquelles prescrivent notamment la circoncision.  Le ministère public a interjeté appel des acquittements, et le demandeur a interjeté appel de sa déclaration de culpabilité.  Selon lui, la juge du procès a mal appliqué le droit relatif à la négligence criminelle causant des lésions corporelles, compte tenu de sa croyance religieuse sincère en l’importance de la circoncision.  La Cour d’appel a accueilli l’appel du ministère public.  Elle a inscrit des déclarations de culpabilité de voies de fait graves et d’agression armée, et elle a suspendu la déclaration de culpabilité de négligence criminelle ayant causé des lésions corporelles, sous réserve du maintien de la déclaration de culpabilité pour voies de fait graves.  L’appel du demandeur a été rejeté.</w:t>
            </w:r>
          </w:p>
          <w:p w:rsidR="005F3B78" w:rsidRPr="00F24723" w:rsidRDefault="005F3B78" w:rsidP="00936316">
            <w:pPr>
              <w:jc w:val="both"/>
              <w:rPr>
                <w:rFonts w:eastAsia="Calibri"/>
                <w:sz w:val="20"/>
                <w:lang w:val="fr-CA"/>
              </w:rPr>
            </w:pPr>
          </w:p>
        </w:tc>
      </w:tr>
      <w:tr w:rsidR="005F3B78" w:rsidRPr="00B36F35" w:rsidTr="00936316">
        <w:tc>
          <w:tcPr>
            <w:tcW w:w="2427" w:type="pct"/>
          </w:tcPr>
          <w:p w:rsidR="005F3B78" w:rsidRPr="00F24723" w:rsidRDefault="005F3B78" w:rsidP="00936316">
            <w:pPr>
              <w:jc w:val="both"/>
              <w:rPr>
                <w:rFonts w:eastAsia="Calibri"/>
                <w:sz w:val="20"/>
                <w:lang w:val="fr-CA"/>
              </w:rPr>
            </w:pPr>
            <w:r w:rsidRPr="00F24723">
              <w:rPr>
                <w:rFonts w:eastAsia="Calibri"/>
                <w:sz w:val="20"/>
                <w:lang w:val="fr-CA"/>
              </w:rPr>
              <w:t>14 octobre 2009</w:t>
            </w:r>
          </w:p>
          <w:p w:rsidR="005F3B78" w:rsidRPr="00F24723" w:rsidRDefault="005F3B78" w:rsidP="00936316">
            <w:pPr>
              <w:jc w:val="both"/>
              <w:rPr>
                <w:rFonts w:eastAsia="Calibri"/>
                <w:sz w:val="20"/>
                <w:lang w:val="fr-CA"/>
              </w:rPr>
            </w:pPr>
            <w:r w:rsidRPr="00F24723">
              <w:rPr>
                <w:rFonts w:eastAsia="Calibri"/>
                <w:sz w:val="20"/>
                <w:lang w:val="fr-CA"/>
              </w:rPr>
              <w:t>Cour suprême de la Colombie</w:t>
            </w:r>
            <w:r w:rsidRPr="00F24723">
              <w:rPr>
                <w:rFonts w:eastAsia="Calibri"/>
                <w:sz w:val="20"/>
                <w:lang w:val="fr-CA"/>
              </w:rPr>
              <w:noBreakHyphen/>
              <w:t>Britannique</w:t>
            </w:r>
          </w:p>
          <w:p w:rsidR="005F3B78" w:rsidRPr="00F24723" w:rsidRDefault="005F3B78" w:rsidP="00936316">
            <w:pPr>
              <w:jc w:val="both"/>
              <w:rPr>
                <w:rFonts w:eastAsia="Calibri"/>
                <w:sz w:val="20"/>
                <w:lang w:val="fr-CA"/>
              </w:rPr>
            </w:pPr>
            <w:r w:rsidRPr="00F24723">
              <w:rPr>
                <w:rFonts w:eastAsia="Calibri"/>
                <w:sz w:val="20"/>
                <w:lang w:val="fr-CA"/>
              </w:rPr>
              <w:t>(Juge Allan)</w:t>
            </w:r>
          </w:p>
          <w:p w:rsidR="005F3B78" w:rsidRPr="00F24723" w:rsidRDefault="005F3B78" w:rsidP="00936316">
            <w:pPr>
              <w:jc w:val="both"/>
              <w:rPr>
                <w:rFonts w:eastAsia="Calibri"/>
                <w:sz w:val="20"/>
                <w:lang w:val="fr-CA"/>
              </w:rPr>
            </w:pPr>
            <w:r w:rsidRPr="00F24723">
              <w:rPr>
                <w:rFonts w:eastAsia="Calibri"/>
                <w:sz w:val="20"/>
                <w:lang w:val="fr-CA"/>
              </w:rPr>
              <w:t>2009 BCSC 1397</w:t>
            </w: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Demandeur déclaré coupable de négligence criminelle ayant causé des lésions corporelles, et acquitté des accusations de voies de fait grave et d’agression armée.</w:t>
            </w:r>
          </w:p>
          <w:p w:rsidR="005F3B78" w:rsidRPr="00F24723" w:rsidRDefault="005F3B78" w:rsidP="00936316">
            <w:pPr>
              <w:jc w:val="both"/>
              <w:rPr>
                <w:rFonts w:eastAsia="Calibri"/>
                <w:sz w:val="20"/>
                <w:lang w:val="fr-CA"/>
              </w:rPr>
            </w:pPr>
          </w:p>
        </w:tc>
      </w:tr>
      <w:tr w:rsidR="005F3B78" w:rsidRPr="00B36F35" w:rsidTr="00E86FF0">
        <w:trPr>
          <w:cantSplit/>
        </w:trPr>
        <w:tc>
          <w:tcPr>
            <w:tcW w:w="2427" w:type="pct"/>
          </w:tcPr>
          <w:p w:rsidR="005F3B78" w:rsidRPr="00F24723" w:rsidRDefault="005F3B78" w:rsidP="00936316">
            <w:pPr>
              <w:jc w:val="both"/>
              <w:rPr>
                <w:rFonts w:eastAsia="Calibri"/>
                <w:sz w:val="20"/>
                <w:lang w:val="fr-CA"/>
              </w:rPr>
            </w:pPr>
            <w:r w:rsidRPr="00F24723">
              <w:rPr>
                <w:rFonts w:eastAsia="Calibri"/>
                <w:sz w:val="20"/>
                <w:lang w:val="fr-CA"/>
              </w:rPr>
              <w:lastRenderedPageBreak/>
              <w:t>22 décembre 2011</w:t>
            </w:r>
          </w:p>
          <w:p w:rsidR="005F3B78" w:rsidRPr="00F24723" w:rsidRDefault="005F3B78" w:rsidP="00936316">
            <w:pPr>
              <w:jc w:val="both"/>
              <w:rPr>
                <w:rFonts w:eastAsia="Calibri"/>
                <w:sz w:val="20"/>
                <w:lang w:val="fr-CA"/>
              </w:rPr>
            </w:pPr>
            <w:r w:rsidRPr="00F24723">
              <w:rPr>
                <w:rFonts w:eastAsia="Calibri"/>
                <w:sz w:val="20"/>
                <w:lang w:val="fr-CA"/>
              </w:rPr>
              <w:t>Cour d’appel de la Colombie</w:t>
            </w:r>
            <w:r w:rsidRPr="00F24723">
              <w:rPr>
                <w:rFonts w:eastAsia="Calibri"/>
                <w:sz w:val="20"/>
                <w:lang w:val="fr-CA"/>
              </w:rPr>
              <w:noBreakHyphen/>
              <w:t xml:space="preserve">Britannique </w:t>
            </w:r>
          </w:p>
          <w:p w:rsidR="005F3B78" w:rsidRPr="00F24723" w:rsidRDefault="005F3B78" w:rsidP="00936316">
            <w:pPr>
              <w:jc w:val="both"/>
              <w:rPr>
                <w:rFonts w:eastAsia="Calibri"/>
                <w:sz w:val="20"/>
                <w:lang w:val="fr-CA"/>
              </w:rPr>
            </w:pPr>
            <w:r w:rsidRPr="00F24723">
              <w:rPr>
                <w:rFonts w:eastAsia="Calibri"/>
                <w:sz w:val="20"/>
                <w:lang w:val="fr-CA"/>
              </w:rPr>
              <w:t>(Les juges Finch, Kirkpatrick et Hinkson) 2011 BCCA 522</w:t>
            </w: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Appel du ministère public accueilli; inscriptions de déclarations de culpabilité de voies de fait graves et d’agression armée; suspension de la déclaration de culpabilité de négligence criminelle ayant causé des lésions corporelles, sous réserve du maintien de la déclaration de culpabilité pour voies de fait graves; appel du demandeur rejeté.</w:t>
            </w:r>
          </w:p>
          <w:p w:rsidR="005F3B78" w:rsidRPr="00F24723" w:rsidRDefault="005F3B78" w:rsidP="00936316">
            <w:pPr>
              <w:jc w:val="both"/>
              <w:rPr>
                <w:rFonts w:eastAsia="Calibri"/>
                <w:sz w:val="20"/>
                <w:lang w:val="fr-CA"/>
              </w:rPr>
            </w:pPr>
          </w:p>
        </w:tc>
      </w:tr>
      <w:tr w:rsidR="005F3B78" w:rsidRPr="00F24723" w:rsidTr="00E86FF0">
        <w:trPr>
          <w:cantSplit/>
        </w:trPr>
        <w:tc>
          <w:tcPr>
            <w:tcW w:w="2427" w:type="pct"/>
          </w:tcPr>
          <w:p w:rsidR="005F3B78" w:rsidRPr="00F24723" w:rsidRDefault="005F3B78" w:rsidP="00936316">
            <w:pPr>
              <w:jc w:val="both"/>
              <w:rPr>
                <w:rFonts w:eastAsia="Calibri"/>
                <w:sz w:val="20"/>
                <w:lang w:val="fr-CA"/>
              </w:rPr>
            </w:pPr>
            <w:r w:rsidRPr="00F24723">
              <w:rPr>
                <w:rFonts w:eastAsia="Calibri"/>
                <w:sz w:val="20"/>
                <w:lang w:val="fr-CA"/>
              </w:rPr>
              <w:t>11 janvier 2012</w:t>
            </w:r>
          </w:p>
          <w:p w:rsidR="005F3B78" w:rsidRPr="00F24723" w:rsidRDefault="005F3B78" w:rsidP="00936316">
            <w:pPr>
              <w:jc w:val="both"/>
              <w:rPr>
                <w:rFonts w:eastAsia="Calibri"/>
                <w:sz w:val="20"/>
                <w:lang w:val="fr-CA"/>
              </w:rPr>
            </w:pPr>
            <w:r w:rsidRPr="00F24723">
              <w:rPr>
                <w:rFonts w:eastAsia="Calibri"/>
                <w:sz w:val="20"/>
                <w:lang w:val="fr-CA"/>
              </w:rPr>
              <w:t>Cour suprême du Canada</w:t>
            </w: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Avis d’appel déposé.</w:t>
            </w:r>
          </w:p>
          <w:p w:rsidR="005F3B78" w:rsidRPr="00F24723" w:rsidRDefault="005F3B78" w:rsidP="00936316">
            <w:pPr>
              <w:jc w:val="both"/>
              <w:rPr>
                <w:rFonts w:eastAsia="Calibri"/>
                <w:sz w:val="20"/>
                <w:lang w:val="fr-CA"/>
              </w:rPr>
            </w:pPr>
          </w:p>
        </w:tc>
      </w:tr>
      <w:tr w:rsidR="005F3B78" w:rsidRPr="00B36F35" w:rsidTr="00E86FF0">
        <w:trPr>
          <w:cantSplit/>
        </w:trPr>
        <w:tc>
          <w:tcPr>
            <w:tcW w:w="2427" w:type="pct"/>
          </w:tcPr>
          <w:p w:rsidR="005F3B78" w:rsidRPr="00F24723" w:rsidRDefault="005F3B78" w:rsidP="00936316">
            <w:pPr>
              <w:jc w:val="both"/>
              <w:rPr>
                <w:rFonts w:eastAsia="Calibri"/>
                <w:sz w:val="20"/>
                <w:lang w:val="fr-CA"/>
              </w:rPr>
            </w:pPr>
            <w:r w:rsidRPr="00F24723">
              <w:rPr>
                <w:rFonts w:eastAsia="Calibri"/>
                <w:sz w:val="20"/>
                <w:lang w:val="fr-CA"/>
              </w:rPr>
              <w:t>8 février 2012</w:t>
            </w:r>
          </w:p>
          <w:p w:rsidR="005F3B78" w:rsidRPr="00F24723" w:rsidRDefault="005F3B78" w:rsidP="00936316">
            <w:pPr>
              <w:jc w:val="both"/>
              <w:rPr>
                <w:rFonts w:eastAsia="Calibri"/>
                <w:sz w:val="20"/>
                <w:lang w:val="fr-CA"/>
              </w:rPr>
            </w:pPr>
            <w:r w:rsidRPr="00F24723">
              <w:rPr>
                <w:rFonts w:eastAsia="Calibri"/>
                <w:sz w:val="20"/>
                <w:lang w:val="fr-CA"/>
              </w:rPr>
              <w:t>Cour suprême du Canada</w:t>
            </w: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Demande d’autorisation de pourvoi déposée.</w:t>
            </w:r>
          </w:p>
          <w:p w:rsidR="005F3B78" w:rsidRPr="00F24723" w:rsidRDefault="005F3B78" w:rsidP="00936316">
            <w:pPr>
              <w:jc w:val="both"/>
              <w:rPr>
                <w:rFonts w:eastAsia="Calibri"/>
                <w:sz w:val="20"/>
                <w:lang w:val="fr-CA"/>
              </w:rPr>
            </w:pPr>
          </w:p>
        </w:tc>
      </w:tr>
    </w:tbl>
    <w:p w:rsidR="001823C0" w:rsidRPr="005F3B78"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89" style="width:2in;height:1pt" o:hrpct="0" o:hralign="center" o:hrstd="t" o:hrnoshade="t" o:hr="t" fillcolor="black [3213]" stroked="f"/>
        </w:pict>
      </w:r>
    </w:p>
    <w:p w:rsidR="001823C0" w:rsidRDefault="001823C0" w:rsidP="001823C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6FF0" w:rsidRPr="00A00637" w:rsidTr="00E86FF0">
        <w:trPr>
          <w:cantSplit/>
        </w:trPr>
        <w:tc>
          <w:tcPr>
            <w:tcW w:w="1458" w:type="dxa"/>
          </w:tcPr>
          <w:p w:rsidR="00E86FF0" w:rsidRPr="00A00637" w:rsidRDefault="00E86FF0" w:rsidP="00E86FF0">
            <w:pPr>
              <w:rPr>
                <w:sz w:val="20"/>
                <w:szCs w:val="20"/>
              </w:rPr>
            </w:pPr>
            <w:r w:rsidRPr="00A00637">
              <w:rPr>
                <w:rStyle w:val="SCCFileNumberChar"/>
                <w:sz w:val="20"/>
                <w:szCs w:val="20"/>
              </w:rPr>
              <w:t>34648</w:t>
            </w:r>
          </w:p>
          <w:p w:rsidR="00E86FF0" w:rsidRPr="00A00637" w:rsidRDefault="00E86FF0" w:rsidP="00E86FF0">
            <w:pPr>
              <w:rPr>
                <w:b/>
                <w:sz w:val="20"/>
                <w:szCs w:val="20"/>
                <w:lang w:val="fr-CA"/>
              </w:rPr>
            </w:pPr>
          </w:p>
        </w:tc>
        <w:tc>
          <w:tcPr>
            <w:tcW w:w="8118" w:type="dxa"/>
          </w:tcPr>
          <w:p w:rsidR="00E86FF0" w:rsidRPr="00A00637" w:rsidRDefault="00E86FF0" w:rsidP="00E86FF0">
            <w:pPr>
              <w:jc w:val="both"/>
              <w:rPr>
                <w:sz w:val="20"/>
                <w:szCs w:val="20"/>
              </w:rPr>
            </w:pPr>
            <w:r w:rsidRPr="00E86FF0">
              <w:rPr>
                <w:rStyle w:val="SCCLsocChar"/>
                <w:sz w:val="20"/>
                <w:szCs w:val="20"/>
                <w:lang w:val="en-CA"/>
              </w:rPr>
              <w:t>William Joseph Black v. Her Majesty the Queen</w:t>
            </w:r>
            <w:r>
              <w:rPr>
                <w:rStyle w:val="SCCLsocChar"/>
                <w:sz w:val="20"/>
                <w:szCs w:val="20"/>
                <w:lang w:val="en-CA"/>
              </w:rPr>
              <w:t xml:space="preserve"> and </w:t>
            </w:r>
            <w:r w:rsidRPr="00E86FF0">
              <w:rPr>
                <w:rStyle w:val="SCCLsocChar"/>
                <w:sz w:val="20"/>
                <w:szCs w:val="20"/>
                <w:lang w:val="en-CA"/>
              </w:rPr>
              <w:t>Chief of Police, Edmonton Police Service</w:t>
            </w:r>
            <w:r w:rsidRPr="00A00637">
              <w:rPr>
                <w:sz w:val="20"/>
                <w:szCs w:val="20"/>
              </w:rPr>
              <w:t xml:space="preserve"> (Alta.) (Criminal) (By Leave)</w:t>
            </w:r>
          </w:p>
          <w:p w:rsidR="00E86FF0" w:rsidRPr="00A00637" w:rsidRDefault="00E86FF0" w:rsidP="00E86FF0">
            <w:pPr>
              <w:rPr>
                <w:sz w:val="20"/>
                <w:szCs w:val="20"/>
              </w:rPr>
            </w:pPr>
          </w:p>
        </w:tc>
      </w:tr>
      <w:tr w:rsidR="00E86FF0" w:rsidRPr="00A00637" w:rsidTr="00E86FF0">
        <w:trPr>
          <w:cantSplit/>
        </w:trPr>
        <w:tc>
          <w:tcPr>
            <w:tcW w:w="1458" w:type="dxa"/>
          </w:tcPr>
          <w:p w:rsidR="00E86FF0" w:rsidRPr="00A00637" w:rsidRDefault="00E86FF0" w:rsidP="00E86FF0">
            <w:pPr>
              <w:rPr>
                <w:sz w:val="20"/>
                <w:szCs w:val="20"/>
              </w:rPr>
            </w:pPr>
            <w:r w:rsidRPr="00A00637">
              <w:rPr>
                <w:sz w:val="20"/>
                <w:szCs w:val="20"/>
              </w:rPr>
              <w:t>Coram :</w:t>
            </w:r>
          </w:p>
        </w:tc>
        <w:tc>
          <w:tcPr>
            <w:tcW w:w="8118" w:type="dxa"/>
          </w:tcPr>
          <w:p w:rsidR="00E86FF0" w:rsidRPr="00A00637" w:rsidRDefault="00E86FF0" w:rsidP="00E86FF0">
            <w:pPr>
              <w:rPr>
                <w:sz w:val="20"/>
                <w:szCs w:val="20"/>
              </w:rPr>
            </w:pPr>
            <w:r w:rsidRPr="00E86FF0">
              <w:rPr>
                <w:rStyle w:val="SCCCoramChar"/>
                <w:sz w:val="20"/>
                <w:szCs w:val="20"/>
                <w:lang w:val="en-CA"/>
              </w:rPr>
              <w:t>McLachlin C.J. and Rothstein and Moldaver JJ.</w:t>
            </w:r>
          </w:p>
          <w:p w:rsidR="00E86FF0" w:rsidRPr="00A00637" w:rsidRDefault="00E86FF0" w:rsidP="00E86FF0">
            <w:pPr>
              <w:rPr>
                <w:sz w:val="20"/>
                <w:szCs w:val="20"/>
                <w:u w:val="single"/>
              </w:rPr>
            </w:pPr>
          </w:p>
        </w:tc>
      </w:tr>
      <w:tr w:rsidR="00E86FF0" w:rsidRPr="00B36F35" w:rsidTr="00E86FF0">
        <w:trPr>
          <w:cantSplit/>
        </w:trPr>
        <w:tc>
          <w:tcPr>
            <w:tcW w:w="9576" w:type="dxa"/>
            <w:gridSpan w:val="2"/>
          </w:tcPr>
          <w:p w:rsidR="00E86FF0" w:rsidRPr="00A00637" w:rsidRDefault="00E86FF0" w:rsidP="00E86FF0">
            <w:pPr>
              <w:pStyle w:val="SCCShortJudgment"/>
              <w:rPr>
                <w:szCs w:val="20"/>
              </w:rPr>
            </w:pPr>
            <w:r w:rsidRPr="00A00637">
              <w:rPr>
                <w:szCs w:val="20"/>
              </w:rPr>
              <w:t>The application for leave to appeal from the judgment of the Court of Appeal of Alberta (Edmonton), Number 1003-0219-A, 2011 ABCA 349, dated December 5, 2011, is dismissed without costs.</w:t>
            </w:r>
          </w:p>
          <w:p w:rsidR="00E86FF0" w:rsidRPr="00A00637" w:rsidRDefault="00E86FF0" w:rsidP="00E86FF0">
            <w:pPr>
              <w:pStyle w:val="SCCShortJudgment"/>
              <w:ind w:firstLine="0"/>
              <w:rPr>
                <w:szCs w:val="20"/>
              </w:rPr>
            </w:pPr>
          </w:p>
          <w:p w:rsidR="00E86FF0" w:rsidRPr="00A00637" w:rsidRDefault="00E86FF0" w:rsidP="00E86FF0">
            <w:pPr>
              <w:pStyle w:val="SCCShortJudgment"/>
              <w:rPr>
                <w:szCs w:val="20"/>
                <w:lang w:val="fr-CA"/>
              </w:rPr>
            </w:pPr>
            <w:r w:rsidRPr="00A00637">
              <w:rPr>
                <w:szCs w:val="20"/>
                <w:lang w:val="fr-CA"/>
              </w:rPr>
              <w:t>La demande d’autorisation d’appel de l’arrêt de la Cour d’appel de l’Alberta (Edmonton), numéro 1003-0219-A, 2011 ABCA 349, daté du 5 décembre 2011, est rejetée sans dépens.</w:t>
            </w:r>
          </w:p>
        </w:tc>
      </w:tr>
    </w:tbl>
    <w:p w:rsidR="001823C0" w:rsidRPr="00E86FF0" w:rsidRDefault="001823C0" w:rsidP="001823C0">
      <w:pPr>
        <w:rPr>
          <w:sz w:val="20"/>
          <w:szCs w:val="20"/>
          <w:lang w:val="fr-CA"/>
        </w:rPr>
      </w:pPr>
    </w:p>
    <w:p w:rsidR="001823C0" w:rsidRPr="001B157C" w:rsidRDefault="001823C0" w:rsidP="001823C0">
      <w:pPr>
        <w:rPr>
          <w:sz w:val="20"/>
          <w:szCs w:val="20"/>
          <w:u w:val="single"/>
        </w:rPr>
      </w:pPr>
      <w:r w:rsidRPr="001B157C">
        <w:rPr>
          <w:sz w:val="20"/>
          <w:szCs w:val="20"/>
          <w:u w:val="single"/>
        </w:rPr>
        <w:t>CASE SUMMARY</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9527"/>
      </w:tblGrid>
      <w:tr w:rsidR="005F3B78" w:rsidRPr="00F24723" w:rsidTr="00936316">
        <w:trPr>
          <w:trHeight w:val="20"/>
        </w:trPr>
        <w:tc>
          <w:tcPr>
            <w:tcW w:w="5000" w:type="pct"/>
          </w:tcPr>
          <w:p w:rsidR="005F3B78" w:rsidRPr="00F24723" w:rsidRDefault="005F3B78" w:rsidP="00936316">
            <w:pPr>
              <w:jc w:val="both"/>
              <w:rPr>
                <w:rFonts w:eastAsia="Calibri"/>
                <w:sz w:val="20"/>
              </w:rPr>
            </w:pPr>
            <w:r w:rsidRPr="00F24723">
              <w:rPr>
                <w:rFonts w:eastAsia="Calibri"/>
                <w:sz w:val="20"/>
              </w:rPr>
              <w:t>Criminal law – Impaired driving offences – Disclosure – What is the scope of the Crown’s disclosure obligation relating to police use of statutorily</w:t>
            </w:r>
            <w:r w:rsidRPr="00F24723">
              <w:rPr>
                <w:rFonts w:eastAsia="Calibri"/>
                <w:sz w:val="20"/>
              </w:rPr>
              <w:noBreakHyphen/>
              <w:t>approved breath</w:t>
            </w:r>
            <w:r w:rsidRPr="00F24723">
              <w:rPr>
                <w:rFonts w:eastAsia="Calibri"/>
                <w:sz w:val="20"/>
              </w:rPr>
              <w:noBreakHyphen/>
              <w:t>testing equipment, and should it encompass records of the operational maintenance of the equipment – Should the accused, in defending charges of alcohol</w:t>
            </w:r>
            <w:r w:rsidRPr="00F24723">
              <w:rPr>
                <w:rFonts w:eastAsia="Calibri"/>
                <w:sz w:val="20"/>
              </w:rPr>
              <w:noBreakHyphen/>
              <w:t>related driving, be afforded access to material with respect to the calibration and maintenance of the equipment as first</w:t>
            </w:r>
            <w:r w:rsidRPr="00F24723">
              <w:rPr>
                <w:rFonts w:eastAsia="Calibri"/>
                <w:sz w:val="20"/>
              </w:rPr>
              <w:noBreakHyphen/>
              <w:t>party disclosure</w:t>
            </w:r>
          </w:p>
          <w:p w:rsidR="005F3B78" w:rsidRPr="00F24723" w:rsidRDefault="005F3B78" w:rsidP="00936316">
            <w:pPr>
              <w:jc w:val="both"/>
              <w:rPr>
                <w:rFonts w:eastAsia="Calibri"/>
                <w:sz w:val="20"/>
              </w:rPr>
            </w:pPr>
          </w:p>
        </w:tc>
      </w:tr>
      <w:tr w:rsidR="005F3B78" w:rsidRPr="00F24723" w:rsidTr="00936316">
        <w:tc>
          <w:tcPr>
            <w:tcW w:w="5000" w:type="pct"/>
          </w:tcPr>
          <w:p w:rsidR="005F3B78" w:rsidRPr="00F24723" w:rsidRDefault="005F3B78" w:rsidP="00936316">
            <w:pPr>
              <w:jc w:val="both"/>
              <w:rPr>
                <w:rFonts w:eastAsia="Calibri"/>
                <w:sz w:val="20"/>
              </w:rPr>
            </w:pPr>
            <w:r w:rsidRPr="00F24723">
              <w:rPr>
                <w:rFonts w:eastAsia="Calibri"/>
                <w:sz w:val="20"/>
              </w:rPr>
              <w:t>The applicant, Mr. William Joseph Black, was charged with alcohol</w:t>
            </w:r>
            <w:r w:rsidRPr="00F24723">
              <w:rPr>
                <w:rFonts w:eastAsia="Calibri"/>
                <w:sz w:val="20"/>
              </w:rPr>
              <w:noBreakHyphen/>
              <w:t xml:space="preserve">related driving offences contrary to subsections 253(1)(a) and 253(1)(b) of the </w:t>
            </w:r>
            <w:r w:rsidRPr="00F24723">
              <w:rPr>
                <w:rFonts w:eastAsia="Calibri"/>
                <w:i/>
                <w:sz w:val="20"/>
              </w:rPr>
              <w:t>Criminal Code</w:t>
            </w:r>
            <w:r w:rsidRPr="00F24723">
              <w:rPr>
                <w:rFonts w:eastAsia="Calibri"/>
                <w:sz w:val="20"/>
              </w:rPr>
              <w:t>.  Mr. Black’s trial counsel brought an application for disclosure of records related to the calibration of the approved screening device (“ASD”) used to test Mr. Black’s breath on the date in question.  The respondent Attorney General of Alberta (“Alberta”) opposed the application, arguing that Mr. Black was required to file a third</w:t>
            </w:r>
            <w:r w:rsidRPr="00F24723">
              <w:rPr>
                <w:rFonts w:eastAsia="Calibri"/>
                <w:sz w:val="20"/>
              </w:rPr>
              <w:noBreakHyphen/>
              <w:t>party application for disclosure from the Edmonton Police Service (EPS), and arguing that the records were not relevant.  Mr. Black’s trial was adjourned pending the outcome of the disclosure application.  A Provincial Court judge allowed Mr. Black’s application, and ordered disclosure of the ASD calibration logs for a three</w:t>
            </w:r>
            <w:r w:rsidRPr="00F24723">
              <w:rPr>
                <w:rFonts w:eastAsia="Calibri"/>
                <w:sz w:val="20"/>
              </w:rPr>
              <w:noBreakHyphen/>
              <w:t>month period prior to the charges and a two</w:t>
            </w:r>
            <w:r w:rsidRPr="00F24723">
              <w:rPr>
                <w:rFonts w:eastAsia="Calibri"/>
                <w:sz w:val="20"/>
              </w:rPr>
              <w:noBreakHyphen/>
              <w:t xml:space="preserve">month period subsequent to the charges.  The Court of Queen’s Bench for Alberta dismissed applications by Alberta and the Chief of the EPS to quash the disclosure order.  A majority of the Court of Appeal for Alberta (Bielby J.A. dissenting) allowed Alberta’s and the Chief of the EPS’ appeals, quashing the original order for disclosure.  </w:t>
            </w:r>
          </w:p>
          <w:p w:rsidR="005F3B78" w:rsidRPr="00F24723" w:rsidRDefault="005F3B78" w:rsidP="00936316">
            <w:pPr>
              <w:jc w:val="both"/>
              <w:rPr>
                <w:rFonts w:eastAsia="Calibri"/>
                <w:sz w:val="20"/>
              </w:rPr>
            </w:pPr>
          </w:p>
        </w:tc>
      </w:tr>
    </w:tbl>
    <w:p w:rsidR="00874D5E" w:rsidRDefault="00874D5E"/>
    <w:tbl>
      <w:tblPr>
        <w:tblW w:w="4952" w:type="pct"/>
        <w:tblLayout w:type="fixed"/>
        <w:tblCellMar>
          <w:left w:w="0" w:type="dxa"/>
          <w:bottom w:w="99" w:type="dxa"/>
          <w:right w:w="0" w:type="dxa"/>
        </w:tblCellMar>
        <w:tblLook w:val="04A0"/>
      </w:tblPr>
      <w:tblGrid>
        <w:gridCol w:w="4624"/>
        <w:gridCol w:w="463"/>
        <w:gridCol w:w="4440"/>
      </w:tblGrid>
      <w:tr w:rsidR="005F3B78" w:rsidRPr="00F24723" w:rsidTr="00874D5E">
        <w:trPr>
          <w:cantSplit/>
        </w:trPr>
        <w:tc>
          <w:tcPr>
            <w:tcW w:w="2427" w:type="pct"/>
          </w:tcPr>
          <w:p w:rsidR="005F3B78" w:rsidRPr="00F24723" w:rsidRDefault="005F3B78" w:rsidP="00936316">
            <w:pPr>
              <w:jc w:val="both"/>
              <w:rPr>
                <w:rFonts w:eastAsia="Calibri"/>
                <w:sz w:val="20"/>
              </w:rPr>
            </w:pPr>
            <w:r w:rsidRPr="00F24723">
              <w:rPr>
                <w:rFonts w:eastAsia="Calibri"/>
                <w:sz w:val="20"/>
              </w:rPr>
              <w:lastRenderedPageBreak/>
              <w:t>October 1, 2009</w:t>
            </w:r>
          </w:p>
          <w:p w:rsidR="005F3B78" w:rsidRPr="00F24723" w:rsidRDefault="005F3B78" w:rsidP="00936316">
            <w:pPr>
              <w:jc w:val="both"/>
              <w:rPr>
                <w:rFonts w:eastAsia="Calibri"/>
                <w:sz w:val="20"/>
              </w:rPr>
            </w:pPr>
            <w:r w:rsidRPr="00F24723">
              <w:rPr>
                <w:rFonts w:eastAsia="Calibri"/>
                <w:sz w:val="20"/>
              </w:rPr>
              <w:t>Provincial Court of Alberta</w:t>
            </w:r>
          </w:p>
          <w:p w:rsidR="005F3B78" w:rsidRPr="00F24723" w:rsidRDefault="005F3B78" w:rsidP="00936316">
            <w:pPr>
              <w:jc w:val="both"/>
              <w:rPr>
                <w:rFonts w:eastAsia="Calibri"/>
                <w:sz w:val="20"/>
              </w:rPr>
            </w:pPr>
            <w:r w:rsidRPr="00F24723">
              <w:rPr>
                <w:rFonts w:eastAsia="Calibri"/>
                <w:sz w:val="20"/>
              </w:rPr>
              <w:t>(Bradley P.C.J.)</w:t>
            </w:r>
          </w:p>
          <w:p w:rsidR="005F3B78" w:rsidRPr="00F24723" w:rsidRDefault="005F3B78" w:rsidP="00936316">
            <w:pPr>
              <w:jc w:val="both"/>
              <w:rPr>
                <w:rFonts w:eastAsia="Calibri"/>
                <w:sz w:val="20"/>
              </w:rPr>
            </w:pP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Order requiring disclosure of police records concerning calibration of an approved alcohol screening device prior to and subsequent to testing of applicant’s breath</w:t>
            </w:r>
          </w:p>
          <w:p w:rsidR="005F3B78" w:rsidRPr="00F24723" w:rsidRDefault="005F3B78" w:rsidP="00936316">
            <w:pPr>
              <w:jc w:val="both"/>
              <w:rPr>
                <w:rFonts w:eastAsia="Calibri"/>
                <w:sz w:val="20"/>
              </w:rPr>
            </w:pPr>
          </w:p>
        </w:tc>
      </w:tr>
      <w:tr w:rsidR="005F3B78" w:rsidRPr="00F24723" w:rsidTr="00874D5E">
        <w:trPr>
          <w:cantSplit/>
        </w:trPr>
        <w:tc>
          <w:tcPr>
            <w:tcW w:w="2427" w:type="pct"/>
          </w:tcPr>
          <w:p w:rsidR="005F3B78" w:rsidRPr="00F24723" w:rsidRDefault="005F3B78" w:rsidP="00936316">
            <w:pPr>
              <w:jc w:val="both"/>
              <w:rPr>
                <w:rFonts w:eastAsia="Calibri"/>
                <w:sz w:val="20"/>
              </w:rPr>
            </w:pPr>
            <w:r w:rsidRPr="00F24723">
              <w:rPr>
                <w:rFonts w:eastAsia="Calibri"/>
                <w:sz w:val="20"/>
              </w:rPr>
              <w:t>July 8, 2010</w:t>
            </w:r>
          </w:p>
          <w:p w:rsidR="005F3B78" w:rsidRPr="00F24723" w:rsidRDefault="005F3B78" w:rsidP="00936316">
            <w:pPr>
              <w:jc w:val="both"/>
              <w:rPr>
                <w:rFonts w:eastAsia="Calibri"/>
                <w:sz w:val="20"/>
              </w:rPr>
            </w:pPr>
            <w:r w:rsidRPr="00F24723">
              <w:rPr>
                <w:rFonts w:eastAsia="Calibri"/>
                <w:sz w:val="20"/>
              </w:rPr>
              <w:t>Court of Queen’s Bench of Alberta</w:t>
            </w:r>
          </w:p>
          <w:p w:rsidR="005F3B78" w:rsidRPr="00F24723" w:rsidRDefault="005F3B78" w:rsidP="00936316">
            <w:pPr>
              <w:jc w:val="both"/>
              <w:rPr>
                <w:rFonts w:eastAsia="Calibri"/>
                <w:sz w:val="20"/>
              </w:rPr>
            </w:pPr>
            <w:r w:rsidRPr="00F24723">
              <w:rPr>
                <w:rFonts w:eastAsia="Calibri"/>
                <w:sz w:val="20"/>
              </w:rPr>
              <w:t>(Burrows J.)</w:t>
            </w:r>
          </w:p>
          <w:p w:rsidR="005F3B78" w:rsidRPr="00F24723" w:rsidRDefault="005F3B78" w:rsidP="00936316">
            <w:pPr>
              <w:jc w:val="both"/>
              <w:rPr>
                <w:rFonts w:eastAsia="Calibri"/>
                <w:sz w:val="20"/>
              </w:rPr>
            </w:pPr>
            <w:r w:rsidRPr="00F24723">
              <w:rPr>
                <w:rFonts w:eastAsia="Calibri"/>
                <w:sz w:val="20"/>
              </w:rPr>
              <w:t>2010 ABQB 461</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Respondents’ applications to quash disclosure order, dismissed</w:t>
            </w:r>
          </w:p>
        </w:tc>
      </w:tr>
      <w:tr w:rsidR="005F3B78" w:rsidRPr="00F24723" w:rsidTr="00874D5E">
        <w:trPr>
          <w:cantSplit/>
        </w:trPr>
        <w:tc>
          <w:tcPr>
            <w:tcW w:w="2427" w:type="pct"/>
          </w:tcPr>
          <w:p w:rsidR="005F3B78" w:rsidRPr="00F24723" w:rsidRDefault="005F3B78" w:rsidP="00936316">
            <w:pPr>
              <w:jc w:val="both"/>
              <w:rPr>
                <w:rFonts w:eastAsia="Calibri"/>
                <w:sz w:val="20"/>
              </w:rPr>
            </w:pPr>
            <w:r w:rsidRPr="00F24723">
              <w:rPr>
                <w:rFonts w:eastAsia="Calibri"/>
                <w:sz w:val="20"/>
              </w:rPr>
              <w:t>December 5, 2011</w:t>
            </w:r>
          </w:p>
          <w:p w:rsidR="005F3B78" w:rsidRPr="00F24723" w:rsidRDefault="005F3B78" w:rsidP="00936316">
            <w:pPr>
              <w:jc w:val="both"/>
              <w:rPr>
                <w:rFonts w:eastAsia="Calibri"/>
                <w:sz w:val="20"/>
              </w:rPr>
            </w:pPr>
            <w:r w:rsidRPr="00F24723">
              <w:rPr>
                <w:rFonts w:eastAsia="Calibri"/>
                <w:sz w:val="20"/>
              </w:rPr>
              <w:t>Court of Appeal of Alberta (Edmonton)</w:t>
            </w:r>
          </w:p>
          <w:p w:rsidR="005F3B78" w:rsidRPr="00F24723" w:rsidRDefault="005F3B78" w:rsidP="00936316">
            <w:pPr>
              <w:jc w:val="both"/>
              <w:rPr>
                <w:rFonts w:eastAsia="Calibri"/>
                <w:sz w:val="20"/>
              </w:rPr>
            </w:pPr>
            <w:r w:rsidRPr="00F24723">
              <w:rPr>
                <w:rFonts w:eastAsia="Calibri"/>
                <w:sz w:val="20"/>
              </w:rPr>
              <w:t>(Ritter and O'Brien JJ.A., Bielby J.A. [dissenting])</w:t>
            </w:r>
          </w:p>
          <w:p w:rsidR="005F3B78" w:rsidRPr="00F24723" w:rsidRDefault="005F3B78" w:rsidP="00936316">
            <w:pPr>
              <w:jc w:val="both"/>
              <w:rPr>
                <w:rFonts w:eastAsia="Calibri"/>
                <w:sz w:val="20"/>
              </w:rPr>
            </w:pPr>
            <w:r w:rsidRPr="00F24723">
              <w:rPr>
                <w:rFonts w:eastAsia="Calibri"/>
                <w:sz w:val="20"/>
              </w:rPr>
              <w:t>2011 ABCA 349</w:t>
            </w:r>
          </w:p>
          <w:p w:rsidR="005F3B78" w:rsidRPr="00F24723" w:rsidRDefault="005F3B78" w:rsidP="00936316">
            <w:pPr>
              <w:jc w:val="both"/>
              <w:rPr>
                <w:rFonts w:eastAsia="Calibri"/>
                <w:sz w:val="20"/>
              </w:rPr>
            </w:pPr>
            <w:r w:rsidRPr="00F24723">
              <w:rPr>
                <w:rFonts w:eastAsia="Calibri"/>
                <w:sz w:val="20"/>
              </w:rPr>
              <w:t>DOCKET: 1003</w:t>
            </w:r>
            <w:r w:rsidRPr="00F24723">
              <w:rPr>
                <w:rFonts w:eastAsia="Calibri"/>
                <w:sz w:val="20"/>
              </w:rPr>
              <w:noBreakHyphen/>
              <w:t>0219</w:t>
            </w:r>
            <w:r w:rsidRPr="00F24723">
              <w:rPr>
                <w:rFonts w:eastAsia="Calibri"/>
                <w:sz w:val="20"/>
              </w:rPr>
              <w:noBreakHyphen/>
              <w:t>A</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Respondents’ appeals from dismissal of applications to quash disclosure order, allowed</w:t>
            </w:r>
          </w:p>
          <w:p w:rsidR="005F3B78" w:rsidRPr="00F24723" w:rsidRDefault="005F3B78" w:rsidP="00936316">
            <w:pPr>
              <w:jc w:val="both"/>
              <w:rPr>
                <w:rFonts w:eastAsia="Calibri"/>
                <w:sz w:val="20"/>
              </w:rPr>
            </w:pPr>
          </w:p>
        </w:tc>
      </w:tr>
      <w:tr w:rsidR="005F3B78" w:rsidRPr="00F24723" w:rsidTr="00874D5E">
        <w:trPr>
          <w:cantSplit/>
        </w:trPr>
        <w:tc>
          <w:tcPr>
            <w:tcW w:w="2427" w:type="pct"/>
          </w:tcPr>
          <w:p w:rsidR="005F3B78" w:rsidRPr="00F24723" w:rsidRDefault="005F3B78" w:rsidP="00936316">
            <w:pPr>
              <w:jc w:val="both"/>
              <w:rPr>
                <w:rFonts w:eastAsia="Calibri"/>
                <w:sz w:val="20"/>
              </w:rPr>
            </w:pPr>
            <w:r w:rsidRPr="00F24723">
              <w:rPr>
                <w:rFonts w:eastAsia="Calibri"/>
                <w:sz w:val="20"/>
              </w:rPr>
              <w:t>February 3, 2012</w:t>
            </w:r>
          </w:p>
          <w:p w:rsidR="005F3B78" w:rsidRPr="00F24723" w:rsidRDefault="005F3B78" w:rsidP="00936316">
            <w:pPr>
              <w:jc w:val="both"/>
              <w:rPr>
                <w:rFonts w:eastAsia="Calibri"/>
                <w:sz w:val="20"/>
              </w:rPr>
            </w:pPr>
            <w:r w:rsidRPr="00F24723">
              <w:rPr>
                <w:rFonts w:eastAsia="Calibri"/>
                <w:sz w:val="20"/>
              </w:rPr>
              <w:t>Supreme Court of Canada</w:t>
            </w: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rPr>
            </w:pPr>
            <w:r w:rsidRPr="00F24723">
              <w:rPr>
                <w:rFonts w:eastAsia="Calibri"/>
                <w:sz w:val="20"/>
              </w:rPr>
              <w:t>Application for leave to appeal filed by Mr. Black</w:t>
            </w:r>
          </w:p>
        </w:tc>
      </w:tr>
    </w:tbl>
    <w:p w:rsidR="001823C0" w:rsidRDefault="001823C0" w:rsidP="001823C0">
      <w:pPr>
        <w:rPr>
          <w:sz w:val="20"/>
          <w:szCs w:val="20"/>
        </w:rPr>
      </w:pPr>
    </w:p>
    <w:p w:rsidR="001823C0" w:rsidRPr="00C50A5C" w:rsidRDefault="009134DA" w:rsidP="001823C0">
      <w:pPr>
        <w:rPr>
          <w:sz w:val="20"/>
          <w:szCs w:val="20"/>
        </w:rPr>
      </w:pPr>
      <w:r w:rsidRPr="009134DA">
        <w:rPr>
          <w:sz w:val="20"/>
          <w:szCs w:val="20"/>
          <w:lang w:val="fr-CA"/>
        </w:rPr>
        <w:pict>
          <v:rect id="_x0000_i1090" style="width:2in;height:1pt" o:hrpct="0" o:hralign="center" o:hrstd="t" o:hrnoshade="t" o:hr="t" fillcolor="black [3213]" stroked="f"/>
        </w:pict>
      </w:r>
    </w:p>
    <w:p w:rsidR="001823C0" w:rsidRDefault="001823C0" w:rsidP="001823C0">
      <w:pPr>
        <w:rPr>
          <w:sz w:val="20"/>
          <w:szCs w:val="20"/>
        </w:rPr>
      </w:pPr>
    </w:p>
    <w:p w:rsidR="001823C0" w:rsidRPr="001B157C" w:rsidRDefault="001823C0" w:rsidP="001823C0">
      <w:pPr>
        <w:rPr>
          <w:sz w:val="20"/>
          <w:szCs w:val="20"/>
          <w:u w:val="single"/>
          <w:lang w:val="fr-CA"/>
        </w:rPr>
      </w:pPr>
      <w:r w:rsidRPr="001B157C">
        <w:rPr>
          <w:sz w:val="20"/>
          <w:szCs w:val="20"/>
          <w:u w:val="single"/>
          <w:lang w:val="fr-CA"/>
        </w:rPr>
        <w:t>RÉSUMÉ DE L’AFFAIRE</w:t>
      </w:r>
    </w:p>
    <w:p w:rsidR="001823C0" w:rsidRDefault="001823C0" w:rsidP="001823C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3B78" w:rsidRPr="00B36F35" w:rsidTr="00936316">
        <w:trPr>
          <w:trHeight w:val="1296"/>
        </w:trPr>
        <w:tc>
          <w:tcPr>
            <w:tcW w:w="5000" w:type="pct"/>
            <w:gridSpan w:val="3"/>
          </w:tcPr>
          <w:p w:rsidR="005F3B78" w:rsidRPr="00F24723" w:rsidRDefault="005F3B78" w:rsidP="00936316">
            <w:pPr>
              <w:jc w:val="both"/>
              <w:rPr>
                <w:rFonts w:eastAsia="Calibri"/>
                <w:sz w:val="20"/>
                <w:lang w:val="fr-CA"/>
              </w:rPr>
            </w:pPr>
            <w:r w:rsidRPr="00F24723">
              <w:rPr>
                <w:rFonts w:eastAsia="Calibri"/>
                <w:sz w:val="20"/>
                <w:lang w:val="fr-CA"/>
              </w:rPr>
              <w:t>Droit criminel – Infractions de conduite avec facultés affaiblies – Communication de la preuve – Quelle est l’étendue de l’obligation de communication du ministère public en ce qui concerne l’utilisation par la police d’un alcootest approuvé par la loi? Les registres relatifs à l’entretien de l’équipement devraient</w:t>
            </w:r>
            <w:r w:rsidRPr="00F24723">
              <w:rPr>
                <w:rFonts w:eastAsia="Calibri"/>
                <w:sz w:val="20"/>
                <w:lang w:val="fr-CA"/>
              </w:rPr>
              <w:noBreakHyphen/>
              <w:t>ils également être communiqués? – Dans la préparation de sa défense contre des accusations de conduite avec facultés affaiblies, l’accusé devrait</w:t>
            </w:r>
            <w:r w:rsidRPr="00F24723">
              <w:rPr>
                <w:rFonts w:eastAsia="Calibri"/>
                <w:sz w:val="20"/>
                <w:lang w:val="fr-CA"/>
              </w:rPr>
              <w:noBreakHyphen/>
              <w:t>il avoir accès aux registres d’étalonnage et d’entretien de l’équipement au motif qu’il s’agit de renseignements en la possession de la partie principale?</w:t>
            </w:r>
          </w:p>
          <w:p w:rsidR="005F3B78" w:rsidRPr="00F24723" w:rsidRDefault="005F3B78" w:rsidP="00936316">
            <w:pPr>
              <w:jc w:val="both"/>
              <w:rPr>
                <w:rFonts w:eastAsia="Calibri"/>
                <w:sz w:val="20"/>
                <w:lang w:val="fr-CA"/>
              </w:rPr>
            </w:pPr>
          </w:p>
        </w:tc>
      </w:tr>
      <w:tr w:rsidR="005F3B78" w:rsidRPr="00B36F35" w:rsidTr="00936316">
        <w:tc>
          <w:tcPr>
            <w:tcW w:w="5000" w:type="pct"/>
            <w:gridSpan w:val="3"/>
          </w:tcPr>
          <w:p w:rsidR="005F3B78" w:rsidRPr="00F24723" w:rsidRDefault="005F3B78" w:rsidP="00936316">
            <w:pPr>
              <w:jc w:val="both"/>
              <w:rPr>
                <w:rFonts w:eastAsia="Calibri"/>
                <w:sz w:val="20"/>
                <w:highlight w:val="yellow"/>
                <w:lang w:val="fr-CA"/>
              </w:rPr>
            </w:pPr>
            <w:r w:rsidRPr="00F24723">
              <w:rPr>
                <w:rFonts w:eastAsia="Calibri"/>
                <w:sz w:val="20"/>
                <w:lang w:val="fr-CA"/>
              </w:rPr>
              <w:t>Le demandeur, M. William Joseph Black, a été accusé de conduite avec facultés affaiblies contrairement aux al. 253(1)</w:t>
            </w:r>
            <w:r w:rsidRPr="00F24723">
              <w:rPr>
                <w:rFonts w:eastAsia="Calibri"/>
                <w:i/>
                <w:sz w:val="20"/>
                <w:lang w:val="fr-CA"/>
              </w:rPr>
              <w:t>a</w:t>
            </w:r>
            <w:r w:rsidRPr="00F24723">
              <w:rPr>
                <w:rFonts w:eastAsia="Calibri"/>
                <w:sz w:val="20"/>
                <w:lang w:val="fr-CA"/>
              </w:rPr>
              <w:t>) et 253(1)</w:t>
            </w:r>
            <w:r w:rsidRPr="00F24723">
              <w:rPr>
                <w:rFonts w:eastAsia="Calibri"/>
                <w:i/>
                <w:sz w:val="20"/>
                <w:lang w:val="fr-CA"/>
              </w:rPr>
              <w:t>b</w:t>
            </w:r>
            <w:r w:rsidRPr="00F24723">
              <w:rPr>
                <w:rFonts w:eastAsia="Calibri"/>
                <w:sz w:val="20"/>
                <w:lang w:val="fr-CA"/>
              </w:rPr>
              <w:t xml:space="preserve">) du </w:t>
            </w:r>
            <w:r w:rsidRPr="00F24723">
              <w:rPr>
                <w:rFonts w:eastAsia="Calibri"/>
                <w:i/>
                <w:sz w:val="20"/>
                <w:lang w:val="fr-CA"/>
              </w:rPr>
              <w:t>Code criminel</w:t>
            </w:r>
            <w:r w:rsidRPr="00F24723">
              <w:rPr>
                <w:rFonts w:eastAsia="Calibri"/>
                <w:sz w:val="20"/>
                <w:lang w:val="fr-CA"/>
              </w:rPr>
              <w:t>.  L’avocat représentant M. Black au procès a demandé la communication des registres d’étalonnage de l’appareil de détection approuvé (l’ADA) ayant été utilisé pour analyser l’haleine de son client le jour en question.  Le procureur général de l’Alberta intimé (l’Alberta) a contesté la demande en soutenant, d’une part, que M. Black était tenu de déposer une demande de production de renseignements en la possession d’un tiers pour obtenir la communication de ces éléments de preuve par le service de police d’Edmonton (le SPE), et, d’autre part, que les registres en question n’étaient pas pertinents.  Le procès de M. Black a été ajourné en attendant l’issue de la demande de communication.  La cour provinciale a accueilli la demande de M. Black et a ordonné la communication des registres d’étalonnage de l’ADA pour une période allant de trois mois avant le dépôt des accusations à deux mois suivant le dépôt de celles</w:t>
            </w:r>
            <w:r w:rsidRPr="00F24723">
              <w:rPr>
                <w:rFonts w:eastAsia="Calibri"/>
                <w:sz w:val="20"/>
                <w:lang w:val="fr-CA"/>
              </w:rPr>
              <w:noBreakHyphen/>
              <w:t>ci.  La Cour du Banc de la Reine de l’Alberta a rejeté les demandes présentées par l’Alberta et le chef du SPE pour faire annuler l’ordonnance de communication.  Dans une décision majoritaire, la Cour d’appel de l’Alberta (la juge Bielby étant dissidente) a accueilli les appels de l’Alberta et du chef du SPE et a annulé l’ordonnance de communication initiale.</w:t>
            </w:r>
          </w:p>
          <w:p w:rsidR="005F3B78" w:rsidRPr="00F24723" w:rsidRDefault="005F3B78" w:rsidP="00936316">
            <w:pPr>
              <w:jc w:val="both"/>
              <w:rPr>
                <w:rFonts w:eastAsia="Calibri"/>
                <w:sz w:val="20"/>
                <w:lang w:val="fr-CA"/>
              </w:rPr>
            </w:pPr>
          </w:p>
        </w:tc>
      </w:tr>
      <w:tr w:rsidR="005F3B78" w:rsidRPr="00B36F35" w:rsidTr="00936316">
        <w:tc>
          <w:tcPr>
            <w:tcW w:w="2427" w:type="pct"/>
          </w:tcPr>
          <w:p w:rsidR="005F3B78" w:rsidRPr="00F24723" w:rsidRDefault="005F3B78" w:rsidP="00936316">
            <w:pPr>
              <w:jc w:val="both"/>
              <w:rPr>
                <w:rFonts w:eastAsia="Calibri"/>
                <w:sz w:val="20"/>
                <w:lang w:val="fr-CA"/>
              </w:rPr>
            </w:pPr>
            <w:r w:rsidRPr="00F24723">
              <w:rPr>
                <w:rFonts w:eastAsia="Calibri"/>
                <w:sz w:val="20"/>
                <w:lang w:val="fr-CA"/>
              </w:rPr>
              <w:t>1</w:t>
            </w:r>
            <w:r w:rsidRPr="00F24723">
              <w:rPr>
                <w:rFonts w:eastAsia="Calibri"/>
                <w:sz w:val="20"/>
                <w:vertAlign w:val="superscript"/>
                <w:lang w:val="fr-CA"/>
              </w:rPr>
              <w:t>er</w:t>
            </w:r>
            <w:r w:rsidRPr="00F24723">
              <w:rPr>
                <w:rFonts w:eastAsia="Calibri"/>
                <w:sz w:val="20"/>
                <w:lang w:val="fr-CA"/>
              </w:rPr>
              <w:t xml:space="preserve"> octobre 2009</w:t>
            </w:r>
          </w:p>
          <w:p w:rsidR="005F3B78" w:rsidRPr="00F24723" w:rsidRDefault="005F3B78" w:rsidP="00936316">
            <w:pPr>
              <w:jc w:val="both"/>
              <w:rPr>
                <w:rFonts w:eastAsia="Calibri"/>
                <w:sz w:val="20"/>
                <w:lang w:val="fr-CA"/>
              </w:rPr>
            </w:pPr>
            <w:r w:rsidRPr="00F24723">
              <w:rPr>
                <w:rFonts w:eastAsia="Calibri"/>
                <w:sz w:val="20"/>
                <w:lang w:val="fr-CA"/>
              </w:rPr>
              <w:t>Cour provinciale de l’Alberta</w:t>
            </w:r>
          </w:p>
          <w:p w:rsidR="005F3B78" w:rsidRPr="00F24723" w:rsidRDefault="005F3B78" w:rsidP="00936316">
            <w:pPr>
              <w:jc w:val="both"/>
              <w:rPr>
                <w:rFonts w:eastAsia="Calibri"/>
                <w:sz w:val="20"/>
              </w:rPr>
            </w:pPr>
            <w:r w:rsidRPr="00F24723">
              <w:rPr>
                <w:rFonts w:eastAsia="Calibri"/>
                <w:sz w:val="20"/>
              </w:rPr>
              <w:t>(Juge Bradley)</w:t>
            </w:r>
          </w:p>
          <w:p w:rsidR="005F3B78" w:rsidRPr="00F24723" w:rsidRDefault="005F3B78" w:rsidP="00936316">
            <w:pPr>
              <w:jc w:val="both"/>
              <w:rPr>
                <w:rFonts w:eastAsia="Calibri"/>
                <w:sz w:val="20"/>
              </w:rPr>
            </w:pPr>
          </w:p>
        </w:tc>
        <w:tc>
          <w:tcPr>
            <w:tcW w:w="243" w:type="pct"/>
          </w:tcPr>
          <w:p w:rsidR="005F3B78" w:rsidRPr="00F24723" w:rsidRDefault="005F3B78" w:rsidP="00936316">
            <w:pPr>
              <w:jc w:val="both"/>
              <w:rPr>
                <w:rFonts w:eastAsia="Calibri"/>
                <w:sz w:val="20"/>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Ordonnance de communication par la police des registres d’étalonnage d’un alcootest approuvé pour une période antérieure et postérieure à l’analyse de l’haleine du demandeur.</w:t>
            </w:r>
          </w:p>
          <w:p w:rsidR="005F3B78" w:rsidRPr="00F24723" w:rsidRDefault="005F3B78" w:rsidP="00936316">
            <w:pPr>
              <w:jc w:val="both"/>
              <w:rPr>
                <w:rFonts w:eastAsia="Calibri"/>
                <w:sz w:val="20"/>
                <w:lang w:val="fr-CA"/>
              </w:rPr>
            </w:pPr>
          </w:p>
        </w:tc>
      </w:tr>
      <w:tr w:rsidR="005F3B78" w:rsidRPr="00B36F35" w:rsidTr="00874D5E">
        <w:trPr>
          <w:cantSplit/>
        </w:trPr>
        <w:tc>
          <w:tcPr>
            <w:tcW w:w="2427" w:type="pct"/>
          </w:tcPr>
          <w:p w:rsidR="005F3B78" w:rsidRPr="00F24723" w:rsidRDefault="005F3B78" w:rsidP="00936316">
            <w:pPr>
              <w:jc w:val="both"/>
              <w:rPr>
                <w:rFonts w:eastAsia="Calibri"/>
                <w:sz w:val="20"/>
                <w:lang w:val="fr-CA"/>
              </w:rPr>
            </w:pPr>
            <w:r w:rsidRPr="00F24723">
              <w:rPr>
                <w:rFonts w:eastAsia="Calibri"/>
                <w:sz w:val="20"/>
                <w:lang w:val="fr-CA"/>
              </w:rPr>
              <w:lastRenderedPageBreak/>
              <w:t>8 juillet 2010</w:t>
            </w:r>
          </w:p>
          <w:p w:rsidR="005F3B78" w:rsidRPr="00F24723" w:rsidRDefault="005F3B78" w:rsidP="00936316">
            <w:pPr>
              <w:jc w:val="both"/>
              <w:rPr>
                <w:rFonts w:eastAsia="Calibri"/>
                <w:sz w:val="20"/>
                <w:lang w:val="fr-CA"/>
              </w:rPr>
            </w:pPr>
            <w:r w:rsidRPr="00F24723">
              <w:rPr>
                <w:rFonts w:eastAsia="Calibri"/>
                <w:sz w:val="20"/>
                <w:lang w:val="fr-CA"/>
              </w:rPr>
              <w:t>Cour du Banc de la Reine de l’Alberta</w:t>
            </w:r>
          </w:p>
          <w:p w:rsidR="005F3B78" w:rsidRPr="00F24723" w:rsidRDefault="005F3B78" w:rsidP="00936316">
            <w:pPr>
              <w:jc w:val="both"/>
              <w:rPr>
                <w:rFonts w:eastAsia="Calibri"/>
                <w:sz w:val="20"/>
                <w:lang w:val="fr-CA"/>
              </w:rPr>
            </w:pPr>
            <w:r w:rsidRPr="00F24723">
              <w:rPr>
                <w:rFonts w:eastAsia="Calibri"/>
                <w:sz w:val="20"/>
                <w:lang w:val="fr-CA"/>
              </w:rPr>
              <w:t>(Juge Burrows)</w:t>
            </w:r>
          </w:p>
          <w:p w:rsidR="005F3B78" w:rsidRPr="00F24723" w:rsidRDefault="005F3B78" w:rsidP="00936316">
            <w:pPr>
              <w:jc w:val="both"/>
              <w:rPr>
                <w:rFonts w:eastAsia="Calibri"/>
                <w:sz w:val="20"/>
                <w:lang w:val="fr-CA"/>
              </w:rPr>
            </w:pPr>
            <w:r w:rsidRPr="00F24723">
              <w:rPr>
                <w:rFonts w:eastAsia="Calibri"/>
                <w:sz w:val="20"/>
                <w:lang w:val="fr-CA"/>
              </w:rPr>
              <w:t>2010 ABQB 461</w:t>
            </w: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Demandes des intimés visant à faire annuler l’ordonnance de communication, rejetée.</w:t>
            </w:r>
          </w:p>
        </w:tc>
      </w:tr>
      <w:tr w:rsidR="005F3B78" w:rsidRPr="00B36F35" w:rsidTr="00874D5E">
        <w:trPr>
          <w:cantSplit/>
        </w:trPr>
        <w:tc>
          <w:tcPr>
            <w:tcW w:w="2427" w:type="pct"/>
          </w:tcPr>
          <w:p w:rsidR="005F3B78" w:rsidRPr="00F24723" w:rsidRDefault="005F3B78" w:rsidP="00936316">
            <w:pPr>
              <w:jc w:val="both"/>
              <w:rPr>
                <w:rFonts w:eastAsia="Calibri"/>
                <w:sz w:val="20"/>
                <w:lang w:val="fr-CA"/>
              </w:rPr>
            </w:pPr>
            <w:r w:rsidRPr="00F24723">
              <w:rPr>
                <w:rFonts w:eastAsia="Calibri"/>
                <w:sz w:val="20"/>
                <w:lang w:val="fr-CA"/>
              </w:rPr>
              <w:t>5 décembre 2011</w:t>
            </w:r>
          </w:p>
          <w:p w:rsidR="005F3B78" w:rsidRPr="00F24723" w:rsidRDefault="005F3B78" w:rsidP="00936316">
            <w:pPr>
              <w:jc w:val="both"/>
              <w:rPr>
                <w:rFonts w:eastAsia="Calibri"/>
                <w:sz w:val="20"/>
                <w:lang w:val="fr-CA"/>
              </w:rPr>
            </w:pPr>
            <w:r w:rsidRPr="00F24723">
              <w:rPr>
                <w:rFonts w:eastAsia="Calibri"/>
                <w:sz w:val="20"/>
                <w:lang w:val="fr-CA"/>
              </w:rPr>
              <w:t>Cour d’appel de l’Alberta (Edmonton)</w:t>
            </w:r>
          </w:p>
          <w:p w:rsidR="005F3B78" w:rsidRPr="00F24723" w:rsidRDefault="005F3B78" w:rsidP="00936316">
            <w:pPr>
              <w:jc w:val="both"/>
              <w:rPr>
                <w:rFonts w:eastAsia="Calibri"/>
                <w:sz w:val="20"/>
                <w:lang w:val="fr-CA"/>
              </w:rPr>
            </w:pPr>
            <w:r w:rsidRPr="00F24723">
              <w:rPr>
                <w:rFonts w:eastAsia="Calibri"/>
                <w:sz w:val="20"/>
                <w:lang w:val="fr-CA"/>
              </w:rPr>
              <w:t>(Juges Ritter, O’Brien et Bielby [dissidente])</w:t>
            </w:r>
          </w:p>
          <w:p w:rsidR="005F3B78" w:rsidRPr="00F24723" w:rsidRDefault="005F3B78" w:rsidP="00936316">
            <w:pPr>
              <w:jc w:val="both"/>
              <w:rPr>
                <w:rFonts w:eastAsia="Calibri"/>
                <w:sz w:val="20"/>
                <w:lang w:val="fr-CA"/>
              </w:rPr>
            </w:pPr>
            <w:r w:rsidRPr="00F24723">
              <w:rPr>
                <w:rFonts w:eastAsia="Calibri"/>
                <w:sz w:val="20"/>
                <w:lang w:val="fr-CA"/>
              </w:rPr>
              <w:t>2011 ABCA 349</w:t>
            </w:r>
          </w:p>
          <w:p w:rsidR="005F3B78" w:rsidRPr="00F24723" w:rsidRDefault="005F3B78" w:rsidP="00936316">
            <w:pPr>
              <w:jc w:val="both"/>
              <w:rPr>
                <w:rFonts w:eastAsia="Calibri"/>
                <w:sz w:val="20"/>
                <w:lang w:val="fr-CA"/>
              </w:rPr>
            </w:pPr>
            <w:r w:rsidRPr="00F24723">
              <w:rPr>
                <w:rFonts w:eastAsia="Calibri"/>
                <w:sz w:val="20"/>
                <w:lang w:val="fr-CA"/>
              </w:rPr>
              <w:t>Dossier : 1003</w:t>
            </w:r>
            <w:r w:rsidRPr="00F24723">
              <w:rPr>
                <w:rFonts w:eastAsia="Calibri"/>
                <w:sz w:val="20"/>
                <w:lang w:val="fr-CA"/>
              </w:rPr>
              <w:noBreakHyphen/>
              <w:t>0219</w:t>
            </w:r>
            <w:r w:rsidRPr="00F24723">
              <w:rPr>
                <w:rFonts w:eastAsia="Calibri"/>
                <w:sz w:val="20"/>
                <w:lang w:val="fr-CA"/>
              </w:rPr>
              <w:noBreakHyphen/>
              <w:t>A</w:t>
            </w:r>
          </w:p>
          <w:p w:rsidR="005F3B78" w:rsidRPr="00F24723" w:rsidRDefault="005F3B78" w:rsidP="00936316">
            <w:pPr>
              <w:jc w:val="both"/>
              <w:rPr>
                <w:rFonts w:eastAsia="Calibri"/>
                <w:sz w:val="20"/>
                <w:lang w:val="fr-CA"/>
              </w:rPr>
            </w:pP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Appels interjetés par les intimés contre le rejet de leurs demandes visant à faire annuler l’ordonnance de communication, accueillis.</w:t>
            </w:r>
          </w:p>
          <w:p w:rsidR="005F3B78" w:rsidRPr="00F24723" w:rsidRDefault="005F3B78" w:rsidP="00936316">
            <w:pPr>
              <w:jc w:val="both"/>
              <w:rPr>
                <w:rFonts w:eastAsia="Calibri"/>
                <w:sz w:val="20"/>
                <w:lang w:val="fr-CA"/>
              </w:rPr>
            </w:pPr>
          </w:p>
        </w:tc>
      </w:tr>
      <w:tr w:rsidR="005F3B78" w:rsidRPr="00B36F35" w:rsidTr="00874D5E">
        <w:trPr>
          <w:cantSplit/>
        </w:trPr>
        <w:tc>
          <w:tcPr>
            <w:tcW w:w="2427" w:type="pct"/>
          </w:tcPr>
          <w:p w:rsidR="005F3B78" w:rsidRPr="00F24723" w:rsidRDefault="005F3B78" w:rsidP="00936316">
            <w:pPr>
              <w:jc w:val="both"/>
              <w:rPr>
                <w:rFonts w:eastAsia="Calibri"/>
                <w:sz w:val="20"/>
                <w:lang w:val="fr-CA"/>
              </w:rPr>
            </w:pPr>
            <w:r w:rsidRPr="00F24723">
              <w:rPr>
                <w:rFonts w:eastAsia="Calibri"/>
                <w:sz w:val="20"/>
                <w:lang w:val="fr-CA"/>
              </w:rPr>
              <w:t>3 février 2012</w:t>
            </w:r>
          </w:p>
          <w:p w:rsidR="005F3B78" w:rsidRPr="00F24723" w:rsidRDefault="005F3B78" w:rsidP="00936316">
            <w:pPr>
              <w:jc w:val="both"/>
              <w:rPr>
                <w:rFonts w:eastAsia="Calibri"/>
                <w:sz w:val="20"/>
                <w:lang w:val="fr-CA"/>
              </w:rPr>
            </w:pPr>
            <w:r w:rsidRPr="00F24723">
              <w:rPr>
                <w:rFonts w:eastAsia="Calibri"/>
                <w:sz w:val="20"/>
                <w:lang w:val="fr-CA"/>
              </w:rPr>
              <w:t>Cour suprême du Canada</w:t>
            </w:r>
          </w:p>
        </w:tc>
        <w:tc>
          <w:tcPr>
            <w:tcW w:w="243" w:type="pct"/>
          </w:tcPr>
          <w:p w:rsidR="005F3B78" w:rsidRPr="00F24723" w:rsidRDefault="005F3B78" w:rsidP="00936316">
            <w:pPr>
              <w:jc w:val="both"/>
              <w:rPr>
                <w:rFonts w:eastAsia="Calibri"/>
                <w:sz w:val="20"/>
                <w:lang w:val="fr-CA"/>
              </w:rPr>
            </w:pPr>
          </w:p>
        </w:tc>
        <w:tc>
          <w:tcPr>
            <w:tcW w:w="2330" w:type="pct"/>
          </w:tcPr>
          <w:p w:rsidR="005F3B78" w:rsidRPr="00F24723" w:rsidRDefault="005F3B78" w:rsidP="00936316">
            <w:pPr>
              <w:jc w:val="both"/>
              <w:rPr>
                <w:rFonts w:eastAsia="Calibri"/>
                <w:sz w:val="20"/>
                <w:lang w:val="fr-CA"/>
              </w:rPr>
            </w:pPr>
            <w:r w:rsidRPr="00F24723">
              <w:rPr>
                <w:rFonts w:eastAsia="Calibri"/>
                <w:sz w:val="20"/>
                <w:lang w:val="fr-CA"/>
              </w:rPr>
              <w:t>Demande d’autorisation de pourvoi déposée par M. Black.</w:t>
            </w:r>
          </w:p>
        </w:tc>
      </w:tr>
    </w:tbl>
    <w:p w:rsidR="001823C0" w:rsidRPr="005F3B78" w:rsidRDefault="001823C0" w:rsidP="001823C0">
      <w:pPr>
        <w:rPr>
          <w:sz w:val="20"/>
          <w:szCs w:val="20"/>
          <w:lang w:val="fr-CA"/>
        </w:rPr>
      </w:pPr>
    </w:p>
    <w:p w:rsidR="001823C0" w:rsidRDefault="009134DA" w:rsidP="001823C0">
      <w:pPr>
        <w:rPr>
          <w:sz w:val="20"/>
          <w:szCs w:val="20"/>
        </w:rPr>
      </w:pPr>
      <w:r w:rsidRPr="009134DA">
        <w:rPr>
          <w:sz w:val="20"/>
          <w:szCs w:val="20"/>
          <w:lang w:val="fr-CA"/>
        </w:rPr>
        <w:pict>
          <v:rect id="_x0000_i1091" style="width:2in;height:1pt" o:hrpct="0" o:hralign="center" o:hrstd="t" o:hrnoshade="t" o:hr="t" fillcolor="black [3213]" stroked="f"/>
        </w:pict>
      </w:r>
    </w:p>
    <w:p w:rsidR="001823C0" w:rsidRDefault="001823C0" w:rsidP="001823C0">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C321F6" w:rsidRPr="000506BB" w:rsidRDefault="00C321F6" w:rsidP="00C321F6">
      <w:pPr>
        <w:tabs>
          <w:tab w:val="left" w:pos="-1440"/>
          <w:tab w:val="left" w:pos="-720"/>
        </w:tabs>
        <w:jc w:val="both"/>
        <w:rPr>
          <w:sz w:val="20"/>
          <w:szCs w:val="20"/>
        </w:rPr>
      </w:pPr>
      <w:r w:rsidRPr="000506BB">
        <w:rPr>
          <w:sz w:val="20"/>
          <w:szCs w:val="20"/>
        </w:rPr>
        <w:t>16.04.2012</w:t>
      </w:r>
    </w:p>
    <w:p w:rsidR="00C321F6" w:rsidRPr="000506BB" w:rsidRDefault="00C321F6" w:rsidP="00C321F6">
      <w:pPr>
        <w:tabs>
          <w:tab w:val="left" w:pos="-1440"/>
          <w:tab w:val="left" w:pos="-720"/>
        </w:tabs>
        <w:jc w:val="both"/>
        <w:rPr>
          <w:sz w:val="20"/>
          <w:szCs w:val="20"/>
        </w:rPr>
      </w:pPr>
    </w:p>
    <w:p w:rsidR="00C321F6" w:rsidRPr="000506BB" w:rsidRDefault="00C321F6" w:rsidP="00C321F6">
      <w:pPr>
        <w:tabs>
          <w:tab w:val="left" w:pos="-1440"/>
          <w:tab w:val="left" w:pos="-720"/>
        </w:tabs>
        <w:jc w:val="both"/>
        <w:rPr>
          <w:sz w:val="20"/>
          <w:szCs w:val="20"/>
        </w:rPr>
      </w:pPr>
      <w:r w:rsidRPr="000506BB">
        <w:rPr>
          <w:sz w:val="20"/>
          <w:szCs w:val="20"/>
        </w:rPr>
        <w:t>Before / Devant :   THE REGISTRAR / LE REGISTRAIRE</w:t>
      </w:r>
    </w:p>
    <w:p w:rsidR="00C321F6" w:rsidRPr="000506BB" w:rsidRDefault="00C321F6" w:rsidP="00C321F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321F6" w:rsidRPr="00B36F35" w:rsidTr="00936316">
        <w:tc>
          <w:tcPr>
            <w:tcW w:w="4338" w:type="dxa"/>
          </w:tcPr>
          <w:p w:rsidR="00C321F6" w:rsidRPr="000506BB" w:rsidRDefault="009134DA" w:rsidP="00936316">
            <w:pPr>
              <w:tabs>
                <w:tab w:val="left" w:pos="-1440"/>
                <w:tab w:val="left" w:pos="-720"/>
              </w:tabs>
              <w:jc w:val="both"/>
              <w:rPr>
                <w:b/>
                <w:sz w:val="20"/>
                <w:szCs w:val="20"/>
              </w:rPr>
            </w:pPr>
            <w:r w:rsidRPr="000506BB">
              <w:rPr>
                <w:sz w:val="20"/>
                <w:szCs w:val="20"/>
              </w:rPr>
              <w:fldChar w:fldCharType="begin"/>
            </w:r>
            <w:r w:rsidR="00C321F6" w:rsidRPr="000506BB">
              <w:rPr>
                <w:sz w:val="20"/>
                <w:szCs w:val="20"/>
              </w:rPr>
              <w:instrText xml:space="preserve"> SEQ CHAPTER \h \r 1</w:instrText>
            </w:r>
            <w:r w:rsidRPr="000506BB">
              <w:rPr>
                <w:sz w:val="20"/>
                <w:szCs w:val="20"/>
              </w:rPr>
              <w:fldChar w:fldCharType="end"/>
            </w:r>
            <w:r w:rsidRPr="000506BB">
              <w:rPr>
                <w:sz w:val="20"/>
                <w:szCs w:val="20"/>
              </w:rPr>
              <w:fldChar w:fldCharType="begin"/>
            </w:r>
            <w:r w:rsidR="00C321F6" w:rsidRPr="000506BB">
              <w:rPr>
                <w:sz w:val="20"/>
                <w:szCs w:val="20"/>
              </w:rPr>
              <w:instrText xml:space="preserve"> SEQ CHAPTER \h \r 1</w:instrText>
            </w:r>
            <w:r w:rsidRPr="000506BB">
              <w:rPr>
                <w:sz w:val="20"/>
                <w:szCs w:val="20"/>
              </w:rPr>
              <w:fldChar w:fldCharType="end"/>
            </w:r>
            <w:r w:rsidR="00C321F6" w:rsidRPr="000506BB">
              <w:rPr>
                <w:b/>
                <w:bCs/>
                <w:sz w:val="20"/>
                <w:szCs w:val="20"/>
              </w:rPr>
              <w:t xml:space="preserve">Motion pursuant to Rule 32(2) of the </w:t>
            </w:r>
            <w:r w:rsidR="00C321F6" w:rsidRPr="000506BB">
              <w:rPr>
                <w:b/>
                <w:bCs/>
                <w:i/>
                <w:iCs/>
                <w:sz w:val="20"/>
                <w:szCs w:val="20"/>
              </w:rPr>
              <w:t>Rules of the Supreme Court of Canada</w:t>
            </w:r>
            <w:r w:rsidR="00C321F6" w:rsidRPr="000506BB">
              <w:rPr>
                <w:b/>
                <w:bCs/>
                <w:iCs/>
                <w:sz w:val="20"/>
                <w:szCs w:val="20"/>
              </w:rPr>
              <w:t xml:space="preserve"> </w:t>
            </w:r>
            <w:r w:rsidR="00C321F6" w:rsidRPr="000506BB">
              <w:rPr>
                <w:b/>
                <w:bCs/>
                <w:sz w:val="20"/>
                <w:szCs w:val="20"/>
              </w:rPr>
              <w:t>to file document after the application for leave to appeal has been submitted</w:t>
            </w:r>
          </w:p>
        </w:tc>
        <w:tc>
          <w:tcPr>
            <w:tcW w:w="1170" w:type="dxa"/>
          </w:tcPr>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rPr>
            </w:pPr>
          </w:p>
        </w:tc>
        <w:tc>
          <w:tcPr>
            <w:tcW w:w="4327" w:type="dxa"/>
          </w:tcPr>
          <w:p w:rsidR="00C321F6" w:rsidRPr="000506BB" w:rsidRDefault="009134DA" w:rsidP="00936316">
            <w:pPr>
              <w:tabs>
                <w:tab w:val="left" w:pos="-1440"/>
                <w:tab w:val="left" w:pos="-720"/>
              </w:tabs>
              <w:jc w:val="both"/>
              <w:rPr>
                <w:sz w:val="20"/>
                <w:szCs w:val="20"/>
                <w:lang w:val="fr-CA"/>
              </w:rPr>
            </w:pPr>
            <w:r w:rsidRPr="000506BB">
              <w:rPr>
                <w:sz w:val="20"/>
                <w:szCs w:val="20"/>
              </w:rPr>
              <w:fldChar w:fldCharType="begin"/>
            </w:r>
            <w:r w:rsidR="00C321F6" w:rsidRPr="000506BB">
              <w:rPr>
                <w:sz w:val="20"/>
                <w:szCs w:val="20"/>
                <w:lang w:val="fr-CA"/>
              </w:rPr>
              <w:instrText xml:space="preserve"> SEQ CHAPTER \h \r 1</w:instrText>
            </w:r>
            <w:r w:rsidRPr="000506BB">
              <w:rPr>
                <w:sz w:val="20"/>
                <w:szCs w:val="20"/>
              </w:rPr>
              <w:fldChar w:fldCharType="end"/>
            </w:r>
            <w:r w:rsidRPr="000506BB">
              <w:rPr>
                <w:sz w:val="20"/>
                <w:szCs w:val="20"/>
              </w:rPr>
              <w:fldChar w:fldCharType="begin"/>
            </w:r>
            <w:r w:rsidR="00C321F6" w:rsidRPr="000506BB">
              <w:rPr>
                <w:sz w:val="20"/>
                <w:szCs w:val="20"/>
                <w:lang w:val="fr-CA"/>
              </w:rPr>
              <w:instrText xml:space="preserve"> SEQ CHAPTER \h \r 1</w:instrText>
            </w:r>
            <w:r w:rsidRPr="000506BB">
              <w:rPr>
                <w:sz w:val="20"/>
                <w:szCs w:val="20"/>
              </w:rPr>
              <w:fldChar w:fldCharType="end"/>
            </w:r>
            <w:r w:rsidR="00C321F6" w:rsidRPr="000506BB">
              <w:rPr>
                <w:b/>
                <w:bCs/>
                <w:sz w:val="20"/>
                <w:szCs w:val="20"/>
                <w:lang w:val="fr-CA"/>
              </w:rPr>
              <w:t xml:space="preserve">Requête en vertu du paragraphe 32(2) des </w:t>
            </w:r>
            <w:r w:rsidR="00C321F6" w:rsidRPr="000506BB">
              <w:rPr>
                <w:b/>
                <w:bCs/>
                <w:i/>
                <w:iCs/>
                <w:sz w:val="20"/>
                <w:szCs w:val="20"/>
                <w:lang w:val="fr-CA"/>
              </w:rPr>
              <w:t>Règles de la Cour suprême du Canada</w:t>
            </w:r>
            <w:r w:rsidR="00C321F6" w:rsidRPr="000506BB">
              <w:rPr>
                <w:sz w:val="20"/>
                <w:szCs w:val="20"/>
                <w:lang w:val="fr-CA"/>
              </w:rPr>
              <w:t xml:space="preserve"> </w:t>
            </w:r>
            <w:r w:rsidR="00C321F6" w:rsidRPr="000506BB">
              <w:rPr>
                <w:b/>
                <w:bCs/>
                <w:sz w:val="20"/>
                <w:szCs w:val="20"/>
                <w:lang w:val="fr-CA"/>
              </w:rPr>
              <w:t xml:space="preserve">en vue de déposer un document après la présentation de la demande d’autorisation d’appel </w:t>
            </w:r>
            <w:r w:rsidRPr="000506BB">
              <w:rPr>
                <w:sz w:val="20"/>
                <w:szCs w:val="20"/>
              </w:rPr>
              <w:fldChar w:fldCharType="begin"/>
            </w:r>
            <w:r w:rsidR="00C321F6" w:rsidRPr="000506BB">
              <w:rPr>
                <w:sz w:val="20"/>
                <w:szCs w:val="20"/>
                <w:lang w:val="fr-CA"/>
              </w:rPr>
              <w:instrText xml:space="preserve"> SEQ CHAPTER \h \r 1</w:instrText>
            </w:r>
            <w:r w:rsidRPr="000506BB">
              <w:rPr>
                <w:sz w:val="20"/>
                <w:szCs w:val="20"/>
              </w:rPr>
              <w:fldChar w:fldCharType="end"/>
            </w:r>
            <w:r w:rsidRPr="000506BB">
              <w:rPr>
                <w:sz w:val="20"/>
                <w:szCs w:val="20"/>
              </w:rPr>
              <w:fldChar w:fldCharType="begin"/>
            </w:r>
            <w:r w:rsidR="00C321F6" w:rsidRPr="000506BB">
              <w:rPr>
                <w:sz w:val="20"/>
                <w:szCs w:val="20"/>
                <w:lang w:val="fr-CA"/>
              </w:rPr>
              <w:instrText xml:space="preserve"> SEQ CHAPTER \h \r 1</w:instrText>
            </w:r>
            <w:r w:rsidRPr="000506BB">
              <w:rPr>
                <w:sz w:val="20"/>
                <w:szCs w:val="20"/>
              </w:rPr>
              <w:fldChar w:fldCharType="end"/>
            </w:r>
          </w:p>
        </w:tc>
      </w:tr>
      <w:tr w:rsidR="00C321F6" w:rsidRPr="00B36F35" w:rsidTr="00936316">
        <w:tc>
          <w:tcPr>
            <w:tcW w:w="4338" w:type="dxa"/>
          </w:tcPr>
          <w:p w:rsidR="00C321F6" w:rsidRPr="000506BB" w:rsidRDefault="00C321F6" w:rsidP="00936316">
            <w:pPr>
              <w:tabs>
                <w:tab w:val="left" w:pos="-1440"/>
                <w:tab w:val="left" w:pos="-720"/>
              </w:tabs>
              <w:jc w:val="both"/>
              <w:rPr>
                <w:sz w:val="20"/>
                <w:szCs w:val="20"/>
                <w:lang w:val="fr-CA"/>
              </w:rPr>
            </w:pPr>
            <w:r w:rsidRPr="000506BB">
              <w:rPr>
                <w:sz w:val="20"/>
                <w:szCs w:val="20"/>
                <w:lang w:val="fr-CA"/>
              </w:rPr>
              <w:t>Cinar Corporation et al.</w:t>
            </w:r>
          </w:p>
          <w:p w:rsidR="00C321F6" w:rsidRPr="000506BB" w:rsidRDefault="00C321F6" w:rsidP="00936316">
            <w:pPr>
              <w:tabs>
                <w:tab w:val="left" w:pos="-1440"/>
                <w:tab w:val="left" w:pos="-720"/>
              </w:tabs>
              <w:jc w:val="both"/>
              <w:rPr>
                <w:sz w:val="20"/>
                <w:szCs w:val="20"/>
                <w:lang w:val="fr-CA"/>
              </w:rPr>
            </w:pPr>
          </w:p>
          <w:p w:rsidR="00C321F6" w:rsidRPr="000506BB" w:rsidRDefault="00C321F6" w:rsidP="00936316">
            <w:pPr>
              <w:tabs>
                <w:tab w:val="left" w:pos="-1440"/>
                <w:tab w:val="left" w:pos="-720"/>
              </w:tabs>
              <w:jc w:val="both"/>
              <w:rPr>
                <w:sz w:val="20"/>
                <w:szCs w:val="20"/>
                <w:lang w:val="fr-CA"/>
              </w:rPr>
            </w:pPr>
            <w:r w:rsidRPr="000506BB">
              <w:rPr>
                <w:sz w:val="20"/>
                <w:szCs w:val="20"/>
                <w:lang w:val="fr-CA"/>
              </w:rPr>
              <w:tab/>
              <w:t>v. (34466)</w:t>
            </w:r>
          </w:p>
          <w:p w:rsidR="00C321F6" w:rsidRPr="000506BB" w:rsidRDefault="00C321F6" w:rsidP="00936316">
            <w:pPr>
              <w:tabs>
                <w:tab w:val="left" w:pos="-1440"/>
                <w:tab w:val="left" w:pos="-720"/>
              </w:tabs>
              <w:jc w:val="both"/>
              <w:rPr>
                <w:sz w:val="20"/>
                <w:szCs w:val="20"/>
                <w:lang w:val="fr-CA"/>
              </w:rPr>
            </w:pPr>
          </w:p>
          <w:p w:rsidR="00C321F6" w:rsidRPr="000506BB" w:rsidRDefault="00C321F6" w:rsidP="00936316">
            <w:pPr>
              <w:tabs>
                <w:tab w:val="left" w:pos="-1440"/>
                <w:tab w:val="left" w:pos="-720"/>
              </w:tabs>
              <w:jc w:val="both"/>
              <w:rPr>
                <w:sz w:val="20"/>
                <w:szCs w:val="20"/>
                <w:lang w:val="fr-CA"/>
              </w:rPr>
            </w:pPr>
            <w:r w:rsidRPr="000506BB">
              <w:rPr>
                <w:sz w:val="20"/>
                <w:szCs w:val="20"/>
                <w:lang w:val="fr-CA"/>
              </w:rPr>
              <w:t>Claude Robinson et al. (Que.)</w:t>
            </w:r>
          </w:p>
          <w:p w:rsidR="00C321F6" w:rsidRPr="000506BB" w:rsidRDefault="00C321F6" w:rsidP="00936316">
            <w:pPr>
              <w:tabs>
                <w:tab w:val="left" w:pos="-1440"/>
                <w:tab w:val="left" w:pos="-720"/>
              </w:tabs>
              <w:jc w:val="both"/>
              <w:rPr>
                <w:sz w:val="20"/>
                <w:szCs w:val="20"/>
                <w:lang w:val="fr-CA"/>
              </w:rPr>
            </w:pPr>
          </w:p>
          <w:p w:rsidR="00C321F6" w:rsidRPr="000506BB" w:rsidRDefault="00C321F6" w:rsidP="00936316">
            <w:pPr>
              <w:tabs>
                <w:tab w:val="left" w:pos="-1440"/>
                <w:tab w:val="left" w:pos="-720"/>
              </w:tabs>
              <w:jc w:val="both"/>
              <w:rPr>
                <w:sz w:val="20"/>
                <w:szCs w:val="20"/>
              </w:rPr>
            </w:pPr>
            <w:r w:rsidRPr="000506BB">
              <w:rPr>
                <w:sz w:val="20"/>
                <w:szCs w:val="20"/>
              </w:rPr>
              <w:t xml:space="preserve">- and between - </w:t>
            </w:r>
          </w:p>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rPr>
            </w:pPr>
            <w:r w:rsidRPr="000506BB">
              <w:rPr>
                <w:sz w:val="20"/>
                <w:szCs w:val="20"/>
              </w:rPr>
              <w:t>Ronald A. Weinberg et autre</w:t>
            </w:r>
          </w:p>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lang w:val="fr-CA"/>
              </w:rPr>
            </w:pPr>
            <w:r w:rsidRPr="000506BB">
              <w:rPr>
                <w:sz w:val="20"/>
                <w:szCs w:val="20"/>
              </w:rPr>
              <w:tab/>
            </w:r>
            <w:r w:rsidRPr="000506BB">
              <w:rPr>
                <w:sz w:val="20"/>
                <w:szCs w:val="20"/>
                <w:lang w:val="fr-CA"/>
              </w:rPr>
              <w:t>c. (34467)</w:t>
            </w:r>
          </w:p>
          <w:p w:rsidR="00C321F6" w:rsidRPr="000506BB" w:rsidRDefault="00C321F6" w:rsidP="00936316">
            <w:pPr>
              <w:tabs>
                <w:tab w:val="left" w:pos="-1440"/>
                <w:tab w:val="left" w:pos="-720"/>
              </w:tabs>
              <w:jc w:val="both"/>
              <w:rPr>
                <w:sz w:val="20"/>
                <w:szCs w:val="20"/>
                <w:lang w:val="fr-CA"/>
              </w:rPr>
            </w:pPr>
          </w:p>
          <w:p w:rsidR="00C321F6" w:rsidRPr="000506BB" w:rsidRDefault="00C321F6" w:rsidP="00936316">
            <w:pPr>
              <w:tabs>
                <w:tab w:val="left" w:pos="-1440"/>
                <w:tab w:val="left" w:pos="-720"/>
              </w:tabs>
              <w:jc w:val="both"/>
              <w:rPr>
                <w:sz w:val="20"/>
                <w:szCs w:val="20"/>
                <w:lang w:val="fr-CA"/>
              </w:rPr>
            </w:pPr>
            <w:r w:rsidRPr="000506BB">
              <w:rPr>
                <w:sz w:val="20"/>
                <w:szCs w:val="20"/>
                <w:lang w:val="fr-CA"/>
              </w:rPr>
              <w:t>Productions Nilem Inc. et autre (Qc)</w:t>
            </w:r>
          </w:p>
          <w:p w:rsidR="00C321F6" w:rsidRPr="000506BB" w:rsidRDefault="00C321F6" w:rsidP="00936316">
            <w:pPr>
              <w:tabs>
                <w:tab w:val="left" w:pos="-1440"/>
                <w:tab w:val="left" w:pos="-720"/>
              </w:tabs>
              <w:jc w:val="both"/>
              <w:rPr>
                <w:sz w:val="20"/>
                <w:szCs w:val="20"/>
                <w:lang w:val="fr-CA"/>
              </w:rPr>
            </w:pPr>
          </w:p>
          <w:p w:rsidR="00C321F6" w:rsidRPr="000506BB" w:rsidRDefault="00C321F6" w:rsidP="00936316">
            <w:pPr>
              <w:tabs>
                <w:tab w:val="left" w:pos="-1440"/>
                <w:tab w:val="left" w:pos="-720"/>
              </w:tabs>
              <w:jc w:val="both"/>
              <w:rPr>
                <w:sz w:val="20"/>
                <w:szCs w:val="20"/>
              </w:rPr>
            </w:pPr>
            <w:r w:rsidRPr="000506BB">
              <w:rPr>
                <w:sz w:val="20"/>
                <w:szCs w:val="20"/>
              </w:rPr>
              <w:t xml:space="preserve">- and between - </w:t>
            </w:r>
          </w:p>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rPr>
            </w:pPr>
            <w:r w:rsidRPr="000506BB">
              <w:rPr>
                <w:sz w:val="20"/>
                <w:szCs w:val="20"/>
              </w:rPr>
              <w:t>Christophe Izard et autres</w:t>
            </w:r>
          </w:p>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lang w:val="fr-CA"/>
              </w:rPr>
            </w:pPr>
            <w:r w:rsidRPr="000506BB">
              <w:rPr>
                <w:sz w:val="20"/>
                <w:szCs w:val="20"/>
              </w:rPr>
              <w:tab/>
            </w:r>
            <w:r w:rsidRPr="000506BB">
              <w:rPr>
                <w:sz w:val="20"/>
                <w:szCs w:val="20"/>
                <w:lang w:val="fr-CA"/>
              </w:rPr>
              <w:t>c. (34468)</w:t>
            </w:r>
          </w:p>
          <w:p w:rsidR="00C321F6" w:rsidRPr="000506BB" w:rsidRDefault="00C321F6" w:rsidP="00936316">
            <w:pPr>
              <w:tabs>
                <w:tab w:val="left" w:pos="-1440"/>
                <w:tab w:val="left" w:pos="-720"/>
              </w:tabs>
              <w:jc w:val="both"/>
              <w:rPr>
                <w:sz w:val="20"/>
                <w:szCs w:val="20"/>
                <w:lang w:val="fr-CA"/>
              </w:rPr>
            </w:pPr>
          </w:p>
          <w:p w:rsidR="00C321F6" w:rsidRPr="000506BB" w:rsidRDefault="00C321F6" w:rsidP="00936316">
            <w:pPr>
              <w:tabs>
                <w:tab w:val="left" w:pos="-1440"/>
                <w:tab w:val="left" w:pos="-720"/>
              </w:tabs>
              <w:jc w:val="both"/>
              <w:rPr>
                <w:sz w:val="20"/>
                <w:szCs w:val="20"/>
                <w:lang w:val="fr-CA"/>
              </w:rPr>
            </w:pPr>
            <w:r w:rsidRPr="000506BB">
              <w:rPr>
                <w:sz w:val="20"/>
                <w:szCs w:val="20"/>
                <w:lang w:val="fr-CA"/>
              </w:rPr>
              <w:t>Claude Robinson et autre (Qc)</w:t>
            </w:r>
          </w:p>
        </w:tc>
        <w:tc>
          <w:tcPr>
            <w:tcW w:w="1170" w:type="dxa"/>
          </w:tcPr>
          <w:p w:rsidR="00C321F6" w:rsidRPr="000506BB" w:rsidRDefault="00C321F6" w:rsidP="00936316">
            <w:pPr>
              <w:tabs>
                <w:tab w:val="left" w:pos="-1440"/>
                <w:tab w:val="left" w:pos="-720"/>
              </w:tabs>
              <w:jc w:val="both"/>
              <w:rPr>
                <w:sz w:val="20"/>
                <w:szCs w:val="20"/>
                <w:lang w:val="fr-CA"/>
              </w:rPr>
            </w:pPr>
          </w:p>
        </w:tc>
        <w:tc>
          <w:tcPr>
            <w:tcW w:w="4327" w:type="dxa"/>
          </w:tcPr>
          <w:p w:rsidR="00C321F6" w:rsidRPr="000506BB" w:rsidRDefault="00C321F6" w:rsidP="00936316">
            <w:pPr>
              <w:tabs>
                <w:tab w:val="left" w:pos="-1440"/>
                <w:tab w:val="left" w:pos="-720"/>
              </w:tabs>
              <w:jc w:val="both"/>
              <w:rPr>
                <w:sz w:val="20"/>
                <w:szCs w:val="20"/>
                <w:lang w:val="fr-CA"/>
              </w:rPr>
            </w:pPr>
          </w:p>
        </w:tc>
      </w:tr>
    </w:tbl>
    <w:p w:rsidR="00C321F6" w:rsidRPr="000506BB" w:rsidRDefault="00C321F6" w:rsidP="00C321F6">
      <w:pPr>
        <w:tabs>
          <w:tab w:val="left" w:pos="-1440"/>
          <w:tab w:val="left" w:pos="-720"/>
        </w:tabs>
        <w:jc w:val="both"/>
        <w:rPr>
          <w:sz w:val="20"/>
          <w:szCs w:val="20"/>
          <w:lang w:val="fr-CA"/>
        </w:rPr>
      </w:pPr>
    </w:p>
    <w:p w:rsidR="00C321F6" w:rsidRPr="000506BB" w:rsidRDefault="00C321F6" w:rsidP="00C321F6">
      <w:pPr>
        <w:tabs>
          <w:tab w:val="left" w:pos="-1440"/>
          <w:tab w:val="left" w:pos="-720"/>
        </w:tabs>
        <w:jc w:val="both"/>
        <w:rPr>
          <w:b/>
          <w:sz w:val="20"/>
          <w:szCs w:val="20"/>
          <w:lang w:val="fr-CA"/>
        </w:rPr>
      </w:pPr>
      <w:r w:rsidRPr="000506BB">
        <w:rPr>
          <w:b/>
          <w:sz w:val="20"/>
          <w:szCs w:val="20"/>
          <w:lang w:val="fr-CA"/>
        </w:rPr>
        <w:t>GRANTED / ACCORDÉE</w:t>
      </w:r>
    </w:p>
    <w:p w:rsidR="00C321F6" w:rsidRPr="000506BB" w:rsidRDefault="00C321F6" w:rsidP="00C321F6">
      <w:pPr>
        <w:tabs>
          <w:tab w:val="left" w:pos="-1440"/>
          <w:tab w:val="left" w:pos="-720"/>
        </w:tabs>
        <w:jc w:val="both"/>
        <w:rPr>
          <w:sz w:val="20"/>
          <w:szCs w:val="20"/>
          <w:lang w:val="fr-CA"/>
        </w:rPr>
      </w:pPr>
    </w:p>
    <w:p w:rsidR="00C321F6" w:rsidRPr="000506BB" w:rsidRDefault="009134DA" w:rsidP="00C321F6">
      <w:pPr>
        <w:tabs>
          <w:tab w:val="left" w:pos="-1440"/>
          <w:tab w:val="left" w:pos="-720"/>
        </w:tabs>
        <w:jc w:val="both"/>
        <w:rPr>
          <w:sz w:val="20"/>
          <w:szCs w:val="20"/>
          <w:lang w:val="fr-CA"/>
        </w:rPr>
      </w:pPr>
      <w:r w:rsidRPr="009134DA">
        <w:rPr>
          <w:sz w:val="20"/>
          <w:szCs w:val="20"/>
          <w:lang w:val="fr-CA"/>
        </w:rPr>
        <w:pict>
          <v:rect id="_x0000_i1094" style="width:2in;height:1pt" o:hrpct="0" o:hralign="center" o:hrstd="t" o:hrnoshade="t" o:hr="t" fillcolor="black [3213]" stroked="f"/>
        </w:pict>
      </w:r>
    </w:p>
    <w:p w:rsidR="00C321F6" w:rsidRPr="000506BB" w:rsidRDefault="00C321F6" w:rsidP="00C321F6">
      <w:pPr>
        <w:tabs>
          <w:tab w:val="left" w:pos="-1440"/>
          <w:tab w:val="left" w:pos="-720"/>
        </w:tabs>
        <w:jc w:val="both"/>
        <w:rPr>
          <w:sz w:val="20"/>
          <w:szCs w:val="20"/>
          <w:lang w:val="fr-CA"/>
        </w:rPr>
      </w:pPr>
    </w:p>
    <w:p w:rsidR="00C321F6" w:rsidRPr="000506BB" w:rsidRDefault="00C321F6" w:rsidP="00C321F6">
      <w:pPr>
        <w:tabs>
          <w:tab w:val="left" w:pos="-1440"/>
          <w:tab w:val="left" w:pos="-720"/>
        </w:tabs>
        <w:jc w:val="both"/>
        <w:rPr>
          <w:sz w:val="20"/>
          <w:szCs w:val="20"/>
          <w:lang w:val="fr-CA"/>
        </w:rPr>
      </w:pPr>
      <w:r w:rsidRPr="000506BB">
        <w:rPr>
          <w:sz w:val="20"/>
          <w:szCs w:val="20"/>
          <w:lang w:val="fr-CA"/>
        </w:rPr>
        <w:t>17.04.2012</w:t>
      </w:r>
    </w:p>
    <w:p w:rsidR="00C321F6" w:rsidRPr="000506BB" w:rsidRDefault="00C321F6" w:rsidP="00C321F6">
      <w:pPr>
        <w:tabs>
          <w:tab w:val="left" w:pos="-1440"/>
          <w:tab w:val="left" w:pos="-720"/>
        </w:tabs>
        <w:jc w:val="both"/>
        <w:rPr>
          <w:sz w:val="20"/>
          <w:szCs w:val="20"/>
          <w:lang w:val="fr-CA"/>
        </w:rPr>
      </w:pPr>
    </w:p>
    <w:p w:rsidR="00C321F6" w:rsidRPr="000506BB" w:rsidRDefault="00C321F6" w:rsidP="00C321F6">
      <w:pPr>
        <w:tabs>
          <w:tab w:val="left" w:pos="-1440"/>
          <w:tab w:val="left" w:pos="-720"/>
        </w:tabs>
        <w:jc w:val="both"/>
        <w:rPr>
          <w:sz w:val="20"/>
          <w:szCs w:val="20"/>
          <w:lang w:val="fr-CA"/>
        </w:rPr>
      </w:pPr>
      <w:r w:rsidRPr="000506BB">
        <w:rPr>
          <w:sz w:val="20"/>
          <w:szCs w:val="20"/>
          <w:lang w:val="fr-CA"/>
        </w:rPr>
        <w:t>Before / Devant :   KARAKATSANIS J. / LA JUGE KARAKATSANIS</w:t>
      </w:r>
    </w:p>
    <w:p w:rsidR="00C321F6" w:rsidRPr="000506BB" w:rsidRDefault="00C321F6" w:rsidP="00C321F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321F6" w:rsidRPr="00B36F35" w:rsidTr="00936316">
        <w:tc>
          <w:tcPr>
            <w:tcW w:w="4338" w:type="dxa"/>
          </w:tcPr>
          <w:p w:rsidR="00C321F6" w:rsidRPr="000506BB" w:rsidRDefault="009134DA" w:rsidP="00936316">
            <w:pPr>
              <w:tabs>
                <w:tab w:val="left" w:pos="-1440"/>
                <w:tab w:val="left" w:pos="-720"/>
              </w:tabs>
              <w:jc w:val="both"/>
              <w:rPr>
                <w:b/>
                <w:sz w:val="20"/>
                <w:szCs w:val="20"/>
              </w:rPr>
            </w:pPr>
            <w:r w:rsidRPr="000506BB">
              <w:rPr>
                <w:sz w:val="20"/>
                <w:szCs w:val="20"/>
              </w:rPr>
              <w:fldChar w:fldCharType="begin"/>
            </w:r>
            <w:r w:rsidR="00C321F6" w:rsidRPr="000506BB">
              <w:rPr>
                <w:sz w:val="20"/>
                <w:szCs w:val="20"/>
              </w:rPr>
              <w:instrText xml:space="preserve"> SEQ CHAPTER \h \r 1</w:instrText>
            </w:r>
            <w:r w:rsidRPr="000506BB">
              <w:rPr>
                <w:sz w:val="20"/>
                <w:szCs w:val="20"/>
              </w:rPr>
              <w:fldChar w:fldCharType="end"/>
            </w:r>
            <w:r w:rsidRPr="000506BB">
              <w:rPr>
                <w:sz w:val="20"/>
                <w:szCs w:val="20"/>
              </w:rPr>
              <w:fldChar w:fldCharType="begin"/>
            </w:r>
            <w:r w:rsidR="00C321F6" w:rsidRPr="000506BB">
              <w:rPr>
                <w:sz w:val="20"/>
                <w:szCs w:val="20"/>
              </w:rPr>
              <w:instrText xml:space="preserve"> SEQ CHAPTER \h \r 1</w:instrText>
            </w:r>
            <w:r w:rsidRPr="000506BB">
              <w:rPr>
                <w:sz w:val="20"/>
                <w:szCs w:val="20"/>
              </w:rPr>
              <w:fldChar w:fldCharType="end"/>
            </w:r>
            <w:r w:rsidRPr="000506BB">
              <w:rPr>
                <w:sz w:val="20"/>
                <w:szCs w:val="20"/>
              </w:rPr>
              <w:fldChar w:fldCharType="begin"/>
            </w:r>
            <w:r w:rsidR="00C321F6" w:rsidRPr="000506BB">
              <w:rPr>
                <w:sz w:val="20"/>
                <w:szCs w:val="20"/>
              </w:rPr>
              <w:instrText xml:space="preserve"> SEQ CHAPTER \h \r 1</w:instrText>
            </w:r>
            <w:r w:rsidRPr="000506BB">
              <w:rPr>
                <w:sz w:val="20"/>
                <w:szCs w:val="20"/>
              </w:rPr>
              <w:fldChar w:fldCharType="end"/>
            </w:r>
            <w:r w:rsidR="00C321F6" w:rsidRPr="000506BB">
              <w:rPr>
                <w:b/>
                <w:bCs/>
                <w:sz w:val="20"/>
                <w:szCs w:val="20"/>
              </w:rPr>
              <w:t>Motion to adduce new evidence</w:t>
            </w:r>
          </w:p>
        </w:tc>
        <w:tc>
          <w:tcPr>
            <w:tcW w:w="1170" w:type="dxa"/>
          </w:tcPr>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rPr>
            </w:pPr>
          </w:p>
          <w:p w:rsidR="00C321F6" w:rsidRPr="000506BB" w:rsidRDefault="00C321F6" w:rsidP="00936316">
            <w:pPr>
              <w:tabs>
                <w:tab w:val="left" w:pos="-1440"/>
                <w:tab w:val="left" w:pos="-720"/>
              </w:tabs>
              <w:jc w:val="both"/>
              <w:rPr>
                <w:sz w:val="20"/>
                <w:szCs w:val="20"/>
              </w:rPr>
            </w:pPr>
          </w:p>
        </w:tc>
        <w:tc>
          <w:tcPr>
            <w:tcW w:w="4327" w:type="dxa"/>
          </w:tcPr>
          <w:p w:rsidR="00C321F6" w:rsidRPr="000506BB" w:rsidRDefault="009134DA" w:rsidP="00936316">
            <w:pPr>
              <w:tabs>
                <w:tab w:val="left" w:pos="-1440"/>
                <w:tab w:val="left" w:pos="-720"/>
              </w:tabs>
              <w:jc w:val="both"/>
              <w:rPr>
                <w:sz w:val="20"/>
                <w:szCs w:val="20"/>
                <w:lang w:val="fr-CA"/>
              </w:rPr>
            </w:pPr>
            <w:r w:rsidRPr="000506BB">
              <w:rPr>
                <w:sz w:val="20"/>
                <w:szCs w:val="20"/>
              </w:rPr>
              <w:fldChar w:fldCharType="begin"/>
            </w:r>
            <w:r w:rsidR="00C321F6" w:rsidRPr="000506BB">
              <w:rPr>
                <w:sz w:val="20"/>
                <w:szCs w:val="20"/>
                <w:lang w:val="fr-CA"/>
              </w:rPr>
              <w:instrText xml:space="preserve"> SEQ CHAPTER \h \r 1</w:instrText>
            </w:r>
            <w:r w:rsidRPr="000506BB">
              <w:rPr>
                <w:sz w:val="20"/>
                <w:szCs w:val="20"/>
              </w:rPr>
              <w:fldChar w:fldCharType="end"/>
            </w:r>
            <w:r w:rsidR="00C321F6" w:rsidRPr="000506BB">
              <w:rPr>
                <w:b/>
                <w:bCs/>
                <w:sz w:val="20"/>
                <w:szCs w:val="20"/>
                <w:lang w:val="fr-CA"/>
              </w:rPr>
              <w:t>Requête en vue de produire une nouvelle preuve</w:t>
            </w:r>
            <w:r w:rsidR="00C321F6" w:rsidRPr="000506BB">
              <w:rPr>
                <w:sz w:val="20"/>
                <w:szCs w:val="20"/>
                <w:lang w:val="fr-CA"/>
              </w:rPr>
              <w:t xml:space="preserve"> </w:t>
            </w:r>
            <w:r w:rsidRPr="000506BB">
              <w:rPr>
                <w:sz w:val="20"/>
                <w:szCs w:val="20"/>
              </w:rPr>
              <w:fldChar w:fldCharType="begin"/>
            </w:r>
            <w:r w:rsidR="00C321F6" w:rsidRPr="000506BB">
              <w:rPr>
                <w:sz w:val="20"/>
                <w:szCs w:val="20"/>
                <w:lang w:val="fr-CA"/>
              </w:rPr>
              <w:instrText xml:space="preserve"> SEQ CHAPTER \h \r 1</w:instrText>
            </w:r>
            <w:r w:rsidRPr="000506BB">
              <w:rPr>
                <w:sz w:val="20"/>
                <w:szCs w:val="20"/>
              </w:rPr>
              <w:fldChar w:fldCharType="end"/>
            </w:r>
            <w:r w:rsidRPr="000506BB">
              <w:rPr>
                <w:sz w:val="20"/>
                <w:szCs w:val="20"/>
              </w:rPr>
              <w:fldChar w:fldCharType="begin"/>
            </w:r>
            <w:r w:rsidR="00C321F6" w:rsidRPr="000506BB">
              <w:rPr>
                <w:sz w:val="20"/>
                <w:szCs w:val="20"/>
                <w:lang w:val="fr-CA"/>
              </w:rPr>
              <w:instrText xml:space="preserve"> SEQ CHAPTER \h \r 1</w:instrText>
            </w:r>
            <w:r w:rsidRPr="000506BB">
              <w:rPr>
                <w:sz w:val="20"/>
                <w:szCs w:val="20"/>
              </w:rPr>
              <w:fldChar w:fldCharType="end"/>
            </w:r>
          </w:p>
        </w:tc>
      </w:tr>
      <w:tr w:rsidR="00C321F6" w:rsidRPr="000506BB" w:rsidTr="00936316">
        <w:tc>
          <w:tcPr>
            <w:tcW w:w="4338" w:type="dxa"/>
          </w:tcPr>
          <w:p w:rsidR="00C321F6" w:rsidRPr="000506BB" w:rsidRDefault="00C321F6" w:rsidP="00936316">
            <w:pPr>
              <w:tabs>
                <w:tab w:val="left" w:pos="-1440"/>
                <w:tab w:val="left" w:pos="-720"/>
              </w:tabs>
              <w:jc w:val="both"/>
              <w:rPr>
                <w:sz w:val="20"/>
                <w:szCs w:val="20"/>
                <w:lang w:val="fr-CA"/>
              </w:rPr>
            </w:pPr>
            <w:r w:rsidRPr="000506BB">
              <w:rPr>
                <w:sz w:val="20"/>
                <w:szCs w:val="20"/>
                <w:lang w:val="fr-CA"/>
              </w:rPr>
              <w:t>Brian Cuthbertson et al.</w:t>
            </w:r>
          </w:p>
          <w:p w:rsidR="00C321F6" w:rsidRPr="000506BB" w:rsidRDefault="00C321F6" w:rsidP="00936316">
            <w:pPr>
              <w:tabs>
                <w:tab w:val="left" w:pos="-1440"/>
                <w:tab w:val="left" w:pos="-720"/>
              </w:tabs>
              <w:jc w:val="both"/>
              <w:rPr>
                <w:sz w:val="20"/>
                <w:szCs w:val="20"/>
                <w:lang w:val="fr-CA"/>
              </w:rPr>
            </w:pPr>
          </w:p>
          <w:p w:rsidR="00C321F6" w:rsidRPr="000506BB" w:rsidRDefault="00C321F6" w:rsidP="00936316">
            <w:pPr>
              <w:tabs>
                <w:tab w:val="left" w:pos="-1440"/>
                <w:tab w:val="left" w:pos="-720"/>
              </w:tabs>
              <w:jc w:val="both"/>
              <w:rPr>
                <w:sz w:val="20"/>
                <w:szCs w:val="20"/>
                <w:lang w:val="fr-CA"/>
              </w:rPr>
            </w:pPr>
            <w:r w:rsidRPr="000506BB">
              <w:rPr>
                <w:sz w:val="20"/>
                <w:szCs w:val="20"/>
                <w:lang w:val="fr-CA"/>
              </w:rPr>
              <w:tab/>
              <w:t>v. (34362)</w:t>
            </w:r>
          </w:p>
          <w:p w:rsidR="00C321F6" w:rsidRPr="000506BB" w:rsidRDefault="00C321F6" w:rsidP="00936316">
            <w:pPr>
              <w:tabs>
                <w:tab w:val="left" w:pos="-1440"/>
                <w:tab w:val="left" w:pos="-720"/>
              </w:tabs>
              <w:jc w:val="both"/>
              <w:rPr>
                <w:sz w:val="20"/>
                <w:szCs w:val="20"/>
                <w:lang w:val="fr-CA"/>
              </w:rPr>
            </w:pPr>
          </w:p>
          <w:p w:rsidR="00C321F6" w:rsidRPr="000506BB" w:rsidRDefault="00C321F6" w:rsidP="00936316">
            <w:pPr>
              <w:tabs>
                <w:tab w:val="left" w:pos="-1440"/>
                <w:tab w:val="left" w:pos="-720"/>
              </w:tabs>
              <w:jc w:val="both"/>
              <w:rPr>
                <w:sz w:val="20"/>
                <w:szCs w:val="20"/>
              </w:rPr>
            </w:pPr>
            <w:r w:rsidRPr="000506BB">
              <w:rPr>
                <w:sz w:val="20"/>
                <w:szCs w:val="20"/>
              </w:rPr>
              <w:t>Hassan Rasouli by his Litigation Guardian and Substitute Decision Maker, Parichehr Salasel (Ont.)</w:t>
            </w:r>
          </w:p>
        </w:tc>
        <w:tc>
          <w:tcPr>
            <w:tcW w:w="1170" w:type="dxa"/>
          </w:tcPr>
          <w:p w:rsidR="00C321F6" w:rsidRPr="000506BB" w:rsidRDefault="00C321F6" w:rsidP="00936316">
            <w:pPr>
              <w:tabs>
                <w:tab w:val="left" w:pos="-1440"/>
                <w:tab w:val="left" w:pos="-720"/>
              </w:tabs>
              <w:jc w:val="both"/>
              <w:rPr>
                <w:sz w:val="20"/>
                <w:szCs w:val="20"/>
              </w:rPr>
            </w:pPr>
          </w:p>
        </w:tc>
        <w:tc>
          <w:tcPr>
            <w:tcW w:w="4327" w:type="dxa"/>
          </w:tcPr>
          <w:p w:rsidR="00C321F6" w:rsidRPr="000506BB" w:rsidRDefault="00C321F6" w:rsidP="00936316">
            <w:pPr>
              <w:tabs>
                <w:tab w:val="left" w:pos="-1440"/>
                <w:tab w:val="left" w:pos="-720"/>
              </w:tabs>
              <w:jc w:val="both"/>
              <w:rPr>
                <w:sz w:val="20"/>
                <w:szCs w:val="20"/>
              </w:rPr>
            </w:pPr>
          </w:p>
        </w:tc>
      </w:tr>
    </w:tbl>
    <w:p w:rsidR="00C321F6" w:rsidRPr="000506BB" w:rsidRDefault="00C321F6" w:rsidP="00C321F6">
      <w:pPr>
        <w:tabs>
          <w:tab w:val="left" w:pos="-1440"/>
          <w:tab w:val="left" w:pos="-720"/>
        </w:tabs>
        <w:jc w:val="both"/>
        <w:rPr>
          <w:sz w:val="20"/>
          <w:szCs w:val="20"/>
        </w:rPr>
      </w:pPr>
    </w:p>
    <w:p w:rsidR="00C321F6" w:rsidRPr="000506BB" w:rsidRDefault="00C321F6" w:rsidP="00C321F6">
      <w:pPr>
        <w:tabs>
          <w:tab w:val="left" w:pos="-1440"/>
          <w:tab w:val="left" w:pos="-720"/>
        </w:tabs>
        <w:jc w:val="both"/>
        <w:rPr>
          <w:b/>
          <w:sz w:val="20"/>
          <w:szCs w:val="20"/>
        </w:rPr>
      </w:pPr>
      <w:r w:rsidRPr="000506BB">
        <w:rPr>
          <w:b/>
          <w:sz w:val="20"/>
          <w:szCs w:val="20"/>
        </w:rPr>
        <w:t>GRANTED / ACCORDÉE</w:t>
      </w:r>
    </w:p>
    <w:p w:rsidR="00C321F6" w:rsidRPr="000506BB" w:rsidRDefault="00C321F6" w:rsidP="00C321F6">
      <w:pPr>
        <w:tabs>
          <w:tab w:val="left" w:pos="-1440"/>
          <w:tab w:val="left" w:pos="-720"/>
        </w:tabs>
        <w:jc w:val="both"/>
        <w:rPr>
          <w:sz w:val="20"/>
          <w:szCs w:val="20"/>
          <w:lang w:val="fr-FR"/>
        </w:rPr>
      </w:pPr>
    </w:p>
    <w:p w:rsidR="00C321F6" w:rsidRPr="000506BB" w:rsidRDefault="009134DA" w:rsidP="00C321F6">
      <w:pPr>
        <w:tabs>
          <w:tab w:val="left" w:pos="-1440"/>
          <w:tab w:val="left" w:pos="-720"/>
        </w:tabs>
        <w:jc w:val="both"/>
        <w:rPr>
          <w:sz w:val="20"/>
          <w:szCs w:val="20"/>
          <w:lang w:val="fr-CA"/>
        </w:rPr>
      </w:pPr>
      <w:r w:rsidRPr="009134DA">
        <w:rPr>
          <w:sz w:val="20"/>
          <w:szCs w:val="20"/>
          <w:lang w:val="fr-CA"/>
        </w:rPr>
        <w:pict>
          <v:rect id="_x0000_i1095"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B36F3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254A3A" w:rsidTr="0010587F">
        <w:trPr>
          <w:cantSplit/>
        </w:trPr>
        <w:tc>
          <w:tcPr>
            <w:tcW w:w="2206" w:type="pct"/>
            <w:tcMar>
              <w:left w:w="0" w:type="dxa"/>
              <w:right w:w="0" w:type="dxa"/>
            </w:tcMar>
          </w:tcPr>
          <w:p w:rsidR="0010587F" w:rsidRPr="00FF7304" w:rsidRDefault="00254A3A" w:rsidP="003B3977">
            <w:pPr>
              <w:rPr>
                <w:sz w:val="20"/>
                <w:szCs w:val="20"/>
              </w:rPr>
            </w:pPr>
            <w:r w:rsidRPr="00FF7304">
              <w:rPr>
                <w:sz w:val="20"/>
                <w:szCs w:val="20"/>
              </w:rPr>
              <w:t>13</w:t>
            </w:r>
            <w:r w:rsidR="0010587F" w:rsidRPr="00FF7304">
              <w:rPr>
                <w:sz w:val="20"/>
                <w:szCs w:val="20"/>
              </w:rPr>
              <w:t>.0</w:t>
            </w:r>
            <w:r w:rsidRPr="00FF7304">
              <w:rPr>
                <w:sz w:val="20"/>
                <w:szCs w:val="20"/>
              </w:rPr>
              <w:t>4</w:t>
            </w:r>
            <w:r w:rsidR="0010587F" w:rsidRPr="00FF7304">
              <w:rPr>
                <w:sz w:val="20"/>
                <w:szCs w:val="20"/>
              </w:rPr>
              <w:t>.201</w:t>
            </w:r>
            <w:r w:rsidRPr="00FF7304">
              <w:rPr>
                <w:sz w:val="20"/>
                <w:szCs w:val="20"/>
              </w:rPr>
              <w:t>2</w:t>
            </w:r>
          </w:p>
          <w:p w:rsidR="0010587F" w:rsidRPr="00FF7304" w:rsidRDefault="0010587F" w:rsidP="003B3977">
            <w:pPr>
              <w:rPr>
                <w:sz w:val="20"/>
                <w:szCs w:val="20"/>
              </w:rPr>
            </w:pPr>
          </w:p>
          <w:p w:rsidR="0010587F" w:rsidRPr="006318B0" w:rsidRDefault="00254A3A" w:rsidP="003B3977">
            <w:pPr>
              <w:rPr>
                <w:b/>
                <w:sz w:val="20"/>
                <w:szCs w:val="20"/>
              </w:rPr>
            </w:pPr>
            <w:r w:rsidRPr="006318B0">
              <w:rPr>
                <w:b/>
                <w:sz w:val="20"/>
                <w:szCs w:val="20"/>
              </w:rPr>
              <w:t>Sally B</w:t>
            </w:r>
            <w:r w:rsidR="0010587F" w:rsidRPr="006318B0">
              <w:rPr>
                <w:b/>
                <w:sz w:val="20"/>
                <w:szCs w:val="20"/>
              </w:rPr>
              <w:t>e</w:t>
            </w:r>
            <w:r w:rsidRPr="006318B0">
              <w:rPr>
                <w:b/>
                <w:sz w:val="20"/>
                <w:szCs w:val="20"/>
              </w:rPr>
              <w:t>hn et al.</w:t>
            </w:r>
          </w:p>
          <w:p w:rsidR="0010587F" w:rsidRPr="006318B0" w:rsidRDefault="0010587F" w:rsidP="003B3977">
            <w:pPr>
              <w:rPr>
                <w:b/>
                <w:sz w:val="20"/>
                <w:szCs w:val="20"/>
              </w:rPr>
            </w:pPr>
          </w:p>
          <w:p w:rsidR="0010587F" w:rsidRPr="006318B0" w:rsidRDefault="0010587F" w:rsidP="003B3977">
            <w:pPr>
              <w:rPr>
                <w:b/>
                <w:sz w:val="20"/>
                <w:szCs w:val="20"/>
              </w:rPr>
            </w:pPr>
            <w:r w:rsidRPr="006318B0">
              <w:rPr>
                <w:b/>
                <w:sz w:val="20"/>
                <w:szCs w:val="20"/>
              </w:rPr>
              <w:tab/>
              <w:t>v. (34</w:t>
            </w:r>
            <w:r w:rsidR="006318B0" w:rsidRPr="006318B0">
              <w:rPr>
                <w:b/>
                <w:sz w:val="20"/>
                <w:szCs w:val="20"/>
              </w:rPr>
              <w:t>404</w:t>
            </w:r>
            <w:r w:rsidRPr="006318B0">
              <w:rPr>
                <w:b/>
                <w:sz w:val="20"/>
                <w:szCs w:val="20"/>
              </w:rPr>
              <w:t>)</w:t>
            </w:r>
          </w:p>
          <w:p w:rsidR="0010587F" w:rsidRPr="006318B0" w:rsidRDefault="0010587F" w:rsidP="003B3977">
            <w:pPr>
              <w:rPr>
                <w:b/>
                <w:sz w:val="20"/>
                <w:szCs w:val="20"/>
              </w:rPr>
            </w:pPr>
          </w:p>
          <w:p w:rsidR="0010587F" w:rsidRPr="00254A3A" w:rsidRDefault="006318B0" w:rsidP="003B3977">
            <w:pPr>
              <w:rPr>
                <w:b/>
                <w:sz w:val="20"/>
                <w:szCs w:val="20"/>
                <w:lang w:val="fr-CA"/>
              </w:rPr>
            </w:pPr>
            <w:r w:rsidRPr="006318B0">
              <w:rPr>
                <w:b/>
                <w:sz w:val="20"/>
                <w:szCs w:val="20"/>
                <w:lang w:val="fr-CA"/>
              </w:rPr>
              <w:t>Moulton Contracting Ltd. e</w:t>
            </w:r>
            <w:r w:rsidR="0010587F" w:rsidRPr="00254A3A">
              <w:rPr>
                <w:b/>
                <w:sz w:val="20"/>
                <w:szCs w:val="20"/>
                <w:lang w:val="fr-CA"/>
              </w:rPr>
              <w:t>t</w:t>
            </w:r>
            <w:r>
              <w:rPr>
                <w:b/>
                <w:sz w:val="20"/>
                <w:szCs w:val="20"/>
                <w:lang w:val="fr-CA"/>
              </w:rPr>
              <w:t xml:space="preserve"> al.</w:t>
            </w:r>
            <w:r w:rsidR="0010587F" w:rsidRPr="00254A3A">
              <w:rPr>
                <w:b/>
                <w:sz w:val="20"/>
                <w:szCs w:val="20"/>
                <w:lang w:val="fr-CA"/>
              </w:rPr>
              <w:t xml:space="preserve"> (</w:t>
            </w:r>
            <w:r>
              <w:rPr>
                <w:b/>
                <w:sz w:val="20"/>
                <w:szCs w:val="20"/>
                <w:lang w:val="fr-CA"/>
              </w:rPr>
              <w:t>B.C</w:t>
            </w:r>
            <w:r w:rsidR="0010587F" w:rsidRPr="00254A3A">
              <w:rPr>
                <w:b/>
                <w:sz w:val="20"/>
                <w:szCs w:val="20"/>
                <w:lang w:val="fr-CA"/>
              </w:rPr>
              <w:t>.)</w:t>
            </w:r>
          </w:p>
          <w:p w:rsidR="0010587F" w:rsidRPr="00254A3A" w:rsidRDefault="0010587F" w:rsidP="003B3977">
            <w:pPr>
              <w:rPr>
                <w:sz w:val="20"/>
                <w:szCs w:val="20"/>
                <w:lang w:val="fr-CA"/>
              </w:rPr>
            </w:pPr>
          </w:p>
          <w:p w:rsidR="0010587F" w:rsidRPr="00254A3A" w:rsidRDefault="0010587F" w:rsidP="003B3977">
            <w:pPr>
              <w:rPr>
                <w:sz w:val="20"/>
                <w:szCs w:val="20"/>
                <w:lang w:val="fr-CA"/>
              </w:rPr>
            </w:pPr>
            <w:r w:rsidRPr="00254A3A">
              <w:rPr>
                <w:sz w:val="20"/>
                <w:szCs w:val="20"/>
                <w:lang w:val="fr-CA"/>
              </w:rPr>
              <w:t>(</w:t>
            </w:r>
            <w:r w:rsidR="006318B0">
              <w:rPr>
                <w:sz w:val="20"/>
                <w:szCs w:val="20"/>
                <w:lang w:val="fr-CA"/>
              </w:rPr>
              <w:t>By Leave</w:t>
            </w:r>
            <w:r w:rsidRPr="00254A3A">
              <w:rPr>
                <w:sz w:val="20"/>
                <w:szCs w:val="20"/>
                <w:lang w:val="fr-CA"/>
              </w:rPr>
              <w:t>)</w:t>
            </w:r>
          </w:p>
          <w:p w:rsidR="0010587F" w:rsidRPr="00254A3A" w:rsidRDefault="0010587F" w:rsidP="003B3977">
            <w:pPr>
              <w:rPr>
                <w:sz w:val="20"/>
                <w:szCs w:val="20"/>
                <w:lang w:val="fr-CA"/>
              </w:rPr>
            </w:pPr>
          </w:p>
          <w:p w:rsidR="0010587F" w:rsidRPr="003B3977" w:rsidRDefault="009134DA" w:rsidP="003B3977">
            <w:pPr>
              <w:rPr>
                <w:sz w:val="20"/>
                <w:szCs w:val="20"/>
                <w:lang w:val="fr-CA"/>
              </w:rPr>
            </w:pPr>
            <w:r w:rsidRPr="009134DA">
              <w:rPr>
                <w:sz w:val="20"/>
                <w:szCs w:val="20"/>
                <w:lang w:val="fr-CA"/>
              </w:rPr>
              <w:pict>
                <v:rect id="_x0000_i1098" style="width:106.1pt;height:1pt" o:hrpct="500" o:hralign="center" o:hrstd="t" o:hrnoshade="t" o:hr="t" fillcolor="black [3213]" stroked="f"/>
              </w:pict>
            </w:r>
          </w:p>
        </w:tc>
        <w:tc>
          <w:tcPr>
            <w:tcW w:w="588" w:type="pct"/>
          </w:tcPr>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p w:rsidR="0010587F" w:rsidRPr="00254A3A" w:rsidRDefault="0010587F" w:rsidP="0010587F">
            <w:pPr>
              <w:jc w:val="center"/>
              <w:rPr>
                <w:sz w:val="20"/>
                <w:szCs w:val="20"/>
                <w:lang w:val="fr-CA"/>
              </w:rPr>
            </w:pPr>
          </w:p>
        </w:tc>
        <w:tc>
          <w:tcPr>
            <w:tcW w:w="2206" w:type="pct"/>
          </w:tcPr>
          <w:p w:rsidR="0010587F" w:rsidRPr="00254A3A" w:rsidRDefault="0010587F" w:rsidP="003B3977">
            <w:pPr>
              <w:rPr>
                <w:sz w:val="20"/>
                <w:szCs w:val="20"/>
                <w:lang w:val="fr-CA"/>
              </w:rPr>
            </w:pPr>
          </w:p>
        </w:tc>
      </w:tr>
    </w:tbl>
    <w:p w:rsidR="00F40249" w:rsidRPr="00254A3A" w:rsidRDefault="00F40249" w:rsidP="00F40249">
      <w:pPr>
        <w:rPr>
          <w:sz w:val="20"/>
          <w:szCs w:val="20"/>
          <w:lang w:val="fr-CA"/>
        </w:rPr>
      </w:pPr>
    </w:p>
    <w:p w:rsidR="0010587F" w:rsidRPr="00254A3A" w:rsidRDefault="0010587F" w:rsidP="00F40249">
      <w:pPr>
        <w:rPr>
          <w:sz w:val="20"/>
          <w:szCs w:val="20"/>
          <w:lang w:val="fr-CA"/>
        </w:rPr>
      </w:pPr>
    </w:p>
    <w:p w:rsidR="00EB2B90" w:rsidRPr="00254A3A" w:rsidRDefault="00EB2B90" w:rsidP="00F40249">
      <w:pPr>
        <w:rPr>
          <w:sz w:val="20"/>
          <w:szCs w:val="20"/>
          <w:lang w:val="fr-CA"/>
        </w:rPr>
        <w:sectPr w:rsidR="00EB2B90" w:rsidRPr="00254A3A" w:rsidSect="00F4024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B36F35"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9D6A2F" w:rsidP="00C1697B">
            <w:pPr>
              <w:rPr>
                <w:sz w:val="20"/>
                <w:szCs w:val="20"/>
              </w:rPr>
            </w:pPr>
            <w:r>
              <w:rPr>
                <w:sz w:val="20"/>
                <w:szCs w:val="20"/>
              </w:rPr>
              <w:t>05</w:t>
            </w:r>
            <w:r w:rsidR="00C1697B" w:rsidRPr="00C50A5C">
              <w:rPr>
                <w:sz w:val="20"/>
                <w:szCs w:val="20"/>
              </w:rPr>
              <w:t>.05.201</w:t>
            </w:r>
            <w:r>
              <w:rPr>
                <w:sz w:val="20"/>
                <w:szCs w:val="20"/>
              </w:rPr>
              <w:t>2</w:t>
            </w:r>
          </w:p>
          <w:p w:rsidR="00C1697B" w:rsidRPr="00C50A5C" w:rsidRDefault="00C1697B" w:rsidP="00C1697B">
            <w:pPr>
              <w:rPr>
                <w:sz w:val="20"/>
                <w:szCs w:val="20"/>
              </w:rPr>
            </w:pPr>
          </w:p>
          <w:p w:rsidR="009D6A2F" w:rsidRDefault="009D6A2F" w:rsidP="009D6A2F">
            <w:pPr>
              <w:rPr>
                <w:b/>
                <w:sz w:val="20"/>
                <w:szCs w:val="20"/>
              </w:rPr>
            </w:pPr>
            <w:r>
              <w:rPr>
                <w:b/>
                <w:sz w:val="20"/>
                <w:szCs w:val="20"/>
              </w:rPr>
              <w:t xml:space="preserve">In the Matter of Section36 of the </w:t>
            </w:r>
            <w:r w:rsidRPr="009D6A2F">
              <w:rPr>
                <w:b/>
                <w:i/>
                <w:sz w:val="20"/>
                <w:szCs w:val="20"/>
              </w:rPr>
              <w:t>Supreme Court Act</w:t>
            </w:r>
            <w:r>
              <w:rPr>
                <w:b/>
                <w:sz w:val="20"/>
                <w:szCs w:val="20"/>
              </w:rPr>
              <w:t>, R.S.C. 1985, c. S-26</w:t>
            </w:r>
          </w:p>
          <w:p w:rsidR="009D6A2F" w:rsidRDefault="009D6A2F" w:rsidP="009D6A2F">
            <w:pPr>
              <w:rPr>
                <w:b/>
                <w:sz w:val="20"/>
                <w:szCs w:val="20"/>
              </w:rPr>
            </w:pPr>
          </w:p>
          <w:p w:rsidR="009D6A2F" w:rsidRDefault="009D6A2F" w:rsidP="009D6A2F">
            <w:pPr>
              <w:rPr>
                <w:b/>
                <w:sz w:val="20"/>
                <w:szCs w:val="20"/>
              </w:rPr>
            </w:pPr>
            <w:r>
              <w:rPr>
                <w:b/>
                <w:sz w:val="20"/>
                <w:szCs w:val="20"/>
              </w:rPr>
              <w:t>And in the Matter of a Reference by the Government of Quebec concerning the competence of the Parliament of Canada in matters of securities regulation</w:t>
            </w:r>
          </w:p>
          <w:p w:rsidR="009D6A2F" w:rsidRDefault="009D6A2F" w:rsidP="009D6A2F">
            <w:pPr>
              <w:rPr>
                <w:b/>
                <w:sz w:val="20"/>
                <w:szCs w:val="20"/>
              </w:rPr>
            </w:pPr>
          </w:p>
          <w:p w:rsidR="00C1697B" w:rsidRPr="00C50A5C" w:rsidRDefault="009D6A2F" w:rsidP="00C1697B">
            <w:pPr>
              <w:rPr>
                <w:sz w:val="20"/>
                <w:szCs w:val="20"/>
              </w:rPr>
            </w:pPr>
            <w:r w:rsidRPr="00C50A5C">
              <w:rPr>
                <w:sz w:val="20"/>
                <w:szCs w:val="20"/>
              </w:rPr>
              <w:t>(</w:t>
            </w:r>
            <w:r>
              <w:rPr>
                <w:sz w:val="20"/>
                <w:szCs w:val="20"/>
              </w:rPr>
              <w:t xml:space="preserve">As of Right/S. 36 </w:t>
            </w:r>
            <w:r w:rsidRPr="00027A88">
              <w:rPr>
                <w:i/>
                <w:sz w:val="20"/>
                <w:szCs w:val="20"/>
              </w:rPr>
              <w:t>Supreme Court Act</w:t>
            </w:r>
            <w:r w:rsidRPr="00C50A5C">
              <w:rPr>
                <w:sz w:val="20"/>
                <w:szCs w:val="20"/>
              </w:rPr>
              <w:t>)</w:t>
            </w:r>
          </w:p>
          <w:p w:rsidR="00802863" w:rsidRPr="00C50A5C" w:rsidRDefault="00802863" w:rsidP="00697C62">
            <w:pPr>
              <w:rPr>
                <w:sz w:val="20"/>
                <w:szCs w:val="20"/>
              </w:rPr>
            </w:pPr>
          </w:p>
          <w:p w:rsidR="00802863" w:rsidRPr="00C50A5C" w:rsidRDefault="009134DA" w:rsidP="00697C62">
            <w:pPr>
              <w:rPr>
                <w:sz w:val="20"/>
                <w:szCs w:val="20"/>
                <w:lang w:val="fr-CA"/>
              </w:rPr>
            </w:pPr>
            <w:r w:rsidRPr="009134DA">
              <w:rPr>
                <w:sz w:val="20"/>
                <w:szCs w:val="20"/>
                <w:lang w:val="fr-CA"/>
              </w:rPr>
              <w:pict>
                <v:rect id="_x0000_i1101"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B36F3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767263" w:rsidP="00AF1715">
      <w:pPr>
        <w:rPr>
          <w:b/>
          <w:sz w:val="20"/>
          <w:szCs w:val="20"/>
        </w:rPr>
      </w:pPr>
      <w:r>
        <w:rPr>
          <w:b/>
          <w:sz w:val="20"/>
          <w:szCs w:val="20"/>
        </w:rPr>
        <w:t>APRIL 26</w:t>
      </w:r>
      <w:r w:rsidR="00AF1715" w:rsidRPr="003B3977">
        <w:rPr>
          <w:b/>
          <w:sz w:val="20"/>
          <w:szCs w:val="20"/>
        </w:rPr>
        <w:t>, 201</w:t>
      </w:r>
      <w:r>
        <w:rPr>
          <w:b/>
          <w:sz w:val="20"/>
          <w:szCs w:val="20"/>
        </w:rPr>
        <w:t>2</w:t>
      </w:r>
      <w:r w:rsidR="00AF1715" w:rsidRPr="003B3977">
        <w:rPr>
          <w:b/>
          <w:sz w:val="20"/>
          <w:szCs w:val="20"/>
        </w:rPr>
        <w:t xml:space="preserve"> / LE </w:t>
      </w:r>
      <w:r>
        <w:rPr>
          <w:b/>
          <w:sz w:val="20"/>
          <w:szCs w:val="20"/>
        </w:rPr>
        <w:t>26</w:t>
      </w:r>
      <w:r w:rsidR="00AF1715" w:rsidRPr="003B3977">
        <w:rPr>
          <w:b/>
          <w:sz w:val="20"/>
          <w:szCs w:val="20"/>
        </w:rPr>
        <w:t xml:space="preserve"> </w:t>
      </w:r>
      <w:r>
        <w:rPr>
          <w:b/>
          <w:sz w:val="20"/>
          <w:szCs w:val="20"/>
        </w:rPr>
        <w:t>A</w:t>
      </w:r>
      <w:r w:rsidR="00AF1715" w:rsidRPr="003B3977">
        <w:rPr>
          <w:b/>
          <w:sz w:val="20"/>
          <w:szCs w:val="20"/>
        </w:rPr>
        <w:t>VR</w:t>
      </w:r>
      <w:r>
        <w:rPr>
          <w:b/>
          <w:sz w:val="20"/>
          <w:szCs w:val="20"/>
        </w:rPr>
        <w:t xml:space="preserve">IL </w:t>
      </w:r>
      <w:r w:rsidR="00AF1715" w:rsidRPr="003B3977">
        <w:rPr>
          <w:b/>
          <w:sz w:val="20"/>
          <w:szCs w:val="20"/>
        </w:rPr>
        <w:t>201</w:t>
      </w:r>
      <w:r>
        <w:rPr>
          <w:b/>
          <w:sz w:val="20"/>
          <w:szCs w:val="20"/>
        </w:rPr>
        <w:t>2</w:t>
      </w:r>
    </w:p>
    <w:p w:rsidR="00AF1715" w:rsidRDefault="00AF1715" w:rsidP="00AF1715">
      <w:pPr>
        <w:rPr>
          <w:sz w:val="20"/>
          <w:szCs w:val="20"/>
        </w:rPr>
      </w:pPr>
    </w:p>
    <w:p w:rsidR="001E5150" w:rsidRPr="001E5150" w:rsidRDefault="001E5150" w:rsidP="001E5150">
      <w:pPr>
        <w:ind w:left="1440" w:hanging="1440"/>
        <w:jc w:val="both"/>
        <w:rPr>
          <w:rStyle w:val="Hyperlink"/>
          <w:rFonts w:eastAsia="Calibri" w:cs="Times New Roman"/>
          <w:color w:val="auto"/>
          <w:sz w:val="20"/>
        </w:rPr>
      </w:pPr>
      <w:r w:rsidRPr="00134020">
        <w:rPr>
          <w:rFonts w:eastAsia="Calibri" w:cs="Times New Roman"/>
          <w:b/>
          <w:sz w:val="20"/>
        </w:rPr>
        <w:t>3</w:t>
      </w:r>
      <w:r>
        <w:rPr>
          <w:rFonts w:eastAsia="Calibri" w:cs="Times New Roman"/>
          <w:b/>
          <w:sz w:val="20"/>
        </w:rPr>
        <w:t>3804</w:t>
      </w:r>
      <w:r>
        <w:rPr>
          <w:rFonts w:eastAsia="Calibri" w:cs="Times New Roman"/>
          <w:b/>
          <w:sz w:val="20"/>
        </w:rPr>
        <w:tab/>
      </w:r>
      <w:r w:rsidRPr="002F5AB9">
        <w:rPr>
          <w:rFonts w:eastAsia="Calibri" w:cs="Times New Roman"/>
          <w:b/>
          <w:iCs/>
          <w:sz w:val="20"/>
          <w:u w:val="single"/>
        </w:rPr>
        <w:t>City of Calgary</w:t>
      </w:r>
      <w:r>
        <w:rPr>
          <w:rFonts w:eastAsia="Calibri" w:cs="Times New Roman"/>
          <w:b/>
          <w:iCs/>
          <w:sz w:val="20"/>
          <w:u w:val="single"/>
        </w:rPr>
        <w:t xml:space="preserve"> </w:t>
      </w:r>
      <w:r w:rsidRPr="00134020">
        <w:rPr>
          <w:rFonts w:eastAsia="Calibri" w:cs="Times New Roman"/>
          <w:b/>
          <w:iCs/>
          <w:sz w:val="20"/>
          <w:u w:val="single"/>
        </w:rPr>
        <w:t>v. Her Majesty the Queen</w:t>
      </w:r>
      <w:r w:rsidRPr="002F5AB9">
        <w:rPr>
          <w:rFonts w:eastAsia="Calibri" w:cs="Times New Roman"/>
          <w:b/>
          <w:iCs/>
          <w:sz w:val="20"/>
        </w:rPr>
        <w:t xml:space="preserve"> </w:t>
      </w:r>
      <w:r w:rsidRPr="00134020">
        <w:rPr>
          <w:rFonts w:eastAsia="Calibri" w:cs="Times New Roman"/>
          <w:sz w:val="20"/>
        </w:rPr>
        <w:t>(</w:t>
      </w:r>
      <w:r>
        <w:rPr>
          <w:rFonts w:eastAsia="Calibri" w:cs="Times New Roman"/>
          <w:sz w:val="20"/>
        </w:rPr>
        <w:t>F.C.</w:t>
      </w:r>
      <w:r w:rsidRPr="00134020">
        <w:rPr>
          <w:rFonts w:eastAsia="Calibri" w:cs="Times New Roman"/>
          <w:sz w:val="20"/>
        </w:rPr>
        <w:t>)</w:t>
      </w:r>
    </w:p>
    <w:p w:rsidR="001E5150" w:rsidRPr="00FC3F92" w:rsidRDefault="001E5150" w:rsidP="001E5150">
      <w:pPr>
        <w:jc w:val="both"/>
        <w:rPr>
          <w:rFonts w:eastAsia="Calibri" w:cs="Times New Roman"/>
          <w:b/>
          <w:sz w:val="20"/>
        </w:rPr>
      </w:pPr>
      <w:r w:rsidRPr="00134020">
        <w:rPr>
          <w:rFonts w:eastAsia="Calibri" w:cs="Times New Roman"/>
          <w:b/>
          <w:sz w:val="20"/>
        </w:rPr>
        <w:tab/>
      </w:r>
      <w:r w:rsidRPr="00134020">
        <w:rPr>
          <w:rFonts w:eastAsia="Calibri" w:cs="Times New Roman"/>
          <w:b/>
          <w:sz w:val="20"/>
        </w:rPr>
        <w:tab/>
      </w:r>
      <w:r w:rsidRPr="00FC3F92">
        <w:rPr>
          <w:rFonts w:eastAsia="Calibri" w:cs="Times New Roman"/>
          <w:b/>
          <w:sz w:val="20"/>
        </w:rPr>
        <w:t>2012 SCC 20 / 2012 CSC 20</w:t>
      </w:r>
    </w:p>
    <w:p w:rsidR="001E5150" w:rsidRPr="00FC3F92" w:rsidRDefault="001E5150" w:rsidP="001E5150">
      <w:pPr>
        <w:ind w:left="1440" w:hanging="1440"/>
        <w:jc w:val="both"/>
        <w:rPr>
          <w:rFonts w:eastAsia="Calibri" w:cs="Times New Roman"/>
          <w:b/>
          <w:sz w:val="20"/>
        </w:rPr>
      </w:pPr>
    </w:p>
    <w:p w:rsidR="001E5150" w:rsidRPr="003835DD" w:rsidRDefault="001E5150" w:rsidP="001E5150">
      <w:pPr>
        <w:ind w:left="1440" w:hanging="1440"/>
        <w:jc w:val="both"/>
        <w:rPr>
          <w:rFonts w:eastAsia="Calibri" w:cs="Times New Roman"/>
          <w:sz w:val="20"/>
          <w:u w:val="single"/>
        </w:rPr>
      </w:pPr>
      <w:r w:rsidRPr="003835DD">
        <w:rPr>
          <w:rFonts w:eastAsia="Calibri" w:cs="Times New Roman"/>
          <w:sz w:val="20"/>
        </w:rPr>
        <w:t>Coram:</w:t>
      </w:r>
      <w:r>
        <w:rPr>
          <w:sz w:val="20"/>
        </w:rPr>
        <w:tab/>
      </w:r>
      <w:r w:rsidRPr="00FC3F92">
        <w:rPr>
          <w:rFonts w:eastAsia="Calibri" w:cs="Times New Roman"/>
          <w:sz w:val="20"/>
          <w:u w:val="single"/>
        </w:rPr>
        <w:t>McLachlin C.J. and LeBel, Deschamps, Rothstein, Cromwell, Moldaver and Karakatsanis JJ.</w:t>
      </w:r>
      <w:r w:rsidRPr="003835DD">
        <w:rPr>
          <w:rFonts w:eastAsia="Calibri" w:cs="Times New Roman"/>
          <w:sz w:val="20"/>
          <w:u w:val="single"/>
        </w:rPr>
        <w:t xml:space="preserve"> </w:t>
      </w:r>
    </w:p>
    <w:p w:rsidR="001E5150" w:rsidRPr="00FC3F92" w:rsidRDefault="001E5150" w:rsidP="001E515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1E5150" w:rsidRDefault="001E5150" w:rsidP="001E5150">
      <w:pPr>
        <w:jc w:val="both"/>
        <w:rPr>
          <w:rFonts w:eastAsia="Calibri" w:cs="Times New Roman"/>
          <w:sz w:val="20"/>
        </w:rPr>
      </w:pPr>
      <w:r w:rsidRPr="00FC3F92">
        <w:rPr>
          <w:rFonts w:eastAsia="Calibri" w:cs="Times New Roman"/>
          <w:sz w:val="20"/>
        </w:rPr>
        <w:t>The appeal from the judgment of the Federal Court of Appeal, Number A-250-09, 2010 FCA 127, dated May 21, 2010, heard on November 15, 2011, is dismissed with costs.</w:t>
      </w:r>
    </w:p>
    <w:p w:rsidR="001E5150" w:rsidRPr="00FC3F92" w:rsidRDefault="001E5150" w:rsidP="001E5150">
      <w:pPr>
        <w:jc w:val="both"/>
        <w:rPr>
          <w:rFonts w:eastAsia="Calibri" w:cs="Times New Roman"/>
          <w:sz w:val="20"/>
        </w:rPr>
      </w:pPr>
    </w:p>
    <w:p w:rsidR="001E5150" w:rsidRPr="00134020" w:rsidRDefault="001E5150" w:rsidP="001E5150">
      <w:pPr>
        <w:jc w:val="both"/>
        <w:rPr>
          <w:rFonts w:eastAsia="Calibri" w:cs="Times New Roman"/>
          <w:sz w:val="20"/>
          <w:lang w:val="fr-CA"/>
        </w:rPr>
      </w:pPr>
      <w:r w:rsidRPr="00FC3F92">
        <w:rPr>
          <w:rFonts w:eastAsia="Calibri" w:cs="Times New Roman"/>
          <w:sz w:val="20"/>
          <w:lang w:val="fr-CA"/>
        </w:rPr>
        <w:t>L’appel interjeté contre l’arrêt de la Cour d’appel fédérale, numéro A-250-09, 2010 CAF 127, en date du 21 mai 2010, entendu le 15 novembre 2011, est rejeté avec dépens.</w:t>
      </w:r>
      <w:r w:rsidRPr="00134020">
        <w:rPr>
          <w:rFonts w:eastAsia="Calibri" w:cs="Times New Roman"/>
          <w:sz w:val="20"/>
          <w:lang w:val="fr-CA"/>
        </w:rPr>
        <w:t xml:space="preserve"> </w:t>
      </w:r>
    </w:p>
    <w:p w:rsidR="00767263" w:rsidRPr="001E5150" w:rsidRDefault="00767263" w:rsidP="00AF1715">
      <w:pPr>
        <w:rPr>
          <w:sz w:val="20"/>
          <w:szCs w:val="20"/>
          <w:lang w:val="fr-CA"/>
        </w:rPr>
      </w:pPr>
    </w:p>
    <w:p w:rsidR="00AF1715" w:rsidRPr="003B3977" w:rsidRDefault="009134DA" w:rsidP="00AF1715">
      <w:pPr>
        <w:spacing w:line="0" w:lineRule="atLeast"/>
        <w:rPr>
          <w:sz w:val="20"/>
          <w:szCs w:val="20"/>
        </w:rPr>
      </w:pPr>
      <w:r w:rsidRPr="009134DA">
        <w:rPr>
          <w:b/>
          <w:sz w:val="20"/>
          <w:szCs w:val="20"/>
        </w:rPr>
        <w:pict>
          <v:rect id="_x0000_i1104" style="width:144.3pt;height:1pt" o:hrpct="300" o:hralign="center" o:hrstd="t" o:hrnoshade="t" o:hr="t" fillcolor="black [3213]" stroked="f"/>
        </w:pict>
      </w:r>
    </w:p>
    <w:p w:rsidR="00AF1715" w:rsidRDefault="00AF1715" w:rsidP="00AF1715">
      <w:pPr>
        <w:spacing w:line="0" w:lineRule="atLeast"/>
        <w:rPr>
          <w:sz w:val="20"/>
          <w:szCs w:val="20"/>
        </w:rPr>
      </w:pPr>
    </w:p>
    <w:p w:rsidR="00767263" w:rsidRPr="003B3977" w:rsidRDefault="00767263" w:rsidP="00767263">
      <w:pPr>
        <w:rPr>
          <w:b/>
          <w:sz w:val="20"/>
          <w:szCs w:val="20"/>
        </w:rPr>
      </w:pPr>
      <w:r>
        <w:rPr>
          <w:b/>
          <w:sz w:val="20"/>
          <w:szCs w:val="20"/>
        </w:rPr>
        <w:t>APRIL 27</w:t>
      </w:r>
      <w:r w:rsidRPr="003B3977">
        <w:rPr>
          <w:b/>
          <w:sz w:val="20"/>
          <w:szCs w:val="20"/>
        </w:rPr>
        <w:t>, 201</w:t>
      </w:r>
      <w:r>
        <w:rPr>
          <w:b/>
          <w:sz w:val="20"/>
          <w:szCs w:val="20"/>
        </w:rPr>
        <w:t>2</w:t>
      </w:r>
      <w:r w:rsidRPr="003B3977">
        <w:rPr>
          <w:b/>
          <w:sz w:val="20"/>
          <w:szCs w:val="20"/>
        </w:rPr>
        <w:t xml:space="preserve"> / LE </w:t>
      </w:r>
      <w:r>
        <w:rPr>
          <w:b/>
          <w:sz w:val="20"/>
          <w:szCs w:val="20"/>
        </w:rPr>
        <w:t>27</w:t>
      </w:r>
      <w:r w:rsidRPr="003B3977">
        <w:rPr>
          <w:b/>
          <w:sz w:val="20"/>
          <w:szCs w:val="20"/>
        </w:rPr>
        <w:t xml:space="preserve"> </w:t>
      </w:r>
      <w:r>
        <w:rPr>
          <w:b/>
          <w:sz w:val="20"/>
          <w:szCs w:val="20"/>
        </w:rPr>
        <w:t>A</w:t>
      </w:r>
      <w:r w:rsidRPr="003B3977">
        <w:rPr>
          <w:b/>
          <w:sz w:val="20"/>
          <w:szCs w:val="20"/>
        </w:rPr>
        <w:t>VR</w:t>
      </w:r>
      <w:r>
        <w:rPr>
          <w:b/>
          <w:sz w:val="20"/>
          <w:szCs w:val="20"/>
        </w:rPr>
        <w:t xml:space="preserve">IL </w:t>
      </w:r>
      <w:r w:rsidRPr="003B3977">
        <w:rPr>
          <w:b/>
          <w:sz w:val="20"/>
          <w:szCs w:val="20"/>
        </w:rPr>
        <w:t>201</w:t>
      </w:r>
      <w:r>
        <w:rPr>
          <w:b/>
          <w:sz w:val="20"/>
          <w:szCs w:val="20"/>
        </w:rPr>
        <w:t>2</w:t>
      </w:r>
    </w:p>
    <w:p w:rsidR="00767263" w:rsidRDefault="00767263" w:rsidP="00767263">
      <w:pPr>
        <w:rPr>
          <w:sz w:val="20"/>
          <w:szCs w:val="20"/>
        </w:rPr>
      </w:pPr>
    </w:p>
    <w:p w:rsidR="00666C1E" w:rsidRPr="0052330F" w:rsidRDefault="00666C1E" w:rsidP="00666C1E">
      <w:pPr>
        <w:ind w:left="1440" w:hanging="1440"/>
        <w:jc w:val="both"/>
        <w:rPr>
          <w:sz w:val="20"/>
        </w:rPr>
      </w:pPr>
      <w:r w:rsidRPr="00A16B4C">
        <w:rPr>
          <w:b/>
          <w:sz w:val="20"/>
        </w:rPr>
        <w:t>33</w:t>
      </w:r>
      <w:r>
        <w:rPr>
          <w:b/>
          <w:sz w:val="20"/>
        </w:rPr>
        <w:t>694</w:t>
      </w:r>
      <w:r w:rsidRPr="0052330F">
        <w:rPr>
          <w:b/>
          <w:sz w:val="20"/>
        </w:rPr>
        <w:tab/>
      </w:r>
      <w:r w:rsidRPr="005425D2">
        <w:rPr>
          <w:b/>
          <w:sz w:val="20"/>
          <w:u w:val="single"/>
        </w:rPr>
        <w:t xml:space="preserve">Larry Wayne Jesse </w:t>
      </w:r>
      <w:r w:rsidRPr="00F41B2C">
        <w:rPr>
          <w:b/>
          <w:sz w:val="20"/>
          <w:u w:val="single"/>
        </w:rPr>
        <w:t xml:space="preserve">v. </w:t>
      </w:r>
      <w:r w:rsidRPr="005425D2">
        <w:rPr>
          <w:b/>
          <w:sz w:val="20"/>
          <w:u w:val="single"/>
        </w:rPr>
        <w:t>Her Majesty the Queen</w:t>
      </w:r>
      <w:r w:rsidRPr="005425D2">
        <w:rPr>
          <w:b/>
          <w:sz w:val="20"/>
        </w:rPr>
        <w:t xml:space="preserve"> </w:t>
      </w:r>
      <w:r w:rsidRPr="00A16B4C">
        <w:rPr>
          <w:sz w:val="20"/>
        </w:rPr>
        <w:t>(</w:t>
      </w:r>
      <w:r>
        <w:rPr>
          <w:sz w:val="20"/>
        </w:rPr>
        <w:t>B.C.</w:t>
      </w:r>
      <w:r w:rsidRPr="00A16B4C">
        <w:rPr>
          <w:sz w:val="20"/>
        </w:rPr>
        <w:t xml:space="preserve">) </w:t>
      </w:r>
    </w:p>
    <w:p w:rsidR="00666C1E" w:rsidRPr="00273DAD" w:rsidRDefault="00666C1E" w:rsidP="00666C1E">
      <w:pPr>
        <w:ind w:left="1440" w:hanging="1440"/>
        <w:jc w:val="both"/>
        <w:rPr>
          <w:b/>
          <w:sz w:val="20"/>
        </w:rPr>
      </w:pPr>
      <w:r w:rsidRPr="00273DAD">
        <w:rPr>
          <w:b/>
          <w:sz w:val="20"/>
        </w:rPr>
        <w:tab/>
      </w:r>
      <w:r>
        <w:rPr>
          <w:b/>
          <w:sz w:val="20"/>
        </w:rPr>
        <w:t>2012</w:t>
      </w:r>
      <w:r w:rsidRPr="00273DAD">
        <w:rPr>
          <w:b/>
          <w:sz w:val="20"/>
        </w:rPr>
        <w:t xml:space="preserve"> SCC </w:t>
      </w:r>
      <w:r>
        <w:rPr>
          <w:b/>
          <w:sz w:val="20"/>
        </w:rPr>
        <w:t>21</w:t>
      </w:r>
      <w:r w:rsidRPr="00273DAD">
        <w:rPr>
          <w:b/>
          <w:sz w:val="20"/>
        </w:rPr>
        <w:t xml:space="preserve"> / </w:t>
      </w:r>
      <w:r>
        <w:rPr>
          <w:b/>
          <w:sz w:val="20"/>
        </w:rPr>
        <w:t>2012</w:t>
      </w:r>
      <w:r w:rsidRPr="00273DAD">
        <w:rPr>
          <w:b/>
          <w:sz w:val="20"/>
        </w:rPr>
        <w:t xml:space="preserve"> CSC </w:t>
      </w:r>
      <w:r>
        <w:rPr>
          <w:b/>
          <w:sz w:val="20"/>
        </w:rPr>
        <w:t>21</w:t>
      </w:r>
    </w:p>
    <w:p w:rsidR="00666C1E" w:rsidRPr="00F41B2C" w:rsidRDefault="00666C1E" w:rsidP="00666C1E">
      <w:pPr>
        <w:ind w:left="1440" w:hanging="1440"/>
        <w:jc w:val="both"/>
        <w:rPr>
          <w:b/>
          <w:sz w:val="20"/>
        </w:rPr>
      </w:pPr>
    </w:p>
    <w:p w:rsidR="00666C1E" w:rsidRPr="00F41B2C" w:rsidRDefault="00666C1E" w:rsidP="00666C1E">
      <w:pPr>
        <w:ind w:left="1440" w:hanging="1440"/>
        <w:jc w:val="both"/>
        <w:rPr>
          <w:sz w:val="20"/>
          <w:u w:val="single"/>
        </w:rPr>
      </w:pPr>
      <w:r w:rsidRPr="00F41B2C">
        <w:rPr>
          <w:sz w:val="20"/>
        </w:rPr>
        <w:t xml:space="preserve">Coram:  </w:t>
      </w:r>
      <w:r>
        <w:rPr>
          <w:sz w:val="20"/>
        </w:rPr>
        <w:tab/>
      </w:r>
      <w:r w:rsidRPr="005425D2">
        <w:rPr>
          <w:sz w:val="20"/>
          <w:u w:val="single"/>
        </w:rPr>
        <w:t>McLachlin C.J. and LeBel, Deschamps, Fish, Abella, Rothstein, Cromwell, Moldaver and Karakatsanis JJ.</w:t>
      </w:r>
    </w:p>
    <w:p w:rsidR="00666C1E" w:rsidRPr="005425D2" w:rsidRDefault="00666C1E" w:rsidP="00666C1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666C1E" w:rsidRPr="005425D2" w:rsidRDefault="00666C1E" w:rsidP="00666C1E">
      <w:pPr>
        <w:jc w:val="both"/>
        <w:rPr>
          <w:sz w:val="20"/>
        </w:rPr>
      </w:pPr>
      <w:r w:rsidRPr="005425D2">
        <w:rPr>
          <w:sz w:val="20"/>
        </w:rPr>
        <w:t>The appeal from the judgment of the Court of Appeal for British Columbia (Vancouver), Number CA035638, 2010 BCCA 108, dated March 9, 2010, heard on December 9, 2011, is dismissed.</w:t>
      </w:r>
    </w:p>
    <w:p w:rsidR="00666C1E" w:rsidRPr="005425D2" w:rsidRDefault="00666C1E" w:rsidP="00666C1E">
      <w:pPr>
        <w:jc w:val="both"/>
        <w:rPr>
          <w:sz w:val="20"/>
        </w:rPr>
      </w:pPr>
    </w:p>
    <w:p w:rsidR="00666C1E" w:rsidRPr="005425D2" w:rsidRDefault="00666C1E" w:rsidP="00666C1E">
      <w:pPr>
        <w:jc w:val="both"/>
        <w:rPr>
          <w:sz w:val="20"/>
          <w:lang w:val="fr-CA"/>
        </w:rPr>
      </w:pPr>
      <w:r w:rsidRPr="005425D2">
        <w:rPr>
          <w:sz w:val="20"/>
          <w:lang w:val="fr-CA"/>
        </w:rPr>
        <w:t>L’appel interjeté contre l’arrêt de la Cour d’appel de la Colombie-Britannique (Vancouver), numéro CA035638, 2010 BCCA 108, en date du 9 mars 2010, entendu le 9 décembre 2011, est rejeté.</w:t>
      </w:r>
    </w:p>
    <w:p w:rsidR="00AF1715" w:rsidRPr="006C5F7A" w:rsidRDefault="00AF1715" w:rsidP="00AF1715">
      <w:pPr>
        <w:spacing w:line="0" w:lineRule="atLeast"/>
        <w:rPr>
          <w:rFonts w:cs="Times New Roman"/>
          <w:sz w:val="20"/>
          <w:szCs w:val="20"/>
          <w:lang w:val="fr-CA"/>
        </w:rPr>
      </w:pPr>
    </w:p>
    <w:p w:rsidR="00AF1715" w:rsidRPr="006C5F7A" w:rsidRDefault="009134DA" w:rsidP="00AF1715">
      <w:pPr>
        <w:spacing w:line="0" w:lineRule="atLeast"/>
        <w:rPr>
          <w:rFonts w:cs="Times New Roman"/>
          <w:b/>
          <w:sz w:val="20"/>
          <w:szCs w:val="20"/>
        </w:rPr>
      </w:pPr>
      <w:r w:rsidRPr="009134DA">
        <w:rPr>
          <w:rFonts w:cs="Times New Roman"/>
          <w:b/>
          <w:sz w:val="20"/>
          <w:szCs w:val="20"/>
        </w:rPr>
        <w:pict>
          <v:rect id="_x0000_i1105" style="width:144.3pt;height:1pt" o:hrpct="300" o:hralign="center" o:hrstd="t" o:hrnoshade="t" o:hr="t" fillcolor="black [3213]" stroked="f"/>
        </w:pict>
      </w:r>
    </w:p>
    <w:p w:rsidR="00AF1715" w:rsidRPr="00767263" w:rsidRDefault="00AF1715" w:rsidP="00AF1715">
      <w:pPr>
        <w:spacing w:line="0" w:lineRule="atLeast"/>
        <w:rPr>
          <w:rFonts w:cs="Times New Roman"/>
          <w:sz w:val="20"/>
          <w:szCs w:val="20"/>
        </w:rPr>
      </w:pPr>
    </w:p>
    <w:p w:rsidR="00AF1715" w:rsidRPr="006C5F7A" w:rsidRDefault="00AF1715" w:rsidP="00767263">
      <w:pPr>
        <w:jc w:val="both"/>
        <w:rPr>
          <w:rFonts w:cs="Times New Roman"/>
          <w:sz w:val="20"/>
          <w:szCs w:val="20"/>
          <w:lang w:val="fr-CA"/>
        </w:rPr>
      </w:pPr>
    </w:p>
    <w:p w:rsidR="00AF1715" w:rsidRPr="006C5F7A" w:rsidRDefault="00AF1715" w:rsidP="00767263">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767263" w:rsidRPr="002030CF" w:rsidRDefault="00767263" w:rsidP="00767263">
      <w:pPr>
        <w:ind w:left="720" w:hanging="720"/>
        <w:rPr>
          <w:rFonts w:eastAsia="Calibri" w:cs="Times New Roman"/>
          <w:sz w:val="20"/>
          <w:szCs w:val="20"/>
        </w:rPr>
      </w:pPr>
      <w:r w:rsidRPr="002030CF">
        <w:rPr>
          <w:rFonts w:eastAsia="Calibri" w:cs="Times New Roman"/>
          <w:i/>
          <w:sz w:val="20"/>
          <w:szCs w:val="20"/>
        </w:rPr>
        <w:t>City of Calgary v. Her Majesty the Queen</w:t>
      </w:r>
      <w:r w:rsidRPr="002030CF">
        <w:rPr>
          <w:rFonts w:eastAsia="Calibri" w:cs="Times New Roman"/>
          <w:sz w:val="20"/>
          <w:szCs w:val="20"/>
        </w:rPr>
        <w:t xml:space="preserve"> (F.C.) (33804)</w:t>
      </w:r>
    </w:p>
    <w:p w:rsidR="00A8540F" w:rsidRPr="00076F65" w:rsidRDefault="00A8540F" w:rsidP="00A8540F">
      <w:pPr>
        <w:jc w:val="both"/>
        <w:rPr>
          <w:b/>
          <w:sz w:val="20"/>
          <w:szCs w:val="20"/>
        </w:rPr>
      </w:pPr>
      <w:r w:rsidRPr="00076F65">
        <w:rPr>
          <w:b/>
          <w:sz w:val="20"/>
          <w:szCs w:val="20"/>
        </w:rPr>
        <w:t xml:space="preserve">Indexed as:  </w:t>
      </w:r>
      <w:r w:rsidRPr="00A8540F">
        <w:rPr>
          <w:rStyle w:val="SCCAppellantForIndexChar"/>
          <w:rFonts w:eastAsia="Calibri"/>
          <w:sz w:val="20"/>
          <w:lang w:val="en-CA"/>
        </w:rPr>
        <w:t>Calgary (City)</w:t>
      </w:r>
      <w:r w:rsidRPr="00076F65">
        <w:rPr>
          <w:b/>
          <w:sz w:val="20"/>
          <w:szCs w:val="20"/>
        </w:rPr>
        <w:t xml:space="preserve"> </w:t>
      </w:r>
      <w:r w:rsidRPr="00076F65">
        <w:rPr>
          <w:b/>
          <w:i/>
          <w:sz w:val="20"/>
          <w:szCs w:val="20"/>
        </w:rPr>
        <w:t>v.</w:t>
      </w:r>
      <w:r w:rsidRPr="00076F65">
        <w:rPr>
          <w:b/>
          <w:sz w:val="20"/>
          <w:szCs w:val="20"/>
        </w:rPr>
        <w:t xml:space="preserve"> </w:t>
      </w:r>
      <w:r w:rsidRPr="00076F65">
        <w:rPr>
          <w:rStyle w:val="SCCRespondentForIndexChar"/>
          <w:rFonts w:eastAsiaTheme="minorHAnsi"/>
          <w:sz w:val="20"/>
        </w:rPr>
        <w:t>Canada</w:t>
      </w:r>
      <w:r>
        <w:rPr>
          <w:rStyle w:val="SCCRespondentForIndexChar"/>
          <w:rFonts w:eastAsiaTheme="minorHAnsi"/>
          <w:sz w:val="20"/>
        </w:rPr>
        <w:t xml:space="preserve"> / </w:t>
      </w:r>
      <w:r w:rsidRPr="00AD58B0">
        <w:rPr>
          <w:b/>
          <w:sz w:val="20"/>
          <w:szCs w:val="20"/>
        </w:rPr>
        <w:t>Répertorié : </w:t>
      </w:r>
      <w:r w:rsidRPr="00A8540F">
        <w:rPr>
          <w:rStyle w:val="SCCAppellantForIndexChar"/>
          <w:rFonts w:eastAsia="Calibri"/>
          <w:sz w:val="20"/>
          <w:lang w:val="en-CA"/>
        </w:rPr>
        <w:t>Calgary (Ville)</w:t>
      </w:r>
      <w:r w:rsidRPr="00AD58B0">
        <w:rPr>
          <w:b/>
          <w:sz w:val="20"/>
          <w:szCs w:val="20"/>
        </w:rPr>
        <w:t xml:space="preserve"> </w:t>
      </w:r>
      <w:r w:rsidRPr="00AD58B0">
        <w:rPr>
          <w:b/>
          <w:i/>
          <w:sz w:val="20"/>
          <w:szCs w:val="20"/>
        </w:rPr>
        <w:t>c.</w:t>
      </w:r>
      <w:r w:rsidRPr="00AD58B0">
        <w:rPr>
          <w:b/>
          <w:sz w:val="20"/>
          <w:szCs w:val="20"/>
        </w:rPr>
        <w:t xml:space="preserve"> </w:t>
      </w:r>
      <w:r w:rsidRPr="00AD58B0">
        <w:rPr>
          <w:rStyle w:val="SCCRespondentForIndexChar"/>
          <w:rFonts w:eastAsiaTheme="minorHAnsi"/>
          <w:sz w:val="20"/>
        </w:rPr>
        <w:t>Canada</w:t>
      </w:r>
    </w:p>
    <w:p w:rsidR="005C6840" w:rsidRPr="003B3977" w:rsidRDefault="005C6840" w:rsidP="005C6840">
      <w:pPr>
        <w:pStyle w:val="SCCSystemYear"/>
        <w:jc w:val="both"/>
        <w:rPr>
          <w:sz w:val="20"/>
        </w:rPr>
      </w:pPr>
      <w:r w:rsidRPr="003B3977">
        <w:rPr>
          <w:sz w:val="20"/>
        </w:rPr>
        <w:t>Neutral citation:  201</w:t>
      </w:r>
      <w:r w:rsidR="00767263">
        <w:rPr>
          <w:sz w:val="20"/>
        </w:rPr>
        <w:t>2</w:t>
      </w:r>
      <w:r w:rsidRPr="003B3977">
        <w:rPr>
          <w:sz w:val="20"/>
        </w:rPr>
        <w:t xml:space="preserve"> SCC </w:t>
      </w:r>
      <w:r w:rsidR="00767263">
        <w:rPr>
          <w:sz w:val="20"/>
        </w:rPr>
        <w:t>20</w:t>
      </w:r>
      <w:r w:rsidRPr="003B3977">
        <w:rPr>
          <w:sz w:val="20"/>
        </w:rPr>
        <w:t xml:space="preserve"> / Référence neutre : 201</w:t>
      </w:r>
      <w:r w:rsidR="00767263">
        <w:rPr>
          <w:sz w:val="20"/>
        </w:rPr>
        <w:t>2</w:t>
      </w:r>
      <w:r w:rsidRPr="003B3977">
        <w:rPr>
          <w:sz w:val="20"/>
        </w:rPr>
        <w:t xml:space="preserve"> CSC </w:t>
      </w:r>
      <w:r w:rsidR="00767263">
        <w:rPr>
          <w:sz w:val="20"/>
        </w:rPr>
        <w:t>20</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A8540F">
        <w:rPr>
          <w:rFonts w:cs="Times New Roman"/>
          <w:sz w:val="20"/>
          <w:szCs w:val="20"/>
          <w:lang w:val="fr-CA"/>
        </w:rPr>
        <w:t>Novemb</w:t>
      </w:r>
      <w:r w:rsidRPr="003B3977">
        <w:rPr>
          <w:rFonts w:cs="Times New Roman"/>
          <w:sz w:val="20"/>
          <w:szCs w:val="20"/>
          <w:lang w:val="fr-CA"/>
        </w:rPr>
        <w:t xml:space="preserve">er </w:t>
      </w:r>
      <w:r w:rsidR="00A8540F">
        <w:rPr>
          <w:rFonts w:cs="Times New Roman"/>
          <w:sz w:val="20"/>
          <w:szCs w:val="20"/>
          <w:lang w:val="fr-CA"/>
        </w:rPr>
        <w:t>15</w:t>
      </w:r>
      <w:r w:rsidRPr="003B3977">
        <w:rPr>
          <w:rFonts w:cs="Times New Roman"/>
          <w:sz w:val="20"/>
          <w:szCs w:val="20"/>
          <w:lang w:val="fr-CA"/>
        </w:rPr>
        <w:t>, 201</w:t>
      </w:r>
      <w:r w:rsidR="00A8540F">
        <w:rPr>
          <w:rFonts w:cs="Times New Roman"/>
          <w:sz w:val="20"/>
          <w:szCs w:val="20"/>
          <w:lang w:val="fr-CA"/>
        </w:rPr>
        <w:t>1</w:t>
      </w:r>
      <w:r w:rsidRPr="003B3977">
        <w:rPr>
          <w:rFonts w:cs="Times New Roman"/>
          <w:sz w:val="20"/>
          <w:szCs w:val="20"/>
          <w:lang w:val="fr-CA"/>
        </w:rPr>
        <w:t xml:space="preserve"> / Judgment:  </w:t>
      </w:r>
      <w:r w:rsidR="00767263">
        <w:rPr>
          <w:rFonts w:cs="Times New Roman"/>
          <w:sz w:val="20"/>
          <w:szCs w:val="20"/>
          <w:lang w:val="fr-CA"/>
        </w:rPr>
        <w:t xml:space="preserve">April </w:t>
      </w:r>
      <w:r w:rsidRPr="003B3977">
        <w:rPr>
          <w:rFonts w:cs="Times New Roman"/>
          <w:sz w:val="20"/>
          <w:szCs w:val="20"/>
          <w:lang w:val="fr-CA"/>
        </w:rPr>
        <w:t>2</w:t>
      </w:r>
      <w:r w:rsidR="00767263">
        <w:rPr>
          <w:rFonts w:cs="Times New Roman"/>
          <w:sz w:val="20"/>
          <w:szCs w:val="20"/>
          <w:lang w:val="fr-CA"/>
        </w:rPr>
        <w:t>6</w:t>
      </w:r>
      <w:r w:rsidRPr="003B3977">
        <w:rPr>
          <w:rFonts w:cs="Times New Roman"/>
          <w:sz w:val="20"/>
          <w:szCs w:val="20"/>
          <w:lang w:val="fr-CA"/>
        </w:rPr>
        <w:t>, 201</w:t>
      </w:r>
      <w:r w:rsidR="00767263">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A8540F">
        <w:rPr>
          <w:rFonts w:cs="Times New Roman"/>
          <w:sz w:val="20"/>
          <w:szCs w:val="20"/>
          <w:lang w:val="fr-CA"/>
        </w:rPr>
        <w:t>15 n</w:t>
      </w:r>
      <w:r w:rsidRPr="003B3977">
        <w:rPr>
          <w:rFonts w:cs="Times New Roman"/>
          <w:sz w:val="20"/>
          <w:szCs w:val="20"/>
          <w:lang w:val="fr-CA"/>
        </w:rPr>
        <w:t>o</w:t>
      </w:r>
      <w:r w:rsidR="00A8540F">
        <w:rPr>
          <w:rFonts w:cs="Times New Roman"/>
          <w:sz w:val="20"/>
          <w:szCs w:val="20"/>
          <w:lang w:val="fr-CA"/>
        </w:rPr>
        <w:t>vem</w:t>
      </w:r>
      <w:r w:rsidRPr="003B3977">
        <w:rPr>
          <w:rFonts w:cs="Times New Roman"/>
          <w:sz w:val="20"/>
          <w:szCs w:val="20"/>
          <w:lang w:val="fr-CA"/>
        </w:rPr>
        <w:t>bre 201</w:t>
      </w:r>
      <w:r w:rsidR="00A8540F">
        <w:rPr>
          <w:rFonts w:cs="Times New Roman"/>
          <w:sz w:val="20"/>
          <w:szCs w:val="20"/>
          <w:lang w:val="fr-CA"/>
        </w:rPr>
        <w:t>1</w:t>
      </w:r>
      <w:r w:rsidRPr="003B3977">
        <w:rPr>
          <w:rFonts w:cs="Times New Roman"/>
          <w:sz w:val="20"/>
          <w:szCs w:val="20"/>
          <w:lang w:val="fr-CA"/>
        </w:rPr>
        <w:t xml:space="preserve"> / Jugement : Le 2</w:t>
      </w:r>
      <w:r w:rsidR="00767263">
        <w:rPr>
          <w:rFonts w:cs="Times New Roman"/>
          <w:sz w:val="20"/>
          <w:szCs w:val="20"/>
          <w:lang w:val="fr-CA"/>
        </w:rPr>
        <w:t>6</w:t>
      </w:r>
      <w:r w:rsidRPr="003B3977">
        <w:rPr>
          <w:rFonts w:cs="Times New Roman"/>
          <w:sz w:val="20"/>
          <w:szCs w:val="20"/>
          <w:lang w:val="fr-CA"/>
        </w:rPr>
        <w:t xml:space="preserve"> </w:t>
      </w:r>
      <w:r w:rsidR="00767263">
        <w:rPr>
          <w:rFonts w:cs="Times New Roman"/>
          <w:sz w:val="20"/>
          <w:szCs w:val="20"/>
          <w:lang w:val="fr-CA"/>
        </w:rPr>
        <w:t>av</w:t>
      </w:r>
      <w:r w:rsidRPr="003B3977">
        <w:rPr>
          <w:rFonts w:cs="Times New Roman"/>
          <w:sz w:val="20"/>
          <w:szCs w:val="20"/>
          <w:lang w:val="fr-CA"/>
        </w:rPr>
        <w:t>r</w:t>
      </w:r>
      <w:r w:rsidR="00767263">
        <w:rPr>
          <w:rFonts w:cs="Times New Roman"/>
          <w:sz w:val="20"/>
          <w:szCs w:val="20"/>
          <w:lang w:val="fr-CA"/>
        </w:rPr>
        <w:t>il</w:t>
      </w:r>
      <w:r w:rsidRPr="003B3977">
        <w:rPr>
          <w:rFonts w:cs="Times New Roman"/>
          <w:sz w:val="20"/>
          <w:szCs w:val="20"/>
          <w:lang w:val="fr-CA"/>
        </w:rPr>
        <w:t xml:space="preserve"> 201</w:t>
      </w:r>
      <w:r w:rsidR="00767263">
        <w:rPr>
          <w:rFonts w:cs="Times New Roman"/>
          <w:sz w:val="20"/>
          <w:szCs w:val="20"/>
          <w:lang w:val="fr-CA"/>
        </w:rPr>
        <w:t>2</w:t>
      </w:r>
    </w:p>
    <w:p w:rsidR="005C6840" w:rsidRPr="003B3977" w:rsidRDefault="009134DA" w:rsidP="005C6840">
      <w:pPr>
        <w:rPr>
          <w:rFonts w:cs="Times New Roman"/>
          <w:sz w:val="20"/>
          <w:szCs w:val="20"/>
          <w:lang w:val="fr-CA"/>
        </w:rPr>
      </w:pPr>
      <w:r w:rsidRPr="009134DA">
        <w:rPr>
          <w:rFonts w:cs="Times New Roman"/>
          <w:i/>
          <w:sz w:val="20"/>
          <w:szCs w:val="20"/>
        </w:rPr>
        <w:pict>
          <v:rect id="_x0000_i110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8540F" w:rsidRPr="00076F65" w:rsidRDefault="00A8540F" w:rsidP="00A8540F">
      <w:pPr>
        <w:jc w:val="both"/>
        <w:rPr>
          <w:sz w:val="20"/>
          <w:szCs w:val="20"/>
        </w:rPr>
      </w:pPr>
      <w:r w:rsidRPr="00076F65">
        <w:rPr>
          <w:sz w:val="20"/>
          <w:szCs w:val="20"/>
        </w:rPr>
        <w:t>Present:  McLachlin C.J. and LeBel, Deschamps, Rothstein, Cromwell, Moldaver and Karakatsanis JJ.</w:t>
      </w:r>
    </w:p>
    <w:p w:rsidR="00A8540F" w:rsidRDefault="00A8540F" w:rsidP="00A8540F">
      <w:pPr>
        <w:pStyle w:val="SCCLowerCourtNameLowercase"/>
        <w:spacing w:line="240" w:lineRule="auto"/>
        <w:rPr>
          <w:sz w:val="20"/>
        </w:rPr>
      </w:pPr>
    </w:p>
    <w:p w:rsidR="00A8540F" w:rsidRPr="00076F65" w:rsidRDefault="00A8540F" w:rsidP="00A8540F">
      <w:pPr>
        <w:pStyle w:val="SCCNormalDoubleSpacing"/>
        <w:spacing w:line="240" w:lineRule="auto"/>
        <w:rPr>
          <w:i/>
          <w:sz w:val="20"/>
        </w:rPr>
      </w:pPr>
      <w:r w:rsidRPr="00076F65">
        <w:rPr>
          <w:sz w:val="20"/>
        </w:rPr>
        <w:tab/>
      </w:r>
      <w:r w:rsidRPr="00076F65">
        <w:rPr>
          <w:i/>
          <w:sz w:val="20"/>
        </w:rPr>
        <w:t>Taxation ― Goods and services tax ― Single supply or multiple supplies  ― City acquiring and constructing transit facilities ― City claiming and receiving public service body rebates for portion of GST paid ― City also claiming input tax credits in respect of GST paid on purchases made for transit facilities ― Whether acquisition and construction of transit facilities constituting an exempt supply, a taxable supply or both ― Whether “transit facilities services” a taxable supply to the Province separate from exempt supply of “public transit services” to public ― City Transportation Act, R.S.A. 2000, c. C</w:t>
      </w:r>
      <w:r w:rsidRPr="00076F65">
        <w:rPr>
          <w:i/>
          <w:sz w:val="20"/>
        </w:rPr>
        <w:noBreakHyphen/>
        <w:t>14 ― Excise Tax Act, R.S.C. 1985, c. E</w:t>
      </w:r>
      <w:r w:rsidRPr="00076F65">
        <w:rPr>
          <w:i/>
          <w:sz w:val="20"/>
        </w:rPr>
        <w:noBreakHyphen/>
        <w:t>15, ss. 123(1), 169(1), Sched. V, Part VI, ss. 1 and 24.</w:t>
      </w:r>
    </w:p>
    <w:p w:rsidR="00A8540F" w:rsidRDefault="00A8540F" w:rsidP="00A8540F">
      <w:pPr>
        <w:pStyle w:val="SCCNormalDoubleSpacing"/>
        <w:spacing w:line="240" w:lineRule="auto"/>
        <w:rPr>
          <w:sz w:val="20"/>
        </w:rPr>
      </w:pPr>
    </w:p>
    <w:p w:rsidR="00A8540F" w:rsidRPr="00076F65" w:rsidRDefault="00A8540F" w:rsidP="00A8540F">
      <w:pPr>
        <w:pStyle w:val="SCCNormalDoubleSpacing"/>
        <w:spacing w:line="240" w:lineRule="auto"/>
        <w:rPr>
          <w:sz w:val="20"/>
        </w:rPr>
      </w:pPr>
      <w:r w:rsidRPr="00076F65">
        <w:rPr>
          <w:sz w:val="20"/>
        </w:rPr>
        <w:tab/>
        <w:t xml:space="preserve">The City of Calgary acquired and constructed transit infrastructure, facilities, and equipment for the use of the Calgary public as part of the municipal transit system pursuant to the </w:t>
      </w:r>
      <w:r w:rsidRPr="00076F65">
        <w:rPr>
          <w:i/>
          <w:sz w:val="20"/>
        </w:rPr>
        <w:t>City Transportation Act</w:t>
      </w:r>
      <w:r w:rsidRPr="00076F65">
        <w:rPr>
          <w:sz w:val="20"/>
        </w:rPr>
        <w:t>, R.S.A. 2000, c. C</w:t>
      </w:r>
      <w:r w:rsidRPr="00076F65">
        <w:rPr>
          <w:sz w:val="20"/>
        </w:rPr>
        <w:noBreakHyphen/>
        <w:t>14 (“</w:t>
      </w:r>
      <w:r w:rsidRPr="00076F65">
        <w:rPr>
          <w:i/>
          <w:sz w:val="20"/>
        </w:rPr>
        <w:t>CTA</w:t>
      </w:r>
      <w:r w:rsidRPr="00076F65">
        <w:rPr>
          <w:sz w:val="20"/>
        </w:rPr>
        <w:t xml:space="preserve">”).  Under the </w:t>
      </w:r>
      <w:r w:rsidRPr="00076F65">
        <w:rPr>
          <w:i/>
          <w:sz w:val="20"/>
        </w:rPr>
        <w:t>CTA</w:t>
      </w:r>
      <w:r w:rsidRPr="00076F65">
        <w:rPr>
          <w:sz w:val="20"/>
        </w:rPr>
        <w:t xml:space="preserve">, the Province of Alberta entered into funding agreements with the City.  The City paid GST in respect of its purchases for the acquisition and construction of the transit facilities.  The provision of a “municipal transit service” is an exempt supply under the terms of the </w:t>
      </w:r>
      <w:r w:rsidRPr="00076F65">
        <w:rPr>
          <w:i/>
          <w:sz w:val="20"/>
        </w:rPr>
        <w:t>Excise Tax Act</w:t>
      </w:r>
      <w:r w:rsidRPr="00076F65">
        <w:rPr>
          <w:sz w:val="20"/>
        </w:rPr>
        <w:t>, R.S.C. 1985, c. E</w:t>
      </w:r>
      <w:r w:rsidRPr="00076F65">
        <w:rPr>
          <w:sz w:val="20"/>
        </w:rPr>
        <w:noBreakHyphen/>
        <w:t>15 (“</w:t>
      </w:r>
      <w:r w:rsidRPr="00076F65">
        <w:rPr>
          <w:i/>
          <w:sz w:val="20"/>
        </w:rPr>
        <w:t>ETA</w:t>
      </w:r>
      <w:r w:rsidRPr="00076F65">
        <w:rPr>
          <w:sz w:val="20"/>
        </w:rPr>
        <w:t>”).  Input tax credits (“ITCs”) cannot be claimed with respect to purchases made for the purpose of providing an exempt supply.  Prior to 2003, the City claimed public service body rebates for 57.14% of the GST paid.  In January 2003, the City filed a GST return in which it claimed ITCs for the difference between the GST paid for the transit facilities and the rebates that the City had previously received.  The Minister of National Revenue rejected the City’s position denying the City’s claim for ITCs; the Tax Court of Canada agreed with the City, allowing the appeal and remitted the matter to the Minister for reassessment.  The Federal Court of Appeal allowed the Minister’s appeal.</w:t>
      </w:r>
    </w:p>
    <w:p w:rsidR="00D15F01" w:rsidRDefault="00D15F01" w:rsidP="00A8540F">
      <w:pPr>
        <w:pStyle w:val="SCCNormalDoubleSpacing"/>
        <w:spacing w:line="240" w:lineRule="auto"/>
        <w:rPr>
          <w:i/>
          <w:sz w:val="20"/>
        </w:rPr>
      </w:pPr>
    </w:p>
    <w:p w:rsidR="00A8540F" w:rsidRPr="00076F65" w:rsidRDefault="00A8540F" w:rsidP="00A8540F">
      <w:pPr>
        <w:pStyle w:val="SCCNormalDoubleSpacing"/>
        <w:spacing w:line="240" w:lineRule="auto"/>
        <w:rPr>
          <w:sz w:val="20"/>
        </w:rPr>
      </w:pPr>
      <w:r w:rsidRPr="00076F65">
        <w:rPr>
          <w:i/>
          <w:sz w:val="20"/>
        </w:rPr>
        <w:t>Held</w:t>
      </w:r>
      <w:r w:rsidRPr="00076F65">
        <w:rPr>
          <w:sz w:val="20"/>
        </w:rPr>
        <w:t>:  The appeal should be dismissed.</w:t>
      </w:r>
    </w:p>
    <w:p w:rsidR="00A8540F" w:rsidRDefault="00A8540F" w:rsidP="00A8540F">
      <w:pPr>
        <w:pStyle w:val="SCCNormalDoubleSpacing"/>
        <w:spacing w:line="240" w:lineRule="auto"/>
        <w:rPr>
          <w:sz w:val="20"/>
        </w:rPr>
      </w:pPr>
    </w:p>
    <w:p w:rsidR="00A8540F" w:rsidRPr="00076F65" w:rsidRDefault="00A8540F" w:rsidP="00A8540F">
      <w:pPr>
        <w:pStyle w:val="SCCNormalDoubleSpacing"/>
        <w:spacing w:line="240" w:lineRule="auto"/>
        <w:rPr>
          <w:sz w:val="20"/>
        </w:rPr>
      </w:pPr>
      <w:r w:rsidRPr="00076F65">
        <w:rPr>
          <w:sz w:val="20"/>
        </w:rPr>
        <w:tab/>
        <w:t>The question in this appeal is whether the acquisition and construction of the transit facilities constituted an exempt supply only, or whether it also, or instead, constituted a taxable supply.  The City asserts it made two supplies:  (1) operating the transit facilities on the one hand (“public transit services”), and (2) constructing, acquiring, and making transit facilities available to Calgary citizens (“transit facilities services”), on the other.  The City claims that its “transit facilities services” are a separate, taxable supply, the recipient of which is the Province, thus entitling it to input tax credits.</w:t>
      </w:r>
    </w:p>
    <w:p w:rsidR="00A8540F" w:rsidRDefault="00A8540F" w:rsidP="00A8540F">
      <w:pPr>
        <w:pStyle w:val="SCCNormalDoubleSpacing"/>
        <w:spacing w:line="240" w:lineRule="auto"/>
        <w:rPr>
          <w:sz w:val="20"/>
        </w:rPr>
      </w:pPr>
    </w:p>
    <w:p w:rsidR="00A8540F" w:rsidRPr="00076F65" w:rsidRDefault="00A8540F" w:rsidP="00A8540F">
      <w:pPr>
        <w:pStyle w:val="SCCNormalDoubleSpacing"/>
        <w:spacing w:line="240" w:lineRule="auto"/>
        <w:rPr>
          <w:sz w:val="20"/>
        </w:rPr>
      </w:pPr>
      <w:r w:rsidRPr="00076F65">
        <w:rPr>
          <w:sz w:val="20"/>
        </w:rPr>
        <w:tab/>
        <w:t xml:space="preserve">Guidance on the question of whether there were one or two supplies in this case may be drawn from the way in which courts have dealt with whether a supplier has made a single supply comprised of a number of constituent elements, or multiple supplies of separate goods and/or services.  The test to determine whether a particular set of facts reveals single or multiple supplies for the purposes of the </w:t>
      </w:r>
      <w:r w:rsidRPr="00076F65">
        <w:rPr>
          <w:i/>
          <w:sz w:val="20"/>
        </w:rPr>
        <w:t xml:space="preserve">ETA </w:t>
      </w:r>
      <w:r w:rsidRPr="00076F65">
        <w:rPr>
          <w:sz w:val="20"/>
        </w:rPr>
        <w:t xml:space="preserve"> is whether, in substance and reality, the alleged separate supply is an integral part, integrant or component of the overall supply.  One should look at the degree to which the services alleged to constitute a single supply are interconnected, the extent of their interdependence and intertwining, whether each is an integral part or component of a composite whole.  The question of whether two elements constitute a single supply or two or multiple supplies requires an analysis of the true nature of the transactions and it is a question of fact determined with a generous application of common sense.  Work preparatory to, or in order to make a supply, does not become a separate service subject to GST.</w:t>
      </w:r>
    </w:p>
    <w:p w:rsidR="00A8540F" w:rsidRDefault="00A8540F" w:rsidP="00A8540F">
      <w:pPr>
        <w:pStyle w:val="SCCNormalDoubleSpacing"/>
        <w:spacing w:line="240" w:lineRule="auto"/>
        <w:rPr>
          <w:sz w:val="20"/>
        </w:rPr>
      </w:pPr>
    </w:p>
    <w:p w:rsidR="00A8540F" w:rsidRPr="00076F65" w:rsidRDefault="00A8540F" w:rsidP="00A8540F">
      <w:pPr>
        <w:pStyle w:val="SCCNormalDoubleSpacing"/>
        <w:spacing w:line="240" w:lineRule="auto"/>
        <w:rPr>
          <w:sz w:val="20"/>
        </w:rPr>
      </w:pPr>
      <w:r w:rsidRPr="00076F65">
        <w:rPr>
          <w:sz w:val="20"/>
        </w:rPr>
        <w:tab/>
        <w:t xml:space="preserve">Here, the true nature of the City’s “transit facilities services” was work of a preparatory nature to the supply of a municipal transit service to the public.  Transit facilities were constructed, acquired, and made available in order to supply a municipal transit service to the Calgary public.  This would point to the “transit facilities services” being in fact a component of the overall supply of “public transit services” to the Calgary public.  The leading separate supply </w:t>
      </w:r>
      <w:r w:rsidRPr="00076F65">
        <w:rPr>
          <w:sz w:val="20"/>
        </w:rPr>
        <w:lastRenderedPageBreak/>
        <w:t xml:space="preserve">cases do not contemplate a situation, such as in this case, in which there are allegedly two recipients of the supply or supplies.  To determine whether the Province received any service or benefit from the City, the nature of the respective obligations of the City and Province under the funding agreements, having regard to the statutory context, must be analyzed.  Here, nothing in the </w:t>
      </w:r>
      <w:r w:rsidRPr="00076F65">
        <w:rPr>
          <w:i/>
          <w:sz w:val="20"/>
        </w:rPr>
        <w:t xml:space="preserve">CTA </w:t>
      </w:r>
      <w:r w:rsidRPr="00076F65">
        <w:rPr>
          <w:sz w:val="20"/>
        </w:rPr>
        <w:t>provides for the supply, by the City, of any goods, services, or other benefit to the Province.  Further, the City’s compliance with the accountability measures under the funding agreements with the Province did not amount to the provision of any goods, services, or benefit to the Province.</w:t>
      </w:r>
    </w:p>
    <w:p w:rsidR="00A8540F" w:rsidRDefault="00A8540F" w:rsidP="00A8540F">
      <w:pPr>
        <w:pStyle w:val="SCCNormalDoubleSpacing"/>
        <w:spacing w:line="240" w:lineRule="auto"/>
        <w:rPr>
          <w:sz w:val="20"/>
        </w:rPr>
      </w:pPr>
    </w:p>
    <w:p w:rsidR="00A8540F" w:rsidRDefault="00A8540F" w:rsidP="00A8540F">
      <w:pPr>
        <w:pStyle w:val="SCCNormalDoubleSpacing"/>
        <w:spacing w:line="240" w:lineRule="auto"/>
        <w:rPr>
          <w:sz w:val="20"/>
        </w:rPr>
      </w:pPr>
      <w:r w:rsidRPr="00076F65">
        <w:rPr>
          <w:sz w:val="20"/>
        </w:rPr>
        <w:tab/>
        <w:t xml:space="preserve">Accordingly, the City made only one supply: the exempt supply of a municipal transit system.  The City’s activities of acquiring, constructing, and making public transit facilities available for the Calgary public, did not fall within its “commercial activit[ies]”, under s. 123(1) of the ETA.  The City is not entitled to claim ITCs for GST paid for the acquisition and construction of the transit facilities. The </w:t>
      </w:r>
      <w:r w:rsidRPr="00076F65">
        <w:rPr>
          <w:i/>
          <w:sz w:val="20"/>
        </w:rPr>
        <w:t xml:space="preserve">ETA </w:t>
      </w:r>
      <w:r w:rsidRPr="00076F65">
        <w:rPr>
          <w:sz w:val="20"/>
        </w:rPr>
        <w:t>demonstrates that Parliament intended for public service bodies to receive rebates at specified rates for the GST that they pay in the course of making exempt supplies.</w:t>
      </w:r>
    </w:p>
    <w:p w:rsidR="00A8540F" w:rsidRDefault="00A8540F" w:rsidP="00A8540F">
      <w:pPr>
        <w:pStyle w:val="SCCNormalDoubleSpacing"/>
        <w:spacing w:line="240" w:lineRule="auto"/>
        <w:rPr>
          <w:sz w:val="20"/>
        </w:rPr>
      </w:pPr>
    </w:p>
    <w:p w:rsidR="00A8540F" w:rsidRPr="00076F65" w:rsidRDefault="00A8540F" w:rsidP="00A8540F">
      <w:pPr>
        <w:pStyle w:val="SCCNormalDoubleSpacing"/>
        <w:spacing w:line="240" w:lineRule="auto"/>
        <w:rPr>
          <w:sz w:val="20"/>
        </w:rPr>
      </w:pPr>
      <w:r w:rsidRPr="00076F65">
        <w:rPr>
          <w:sz w:val="20"/>
        </w:rPr>
        <w:tab/>
        <w:t>APPEAL from a judgment of the Federal Court of Appeal (Blais C.J. and Sharlow and Pelletier JJ.A.), 2010 FCA 127, 403 N.R. 41, 74 M.P.L.R. (4th) 93, [2010] G.S.T.C. 78, 2010 G.T.C. 1043, [2010] F.C.J. No. 700 (QL), 2010 CarswellNat 1410, setting aside a decision of Rossiter A.C.J., 2009 TCC 272, [2009] G.S.T.C. 85, 2009 G.T.C. 969, [2009] T.C.J. No. 195 (QL), 2009 CarswellNat 1309. Appeal dismissed.</w:t>
      </w:r>
    </w:p>
    <w:p w:rsidR="00A8540F" w:rsidRDefault="00A8540F" w:rsidP="00A8540F">
      <w:pPr>
        <w:pStyle w:val="SCCNormalDoubleSpacing"/>
        <w:spacing w:line="240" w:lineRule="auto"/>
        <w:rPr>
          <w:rStyle w:val="SCCCounselNameChar"/>
          <w:sz w:val="20"/>
        </w:rPr>
      </w:pPr>
    </w:p>
    <w:p w:rsidR="00A8540F" w:rsidRPr="00076F65" w:rsidRDefault="00A8540F" w:rsidP="00A8540F">
      <w:pPr>
        <w:pStyle w:val="SCCNormalDoubleSpacing"/>
        <w:spacing w:line="240" w:lineRule="auto"/>
        <w:rPr>
          <w:sz w:val="20"/>
        </w:rPr>
      </w:pPr>
      <w:r w:rsidRPr="00076F65">
        <w:rPr>
          <w:rStyle w:val="SCCCounselNameChar"/>
          <w:sz w:val="20"/>
        </w:rPr>
        <w:tab/>
        <w:t>Ken S. Skingle, Q.C.,</w:t>
      </w:r>
      <w:r w:rsidRPr="00A8540F">
        <w:rPr>
          <w:rStyle w:val="SCCCounselSeparatorChar"/>
          <w:sz w:val="20"/>
          <w:lang w:val="en-CA"/>
        </w:rPr>
        <w:t xml:space="preserve"> and </w:t>
      </w:r>
      <w:r w:rsidRPr="00076F65">
        <w:rPr>
          <w:rStyle w:val="SCCCounselNameChar"/>
          <w:sz w:val="20"/>
        </w:rPr>
        <w:t>D. Blair Nixon, Q.C.</w:t>
      </w:r>
      <w:r w:rsidRPr="00076F65">
        <w:rPr>
          <w:rStyle w:val="SCCCounselPartyRoleChar"/>
          <w:sz w:val="20"/>
        </w:rPr>
        <w:t>, for the appellant.</w:t>
      </w:r>
    </w:p>
    <w:p w:rsidR="00A8540F" w:rsidRDefault="00A8540F" w:rsidP="00A8540F">
      <w:pPr>
        <w:pStyle w:val="SCCNormalDoubleSpacing"/>
        <w:spacing w:line="240" w:lineRule="auto"/>
        <w:rPr>
          <w:rStyle w:val="SCCCounselNameChar"/>
          <w:sz w:val="20"/>
        </w:rPr>
      </w:pPr>
    </w:p>
    <w:p w:rsidR="00A8540F" w:rsidRPr="00076F65" w:rsidRDefault="00A8540F" w:rsidP="00A8540F">
      <w:pPr>
        <w:pStyle w:val="SCCNormalDoubleSpacing"/>
        <w:spacing w:line="240" w:lineRule="auto"/>
        <w:rPr>
          <w:sz w:val="20"/>
        </w:rPr>
      </w:pPr>
      <w:r w:rsidRPr="00076F65">
        <w:rPr>
          <w:rStyle w:val="SCCCounselNameChar"/>
          <w:sz w:val="20"/>
        </w:rPr>
        <w:tab/>
        <w:t>Gordon Bourgard</w:t>
      </w:r>
      <w:r w:rsidRPr="00A8540F">
        <w:rPr>
          <w:rStyle w:val="SCCCounselSeparatorChar"/>
          <w:sz w:val="20"/>
          <w:lang w:val="en-CA"/>
        </w:rPr>
        <w:t xml:space="preserve"> and </w:t>
      </w:r>
      <w:r w:rsidRPr="00076F65">
        <w:rPr>
          <w:rStyle w:val="SCCCounselNameChar"/>
          <w:sz w:val="20"/>
        </w:rPr>
        <w:t>Michael Lema</w:t>
      </w:r>
      <w:r w:rsidRPr="00076F65">
        <w:rPr>
          <w:rStyle w:val="SCCCounselPartyRoleChar"/>
          <w:sz w:val="20"/>
        </w:rPr>
        <w:t>, for the respondent.</w:t>
      </w:r>
    </w:p>
    <w:p w:rsidR="00A8540F" w:rsidRDefault="00A8540F" w:rsidP="00A8540F">
      <w:pPr>
        <w:pStyle w:val="SCCLawFirm"/>
        <w:spacing w:line="240" w:lineRule="auto"/>
        <w:rPr>
          <w:sz w:val="20"/>
        </w:rPr>
      </w:pPr>
    </w:p>
    <w:p w:rsidR="00A8540F" w:rsidRPr="00076F65" w:rsidRDefault="00A8540F" w:rsidP="00A8540F">
      <w:pPr>
        <w:pStyle w:val="SCCLawFirm"/>
        <w:spacing w:line="240" w:lineRule="auto"/>
        <w:rPr>
          <w:sz w:val="20"/>
        </w:rPr>
      </w:pPr>
      <w:r w:rsidRPr="00076F65">
        <w:rPr>
          <w:sz w:val="20"/>
        </w:rPr>
        <w:tab/>
        <w:t>Solicitors for the appellant:  Felesky Flynn, Calgary.</w:t>
      </w:r>
    </w:p>
    <w:p w:rsidR="00A8540F" w:rsidRDefault="00A8540F" w:rsidP="00A8540F">
      <w:pPr>
        <w:pStyle w:val="SCCLawFirm"/>
        <w:spacing w:line="240" w:lineRule="auto"/>
        <w:rPr>
          <w:sz w:val="20"/>
        </w:rPr>
      </w:pPr>
    </w:p>
    <w:p w:rsidR="00A8540F" w:rsidRDefault="00A8540F" w:rsidP="00A8540F">
      <w:pPr>
        <w:pStyle w:val="SCCLawFirm"/>
        <w:spacing w:line="240" w:lineRule="auto"/>
        <w:rPr>
          <w:sz w:val="20"/>
        </w:rPr>
      </w:pPr>
      <w:r w:rsidRPr="00076F65">
        <w:rPr>
          <w:sz w:val="20"/>
        </w:rPr>
        <w:tab/>
        <w:t>Solicitor for the respondent:   Attorney General of Canada,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A8540F" w:rsidRPr="00A8540F" w:rsidRDefault="00A8540F" w:rsidP="00A8540F">
      <w:pPr>
        <w:jc w:val="both"/>
        <w:rPr>
          <w:sz w:val="20"/>
          <w:szCs w:val="20"/>
          <w:lang w:val="fr-CA"/>
        </w:rPr>
      </w:pPr>
      <w:r w:rsidRPr="00A8540F">
        <w:rPr>
          <w:sz w:val="20"/>
          <w:szCs w:val="20"/>
          <w:lang w:val="fr-CA"/>
        </w:rPr>
        <w:t>Présents : La juge en chef McLachlin et les juges LeBel, Deschamps, Rothstein, Cromwell, Moldaver et Karakatsanis.</w:t>
      </w:r>
    </w:p>
    <w:p w:rsidR="00A8540F" w:rsidRPr="00A8540F" w:rsidRDefault="00A8540F" w:rsidP="00A8540F">
      <w:pPr>
        <w:pStyle w:val="SCCLowerCourtNameLowercase"/>
        <w:spacing w:line="240" w:lineRule="auto"/>
        <w:rPr>
          <w:sz w:val="20"/>
          <w:lang w:val="fr-CA"/>
        </w:rPr>
      </w:pPr>
    </w:p>
    <w:p w:rsidR="00A8540F" w:rsidRPr="00A8540F" w:rsidRDefault="00A8540F" w:rsidP="00A8540F">
      <w:pPr>
        <w:pStyle w:val="SCCNormalDoubleSpacing"/>
        <w:spacing w:line="240" w:lineRule="auto"/>
        <w:rPr>
          <w:i/>
          <w:sz w:val="20"/>
          <w:lang w:val="fr-CA"/>
        </w:rPr>
      </w:pPr>
      <w:r w:rsidRPr="00A8540F">
        <w:rPr>
          <w:sz w:val="20"/>
          <w:lang w:val="fr-CA"/>
        </w:rPr>
        <w:tab/>
      </w:r>
      <w:r w:rsidRPr="00A8540F">
        <w:rPr>
          <w:i/>
          <w:sz w:val="20"/>
          <w:lang w:val="fr-CA"/>
        </w:rPr>
        <w:t>Droit fiscal —</w:t>
      </w:r>
      <w:r w:rsidRPr="00A8540F">
        <w:rPr>
          <w:sz w:val="20"/>
          <w:lang w:val="fr-CA"/>
        </w:rPr>
        <w:t xml:space="preserve"> </w:t>
      </w:r>
      <w:r w:rsidRPr="00A8540F">
        <w:rPr>
          <w:i/>
          <w:sz w:val="20"/>
          <w:lang w:val="fr-CA"/>
        </w:rPr>
        <w:t>Taxe sur les produits et services</w:t>
      </w:r>
      <w:r w:rsidRPr="00A8540F">
        <w:rPr>
          <w:sz w:val="20"/>
          <w:lang w:val="fr-CA"/>
        </w:rPr>
        <w:t xml:space="preserve"> </w:t>
      </w:r>
      <w:r w:rsidRPr="00A8540F">
        <w:rPr>
          <w:i/>
          <w:sz w:val="20"/>
          <w:lang w:val="fr-CA"/>
        </w:rPr>
        <w:t>—</w:t>
      </w:r>
      <w:r w:rsidRPr="00A8540F">
        <w:rPr>
          <w:sz w:val="20"/>
          <w:lang w:val="fr-CA"/>
        </w:rPr>
        <w:t xml:space="preserve"> </w:t>
      </w:r>
      <w:r w:rsidRPr="00A8540F">
        <w:rPr>
          <w:i/>
          <w:sz w:val="20"/>
          <w:lang w:val="fr-CA"/>
        </w:rPr>
        <w:t>Fourniture unique ou fournitures multiples</w:t>
      </w:r>
      <w:r w:rsidRPr="00A8540F">
        <w:rPr>
          <w:sz w:val="20"/>
          <w:lang w:val="fr-CA"/>
        </w:rPr>
        <w:t xml:space="preserve"> </w:t>
      </w:r>
      <w:r w:rsidRPr="00A8540F">
        <w:rPr>
          <w:i/>
          <w:sz w:val="20"/>
          <w:lang w:val="fr-CA"/>
        </w:rPr>
        <w:t>—</w:t>
      </w:r>
      <w:r w:rsidRPr="00A8540F">
        <w:rPr>
          <w:sz w:val="20"/>
          <w:lang w:val="fr-CA"/>
        </w:rPr>
        <w:t xml:space="preserve"> </w:t>
      </w:r>
      <w:r w:rsidRPr="00A8540F">
        <w:rPr>
          <w:i/>
          <w:sz w:val="20"/>
          <w:lang w:val="fr-CA"/>
        </w:rPr>
        <w:t>Ville ayant</w:t>
      </w:r>
      <w:r w:rsidRPr="00A8540F">
        <w:rPr>
          <w:sz w:val="20"/>
          <w:lang w:val="fr-CA"/>
        </w:rPr>
        <w:t xml:space="preserve"> </w:t>
      </w:r>
      <w:r w:rsidRPr="00A8540F">
        <w:rPr>
          <w:i/>
          <w:sz w:val="20"/>
          <w:lang w:val="fr-CA"/>
        </w:rPr>
        <w:t>acquis et construit des installations de transport —</w:t>
      </w:r>
      <w:r w:rsidRPr="00A8540F">
        <w:rPr>
          <w:sz w:val="20"/>
          <w:lang w:val="fr-CA"/>
        </w:rPr>
        <w:t xml:space="preserve"> </w:t>
      </w:r>
      <w:r w:rsidRPr="00A8540F">
        <w:rPr>
          <w:i/>
          <w:sz w:val="20"/>
          <w:lang w:val="fr-CA"/>
        </w:rPr>
        <w:t>Demande et obtention d’un remboursement à titre d’organisme de services publics d’une partie de la TPS payée par la ville —</w:t>
      </w:r>
      <w:r w:rsidRPr="00A8540F">
        <w:rPr>
          <w:sz w:val="20"/>
          <w:lang w:val="fr-CA"/>
        </w:rPr>
        <w:t xml:space="preserve"> </w:t>
      </w:r>
      <w:r w:rsidRPr="00A8540F">
        <w:rPr>
          <w:i/>
          <w:sz w:val="20"/>
          <w:lang w:val="fr-CA"/>
        </w:rPr>
        <w:t>Crédit de taxe sur les intrants demandé en outre par la ville relativement à la TPS acquittée sur ses achats liés aux installations de transport —</w:t>
      </w:r>
      <w:r w:rsidRPr="00A8540F">
        <w:rPr>
          <w:sz w:val="20"/>
          <w:lang w:val="fr-CA"/>
        </w:rPr>
        <w:t xml:space="preserve"> </w:t>
      </w:r>
      <w:r w:rsidRPr="00A8540F">
        <w:rPr>
          <w:i/>
          <w:sz w:val="20"/>
          <w:lang w:val="fr-CA"/>
        </w:rPr>
        <w:t>L’acquisition et la construction des installations de transport constituent</w:t>
      </w:r>
      <w:r w:rsidRPr="00A8540F">
        <w:rPr>
          <w:i/>
          <w:sz w:val="20"/>
          <w:lang w:val="fr-CA"/>
        </w:rPr>
        <w:noBreakHyphen/>
        <w:t>elles une fourniture exonérée, une fourniture taxable, ou les deux?</w:t>
      </w:r>
      <w:r w:rsidRPr="00A8540F">
        <w:rPr>
          <w:sz w:val="20"/>
          <w:lang w:val="fr-CA"/>
        </w:rPr>
        <w:t xml:space="preserve"> </w:t>
      </w:r>
      <w:r w:rsidRPr="00A8540F">
        <w:rPr>
          <w:i/>
          <w:sz w:val="20"/>
          <w:lang w:val="fr-CA"/>
        </w:rPr>
        <w:t>—</w:t>
      </w:r>
      <w:r w:rsidRPr="00A8540F">
        <w:rPr>
          <w:sz w:val="20"/>
          <w:lang w:val="fr-CA"/>
        </w:rPr>
        <w:t xml:space="preserve"> </w:t>
      </w:r>
      <w:r w:rsidRPr="00A8540F">
        <w:rPr>
          <w:i/>
          <w:sz w:val="20"/>
          <w:lang w:val="fr-CA"/>
        </w:rPr>
        <w:t>Les « services liés aux installations de transport » correspondent-ils à une fourniture  taxable à la province distincte de la fourniture exonérée de « services de transport en commun » à la population?</w:t>
      </w:r>
      <w:r w:rsidRPr="00A8540F">
        <w:rPr>
          <w:sz w:val="20"/>
          <w:lang w:val="fr-CA"/>
        </w:rPr>
        <w:t xml:space="preserve"> </w:t>
      </w:r>
      <w:r w:rsidRPr="00A8540F">
        <w:rPr>
          <w:i/>
          <w:sz w:val="20"/>
          <w:lang w:val="fr-CA"/>
        </w:rPr>
        <w:t>— City Transportation Act, R.S.A. 2000, ch. C-14</w:t>
      </w:r>
      <w:r w:rsidRPr="00A8540F">
        <w:rPr>
          <w:sz w:val="20"/>
          <w:lang w:val="fr-CA"/>
        </w:rPr>
        <w:t xml:space="preserve"> </w:t>
      </w:r>
      <w:r w:rsidRPr="00A8540F">
        <w:rPr>
          <w:i/>
          <w:sz w:val="20"/>
          <w:lang w:val="fr-CA"/>
        </w:rPr>
        <w:t>—</w:t>
      </w:r>
      <w:r w:rsidRPr="00A8540F">
        <w:rPr>
          <w:sz w:val="20"/>
          <w:lang w:val="fr-CA"/>
        </w:rPr>
        <w:t xml:space="preserve"> </w:t>
      </w:r>
      <w:r w:rsidRPr="00A8540F">
        <w:rPr>
          <w:i/>
          <w:sz w:val="20"/>
          <w:lang w:val="fr-CA"/>
        </w:rPr>
        <w:t xml:space="preserve">Loi sur la taxe d’accise, L.R.C. 1985, ch. E-15, art. 123(1), 169(1), ann. V, partie IV, art. 1 et 24. </w:t>
      </w:r>
    </w:p>
    <w:p w:rsidR="00A8540F" w:rsidRPr="00A8540F" w:rsidRDefault="00A8540F" w:rsidP="00A8540F">
      <w:pPr>
        <w:pStyle w:val="SCCNormalDoubleSpacing"/>
        <w:spacing w:line="240" w:lineRule="auto"/>
        <w:rPr>
          <w:sz w:val="20"/>
          <w:lang w:val="fr-CA"/>
        </w:rPr>
      </w:pPr>
    </w:p>
    <w:p w:rsidR="00A8540F" w:rsidRPr="00A8540F" w:rsidRDefault="00A8540F" w:rsidP="00A8540F">
      <w:pPr>
        <w:pStyle w:val="SCCNormalDoubleSpacing"/>
        <w:spacing w:line="240" w:lineRule="auto"/>
        <w:rPr>
          <w:sz w:val="20"/>
          <w:lang w:val="fr-CA"/>
        </w:rPr>
      </w:pPr>
      <w:r w:rsidRPr="00A8540F">
        <w:rPr>
          <w:sz w:val="20"/>
          <w:lang w:val="fr-CA"/>
        </w:rPr>
        <w:tab/>
        <w:t xml:space="preserve">La ville de Calgary a acquis et construit des infrastructures, des installations et du matériel de transport devant être intégrés au réseau municipal de transport mis à la disposition de ses résidants, conformément à la </w:t>
      </w:r>
      <w:r w:rsidRPr="00A8540F">
        <w:rPr>
          <w:i/>
          <w:sz w:val="20"/>
          <w:lang w:val="fr-CA"/>
        </w:rPr>
        <w:t>City Transportation Act</w:t>
      </w:r>
      <w:r w:rsidRPr="00A8540F">
        <w:rPr>
          <w:sz w:val="20"/>
          <w:lang w:val="fr-CA"/>
        </w:rPr>
        <w:t>, R.S.A. 2000, ch. C</w:t>
      </w:r>
      <w:r w:rsidRPr="00A8540F">
        <w:rPr>
          <w:sz w:val="20"/>
          <w:lang w:val="fr-CA"/>
        </w:rPr>
        <w:noBreakHyphen/>
        <w:t xml:space="preserve">14 (« CTA »).  Sous le régime de la CTA, la province d’Alberta a conclu avec la ville des accords de financement.  La ville a acquitté la TPS exigible sur les achats faits dans le cadre de l’acquisition et de la construction des installations de transport.  La fourniture d’un « service municipal de transport » est une fourniture exonérée suivant la </w:t>
      </w:r>
      <w:r w:rsidRPr="00A8540F">
        <w:rPr>
          <w:i/>
          <w:sz w:val="20"/>
          <w:lang w:val="fr-CA"/>
        </w:rPr>
        <w:t>Loi sur la taxe d’accise</w:t>
      </w:r>
      <w:r w:rsidRPr="00A8540F">
        <w:rPr>
          <w:sz w:val="20"/>
          <w:lang w:val="fr-CA"/>
        </w:rPr>
        <w:t>, L.R.C. 1985, ch. E</w:t>
      </w:r>
      <w:r w:rsidRPr="00A8540F">
        <w:rPr>
          <w:sz w:val="20"/>
          <w:lang w:val="fr-CA"/>
        </w:rPr>
        <w:noBreakHyphen/>
        <w:t>15 (« LTA »).  Aucun crédit de taxe sur les intrants (« CTI ») ne peut être accordé pour un achat effectué aux fins d’une fourniture exonérée.  Jusqu’en 2003, la ville a demandé un remboursement à titre d’organisme de services publics de 57,14 % de la TPS payée.  En janvier 2003, elle a produit une déclaration de TPS dans laquelle elle demandait un CTI pour la différence entre la TPS payée sur les installations de transport et le remboursement obtenu précédemment.  Le ministre du Revenu national a rejeté sa demande, lui refusant tout CTI.  La Cour canadienne de l’impôt a donné raison à la ville, a accueilli l’appel et a renvoyé l’affaire au ministre pour qu’il établisse une nouvelle cotisation. La Cour d’appel fédérale a accueilli l’appel du ministre.</w:t>
      </w:r>
    </w:p>
    <w:p w:rsidR="00A8540F" w:rsidRPr="00A8540F" w:rsidRDefault="00A8540F" w:rsidP="00A8540F">
      <w:pPr>
        <w:pStyle w:val="SCCNormalDoubleSpacing"/>
        <w:spacing w:line="240" w:lineRule="auto"/>
        <w:rPr>
          <w:sz w:val="20"/>
          <w:lang w:val="fr-CA"/>
        </w:rPr>
      </w:pPr>
    </w:p>
    <w:p w:rsidR="00A8540F" w:rsidRPr="00A8540F" w:rsidRDefault="00A8540F" w:rsidP="00A8540F">
      <w:pPr>
        <w:pStyle w:val="SCCNormalDoubleSpacing"/>
        <w:spacing w:line="240" w:lineRule="auto"/>
        <w:rPr>
          <w:sz w:val="20"/>
          <w:lang w:val="fr-CA"/>
        </w:rPr>
      </w:pPr>
      <w:r w:rsidRPr="00A8540F">
        <w:rPr>
          <w:sz w:val="20"/>
          <w:lang w:val="fr-CA"/>
        </w:rPr>
        <w:tab/>
      </w:r>
      <w:r w:rsidRPr="00A8540F">
        <w:rPr>
          <w:i/>
          <w:sz w:val="20"/>
          <w:lang w:val="fr-CA"/>
        </w:rPr>
        <w:t>Arrêt </w:t>
      </w:r>
      <w:r w:rsidRPr="00A8540F">
        <w:rPr>
          <w:sz w:val="20"/>
          <w:lang w:val="fr-CA"/>
        </w:rPr>
        <w:t>: Le pourvoi est rejeté.</w:t>
      </w:r>
    </w:p>
    <w:p w:rsidR="00A8540F" w:rsidRPr="00A8540F" w:rsidRDefault="00A8540F" w:rsidP="00A8540F">
      <w:pPr>
        <w:pStyle w:val="SCCNormalDoubleSpacing"/>
        <w:spacing w:line="240" w:lineRule="auto"/>
        <w:rPr>
          <w:sz w:val="20"/>
          <w:lang w:val="fr-CA"/>
        </w:rPr>
      </w:pPr>
    </w:p>
    <w:p w:rsidR="00A8540F" w:rsidRPr="00A8540F" w:rsidRDefault="00A8540F" w:rsidP="00A8540F">
      <w:pPr>
        <w:pStyle w:val="SCCNormalDoubleSpacing"/>
        <w:spacing w:line="240" w:lineRule="auto"/>
        <w:rPr>
          <w:sz w:val="20"/>
          <w:lang w:val="fr-CA"/>
        </w:rPr>
      </w:pPr>
      <w:r w:rsidRPr="00A8540F">
        <w:rPr>
          <w:sz w:val="20"/>
          <w:lang w:val="fr-CA"/>
        </w:rPr>
        <w:lastRenderedPageBreak/>
        <w:tab/>
        <w:t xml:space="preserve">La question à trancher en l’espèce est celle de savoir si l’acquisition et la construction des installations de transport constituaient seulement une fourniture exonérée ou si elles constituaient également </w:t>
      </w:r>
      <w:r w:rsidRPr="00A8540F">
        <w:rPr>
          <w:i/>
          <w:sz w:val="20"/>
          <w:lang w:val="fr-CA"/>
        </w:rPr>
        <w:t>—</w:t>
      </w:r>
      <w:r w:rsidRPr="00A8540F">
        <w:rPr>
          <w:sz w:val="20"/>
          <w:lang w:val="fr-CA"/>
        </w:rPr>
        <w:t xml:space="preserve"> ou constituaient plutôt </w:t>
      </w:r>
      <w:r w:rsidRPr="00A8540F">
        <w:rPr>
          <w:i/>
          <w:sz w:val="20"/>
          <w:lang w:val="fr-CA"/>
        </w:rPr>
        <w:t>—</w:t>
      </w:r>
      <w:r w:rsidRPr="00A8540F">
        <w:rPr>
          <w:sz w:val="20"/>
          <w:lang w:val="fr-CA"/>
        </w:rPr>
        <w:t xml:space="preserve"> une fourniture taxable.  La ville prétend avoir effectué deux fournitures : (1) l’exploitation des installations de transport  (les « services de transport en commun »), d’une part, et (2) leur construction, leur acquisition et leur mise à la disposition des citoyens de Calgary (les « services liés aux installations de transport »), d’autre part.  Elle soutient que ses « services liés aux installations de transport » constituent une fourniture distincte et taxable dont l’acquéreur est la province, ce qui lui donne droit au crédit de taxe sur les intrants.</w:t>
      </w:r>
    </w:p>
    <w:p w:rsidR="00A8540F" w:rsidRPr="00A8540F" w:rsidRDefault="00A8540F" w:rsidP="00A8540F">
      <w:pPr>
        <w:pStyle w:val="SCCNormalDoubleSpacing"/>
        <w:spacing w:line="240" w:lineRule="auto"/>
        <w:rPr>
          <w:sz w:val="20"/>
          <w:lang w:val="fr-CA"/>
        </w:rPr>
      </w:pPr>
    </w:p>
    <w:p w:rsidR="00A8540F" w:rsidRPr="00A8540F" w:rsidRDefault="00A8540F" w:rsidP="00A8540F">
      <w:pPr>
        <w:pStyle w:val="SCCNormalDoubleSpacing"/>
        <w:spacing w:line="240" w:lineRule="auto"/>
        <w:rPr>
          <w:sz w:val="20"/>
          <w:lang w:val="fr-CA"/>
        </w:rPr>
      </w:pPr>
      <w:r w:rsidRPr="00A8540F">
        <w:rPr>
          <w:sz w:val="20"/>
          <w:lang w:val="fr-CA"/>
        </w:rPr>
        <w:tab/>
        <w:t>Pour déterminer s’il y a eu une ou deux fournitures en l’espèce, on peut s’inspirer de la manière dont les tribunaux ont tranché la question de savoir si un fournisseur avait effectué une fourniture unique comportant un certain nombre d’éléments ou des fournitures multiples de biens ou de services distincts.  Le critère servant à déterminer si un ensemble de faits donné révèle l’existence d’une fourniture unique ou de fournitures multiples pour les besoins de la LTA consiste à se demander si, au fond et en réalité, la prétendue fourniture distincte fait partie intégrante de la fourniture globale ou en constitue un élément.  Il faut examiner dans quelle mesure les services qui constitueraient une fourniture unique sont liés les uns aux autres, l’étendue de leur interdépendance et de leur enchevêtrement, et si chacun des services fait partie intégrante d’un ensemble composite.  Déterminer si deux éléments forment soit une fourniture unique, soit deux ou de multiples fournitures requiert l’analyse de la nature véritable des opérations, et il s’agit d’une question de fait qui commande une généreuse dose de bon sens.  Les travaux préparatoires ou nécessaires à la fourniture ne deviennent pas un service distinct assujetti à la TPS.</w:t>
      </w:r>
    </w:p>
    <w:p w:rsidR="00A8540F" w:rsidRPr="00A8540F" w:rsidRDefault="00A8540F" w:rsidP="00A8540F">
      <w:pPr>
        <w:pStyle w:val="SCCNormalDoubleSpacing"/>
        <w:spacing w:line="240" w:lineRule="auto"/>
        <w:rPr>
          <w:sz w:val="20"/>
          <w:lang w:val="fr-CA"/>
        </w:rPr>
      </w:pPr>
    </w:p>
    <w:p w:rsidR="00A8540F" w:rsidRPr="00A8540F" w:rsidRDefault="00A8540F" w:rsidP="00A8540F">
      <w:pPr>
        <w:pStyle w:val="SCCNormalDoubleSpacing"/>
        <w:spacing w:line="240" w:lineRule="auto"/>
        <w:rPr>
          <w:sz w:val="20"/>
          <w:lang w:val="fr-CA"/>
        </w:rPr>
      </w:pPr>
      <w:r w:rsidRPr="00A8540F">
        <w:rPr>
          <w:sz w:val="20"/>
          <w:lang w:val="fr-CA"/>
        </w:rPr>
        <w:tab/>
        <w:t>De par leur nature véritable, les « services liés aux installations de transport » de la ville étaient en l’espèce préparatoires à la fourniture d’un service municipal de transport à la population.  Les installations de transport ont été construites, acquises et mises à disposition en vue de la fourniture d’un service municipal de transport aux résidants de Calgary.  Dès lors, les « services liés aux installations de transport » constitueraient en fait un élément de la fourniture globale de « services de transport en commun » aux citoyens de Calgary.  Les décisions de principe sur le sujet ne visent pas la situation où, comme en l’espèce, il y aurait deux acquéreurs de la ou des fournitures.  Pour déterminer si la province a obtenu un service ou un avantage de la ville, il faut analyser la nature des obligations qui incombent respectivement à la ville et à la province suivant les accords de financement, compte tenu du contexte législatif.  En l’occurrence, aucune disposition de la CTA ne prévoit la fourniture par la ville d’un bien, d’un service ou d’un autre avantage à la province.  Qui plus est, l’observation par la ville de ses obligations de nature comptable suivant les accords de financement ne peut être assimilée à la fourniture d’un bien, d’un service ou d’un avantage à la province.</w:t>
      </w:r>
    </w:p>
    <w:p w:rsidR="00A8540F" w:rsidRPr="00A8540F" w:rsidRDefault="00A8540F" w:rsidP="00A8540F">
      <w:pPr>
        <w:pStyle w:val="SCCNormalDoubleSpacing"/>
        <w:spacing w:line="240" w:lineRule="auto"/>
        <w:rPr>
          <w:sz w:val="20"/>
          <w:lang w:val="fr-CA"/>
        </w:rPr>
      </w:pPr>
    </w:p>
    <w:p w:rsidR="00A8540F" w:rsidRPr="00A8540F" w:rsidRDefault="00A8540F" w:rsidP="00A8540F">
      <w:pPr>
        <w:pStyle w:val="SCCNormalDoubleSpacing"/>
        <w:spacing w:line="240" w:lineRule="auto"/>
        <w:rPr>
          <w:sz w:val="20"/>
          <w:lang w:val="fr-CA"/>
        </w:rPr>
      </w:pPr>
      <w:r w:rsidRPr="00A8540F">
        <w:rPr>
          <w:sz w:val="20"/>
          <w:lang w:val="fr-CA"/>
        </w:rPr>
        <w:tab/>
        <w:t xml:space="preserve">Par conséquent, il n’y a eu qu’une seule fourniture par la ville : celle, exonérée, d’un réseau municipal de transport.  L’activité de la ville consistant à acquérir et à construire les installations de transport en commun, ainsi qu’à les mettre à la disposition de la population de Calgary, ne constitue pas une « activité commerciale » au sens du par. 123(1) de la LTA. La ville n’a pas droit au CTI pour la TPS acquittée à l’occasion de l’acquisition et de la construction des installations de transport.  Il ressort de la LTA que le législateur a voulu qu’un organisme de services publics se voit rembourser, selon un pourcentage établi, la TPS payée dans le cadre de la réalisation d’une fourniture exonérée. </w:t>
      </w:r>
    </w:p>
    <w:p w:rsidR="00A8540F" w:rsidRPr="00A8540F" w:rsidRDefault="00A8540F" w:rsidP="00A8540F">
      <w:pPr>
        <w:pStyle w:val="SCCNormalDoubleSpacing"/>
        <w:spacing w:line="240" w:lineRule="auto"/>
        <w:rPr>
          <w:sz w:val="20"/>
          <w:lang w:val="fr-CA"/>
        </w:rPr>
      </w:pPr>
    </w:p>
    <w:p w:rsidR="00A8540F" w:rsidRPr="00A8540F" w:rsidRDefault="00A8540F" w:rsidP="00A8540F">
      <w:pPr>
        <w:pStyle w:val="SCCNormalDoubleSpacing"/>
        <w:spacing w:line="240" w:lineRule="auto"/>
        <w:rPr>
          <w:sz w:val="20"/>
          <w:lang w:val="fr-CA"/>
        </w:rPr>
      </w:pPr>
      <w:r w:rsidRPr="00A8540F">
        <w:rPr>
          <w:sz w:val="20"/>
          <w:lang w:val="fr-CA"/>
        </w:rPr>
        <w:tab/>
        <w:t>POURVOI contre un arrêt de la Cour d’appel fédérale (le juge en chef Blais et les juges Sharlow et Pelletier), 2010 CAF 127, 403 N.R. 41, 74 M.P.L.R. (4th) 93, [2010] G.S.T.C. 78, 2010 G.T.C. 1043, [2010] A.C.F. n</w:t>
      </w:r>
      <w:r w:rsidRPr="00A8540F">
        <w:rPr>
          <w:sz w:val="20"/>
          <w:vertAlign w:val="superscript"/>
          <w:lang w:val="fr-CA"/>
        </w:rPr>
        <w:t>o</w:t>
      </w:r>
      <w:r w:rsidRPr="00A8540F">
        <w:rPr>
          <w:sz w:val="20"/>
          <w:lang w:val="fr-CA"/>
        </w:rPr>
        <w:t> 700 (QL), 2010 CarswellNat 3090, qui a infirmé une décision du juge en chef adjoint Rossiter, 2009 CCI 272, [2009] G.S.T.C. 85, 2009 G.T.C. 969, [2009] A.C.I. n</w:t>
      </w:r>
      <w:r w:rsidRPr="00A8540F">
        <w:rPr>
          <w:sz w:val="20"/>
          <w:vertAlign w:val="superscript"/>
          <w:lang w:val="fr-CA"/>
        </w:rPr>
        <w:t>o</w:t>
      </w:r>
      <w:r w:rsidRPr="00A8540F">
        <w:rPr>
          <w:sz w:val="20"/>
          <w:lang w:val="fr-CA"/>
        </w:rPr>
        <w:t> 195 (QL), 2009 CarswellNat 1309.  Pourvoi rejeté.</w:t>
      </w:r>
    </w:p>
    <w:p w:rsidR="00A8540F" w:rsidRPr="00A8540F" w:rsidRDefault="00A8540F" w:rsidP="00A8540F">
      <w:pPr>
        <w:pStyle w:val="SCCNormalDoubleSpacing"/>
        <w:spacing w:line="240" w:lineRule="auto"/>
        <w:rPr>
          <w:rStyle w:val="SCCCounselNameChar"/>
          <w:sz w:val="20"/>
          <w:lang w:val="fr-CA"/>
        </w:rPr>
      </w:pPr>
    </w:p>
    <w:p w:rsidR="00A8540F" w:rsidRPr="00A8540F" w:rsidRDefault="00A8540F" w:rsidP="00A8540F">
      <w:pPr>
        <w:pStyle w:val="SCCNormalDoubleSpacing"/>
        <w:spacing w:line="240" w:lineRule="auto"/>
        <w:rPr>
          <w:sz w:val="20"/>
          <w:lang w:val="fr-CA"/>
        </w:rPr>
      </w:pPr>
      <w:r w:rsidRPr="00A8540F">
        <w:rPr>
          <w:rStyle w:val="SCCCounselNameChar"/>
          <w:sz w:val="20"/>
          <w:lang w:val="fr-CA"/>
        </w:rPr>
        <w:tab/>
        <w:t>Ken S. Skingle, c.r.,</w:t>
      </w:r>
      <w:r w:rsidRPr="00AD58B0">
        <w:rPr>
          <w:rStyle w:val="SCCCounselSeparatorChar"/>
          <w:sz w:val="20"/>
        </w:rPr>
        <w:t xml:space="preserve"> et </w:t>
      </w:r>
      <w:r w:rsidRPr="00A8540F">
        <w:rPr>
          <w:rStyle w:val="SCCCounselNameChar"/>
          <w:sz w:val="20"/>
          <w:lang w:val="fr-CA"/>
        </w:rPr>
        <w:t>D. Blair Nixon, c.r.</w:t>
      </w:r>
      <w:r w:rsidRPr="00A8540F">
        <w:rPr>
          <w:rStyle w:val="SCCCounselPartyRoleChar"/>
          <w:sz w:val="20"/>
          <w:lang w:val="fr-CA"/>
        </w:rPr>
        <w:t>, pour l’appelante.</w:t>
      </w:r>
    </w:p>
    <w:p w:rsidR="00A8540F" w:rsidRPr="00A8540F" w:rsidRDefault="00A8540F" w:rsidP="00A8540F">
      <w:pPr>
        <w:pStyle w:val="SCCNormalDoubleSpacing"/>
        <w:spacing w:line="240" w:lineRule="auto"/>
        <w:rPr>
          <w:rStyle w:val="SCCCounselNameChar"/>
          <w:sz w:val="20"/>
          <w:lang w:val="fr-CA"/>
        </w:rPr>
      </w:pPr>
    </w:p>
    <w:p w:rsidR="00A8540F" w:rsidRPr="00A8540F" w:rsidRDefault="00A8540F" w:rsidP="00A8540F">
      <w:pPr>
        <w:pStyle w:val="SCCNormalDoubleSpacing"/>
        <w:spacing w:line="240" w:lineRule="auto"/>
        <w:rPr>
          <w:sz w:val="20"/>
          <w:lang w:val="fr-CA"/>
        </w:rPr>
      </w:pPr>
      <w:r w:rsidRPr="00A8540F">
        <w:rPr>
          <w:rStyle w:val="SCCCounselNameChar"/>
          <w:sz w:val="20"/>
          <w:lang w:val="fr-CA"/>
        </w:rPr>
        <w:tab/>
        <w:t>Gordon Bourgard</w:t>
      </w:r>
      <w:r w:rsidRPr="00AD58B0">
        <w:rPr>
          <w:rStyle w:val="SCCCounselSeparatorChar"/>
          <w:sz w:val="20"/>
        </w:rPr>
        <w:t xml:space="preserve"> et </w:t>
      </w:r>
      <w:r w:rsidRPr="00A8540F">
        <w:rPr>
          <w:rStyle w:val="SCCCounselNameChar"/>
          <w:sz w:val="20"/>
          <w:lang w:val="fr-CA"/>
        </w:rPr>
        <w:t>Michael Lema</w:t>
      </w:r>
      <w:r w:rsidRPr="00A8540F">
        <w:rPr>
          <w:rStyle w:val="SCCCounselPartyRoleChar"/>
          <w:sz w:val="20"/>
          <w:lang w:val="fr-CA"/>
        </w:rPr>
        <w:t>, pour l’intimée.</w:t>
      </w:r>
    </w:p>
    <w:p w:rsidR="00A8540F" w:rsidRPr="00A8540F" w:rsidRDefault="00A8540F" w:rsidP="00A8540F">
      <w:pPr>
        <w:pStyle w:val="SCCLawFirm"/>
        <w:spacing w:line="240" w:lineRule="auto"/>
        <w:rPr>
          <w:sz w:val="20"/>
          <w:lang w:val="fr-CA"/>
        </w:rPr>
      </w:pPr>
    </w:p>
    <w:p w:rsidR="00A8540F" w:rsidRPr="00A8540F" w:rsidRDefault="00A8540F" w:rsidP="00A8540F">
      <w:pPr>
        <w:pStyle w:val="SCCLawFirm"/>
        <w:spacing w:line="240" w:lineRule="auto"/>
        <w:rPr>
          <w:sz w:val="20"/>
          <w:lang w:val="fr-CA"/>
        </w:rPr>
      </w:pPr>
      <w:r w:rsidRPr="00A8540F">
        <w:rPr>
          <w:sz w:val="20"/>
          <w:lang w:val="fr-CA"/>
        </w:rPr>
        <w:tab/>
        <w:t>Procureurs de l’appelante : Felesky Flynn, Calgary.</w:t>
      </w:r>
    </w:p>
    <w:p w:rsidR="00A8540F" w:rsidRPr="00A8540F" w:rsidRDefault="00A8540F" w:rsidP="00A8540F">
      <w:pPr>
        <w:pStyle w:val="SCCLawFirm"/>
        <w:spacing w:line="240" w:lineRule="auto"/>
        <w:rPr>
          <w:sz w:val="20"/>
          <w:lang w:val="fr-CA"/>
        </w:rPr>
      </w:pPr>
    </w:p>
    <w:p w:rsidR="00A8540F" w:rsidRPr="00A8540F" w:rsidRDefault="00A8540F" w:rsidP="00A8540F">
      <w:pPr>
        <w:pStyle w:val="SCCLawFirm"/>
        <w:spacing w:line="240" w:lineRule="auto"/>
        <w:rPr>
          <w:sz w:val="20"/>
          <w:lang w:val="fr-CA"/>
        </w:rPr>
      </w:pPr>
      <w:r w:rsidRPr="00A8540F">
        <w:rPr>
          <w:sz w:val="20"/>
          <w:lang w:val="fr-CA"/>
        </w:rPr>
        <w:tab/>
        <w:t>Procureur de l’intimée : Procureur général du Canada, Ottawa.</w:t>
      </w:r>
    </w:p>
    <w:p w:rsidR="003B3977" w:rsidRDefault="003B3977" w:rsidP="005C6840">
      <w:pPr>
        <w:rPr>
          <w:rFonts w:cs="Times New Roman"/>
          <w:sz w:val="20"/>
          <w:szCs w:val="20"/>
          <w:lang w:val="fr-CA"/>
        </w:rPr>
      </w:pPr>
    </w:p>
    <w:p w:rsidR="005C6840" w:rsidRDefault="009134DA" w:rsidP="005C6840">
      <w:pPr>
        <w:rPr>
          <w:lang w:val="fr-CA"/>
        </w:rPr>
      </w:pPr>
      <w:r w:rsidRPr="009134DA">
        <w:rPr>
          <w:rFonts w:cs="Times New Roman"/>
          <w:sz w:val="20"/>
          <w:szCs w:val="20"/>
          <w:lang w:val="fr-CA"/>
        </w:rPr>
        <w:pict>
          <v:rect id="_x0000_i1109" style="width:144.3pt;height:1pt" o:hrpct="300" o:hralign="center" o:hrstd="t" o:hrnoshade="t" o:hr="t" fillcolor="black [3213]" stroked="f"/>
        </w:pict>
      </w:r>
      <w:r w:rsidR="005C6840">
        <w:rPr>
          <w:lang w:val="fr-CA"/>
        </w:rPr>
        <w:br w:type="page"/>
      </w:r>
    </w:p>
    <w:p w:rsidR="00767263" w:rsidRPr="00B36F35" w:rsidRDefault="00767263" w:rsidP="00767263">
      <w:pPr>
        <w:jc w:val="both"/>
        <w:rPr>
          <w:rFonts w:eastAsia="Calibri" w:cs="Times New Roman"/>
          <w:sz w:val="20"/>
          <w:szCs w:val="20"/>
          <w:lang w:val="fr-CA"/>
        </w:rPr>
      </w:pPr>
      <w:r w:rsidRPr="002030CF">
        <w:rPr>
          <w:rFonts w:eastAsia="Calibri" w:cs="Times New Roman"/>
          <w:i/>
          <w:sz w:val="20"/>
          <w:szCs w:val="20"/>
        </w:rPr>
        <w:lastRenderedPageBreak/>
        <w:t>Larry Wayne Jesse v. Her Majesty the Queen</w:t>
      </w:r>
      <w:r w:rsidRPr="002030CF">
        <w:rPr>
          <w:rFonts w:eastAsia="Calibri" w:cs="Times New Roman"/>
          <w:sz w:val="20"/>
          <w:szCs w:val="20"/>
        </w:rPr>
        <w:t xml:space="preserve"> (B.C.) </w:t>
      </w:r>
      <w:r w:rsidRPr="00B36F35">
        <w:rPr>
          <w:rFonts w:eastAsia="Calibri" w:cs="Times New Roman"/>
          <w:sz w:val="20"/>
          <w:szCs w:val="20"/>
          <w:lang w:val="fr-CA"/>
        </w:rPr>
        <w:t>(33694)</w:t>
      </w:r>
    </w:p>
    <w:p w:rsidR="00767263" w:rsidRPr="00715952" w:rsidRDefault="00715952" w:rsidP="005C6840">
      <w:pPr>
        <w:tabs>
          <w:tab w:val="left" w:pos="-1440"/>
        </w:tabs>
        <w:ind w:left="720" w:hanging="720"/>
        <w:jc w:val="both"/>
        <w:rPr>
          <w:i/>
          <w:sz w:val="20"/>
          <w:szCs w:val="20"/>
          <w:lang w:val="fr-CA"/>
        </w:rPr>
      </w:pPr>
      <w:r w:rsidRPr="00715952">
        <w:rPr>
          <w:b/>
          <w:sz w:val="20"/>
          <w:szCs w:val="20"/>
          <w:lang w:val="fr-CA"/>
        </w:rPr>
        <w:t xml:space="preserve">Indexed as:  R. </w:t>
      </w:r>
      <w:r w:rsidRPr="00715952">
        <w:rPr>
          <w:b/>
          <w:i/>
          <w:sz w:val="20"/>
          <w:szCs w:val="20"/>
          <w:lang w:val="fr-CA"/>
        </w:rPr>
        <w:t>v</w:t>
      </w:r>
      <w:r w:rsidRPr="00715952">
        <w:rPr>
          <w:b/>
          <w:sz w:val="20"/>
          <w:szCs w:val="20"/>
          <w:lang w:val="fr-CA"/>
        </w:rPr>
        <w:t xml:space="preserve">. Jesse / Répertorié : R. </w:t>
      </w:r>
      <w:r w:rsidRPr="00715952">
        <w:rPr>
          <w:b/>
          <w:i/>
          <w:sz w:val="20"/>
          <w:szCs w:val="20"/>
          <w:lang w:val="fr-CA"/>
        </w:rPr>
        <w:t>c</w:t>
      </w:r>
      <w:r w:rsidRPr="00715952">
        <w:rPr>
          <w:b/>
          <w:sz w:val="20"/>
          <w:szCs w:val="20"/>
          <w:lang w:val="fr-CA"/>
        </w:rPr>
        <w:t>. Jesse</w:t>
      </w:r>
    </w:p>
    <w:p w:rsidR="005C6840" w:rsidRPr="00715952" w:rsidRDefault="005C6840" w:rsidP="005C6840">
      <w:pPr>
        <w:pStyle w:val="SCCSystemYear"/>
        <w:jc w:val="both"/>
        <w:rPr>
          <w:sz w:val="20"/>
        </w:rPr>
      </w:pPr>
      <w:r w:rsidRPr="00715952">
        <w:rPr>
          <w:sz w:val="20"/>
        </w:rPr>
        <w:t>Neutral citation:  201</w:t>
      </w:r>
      <w:r w:rsidR="00767263" w:rsidRPr="00715952">
        <w:rPr>
          <w:sz w:val="20"/>
        </w:rPr>
        <w:t>2</w:t>
      </w:r>
      <w:r w:rsidRPr="00715952">
        <w:rPr>
          <w:sz w:val="20"/>
        </w:rPr>
        <w:t xml:space="preserve"> SCC </w:t>
      </w:r>
      <w:r w:rsidR="007F387B" w:rsidRPr="00715952">
        <w:rPr>
          <w:sz w:val="20"/>
        </w:rPr>
        <w:t>2</w:t>
      </w:r>
      <w:r w:rsidR="00767263" w:rsidRPr="00715952">
        <w:rPr>
          <w:sz w:val="20"/>
        </w:rPr>
        <w:t>1</w:t>
      </w:r>
      <w:r w:rsidRPr="00715952">
        <w:rPr>
          <w:sz w:val="20"/>
        </w:rPr>
        <w:t xml:space="preserve"> / Référence neutre : 201</w:t>
      </w:r>
      <w:r w:rsidR="00767263" w:rsidRPr="00715952">
        <w:rPr>
          <w:sz w:val="20"/>
        </w:rPr>
        <w:t>2</w:t>
      </w:r>
      <w:r w:rsidRPr="00715952">
        <w:rPr>
          <w:sz w:val="20"/>
        </w:rPr>
        <w:t xml:space="preserve"> CSC </w:t>
      </w:r>
      <w:r w:rsidR="007F387B" w:rsidRPr="00715952">
        <w:rPr>
          <w:sz w:val="20"/>
        </w:rPr>
        <w:t>2</w:t>
      </w:r>
      <w:r w:rsidR="00767263" w:rsidRPr="00715952">
        <w:rPr>
          <w:sz w:val="20"/>
        </w:rPr>
        <w:t>1</w:t>
      </w:r>
    </w:p>
    <w:p w:rsidR="005C6840" w:rsidRPr="00715952" w:rsidRDefault="005C6840" w:rsidP="005C6840">
      <w:pPr>
        <w:rPr>
          <w:sz w:val="20"/>
          <w:szCs w:val="20"/>
          <w:lang w:val="fr-CA"/>
        </w:rPr>
      </w:pPr>
      <w:r w:rsidRPr="00715952">
        <w:rPr>
          <w:sz w:val="20"/>
          <w:szCs w:val="20"/>
          <w:lang w:val="fr-CA"/>
        </w:rPr>
        <w:t xml:space="preserve">Hearing:  </w:t>
      </w:r>
      <w:r w:rsidR="00715952" w:rsidRPr="00715952">
        <w:rPr>
          <w:sz w:val="20"/>
          <w:szCs w:val="20"/>
          <w:lang w:val="fr-CA"/>
        </w:rPr>
        <w:t>December 9</w:t>
      </w:r>
      <w:r w:rsidRPr="00715952">
        <w:rPr>
          <w:sz w:val="20"/>
          <w:szCs w:val="20"/>
          <w:lang w:val="fr-CA"/>
        </w:rPr>
        <w:t>, 201</w:t>
      </w:r>
      <w:r w:rsidR="00715952" w:rsidRPr="00715952">
        <w:rPr>
          <w:sz w:val="20"/>
          <w:szCs w:val="20"/>
          <w:lang w:val="fr-CA"/>
        </w:rPr>
        <w:t>1</w:t>
      </w:r>
      <w:r w:rsidRPr="00715952">
        <w:rPr>
          <w:sz w:val="20"/>
          <w:szCs w:val="20"/>
          <w:lang w:val="fr-CA"/>
        </w:rPr>
        <w:t xml:space="preserve"> / Judgment:  </w:t>
      </w:r>
      <w:r w:rsidR="00767263" w:rsidRPr="00715952">
        <w:rPr>
          <w:sz w:val="20"/>
          <w:szCs w:val="20"/>
          <w:lang w:val="fr-CA"/>
        </w:rPr>
        <w:t>April</w:t>
      </w:r>
      <w:r w:rsidRPr="00715952">
        <w:rPr>
          <w:sz w:val="20"/>
          <w:szCs w:val="20"/>
          <w:lang w:val="fr-CA"/>
        </w:rPr>
        <w:t xml:space="preserve"> 2</w:t>
      </w:r>
      <w:r w:rsidR="00767263" w:rsidRPr="00715952">
        <w:rPr>
          <w:sz w:val="20"/>
          <w:szCs w:val="20"/>
          <w:lang w:val="fr-CA"/>
        </w:rPr>
        <w:t>7</w:t>
      </w:r>
      <w:r w:rsidRPr="00715952">
        <w:rPr>
          <w:sz w:val="20"/>
          <w:szCs w:val="20"/>
          <w:lang w:val="fr-CA"/>
        </w:rPr>
        <w:t>, 201</w:t>
      </w:r>
      <w:r w:rsidR="00767263" w:rsidRPr="00715952">
        <w:rPr>
          <w:sz w:val="20"/>
          <w:szCs w:val="20"/>
          <w:lang w:val="fr-CA"/>
        </w:rPr>
        <w:t>2</w:t>
      </w:r>
    </w:p>
    <w:p w:rsidR="005C6840" w:rsidRPr="003B3977" w:rsidRDefault="005C6840" w:rsidP="005C6840">
      <w:pPr>
        <w:rPr>
          <w:sz w:val="20"/>
          <w:szCs w:val="20"/>
          <w:lang w:val="fr-CA"/>
        </w:rPr>
      </w:pPr>
      <w:r w:rsidRPr="003B3977">
        <w:rPr>
          <w:sz w:val="20"/>
          <w:szCs w:val="20"/>
          <w:lang w:val="fr-CA"/>
        </w:rPr>
        <w:t xml:space="preserve">Audition : Le </w:t>
      </w:r>
      <w:r w:rsidR="00715952">
        <w:rPr>
          <w:sz w:val="20"/>
          <w:szCs w:val="20"/>
          <w:lang w:val="fr-CA"/>
        </w:rPr>
        <w:t>9 déce</w:t>
      </w:r>
      <w:r w:rsidRPr="003B3977">
        <w:rPr>
          <w:sz w:val="20"/>
          <w:szCs w:val="20"/>
          <w:lang w:val="fr-CA"/>
        </w:rPr>
        <w:t>m</w:t>
      </w:r>
      <w:r w:rsidR="00715952">
        <w:rPr>
          <w:sz w:val="20"/>
          <w:szCs w:val="20"/>
          <w:lang w:val="fr-CA"/>
        </w:rPr>
        <w:t>bre</w:t>
      </w:r>
      <w:r w:rsidRPr="003B3977">
        <w:rPr>
          <w:sz w:val="20"/>
          <w:szCs w:val="20"/>
          <w:lang w:val="fr-CA"/>
        </w:rPr>
        <w:t xml:space="preserve"> 201</w:t>
      </w:r>
      <w:r w:rsidR="00715952">
        <w:rPr>
          <w:sz w:val="20"/>
          <w:szCs w:val="20"/>
          <w:lang w:val="fr-CA"/>
        </w:rPr>
        <w:t>1</w:t>
      </w:r>
      <w:r w:rsidRPr="003B3977">
        <w:rPr>
          <w:sz w:val="20"/>
          <w:szCs w:val="20"/>
          <w:lang w:val="fr-CA"/>
        </w:rPr>
        <w:t xml:space="preserve"> / Jugement : Le 2</w:t>
      </w:r>
      <w:r w:rsidR="00767263">
        <w:rPr>
          <w:sz w:val="20"/>
          <w:szCs w:val="20"/>
          <w:lang w:val="fr-CA"/>
        </w:rPr>
        <w:t>7</w:t>
      </w:r>
      <w:r w:rsidRPr="003B3977">
        <w:rPr>
          <w:sz w:val="20"/>
          <w:szCs w:val="20"/>
          <w:lang w:val="fr-CA"/>
        </w:rPr>
        <w:t xml:space="preserve"> </w:t>
      </w:r>
      <w:r w:rsidR="00767263">
        <w:rPr>
          <w:sz w:val="20"/>
          <w:szCs w:val="20"/>
          <w:lang w:val="fr-CA"/>
        </w:rPr>
        <w:t>av</w:t>
      </w:r>
      <w:r w:rsidRPr="003B3977">
        <w:rPr>
          <w:sz w:val="20"/>
          <w:szCs w:val="20"/>
          <w:lang w:val="fr-CA"/>
        </w:rPr>
        <w:t>r</w:t>
      </w:r>
      <w:r w:rsidR="00767263">
        <w:rPr>
          <w:sz w:val="20"/>
          <w:szCs w:val="20"/>
          <w:lang w:val="fr-CA"/>
        </w:rPr>
        <w:t>il</w:t>
      </w:r>
      <w:r w:rsidRPr="003B3977">
        <w:rPr>
          <w:sz w:val="20"/>
          <w:szCs w:val="20"/>
          <w:lang w:val="fr-CA"/>
        </w:rPr>
        <w:t xml:space="preserve"> 201</w:t>
      </w:r>
      <w:r w:rsidR="00767263">
        <w:rPr>
          <w:sz w:val="20"/>
          <w:szCs w:val="20"/>
          <w:lang w:val="fr-CA"/>
        </w:rPr>
        <w:t>2</w:t>
      </w:r>
    </w:p>
    <w:p w:rsidR="005C6840" w:rsidRPr="003B3977" w:rsidRDefault="009134DA" w:rsidP="005C6840">
      <w:pPr>
        <w:rPr>
          <w:sz w:val="20"/>
          <w:szCs w:val="20"/>
          <w:lang w:val="fr-CA"/>
        </w:rPr>
      </w:pPr>
      <w:r w:rsidRPr="009134DA">
        <w:rPr>
          <w:i/>
          <w:sz w:val="20"/>
          <w:szCs w:val="20"/>
        </w:rPr>
        <w:pict>
          <v:rect id="_x0000_i1110"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15952" w:rsidRPr="00876B38" w:rsidRDefault="00715952" w:rsidP="00715952">
      <w:pPr>
        <w:jc w:val="both"/>
        <w:rPr>
          <w:sz w:val="20"/>
          <w:szCs w:val="20"/>
        </w:rPr>
      </w:pPr>
      <w:r w:rsidRPr="00876B38">
        <w:rPr>
          <w:sz w:val="20"/>
          <w:szCs w:val="20"/>
        </w:rPr>
        <w:t>Present:  McLachlin C.J. and LeBel, Deschamps, Fish, Abella, Rothstein, Cromwell, Moldaver and Karakatsanis JJ.</w:t>
      </w:r>
    </w:p>
    <w:p w:rsidR="00715952" w:rsidRDefault="00715952" w:rsidP="00715952">
      <w:pPr>
        <w:pStyle w:val="SCCLowerCourtNameLowercase"/>
        <w:spacing w:line="240" w:lineRule="auto"/>
        <w:rPr>
          <w:sz w:val="20"/>
        </w:rPr>
      </w:pPr>
    </w:p>
    <w:p w:rsidR="00715952" w:rsidRPr="00876B38" w:rsidRDefault="00715952" w:rsidP="00715952">
      <w:pPr>
        <w:pStyle w:val="SCCNormalDoubleSpacing"/>
        <w:spacing w:line="240" w:lineRule="auto"/>
        <w:rPr>
          <w:i/>
          <w:sz w:val="20"/>
        </w:rPr>
      </w:pPr>
      <w:r w:rsidRPr="00876B38">
        <w:rPr>
          <w:sz w:val="20"/>
        </w:rPr>
        <w:tab/>
      </w:r>
      <w:r w:rsidRPr="00876B38">
        <w:rPr>
          <w:i/>
          <w:sz w:val="20"/>
        </w:rPr>
        <w:t>Criminal law — Evidence — Admissibility — Similar fact evidence — Prior conviction — Voir dire — Whether Crown was entitled to lead prior conviction on similar fact voir dire — Whether accused was entitled to challenge prior conviction on similar fact voir dire — Whether trial judge committed reversible error in finding, at trial, that accused had likely assaulted first victim.</w:t>
      </w:r>
    </w:p>
    <w:p w:rsidR="00715952" w:rsidRDefault="00715952" w:rsidP="00715952">
      <w:pPr>
        <w:pStyle w:val="SCCNormalDoubleSpacing"/>
        <w:spacing w:line="240" w:lineRule="auto"/>
        <w:rPr>
          <w:sz w:val="20"/>
        </w:rPr>
      </w:pPr>
    </w:p>
    <w:p w:rsidR="00715952" w:rsidRPr="00876B38" w:rsidRDefault="00715952" w:rsidP="00715952">
      <w:pPr>
        <w:pStyle w:val="SCCNormalDoubleSpacing"/>
        <w:spacing w:line="240" w:lineRule="auto"/>
        <w:rPr>
          <w:sz w:val="20"/>
        </w:rPr>
      </w:pPr>
      <w:r w:rsidRPr="00876B38">
        <w:rPr>
          <w:sz w:val="20"/>
        </w:rPr>
        <w:tab/>
        <w:t>The appellant was charged with sexually assaulting a severely intoxicated woman, J.M., by inserting a wine cork into her vagina.  At trial, the Crown sought to introduce similar fact evidence showing that, in 1995, a jury had convicted the appellant of sexually assaulting another severely intoxicated woman, J.S., by inserting two large plastic shopping bags into her vagina.  Although the appellant maintained at that trial that he was not J.S.’s assailant, he did not appeal the conviction or challenge the seven</w:t>
      </w:r>
      <w:r w:rsidRPr="00876B38">
        <w:rPr>
          <w:sz w:val="20"/>
        </w:rPr>
        <w:noBreakHyphen/>
        <w:t>year sentence he received.</w:t>
      </w:r>
    </w:p>
    <w:p w:rsidR="00715952" w:rsidRDefault="00715952" w:rsidP="00715952">
      <w:pPr>
        <w:pStyle w:val="SCCNormalDoubleSpacing"/>
        <w:spacing w:line="240" w:lineRule="auto"/>
        <w:rPr>
          <w:sz w:val="20"/>
        </w:rPr>
      </w:pPr>
    </w:p>
    <w:p w:rsidR="00715952" w:rsidRPr="00876B38" w:rsidRDefault="00715952" w:rsidP="00715952">
      <w:pPr>
        <w:pStyle w:val="SCCNormalDoubleSpacing"/>
        <w:spacing w:line="240" w:lineRule="auto"/>
        <w:rPr>
          <w:sz w:val="20"/>
        </w:rPr>
      </w:pPr>
      <w:r w:rsidRPr="00876B38">
        <w:rPr>
          <w:sz w:val="20"/>
        </w:rPr>
        <w:tab/>
        <w:t xml:space="preserve">The appellant’s trial for sexually assaulting J.M. was conducted by a judge alone.  On a </w:t>
      </w:r>
      <w:r w:rsidRPr="00876B38">
        <w:rPr>
          <w:i/>
          <w:sz w:val="20"/>
        </w:rPr>
        <w:t>voir dire</w:t>
      </w:r>
      <w:r w:rsidRPr="00876B38">
        <w:rPr>
          <w:sz w:val="20"/>
        </w:rPr>
        <w:t xml:space="preserve"> to determine the admissibility of the similar fact evidence regarding J.S., the trial judge permitted the Crown to prove the 1995 conviction for the limited purpose of linking the appellant to the earlier sexual assault.  The trial judge did not permit the appellant to challenge the prior conviction on the </w:t>
      </w:r>
      <w:r w:rsidRPr="00876B38">
        <w:rPr>
          <w:i/>
          <w:sz w:val="20"/>
        </w:rPr>
        <w:t>voir dire</w:t>
      </w:r>
      <w:r w:rsidRPr="00876B38">
        <w:rPr>
          <w:sz w:val="20"/>
        </w:rPr>
        <w:t>, although she allowed him to do so on the trial proper.  Placing considerable weight on the prior conviction involving J.S., the trial judge ultimately convicted the appellant of sexually assaulting J.M.  His appeal from conviction was dismissed by the British Columbia Court of Appeal.</w:t>
      </w:r>
    </w:p>
    <w:p w:rsidR="00715952" w:rsidRDefault="00715952" w:rsidP="00715952">
      <w:pPr>
        <w:pStyle w:val="SCCNormalDoubleSpacing"/>
        <w:spacing w:line="240" w:lineRule="auto"/>
        <w:rPr>
          <w:sz w:val="20"/>
        </w:rPr>
      </w:pPr>
    </w:p>
    <w:p w:rsidR="00715952" w:rsidRPr="00876B38" w:rsidRDefault="00715952" w:rsidP="00715952">
      <w:pPr>
        <w:pStyle w:val="SCCNormalDoubleSpacing"/>
        <w:spacing w:line="240" w:lineRule="auto"/>
        <w:rPr>
          <w:sz w:val="20"/>
        </w:rPr>
      </w:pPr>
      <w:r w:rsidRPr="00876B38">
        <w:rPr>
          <w:sz w:val="20"/>
        </w:rPr>
        <w:tab/>
      </w:r>
      <w:r w:rsidRPr="00876B38">
        <w:rPr>
          <w:rFonts w:eastAsiaTheme="majorEastAsia"/>
          <w:i/>
          <w:sz w:val="20"/>
        </w:rPr>
        <w:t>Held</w:t>
      </w:r>
      <w:r w:rsidRPr="00876B38">
        <w:rPr>
          <w:rFonts w:eastAsiaTheme="majorEastAsia"/>
          <w:sz w:val="20"/>
        </w:rPr>
        <w:t>:</w:t>
      </w:r>
      <w:r w:rsidRPr="00876B38">
        <w:rPr>
          <w:sz w:val="20"/>
        </w:rPr>
        <w:t xml:space="preserve">  The appeal should be dismissed.</w:t>
      </w:r>
    </w:p>
    <w:p w:rsidR="00715952" w:rsidRDefault="00715952" w:rsidP="00715952">
      <w:pPr>
        <w:pStyle w:val="SCCNormalDoubleSpacing"/>
        <w:spacing w:line="240" w:lineRule="auto"/>
        <w:rPr>
          <w:sz w:val="20"/>
        </w:rPr>
      </w:pPr>
    </w:p>
    <w:p w:rsidR="00715952" w:rsidRPr="00876B38" w:rsidRDefault="00715952" w:rsidP="00715952">
      <w:pPr>
        <w:pStyle w:val="SCCNormalDoubleSpacing"/>
        <w:spacing w:line="240" w:lineRule="auto"/>
        <w:rPr>
          <w:sz w:val="20"/>
        </w:rPr>
      </w:pPr>
      <w:r w:rsidRPr="00876B38">
        <w:rPr>
          <w:sz w:val="20"/>
        </w:rPr>
        <w:tab/>
        <w:t xml:space="preserve">The prior conviction was admissible as “some evidence” linking the appellant to the assault on J.S. </w:t>
      </w:r>
      <w:r w:rsidRPr="00876B38">
        <w:rPr>
          <w:b/>
          <w:sz w:val="20"/>
        </w:rPr>
        <w:t xml:space="preserve"> </w:t>
      </w:r>
      <w:r w:rsidRPr="00876B38">
        <w:rPr>
          <w:sz w:val="20"/>
        </w:rPr>
        <w:t>In the context of a similar fact application, a prior conviction may be tendered to establish an essential element of the prior offence where that element has been placed in issue.  In this case, the appellant contested that he was the person responsible for the prior act, thus putting the question of identity in issue and allowing the Crown to lead the prior conviction as “some evidence” of his involvement in that prior act.  The admissibility of a prior conviction does not depend on whether it was the product of a guilty plea or a post</w:t>
      </w:r>
      <w:r w:rsidRPr="00876B38">
        <w:rPr>
          <w:sz w:val="20"/>
        </w:rPr>
        <w:noBreakHyphen/>
        <w:t>trial guilty verdict.  Verdicts should not be viewed as hearsay or opinion evidence of questionable value.  Whether rendered by a jury or by judge alone, they are presumptively reliable and, on the issue of identity, should be treated that way unless overturned on appeal or later shown to be wrong.</w:t>
      </w:r>
    </w:p>
    <w:p w:rsidR="00715952" w:rsidRDefault="00715952" w:rsidP="00715952">
      <w:pPr>
        <w:pStyle w:val="SCCNormalDoubleSpacing"/>
        <w:spacing w:line="240" w:lineRule="auto"/>
        <w:rPr>
          <w:sz w:val="20"/>
        </w:rPr>
      </w:pPr>
    </w:p>
    <w:p w:rsidR="00715952" w:rsidRPr="00876B38" w:rsidRDefault="00715952" w:rsidP="00715952">
      <w:pPr>
        <w:pStyle w:val="SCCNormalDoubleSpacing"/>
        <w:spacing w:line="240" w:lineRule="auto"/>
        <w:rPr>
          <w:sz w:val="20"/>
        </w:rPr>
      </w:pPr>
      <w:r w:rsidRPr="00876B38">
        <w:rPr>
          <w:sz w:val="20"/>
        </w:rPr>
        <w:tab/>
        <w:t xml:space="preserve">Because similar fact evidence is presumptively inadmissible, its probative value must exceed its prejudicial effect.  In this case, the prejudicial effect of admitting the prior conviction did not warrant its exclusion.  The appellant’s prior conviction for sexually assaulting J.S. had significant probative value.  Admitting it did not, </w:t>
      </w:r>
      <w:r w:rsidRPr="00876B38">
        <w:rPr>
          <w:i/>
          <w:sz w:val="20"/>
        </w:rPr>
        <w:t>per se</w:t>
      </w:r>
      <w:r w:rsidRPr="00876B38">
        <w:rPr>
          <w:sz w:val="20"/>
        </w:rPr>
        <w:t>, render the trial unfair or occasion irretrievable prejudice to the appellant.  There are several reasons for this.  First, it is not uncommon for a trier of fact to be exposed to a prior conviction, in the form of a guilty plea, which stems from the similar fact evidence the Crown seeks to lead.  The trier of fact is made aware of the limited use that can be made of the similar fact evidence, and the accused can challenge or explain the prior conviction.  Second, while a prior conviction constitutes strong proof that the similar act conduct in question occurred, that does not make the conviction inadmissible.  The fact that a piece of evidence operates unfortunately for an accused does not render the evidence inadmissible or the trial unfair.  Third, an accused is entitled to a fair trial, not a trial in which the playing field is tilted in his or her favour.  Once an accused challenges his or her involvement in an earlier incident, the rules of evidence do not permit the accused to keep the best evidence linking him or her to that incident — the conviction — from the trier of fact.</w:t>
      </w:r>
    </w:p>
    <w:p w:rsidR="00715952" w:rsidRDefault="00715952" w:rsidP="00715952">
      <w:pPr>
        <w:pStyle w:val="SCCNormalDoubleSpacing"/>
        <w:spacing w:line="240" w:lineRule="auto"/>
        <w:rPr>
          <w:sz w:val="20"/>
        </w:rPr>
      </w:pPr>
    </w:p>
    <w:p w:rsidR="00715952" w:rsidRPr="00876B38" w:rsidRDefault="00715952" w:rsidP="00715952">
      <w:pPr>
        <w:pStyle w:val="SCCNormalDoubleSpacing"/>
        <w:spacing w:line="240" w:lineRule="auto"/>
        <w:rPr>
          <w:sz w:val="20"/>
        </w:rPr>
      </w:pPr>
      <w:r w:rsidRPr="00876B38">
        <w:rPr>
          <w:sz w:val="20"/>
        </w:rPr>
        <w:tab/>
        <w:t xml:space="preserve">While an accused should not be automatically foreclosed from challenging a prior conviction at the </w:t>
      </w:r>
      <w:r w:rsidRPr="00876B38">
        <w:rPr>
          <w:i/>
          <w:sz w:val="20"/>
        </w:rPr>
        <w:t xml:space="preserve">voir dire </w:t>
      </w:r>
      <w:r w:rsidRPr="00876B38">
        <w:rPr>
          <w:sz w:val="20"/>
        </w:rPr>
        <w:t xml:space="preserve">stage of a similar fact application, situations in which such a challenge may be launched will be rare because of the low </w:t>
      </w:r>
      <w:r w:rsidRPr="00876B38">
        <w:rPr>
          <w:sz w:val="20"/>
        </w:rPr>
        <w:lastRenderedPageBreak/>
        <w:t xml:space="preserve">evidentiary threshold (“some evidence”) required to link an accused to the similar act.  A challenge at the </w:t>
      </w:r>
      <w:r w:rsidRPr="00876B38">
        <w:rPr>
          <w:i/>
          <w:sz w:val="20"/>
        </w:rPr>
        <w:t>voir dire</w:t>
      </w:r>
      <w:r w:rsidRPr="00876B38">
        <w:rPr>
          <w:sz w:val="20"/>
        </w:rPr>
        <w:t xml:space="preserve"> stage will not be appropriate if there is no reasonable likelihood that it will impact the admissibility of the evidence.  In deciding whether the conviction can be challenged, labels such as </w:t>
      </w:r>
      <w:r w:rsidRPr="00876B38">
        <w:rPr>
          <w:i/>
          <w:sz w:val="20"/>
        </w:rPr>
        <w:t xml:space="preserve">res judicata </w:t>
      </w:r>
      <w:r w:rsidRPr="00876B38">
        <w:rPr>
          <w:sz w:val="20"/>
        </w:rPr>
        <w:t xml:space="preserve">and abuse of process are unhelpful and inappropriate — neither of these doctrines can prevent an accused from challenging a prior conviction on a </w:t>
      </w:r>
      <w:r w:rsidRPr="00876B38">
        <w:rPr>
          <w:i/>
          <w:sz w:val="20"/>
        </w:rPr>
        <w:t>voir dire</w:t>
      </w:r>
      <w:r w:rsidRPr="00876B38">
        <w:rPr>
          <w:sz w:val="20"/>
        </w:rPr>
        <w:t xml:space="preserve">.  The decision to allow a challenge or not at the </w:t>
      </w:r>
      <w:r w:rsidRPr="00876B38">
        <w:rPr>
          <w:i/>
          <w:sz w:val="20"/>
        </w:rPr>
        <w:t>voir dire</w:t>
      </w:r>
      <w:r w:rsidRPr="00876B38">
        <w:rPr>
          <w:sz w:val="20"/>
        </w:rPr>
        <w:t xml:space="preserve"> stage is a function of the trial judge’s right to control the proceedings.</w:t>
      </w:r>
    </w:p>
    <w:p w:rsidR="00715952" w:rsidRDefault="00715952" w:rsidP="00715952">
      <w:pPr>
        <w:pStyle w:val="SCCNormalDoubleSpacing"/>
        <w:spacing w:line="240" w:lineRule="auto"/>
        <w:rPr>
          <w:sz w:val="20"/>
        </w:rPr>
      </w:pPr>
    </w:p>
    <w:p w:rsidR="00715952" w:rsidRPr="00876B38" w:rsidRDefault="00715952" w:rsidP="00715952">
      <w:pPr>
        <w:pStyle w:val="SCCNormalDoubleSpacing"/>
        <w:spacing w:line="240" w:lineRule="auto"/>
        <w:rPr>
          <w:sz w:val="20"/>
        </w:rPr>
      </w:pPr>
      <w:r w:rsidRPr="00876B38">
        <w:rPr>
          <w:sz w:val="20"/>
        </w:rPr>
        <w:tab/>
        <w:t xml:space="preserve">In this case, the trial judge made no error in receiving the prior conviction on the similar fact </w:t>
      </w:r>
      <w:r w:rsidRPr="00876B38">
        <w:rPr>
          <w:i/>
          <w:sz w:val="20"/>
        </w:rPr>
        <w:t>voir dire</w:t>
      </w:r>
      <w:r w:rsidRPr="00876B38">
        <w:rPr>
          <w:sz w:val="20"/>
        </w:rPr>
        <w:t xml:space="preserve"> for the limited purpose of linking the appellant to the sexual assault on J.S.  The verdict giving rise to the prior conviction constituted highly reliable evidence and, at a minimum, constituted “some evidence” that he had assaulted J.S.  Its probative value was clear and outweighed any prejudicial effect.</w:t>
      </w:r>
      <w:r w:rsidRPr="00876B38">
        <w:rPr>
          <w:sz w:val="20"/>
        </w:rPr>
        <w:tab/>
      </w:r>
    </w:p>
    <w:p w:rsidR="00715952" w:rsidRDefault="00715952" w:rsidP="00715952">
      <w:pPr>
        <w:pStyle w:val="SCCNormalDoubleSpacing"/>
        <w:spacing w:line="240" w:lineRule="auto"/>
        <w:rPr>
          <w:sz w:val="20"/>
        </w:rPr>
      </w:pPr>
    </w:p>
    <w:p w:rsidR="00715952" w:rsidRDefault="00715952" w:rsidP="00715952">
      <w:pPr>
        <w:pStyle w:val="SCCNormalDoubleSpacing"/>
        <w:spacing w:line="240" w:lineRule="auto"/>
        <w:rPr>
          <w:sz w:val="20"/>
        </w:rPr>
      </w:pPr>
      <w:r w:rsidRPr="00876B38">
        <w:rPr>
          <w:sz w:val="20"/>
        </w:rPr>
        <w:tab/>
        <w:t>On the trial proper, the trial judge was satisfied, on balance, that the appellant had assaulted J.S.  The frailties of the identification evidence, though well known to her, did not cause her to doubt the integrity of the prior conviction.</w:t>
      </w:r>
    </w:p>
    <w:p w:rsidR="00715952" w:rsidRDefault="00715952" w:rsidP="00715952">
      <w:pPr>
        <w:pStyle w:val="SCCNormalDoubleSpacing"/>
        <w:spacing w:line="240" w:lineRule="auto"/>
        <w:rPr>
          <w:sz w:val="20"/>
        </w:rPr>
      </w:pPr>
    </w:p>
    <w:p w:rsidR="00715952" w:rsidRPr="00876B38" w:rsidRDefault="00715952" w:rsidP="00715952">
      <w:pPr>
        <w:pStyle w:val="SCCNormalDoubleSpacing"/>
        <w:spacing w:line="240" w:lineRule="auto"/>
        <w:rPr>
          <w:sz w:val="20"/>
        </w:rPr>
      </w:pPr>
      <w:r w:rsidRPr="00876B38">
        <w:rPr>
          <w:sz w:val="20"/>
        </w:rPr>
        <w:tab/>
        <w:t>APPEAL from a judgment of the British Columbia Court of Appeal (Chiasson, D. Smith and Neilson JJ.A.), 2010 BCCA 108, 284 B.C.A.C. 192, 481 W.A.C. 192, 252 C.C.C. (3d) 442, 205 C.R.R. (2d) 11, 73 C.R. (6th) 263, [2010] B.C.J. No. 381 (QL), 2010 CarswellBC 514, affirming the conviction for sexual assault entered by Arnold</w:t>
      </w:r>
      <w:r w:rsidRPr="00876B38">
        <w:rPr>
          <w:sz w:val="20"/>
        </w:rPr>
        <w:noBreakHyphen/>
        <w:t>Bailey J., 2007 BCSC 1355 (CanLII), [2007] B.C.J. No. 1991 (QL), 2007 CarswellBC 2079. Appeal dismissed.</w:t>
      </w:r>
    </w:p>
    <w:p w:rsidR="00715952" w:rsidRDefault="00715952" w:rsidP="00715952">
      <w:pPr>
        <w:pStyle w:val="SCCNormalDoubleSpacing"/>
        <w:spacing w:line="240" w:lineRule="auto"/>
        <w:rPr>
          <w:i/>
          <w:sz w:val="20"/>
        </w:rPr>
      </w:pPr>
    </w:p>
    <w:p w:rsidR="00715952" w:rsidRPr="00876B38" w:rsidRDefault="00715952" w:rsidP="00715952">
      <w:pPr>
        <w:pStyle w:val="SCCNormalDoubleSpacing"/>
        <w:spacing w:line="240" w:lineRule="auto"/>
        <w:rPr>
          <w:sz w:val="20"/>
        </w:rPr>
      </w:pPr>
      <w:r w:rsidRPr="00876B38">
        <w:rPr>
          <w:i/>
          <w:sz w:val="20"/>
        </w:rPr>
        <w:tab/>
        <w:t>Gil D. McKinnon</w:t>
      </w:r>
      <w:r w:rsidRPr="00876B38">
        <w:rPr>
          <w:sz w:val="20"/>
        </w:rPr>
        <w:t xml:space="preserve">, </w:t>
      </w:r>
      <w:r w:rsidRPr="00876B38">
        <w:rPr>
          <w:i/>
          <w:sz w:val="20"/>
        </w:rPr>
        <w:t>Q.C.</w:t>
      </w:r>
      <w:r w:rsidRPr="00876B38">
        <w:rPr>
          <w:sz w:val="20"/>
        </w:rPr>
        <w:t xml:space="preserve">, and </w:t>
      </w:r>
      <w:r w:rsidRPr="00876B38">
        <w:rPr>
          <w:i/>
          <w:sz w:val="20"/>
        </w:rPr>
        <w:t>Gregory S. Pun</w:t>
      </w:r>
      <w:r w:rsidRPr="00876B38">
        <w:rPr>
          <w:sz w:val="20"/>
        </w:rPr>
        <w:t>, for the appellant.</w:t>
      </w:r>
    </w:p>
    <w:p w:rsidR="00715952" w:rsidRDefault="00715952" w:rsidP="00715952">
      <w:pPr>
        <w:pStyle w:val="SCCNormalDoubleSpacing"/>
        <w:spacing w:line="240" w:lineRule="auto"/>
        <w:rPr>
          <w:i/>
          <w:sz w:val="20"/>
        </w:rPr>
      </w:pPr>
    </w:p>
    <w:p w:rsidR="00715952" w:rsidRPr="00876B38" w:rsidRDefault="00715952" w:rsidP="00715952">
      <w:pPr>
        <w:pStyle w:val="SCCNormalDoubleSpacing"/>
        <w:spacing w:line="240" w:lineRule="auto"/>
        <w:rPr>
          <w:sz w:val="20"/>
        </w:rPr>
      </w:pPr>
      <w:r w:rsidRPr="00876B38">
        <w:rPr>
          <w:i/>
          <w:sz w:val="20"/>
        </w:rPr>
        <w:tab/>
        <w:t>Jennifer Duncan</w:t>
      </w:r>
      <w:r w:rsidRPr="00876B38">
        <w:rPr>
          <w:sz w:val="20"/>
        </w:rPr>
        <w:t xml:space="preserve"> and </w:t>
      </w:r>
      <w:r w:rsidRPr="00876B38">
        <w:rPr>
          <w:i/>
          <w:sz w:val="20"/>
        </w:rPr>
        <w:t>Elizabeth A. Campbell</w:t>
      </w:r>
      <w:r w:rsidRPr="00876B38">
        <w:rPr>
          <w:sz w:val="20"/>
        </w:rPr>
        <w:t>, for the respondent.</w:t>
      </w:r>
    </w:p>
    <w:p w:rsidR="00715952" w:rsidRDefault="00715952" w:rsidP="00715952">
      <w:pPr>
        <w:pStyle w:val="SCCLawFirm"/>
        <w:spacing w:line="240" w:lineRule="auto"/>
        <w:rPr>
          <w:sz w:val="20"/>
        </w:rPr>
      </w:pPr>
    </w:p>
    <w:p w:rsidR="00715952" w:rsidRPr="00876B38" w:rsidRDefault="00715952" w:rsidP="00715952">
      <w:pPr>
        <w:pStyle w:val="SCCLawFirm"/>
        <w:spacing w:line="240" w:lineRule="auto"/>
        <w:rPr>
          <w:sz w:val="20"/>
        </w:rPr>
      </w:pPr>
      <w:r w:rsidRPr="00876B38">
        <w:rPr>
          <w:sz w:val="20"/>
        </w:rPr>
        <w:tab/>
        <w:t>Solicitor for the appellant:  Gil D. McKinnon, Q.C., Vancouver.</w:t>
      </w:r>
    </w:p>
    <w:p w:rsidR="00715952" w:rsidRDefault="00715952" w:rsidP="00715952">
      <w:pPr>
        <w:pStyle w:val="SCCLawFirm"/>
        <w:spacing w:line="240" w:lineRule="auto"/>
        <w:rPr>
          <w:sz w:val="20"/>
        </w:rPr>
      </w:pPr>
    </w:p>
    <w:p w:rsidR="00715952" w:rsidRDefault="00715952" w:rsidP="00715952">
      <w:pPr>
        <w:pStyle w:val="SCCLawFirm"/>
        <w:spacing w:line="240" w:lineRule="auto"/>
        <w:rPr>
          <w:sz w:val="20"/>
        </w:rPr>
      </w:pPr>
      <w:r w:rsidRPr="00876B38">
        <w:rPr>
          <w:sz w:val="20"/>
        </w:rPr>
        <w:tab/>
        <w:t>Solicitor for the respondent:  Attorney General of British Columbia, Vancouver.</w:t>
      </w:r>
    </w:p>
    <w:p w:rsidR="003B3977" w:rsidRPr="00715952" w:rsidRDefault="003B3977" w:rsidP="003B3977">
      <w:pPr>
        <w:rPr>
          <w:sz w:val="20"/>
          <w:szCs w:val="20"/>
          <w:lang w:val="fr-CA"/>
        </w:rPr>
      </w:pPr>
      <w:r w:rsidRPr="00715952">
        <w:rPr>
          <w:sz w:val="20"/>
          <w:szCs w:val="20"/>
          <w:lang w:val="fr-CA"/>
        </w:rPr>
        <w:t>________________________</w:t>
      </w:r>
    </w:p>
    <w:p w:rsidR="003B3977" w:rsidRPr="00715952" w:rsidRDefault="003B3977" w:rsidP="003B3977">
      <w:pPr>
        <w:rPr>
          <w:sz w:val="20"/>
          <w:szCs w:val="20"/>
          <w:lang w:val="fr-CA"/>
        </w:rPr>
      </w:pPr>
    </w:p>
    <w:p w:rsidR="00715952" w:rsidRPr="00715952" w:rsidRDefault="00715952" w:rsidP="00715952">
      <w:pPr>
        <w:jc w:val="both"/>
        <w:rPr>
          <w:sz w:val="20"/>
          <w:szCs w:val="20"/>
          <w:lang w:val="fr-CA"/>
        </w:rPr>
      </w:pPr>
      <w:r w:rsidRPr="00715952">
        <w:rPr>
          <w:sz w:val="20"/>
          <w:szCs w:val="20"/>
          <w:lang w:val="fr-CA"/>
        </w:rPr>
        <w:t>Présents : La juge en chef McLachlin et les juges LeBel, Deschamps, Fish, Abella, Rothstein, Cromwell, Moldaver et Karakatsanis.</w:t>
      </w:r>
    </w:p>
    <w:p w:rsidR="00715952" w:rsidRPr="00715952" w:rsidRDefault="00715952" w:rsidP="00715952">
      <w:pPr>
        <w:pStyle w:val="SCCLowerCourtNameLowercase"/>
        <w:spacing w:line="240" w:lineRule="auto"/>
        <w:rPr>
          <w:sz w:val="20"/>
          <w:lang w:val="fr-CA"/>
        </w:rPr>
      </w:pPr>
    </w:p>
    <w:p w:rsidR="00715952" w:rsidRPr="00715952" w:rsidRDefault="00715952" w:rsidP="00715952">
      <w:pPr>
        <w:pStyle w:val="SCCNormalDoubleSpacing"/>
        <w:spacing w:line="240" w:lineRule="auto"/>
        <w:rPr>
          <w:i/>
          <w:sz w:val="20"/>
          <w:lang w:val="fr-CA"/>
        </w:rPr>
      </w:pPr>
      <w:r w:rsidRPr="00715952">
        <w:rPr>
          <w:sz w:val="20"/>
          <w:lang w:val="fr-CA"/>
        </w:rPr>
        <w:tab/>
      </w:r>
      <w:r w:rsidRPr="00715952">
        <w:rPr>
          <w:i/>
          <w:sz w:val="20"/>
          <w:lang w:val="fr-CA"/>
        </w:rPr>
        <w:t>Droit criminel — Preuve — Admissibilité — Preuve de faits similaires — Déclaration de culpabilité antérieure — Voir-dire — Le ministère public avait</w:t>
      </w:r>
      <w:r w:rsidRPr="00715952">
        <w:rPr>
          <w:i/>
          <w:sz w:val="20"/>
          <w:lang w:val="fr-CA"/>
        </w:rPr>
        <w:noBreakHyphen/>
        <w:t>il le droit de produire une déclaration de culpabilité antérieure dans le cadre du voir</w:t>
      </w:r>
      <w:r w:rsidRPr="00715952">
        <w:rPr>
          <w:i/>
          <w:sz w:val="20"/>
          <w:lang w:val="fr-CA"/>
        </w:rPr>
        <w:noBreakHyphen/>
        <w:t>dire sur l’admissibilité de la preuve de faits similaires? — L’accusé avait-il le droit de contester une déclaration de culpabilité antérieure dans le cadre du voir</w:t>
      </w:r>
      <w:r w:rsidRPr="00715952">
        <w:rPr>
          <w:i/>
          <w:sz w:val="20"/>
          <w:lang w:val="fr-CA"/>
        </w:rPr>
        <w:noBreakHyphen/>
        <w:t>dire sur l’admissibilité de la preuve de faits similaires? — La juge du procès a</w:t>
      </w:r>
      <w:r w:rsidRPr="00715952">
        <w:rPr>
          <w:i/>
          <w:sz w:val="20"/>
          <w:lang w:val="fr-CA"/>
        </w:rPr>
        <w:noBreakHyphen/>
        <w:t>t</w:t>
      </w:r>
      <w:r w:rsidRPr="00715952">
        <w:rPr>
          <w:i/>
          <w:sz w:val="20"/>
          <w:lang w:val="fr-CA"/>
        </w:rPr>
        <w:noBreakHyphen/>
        <w:t>elle commis une erreur justifiant l’annulation de sa décision en concluant, lors du procès lui</w:t>
      </w:r>
      <w:r w:rsidRPr="00715952">
        <w:rPr>
          <w:i/>
          <w:sz w:val="20"/>
          <w:lang w:val="fr-CA"/>
        </w:rPr>
        <w:noBreakHyphen/>
        <w:t>même, que l’accusé était probablement l’agresseur de la première victime?</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tab/>
        <w:t xml:space="preserve">L’appelant a été accusé d’avoir agressé sexuellement une femme complètement ivre, J.M., en insérant un bouchon de bouteille de vin dans son vagin.  Lors du procès, le ministère public a cherché à produire une preuve de faits similaires selon laquelle, en 1995, un jury avait reconnu l’appelant coupable d’avoir agressé sexuellement une autre femme complètement ivre, J.S., en lui insérant deux grands sacs à emplettes dans le vagin.  Même s’il avait affirmé lors du procès ne pas avoir été l’agresseur de J.S., l’appelant n’a pas porté cette déclaration de culpabilité en appel et n’a pas non plus contesté la peine de sept ans qui lui a été infligée. </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tab/>
        <w:t>Le procès de l’appelant relatif à l’agression sexuelle dont J.M. a été victime s’est déroulé devant une juge siégeant seule.  Au cours du voir</w:t>
      </w:r>
      <w:r w:rsidRPr="00715952">
        <w:rPr>
          <w:sz w:val="20"/>
          <w:lang w:val="fr-CA"/>
        </w:rPr>
        <w:noBreakHyphen/>
        <w:t>dire tenu sur l’admissibilité de la preuve de faits similaires relatifs à J.S., la juge du procès a permis au ministère public de produire la déclaration de culpabilité de 1995 dans le but limité de rattacher l’appelant à l’agression sexuelle antérieure.  Dans le cadre de ce voir</w:t>
      </w:r>
      <w:r w:rsidRPr="00715952">
        <w:rPr>
          <w:sz w:val="20"/>
          <w:lang w:val="fr-CA"/>
        </w:rPr>
        <w:noBreakHyphen/>
        <w:t xml:space="preserve">dire, elle n’a pas autorisé l’appelant à contester la déclaration de culpabilité antérieure, mais elle lui a permis de le faire lors du procès lui-même.  La juge du procès a accordé une grande valeur à l’agression dont J.S. avait été victime et a, ultimement, déclaré l’appelant coupable d’agression sexuelle sur J.M.  La Cour d’appel de la Colombie-Britannique a rejeté l’appel qu’il avait formé contre sa déclaration de culpabilité.  </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lastRenderedPageBreak/>
        <w:tab/>
      </w:r>
      <w:r w:rsidRPr="00715952">
        <w:rPr>
          <w:i/>
          <w:sz w:val="20"/>
          <w:lang w:val="fr-CA"/>
        </w:rPr>
        <w:t>Arrêt</w:t>
      </w:r>
      <w:r w:rsidRPr="00715952">
        <w:rPr>
          <w:sz w:val="20"/>
          <w:lang w:val="fr-CA"/>
        </w:rPr>
        <w:t> </w:t>
      </w:r>
      <w:r w:rsidRPr="00C04C6C">
        <w:rPr>
          <w:rStyle w:val="QuoteChar"/>
          <w:rFonts w:eastAsiaTheme="majorEastAsia"/>
          <w:sz w:val="20"/>
        </w:rPr>
        <w:t>:</w:t>
      </w:r>
      <w:r w:rsidRPr="00715952">
        <w:rPr>
          <w:sz w:val="20"/>
          <w:lang w:val="fr-CA"/>
        </w:rPr>
        <w:t xml:space="preserve"> Le pourvoi est rejeté.</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tab/>
        <w:t>La déclaration de culpabilité était admissible pour satisfaire à l’exigence de l’existence « d’éléments de preuve » rattachant l’appelant à l’agression de J.S.  Dans le contexte d’une demande visant à faire admettre un élément de preuve à titre de preuve de faits similaires, une déclaration de culpabilité peut être produite pour établir un élément essentiel de l’infraction antérieure lorsque cet élément est en cause.  En l’espèce, l’appelant a contesté sa responsabilité à l’égard de l’acte antérieur.  Ce faisant, il a soulevé la question de l’identité et ouvert la voie à la production par le ministère public de la déclaration de culpabilité comme preuve de l’existence « [d’]éléments de preuve » de sa participation à l’acte antérieur.  L’admissibilité d’une déclaration de culpabilité antérieure n’est pas tributaire du fait qu’elle fait suite à un plaidoyer de culpabilité ou qu’elle est le fruit d’un verdict de culpabilité prononcé au terme d’un procès.  Les verdicts ne doivent pas être pris pour une preuve par ouï-dire ou encore pour une preuve d’opinion de valeur douteuse.  Qu’ils aient été prononcés par des jurys ou par des juges siégeant seuls, les verdicts sont présumés fiables et, lorsque l’identité est en cause, ils devraient être reconnus comme tels, à moins qu’ils n’aient été infirmés en appel ou qu’ils ne soient ultérieurement jugés erronés.</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tab/>
        <w:t>Puisque la preuve de faits similaires est présumée inadmissible, sa valeur probante doit l’emporter sur son effet préjudiciable.  En l’espèce, l’effet préjudiciable découlant de l’admission de la déclaration de culpabilité ne justifiait pas son exclusion.  La déclaration de culpabilité antérieure de l’appelant pour l’agression sexuelle dont J.S. a été victime avait une grande valeur probante.  L’admettre n’a pas, en soi, rendu son procès inéquitable ni ne lui a occasionné un préjudice irrémédiable, et ce, pour plusieurs raisons.  Premièrement, il n’est pas inhabituel pour les juges des faits d’être exposés à des déclarations de culpabilité antérieures qui font suite à des plaidoyers de culpabilité, et que le ministère public tente de produire afin d’établir une preuve de faits similaires.  Les juges des faits connaissent l’utilisation limitée qu’ils peuvent faire de la preuve de faits similaires et l’accusé peut la contester ou l’expliquer s’il le souhaite.  Deuxièmement, une déclaration de culpabilité antérieure constitue certes une preuve solide que le comportement visé par les faits similaires en question a eu lieu, cela ne la rend pas inadmissible.  Qu’un élément de preuve ait des conséquences malheureuses pour l’accusé ne le rend pas inadmissible ni ne rend le procès inéquitable.  Troisièmement, l’accusé a droit à un procès équitable, mais pas à un procès qui lui garantit que les règles du jeu penchent en sa faveur.  Lorsqu’un accusé conteste sa participation à un incident antérieur, les règles de preuve ne lui donnent pas le droit d’empêcher que le juge des faits dispose de la meilleure preuve — la déclaration de culpabilité — que le ministère public pouvait obtenir pour le rattacher à l’incident.</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tab/>
        <w:t>Si un accusé ne devrait pas être automatiquement préclus de contester une déclaration de culpabilité antérieure à l’étape du voir</w:t>
      </w:r>
      <w:r w:rsidRPr="00715952">
        <w:rPr>
          <w:sz w:val="20"/>
          <w:lang w:val="fr-CA"/>
        </w:rPr>
        <w:noBreakHyphen/>
        <w:t>dire relatif à une demande visant à la faire admettre à titre de preuve de faits similaires, les situations qui donnent ouverture à une telle contestation sont rares vu la norme de preuve peu élevée (soit qu’il existe « des éléments de preuve ») à laquelle il faut satisfaire pour rattacher l’accusé aux faits similaires.  Une contestation à l’étape du voir-dire ne sera pas appropriée s’il n’y a aucune probabilité raisonnable que celle</w:t>
      </w:r>
      <w:r w:rsidRPr="00715952">
        <w:rPr>
          <w:sz w:val="20"/>
          <w:lang w:val="fr-CA"/>
        </w:rPr>
        <w:noBreakHyphen/>
        <w:t xml:space="preserve">ci ait une incidence sur l’admissibilité de la preuve.  Les termes </w:t>
      </w:r>
      <w:r w:rsidRPr="00715952">
        <w:rPr>
          <w:i/>
          <w:sz w:val="20"/>
          <w:lang w:val="fr-CA"/>
        </w:rPr>
        <w:t>chose jugée</w:t>
      </w:r>
      <w:r w:rsidRPr="00715952">
        <w:rPr>
          <w:sz w:val="20"/>
          <w:lang w:val="fr-CA"/>
        </w:rPr>
        <w:t xml:space="preserve"> et </w:t>
      </w:r>
      <w:r w:rsidRPr="00715952">
        <w:rPr>
          <w:i/>
          <w:sz w:val="20"/>
          <w:lang w:val="fr-CA"/>
        </w:rPr>
        <w:t>abus de procédure</w:t>
      </w:r>
      <w:r w:rsidRPr="00715952">
        <w:rPr>
          <w:sz w:val="20"/>
          <w:lang w:val="fr-CA"/>
        </w:rPr>
        <w:t xml:space="preserve"> sont inutiles et inappropriés pour répondre à la question de savoir si la déclaration de culpabilité pouvait être contestée à l’étape du voir</w:t>
      </w:r>
      <w:r w:rsidRPr="00715952">
        <w:rPr>
          <w:sz w:val="20"/>
          <w:lang w:val="fr-CA"/>
        </w:rPr>
        <w:noBreakHyphen/>
        <w:t>dire — ni l’une ni l’autre de ces doctrines ne sauraient empêcher un accusé de contester une déclaration de culpabilité antérieure dans le cadre d’un voir</w:t>
      </w:r>
      <w:r w:rsidRPr="00715952">
        <w:rPr>
          <w:sz w:val="20"/>
          <w:lang w:val="fr-CA"/>
        </w:rPr>
        <w:noBreakHyphen/>
        <w:t>dire.  La décision d’autoriser ou non la contestation à l’étape du voir-dire tient au droit du juge du procès d’être maître de la conduite de l’instance.</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tab/>
        <w:t>En l’espèce, la juge du procès n’a commis aucune erreur en admettant la déclaration de culpabilité antérieure à titre de preuve de faits similaires à l’issue du voir</w:t>
      </w:r>
      <w:r w:rsidRPr="00715952">
        <w:rPr>
          <w:sz w:val="20"/>
          <w:lang w:val="fr-CA"/>
        </w:rPr>
        <w:noBreakHyphen/>
        <w:t>dire dans le but limité de rattacher l’appelant à l’agression sexuelle de J.S.  Le verdict ayant donné lieu à cette déclaration de culpabilité antérieure constituait une preuve très fiable et, à tout le moins, a établi l’existence « [d’]éléments de preuve » que l’appelant avait agressé J.S.  Sa valeur probante était évidente et l’emportait sur son effet préjudiciable.</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tab/>
        <w:t>Lors du procès, la juge du procès a été convaincue, suivant la prépondérance des probabilités, que l’appelant était l’agresseur de J.S.  Les faiblesses de la preuve quant à l’identité de l’agresseur, même si elle en était tout à fait consciente, ne l’ont pas amenée à douter de l’intégrité de la déclaration de culpabilité antérieure.</w:t>
      </w:r>
    </w:p>
    <w:p w:rsidR="00715952" w:rsidRPr="00715952" w:rsidRDefault="00715952" w:rsidP="00715952">
      <w:pPr>
        <w:pStyle w:val="SCCNormalDoubleSpacing"/>
        <w:spacing w:line="240" w:lineRule="auto"/>
        <w:rPr>
          <w:sz w:val="20"/>
          <w:lang w:val="fr-CA"/>
        </w:rPr>
      </w:pPr>
    </w:p>
    <w:p w:rsidR="00715952" w:rsidRPr="00715952" w:rsidRDefault="00715952" w:rsidP="00715952">
      <w:pPr>
        <w:pStyle w:val="SCCNormalDoubleSpacing"/>
        <w:spacing w:line="240" w:lineRule="auto"/>
        <w:rPr>
          <w:sz w:val="20"/>
          <w:lang w:val="fr-CA"/>
        </w:rPr>
      </w:pPr>
      <w:r w:rsidRPr="00715952">
        <w:rPr>
          <w:sz w:val="20"/>
          <w:lang w:val="fr-CA"/>
        </w:rPr>
        <w:tab/>
        <w:t xml:space="preserve">POURVOI contre un arrêt de la Cour d’appel de la Colombie-Britannique (les juges Chiasson, D. Smith et Neilson), 2010 BCCA 108, 284 B.C.A.C. 192, 481 W.A.C. 192, 252 C.C.C. (3d) 442, 205 C.R.R. (2d) 11, 73 C.R. (6th) 263, [2010] B.C.J. No. 381 (QL), 2010 CarswellBC 514, qui a confirmé la déclaration de culpabilité pour agression </w:t>
      </w:r>
      <w:r w:rsidRPr="00715952">
        <w:rPr>
          <w:sz w:val="20"/>
          <w:lang w:val="fr-CA"/>
        </w:rPr>
        <w:lastRenderedPageBreak/>
        <w:t>sexuelle inscrite par la juge Arnold</w:t>
      </w:r>
      <w:r w:rsidRPr="00715952">
        <w:rPr>
          <w:sz w:val="20"/>
          <w:lang w:val="fr-CA"/>
        </w:rPr>
        <w:noBreakHyphen/>
        <w:t>Bailey, 2007 BCSC 1355 (CanLII), [2007] B.C.J. No. 1991 (QL), 2007 CarswellBC 2079. Pourvoi rejeté.</w:t>
      </w:r>
    </w:p>
    <w:p w:rsidR="00715952" w:rsidRPr="00715952" w:rsidRDefault="00715952" w:rsidP="00715952">
      <w:pPr>
        <w:pStyle w:val="SCCNormalDoubleSpacing"/>
        <w:spacing w:line="240" w:lineRule="auto"/>
        <w:rPr>
          <w:rStyle w:val="SCCCounselNameChar"/>
          <w:sz w:val="20"/>
          <w:lang w:val="fr-CA"/>
        </w:rPr>
      </w:pPr>
    </w:p>
    <w:p w:rsidR="00715952" w:rsidRPr="00715952" w:rsidRDefault="00715952" w:rsidP="00715952">
      <w:pPr>
        <w:pStyle w:val="SCCNormalDoubleSpacing"/>
        <w:spacing w:line="240" w:lineRule="auto"/>
        <w:rPr>
          <w:sz w:val="20"/>
          <w:lang w:val="fr-CA"/>
        </w:rPr>
      </w:pPr>
      <w:r w:rsidRPr="00715952">
        <w:rPr>
          <w:rStyle w:val="SCCCounselNameChar"/>
          <w:sz w:val="20"/>
          <w:lang w:val="fr-CA"/>
        </w:rPr>
        <w:tab/>
        <w:t>Gil D. McKinnon, c.r.,</w:t>
      </w:r>
      <w:r w:rsidRPr="00C04C6C">
        <w:rPr>
          <w:rStyle w:val="SCCCounselSeparatorChar"/>
          <w:sz w:val="20"/>
        </w:rPr>
        <w:t xml:space="preserve"> et </w:t>
      </w:r>
      <w:r w:rsidRPr="00715952">
        <w:rPr>
          <w:rStyle w:val="SCCCounselNameChar"/>
          <w:sz w:val="20"/>
          <w:lang w:val="fr-CA"/>
        </w:rPr>
        <w:t>Gregory S. Pun</w:t>
      </w:r>
      <w:r w:rsidRPr="00715952">
        <w:rPr>
          <w:rStyle w:val="SCCCounselPartyRoleChar"/>
          <w:sz w:val="20"/>
          <w:lang w:val="fr-CA"/>
        </w:rPr>
        <w:t>, pour l’appelant.</w:t>
      </w:r>
    </w:p>
    <w:p w:rsidR="00715952" w:rsidRPr="00715952" w:rsidRDefault="00715952" w:rsidP="00715952">
      <w:pPr>
        <w:pStyle w:val="SCCNormalDoubleSpacing"/>
        <w:spacing w:line="240" w:lineRule="auto"/>
        <w:rPr>
          <w:rStyle w:val="SCCCounselNameChar"/>
          <w:sz w:val="20"/>
          <w:lang w:val="fr-CA"/>
        </w:rPr>
      </w:pPr>
    </w:p>
    <w:p w:rsidR="00715952" w:rsidRPr="00715952" w:rsidRDefault="00715952" w:rsidP="00715952">
      <w:pPr>
        <w:pStyle w:val="SCCNormalDoubleSpacing"/>
        <w:spacing w:line="240" w:lineRule="auto"/>
        <w:rPr>
          <w:sz w:val="20"/>
          <w:lang w:val="fr-CA"/>
        </w:rPr>
      </w:pPr>
      <w:r w:rsidRPr="00715952">
        <w:rPr>
          <w:rStyle w:val="SCCCounselNameChar"/>
          <w:sz w:val="20"/>
          <w:lang w:val="fr-CA"/>
        </w:rPr>
        <w:tab/>
        <w:t>Jennifer Duncan</w:t>
      </w:r>
      <w:r w:rsidRPr="00C04C6C">
        <w:rPr>
          <w:rStyle w:val="SCCCounselSeparatorChar"/>
          <w:sz w:val="20"/>
        </w:rPr>
        <w:t xml:space="preserve"> et </w:t>
      </w:r>
      <w:r w:rsidRPr="00715952">
        <w:rPr>
          <w:rStyle w:val="SCCCounselNameChar"/>
          <w:sz w:val="20"/>
          <w:lang w:val="fr-CA"/>
        </w:rPr>
        <w:t>Elizabeth A. Campbell</w:t>
      </w:r>
      <w:r w:rsidRPr="00715952">
        <w:rPr>
          <w:rStyle w:val="SCCCounselPartyRoleChar"/>
          <w:sz w:val="20"/>
          <w:lang w:val="fr-CA"/>
        </w:rPr>
        <w:t>, pour l’intimée.</w:t>
      </w:r>
    </w:p>
    <w:p w:rsidR="00715952" w:rsidRPr="00715952" w:rsidRDefault="00715952" w:rsidP="00715952">
      <w:pPr>
        <w:pStyle w:val="SCCLawFirm"/>
        <w:spacing w:line="240" w:lineRule="auto"/>
        <w:rPr>
          <w:sz w:val="20"/>
          <w:lang w:val="fr-CA"/>
        </w:rPr>
      </w:pPr>
    </w:p>
    <w:p w:rsidR="00715952" w:rsidRPr="00715952" w:rsidRDefault="00715952" w:rsidP="00715952">
      <w:pPr>
        <w:pStyle w:val="SCCLawFirm"/>
        <w:spacing w:line="240" w:lineRule="auto"/>
        <w:rPr>
          <w:sz w:val="20"/>
          <w:lang w:val="fr-CA"/>
        </w:rPr>
      </w:pPr>
      <w:r w:rsidRPr="00715952">
        <w:rPr>
          <w:sz w:val="20"/>
          <w:lang w:val="fr-CA"/>
        </w:rPr>
        <w:tab/>
        <w:t>Procureur de l’appelant : Gil D. McKinnon, c.r., Vancouver.</w:t>
      </w:r>
    </w:p>
    <w:p w:rsidR="00715952" w:rsidRPr="00715952" w:rsidRDefault="00715952" w:rsidP="00715952">
      <w:pPr>
        <w:pStyle w:val="SCCLawFirm"/>
        <w:spacing w:line="240" w:lineRule="auto"/>
        <w:rPr>
          <w:sz w:val="20"/>
          <w:lang w:val="fr-CA"/>
        </w:rPr>
      </w:pPr>
    </w:p>
    <w:p w:rsidR="00715952" w:rsidRPr="00715952" w:rsidRDefault="00715952" w:rsidP="00715952">
      <w:pPr>
        <w:pStyle w:val="SCCLawFirm"/>
        <w:spacing w:line="240" w:lineRule="auto"/>
        <w:rPr>
          <w:sz w:val="20"/>
          <w:lang w:val="fr-CA"/>
        </w:rPr>
      </w:pPr>
      <w:r w:rsidRPr="00715952">
        <w:rPr>
          <w:sz w:val="20"/>
          <w:lang w:val="fr-CA"/>
        </w:rPr>
        <w:tab/>
        <w:t>Procureur de l’intimée : Procureur général de la Colombie-Britannique, Vancouver.</w:t>
      </w:r>
    </w:p>
    <w:p w:rsidR="00B72A60" w:rsidRPr="00715952" w:rsidRDefault="00B72A60" w:rsidP="003B3977">
      <w:pPr>
        <w:rPr>
          <w:sz w:val="20"/>
          <w:szCs w:val="20"/>
          <w:lang w:val="fr-CA"/>
        </w:rPr>
      </w:pPr>
    </w:p>
    <w:p w:rsidR="00B72A60" w:rsidRDefault="009134DA" w:rsidP="003B3977">
      <w:pPr>
        <w:rPr>
          <w:sz w:val="20"/>
          <w:szCs w:val="20"/>
        </w:rPr>
      </w:pPr>
      <w:r w:rsidRPr="009134DA">
        <w:rPr>
          <w:rFonts w:cs="Times New Roman"/>
          <w:sz w:val="20"/>
          <w:szCs w:val="20"/>
          <w:lang w:val="fr-CA"/>
        </w:rPr>
        <w:pict>
          <v:rect id="_x0000_i1111" style="width:144.3pt;height:1pt" o:hrpct="300" o:hralign="center" o:hrstd="t" o:hrnoshade="t" o:hr="t" fillcolor="black [3213]" stroked="f"/>
        </w:pict>
      </w:r>
    </w:p>
    <w:p w:rsidR="00B72A60" w:rsidRPr="003F4721" w:rsidRDefault="00B72A60"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936316">
            <w:pPr>
              <w:keepNext/>
              <w:keepLines/>
              <w:rPr>
                <w:b/>
                <w:szCs w:val="24"/>
              </w:rPr>
            </w:pPr>
            <w:r w:rsidRPr="00C50A5C">
              <w:rPr>
                <w:b/>
                <w:szCs w:val="24"/>
              </w:rPr>
              <w:lastRenderedPageBreak/>
              <w:t xml:space="preserve">AGENDA FOR </w:t>
            </w:r>
            <w:r w:rsidR="00936316">
              <w:rPr>
                <w:b/>
                <w:szCs w:val="24"/>
              </w:rPr>
              <w:t>M</w:t>
            </w:r>
            <w:r w:rsidRPr="00C50A5C">
              <w:rPr>
                <w:b/>
                <w:szCs w:val="24"/>
              </w:rPr>
              <w:t>A</w:t>
            </w:r>
            <w:r w:rsidR="00936316">
              <w:rPr>
                <w:b/>
                <w:szCs w:val="24"/>
              </w:rPr>
              <w:t>Y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936316">
            <w:pPr>
              <w:keepNext/>
              <w:keepLines/>
              <w:rPr>
                <w:b/>
                <w:szCs w:val="24"/>
                <w:lang w:val="fr-CA"/>
              </w:rPr>
            </w:pPr>
            <w:r w:rsidRPr="00C50A5C">
              <w:rPr>
                <w:b/>
                <w:szCs w:val="24"/>
                <w:lang w:val="fr-CA"/>
              </w:rPr>
              <w:t>CALENDRIER D</w:t>
            </w:r>
            <w:r w:rsidR="00936316">
              <w:rPr>
                <w:b/>
                <w:szCs w:val="24"/>
                <w:lang w:val="fr-CA"/>
              </w:rPr>
              <w:t>E MAI 2012</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936316">
        <w:rPr>
          <w:b/>
          <w:sz w:val="20"/>
          <w:szCs w:val="20"/>
        </w:rPr>
        <w:t>May</w:t>
      </w:r>
      <w:r w:rsidRPr="00DD0B49">
        <w:rPr>
          <w:b/>
          <w:sz w:val="20"/>
          <w:szCs w:val="20"/>
        </w:rPr>
        <w:t xml:space="preserve"> </w:t>
      </w:r>
      <w:r w:rsidR="00936316">
        <w:rPr>
          <w:b/>
          <w:sz w:val="20"/>
          <w:szCs w:val="20"/>
        </w:rPr>
        <w:t>7</w:t>
      </w:r>
      <w:r w:rsidRPr="00DD0B49">
        <w:rPr>
          <w:b/>
          <w:sz w:val="20"/>
          <w:szCs w:val="20"/>
        </w:rPr>
        <w:t xml:space="preserve"> and </w:t>
      </w:r>
      <w:r w:rsidR="00936316">
        <w:rPr>
          <w:b/>
          <w:sz w:val="20"/>
          <w:szCs w:val="20"/>
        </w:rPr>
        <w:t>14</w:t>
      </w:r>
      <w:r w:rsidRPr="00DD0B49">
        <w:rPr>
          <w:b/>
          <w:sz w:val="20"/>
          <w:szCs w:val="20"/>
        </w:rPr>
        <w:t>, 201</w:t>
      </w:r>
      <w:r w:rsidR="00936316">
        <w:rPr>
          <w:b/>
          <w:sz w:val="20"/>
          <w:szCs w:val="20"/>
        </w:rPr>
        <w:t>2</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936316">
        <w:rPr>
          <w:b/>
          <w:sz w:val="20"/>
          <w:szCs w:val="20"/>
          <w:lang w:val="fr-CA"/>
        </w:rPr>
        <w:t xml:space="preserve">7 </w:t>
      </w:r>
      <w:r w:rsidRPr="00DD0B49">
        <w:rPr>
          <w:b/>
          <w:sz w:val="20"/>
          <w:szCs w:val="20"/>
          <w:lang w:val="fr-CA"/>
        </w:rPr>
        <w:t>m</w:t>
      </w:r>
      <w:r w:rsidR="00936316">
        <w:rPr>
          <w:b/>
          <w:sz w:val="20"/>
          <w:szCs w:val="20"/>
          <w:lang w:val="fr-CA"/>
        </w:rPr>
        <w:t>ai</w:t>
      </w:r>
      <w:r w:rsidRPr="00DD0B49">
        <w:rPr>
          <w:b/>
          <w:sz w:val="20"/>
          <w:szCs w:val="20"/>
          <w:lang w:val="fr-CA"/>
        </w:rPr>
        <w:t xml:space="preserve"> et celle du </w:t>
      </w:r>
      <w:r w:rsidR="00936316">
        <w:rPr>
          <w:b/>
          <w:sz w:val="20"/>
          <w:szCs w:val="20"/>
          <w:lang w:val="fr-CA"/>
        </w:rPr>
        <w:t>14</w:t>
      </w:r>
      <w:r w:rsidRPr="00DD0B49">
        <w:rPr>
          <w:b/>
          <w:sz w:val="20"/>
          <w:szCs w:val="20"/>
          <w:lang w:val="fr-CA"/>
        </w:rPr>
        <w:t xml:space="preserve"> m</w:t>
      </w:r>
      <w:r w:rsidR="00936316">
        <w:rPr>
          <w:b/>
          <w:sz w:val="20"/>
          <w:szCs w:val="20"/>
          <w:lang w:val="fr-CA"/>
        </w:rPr>
        <w:t>ai</w:t>
      </w:r>
      <w:r w:rsidRPr="00DD0B49">
        <w:rPr>
          <w:b/>
          <w:sz w:val="20"/>
          <w:szCs w:val="20"/>
          <w:lang w:val="fr-CA"/>
        </w:rPr>
        <w:t xml:space="preserve"> 201</w:t>
      </w:r>
      <w:r w:rsidR="00936316">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936316">
        <w:rPr>
          <w:sz w:val="20"/>
          <w:szCs w:val="20"/>
        </w:rPr>
        <w:t xml:space="preserve">May </w:t>
      </w:r>
      <w:r w:rsidRPr="00DD0B49">
        <w:rPr>
          <w:sz w:val="20"/>
          <w:szCs w:val="20"/>
        </w:rPr>
        <w:t>2</w:t>
      </w:r>
      <w:r w:rsidR="00936316">
        <w:rPr>
          <w:sz w:val="20"/>
          <w:szCs w:val="20"/>
        </w:rPr>
        <w:t>1</w:t>
      </w:r>
      <w:r w:rsidRPr="00DD0B49">
        <w:rPr>
          <w:sz w:val="20"/>
          <w:szCs w:val="20"/>
        </w:rPr>
        <w:t xml:space="preserve"> and 2</w:t>
      </w:r>
      <w:r w:rsidR="00936316">
        <w:rPr>
          <w:sz w:val="20"/>
          <w:szCs w:val="20"/>
        </w:rPr>
        <w:t>8</w:t>
      </w:r>
      <w:r w:rsidRPr="00DD0B49">
        <w:rPr>
          <w:sz w:val="20"/>
          <w:szCs w:val="20"/>
        </w:rPr>
        <w:t>, 201</w:t>
      </w:r>
      <w:r w:rsidR="00936316">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2</w:t>
      </w:r>
      <w:r w:rsidR="00936316">
        <w:rPr>
          <w:sz w:val="20"/>
          <w:szCs w:val="20"/>
          <w:lang w:val="fr-CA"/>
        </w:rPr>
        <w:t>1</w:t>
      </w:r>
      <w:r w:rsidRPr="00DD0B49">
        <w:rPr>
          <w:sz w:val="20"/>
          <w:szCs w:val="20"/>
          <w:lang w:val="fr-CA"/>
        </w:rPr>
        <w:t xml:space="preserve"> et du 2</w:t>
      </w:r>
      <w:r w:rsidR="00936316">
        <w:rPr>
          <w:sz w:val="20"/>
          <w:szCs w:val="20"/>
          <w:lang w:val="fr-CA"/>
        </w:rPr>
        <w:t>8</w:t>
      </w:r>
      <w:r w:rsidRPr="00DD0B49">
        <w:rPr>
          <w:sz w:val="20"/>
          <w:szCs w:val="20"/>
          <w:lang w:val="fr-CA"/>
        </w:rPr>
        <w:t xml:space="preserve"> m</w:t>
      </w:r>
      <w:r w:rsidR="00936316">
        <w:rPr>
          <w:sz w:val="20"/>
          <w:szCs w:val="20"/>
          <w:lang w:val="fr-CA"/>
        </w:rPr>
        <w:t>ai</w:t>
      </w:r>
      <w:r w:rsidRPr="00DD0B49">
        <w:rPr>
          <w:sz w:val="20"/>
          <w:szCs w:val="20"/>
          <w:lang w:val="fr-CA"/>
        </w:rPr>
        <w:t xml:space="preserve"> 201</w:t>
      </w:r>
      <w:r w:rsidR="00936316">
        <w:rPr>
          <w:sz w:val="20"/>
          <w:szCs w:val="20"/>
          <w:lang w:val="fr-CA"/>
        </w:rPr>
        <w:t>2</w:t>
      </w:r>
      <w:r w:rsidRPr="00DD0B49">
        <w:rPr>
          <w:sz w:val="20"/>
          <w:szCs w:val="20"/>
          <w:lang w:val="fr-CA"/>
        </w:rPr>
        <w:t>.</w:t>
      </w:r>
    </w:p>
    <w:p w:rsidR="004B66B4" w:rsidRPr="00DD0B49" w:rsidRDefault="009134DA" w:rsidP="004B66B4">
      <w:pPr>
        <w:rPr>
          <w:sz w:val="20"/>
          <w:szCs w:val="20"/>
        </w:rPr>
      </w:pPr>
      <w:r w:rsidRPr="009134DA">
        <w:rPr>
          <w:sz w:val="20"/>
          <w:szCs w:val="20"/>
        </w:rPr>
        <w:pict>
          <v:rect id="_x0000_i1114"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936316" w:rsidRPr="005568D3" w:rsidTr="00936316">
        <w:trPr>
          <w:cantSplit/>
        </w:trPr>
        <w:tc>
          <w:tcPr>
            <w:tcW w:w="2398" w:type="dxa"/>
          </w:tcPr>
          <w:p w:rsidR="00936316" w:rsidRPr="00E4453F" w:rsidRDefault="00936316" w:rsidP="00936316">
            <w:pPr>
              <w:rPr>
                <w:rFonts w:eastAsia="Calibri" w:cs="Times New Roman"/>
                <w:sz w:val="20"/>
                <w:szCs w:val="20"/>
              </w:rPr>
            </w:pPr>
            <w:r w:rsidRPr="00E4453F">
              <w:rPr>
                <w:rFonts w:eastAsia="Calibri" w:cs="Times New Roman"/>
                <w:sz w:val="20"/>
                <w:szCs w:val="20"/>
              </w:rPr>
              <w:t>DATE OF HEARING /</w:t>
            </w:r>
          </w:p>
          <w:p w:rsidR="00936316" w:rsidRPr="00E4453F" w:rsidRDefault="00936316" w:rsidP="00936316">
            <w:pPr>
              <w:rPr>
                <w:rFonts w:eastAsia="Calibri" w:cs="Times New Roman"/>
                <w:sz w:val="20"/>
                <w:szCs w:val="20"/>
              </w:rPr>
            </w:pPr>
            <w:r w:rsidRPr="00E4453F">
              <w:rPr>
                <w:rFonts w:eastAsia="Calibri" w:cs="Times New Roman"/>
                <w:sz w:val="20"/>
                <w:szCs w:val="20"/>
              </w:rPr>
              <w:t>DATE D’AUDITION</w:t>
            </w:r>
          </w:p>
        </w:tc>
        <w:tc>
          <w:tcPr>
            <w:tcW w:w="7178" w:type="dxa"/>
          </w:tcPr>
          <w:p w:rsidR="00936316" w:rsidRPr="00E4453F" w:rsidRDefault="00936316" w:rsidP="00936316">
            <w:pPr>
              <w:rPr>
                <w:rFonts w:eastAsia="Calibri" w:cs="Times New Roman"/>
                <w:sz w:val="20"/>
                <w:szCs w:val="20"/>
                <w:lang w:val="fr-CA"/>
              </w:rPr>
            </w:pPr>
            <w:r w:rsidRPr="00E4453F">
              <w:rPr>
                <w:rFonts w:eastAsia="Calibri" w:cs="Times New Roman"/>
                <w:sz w:val="20"/>
                <w:szCs w:val="20"/>
                <w:lang w:val="fr-CA"/>
              </w:rPr>
              <w:t>NAME AND CASE NUMBER /</w:t>
            </w:r>
          </w:p>
          <w:p w:rsidR="00936316" w:rsidRDefault="00936316" w:rsidP="00936316">
            <w:pPr>
              <w:rPr>
                <w:rFonts w:eastAsia="Calibri" w:cs="Times New Roman"/>
                <w:sz w:val="20"/>
                <w:szCs w:val="20"/>
                <w:lang w:val="fr-CA"/>
              </w:rPr>
            </w:pPr>
            <w:r w:rsidRPr="00E4453F">
              <w:rPr>
                <w:rFonts w:eastAsia="Calibri" w:cs="Times New Roman"/>
                <w:sz w:val="20"/>
                <w:szCs w:val="20"/>
                <w:lang w:val="fr-CA"/>
              </w:rPr>
              <w:t>NOM DE LA CAUSE ET NUMÉRO</w:t>
            </w:r>
          </w:p>
          <w:p w:rsidR="00EA23F9" w:rsidRPr="00E4453F" w:rsidRDefault="00EA23F9" w:rsidP="00936316">
            <w:pPr>
              <w:rPr>
                <w:rFonts w:eastAsia="Calibri" w:cs="Times New Roman"/>
                <w:sz w:val="20"/>
                <w:szCs w:val="20"/>
                <w:lang w:val="fr-CA"/>
              </w:rPr>
            </w:pPr>
          </w:p>
        </w:tc>
      </w:tr>
      <w:tr w:rsidR="00936316" w:rsidRPr="00936316" w:rsidTr="00936316">
        <w:trPr>
          <w:cantSplit/>
        </w:trPr>
        <w:tc>
          <w:tcPr>
            <w:tcW w:w="2398" w:type="dxa"/>
          </w:tcPr>
          <w:p w:rsidR="00936316" w:rsidRPr="00E4453F" w:rsidRDefault="00936316" w:rsidP="00936316">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5</w:t>
            </w:r>
            <w:r w:rsidRPr="00E4453F">
              <w:rPr>
                <w:rFonts w:eastAsia="Calibri" w:cs="Times New Roman"/>
                <w:sz w:val="20"/>
                <w:szCs w:val="20"/>
              </w:rPr>
              <w:t>-</w:t>
            </w:r>
            <w:r>
              <w:rPr>
                <w:rFonts w:eastAsia="Calibri" w:cs="Times New Roman"/>
                <w:sz w:val="20"/>
                <w:szCs w:val="20"/>
              </w:rPr>
              <w:t>07</w:t>
            </w:r>
          </w:p>
        </w:tc>
        <w:tc>
          <w:tcPr>
            <w:tcW w:w="7178" w:type="dxa"/>
          </w:tcPr>
          <w:p w:rsidR="00936316" w:rsidRPr="005568D3" w:rsidRDefault="00936316" w:rsidP="00936316">
            <w:pPr>
              <w:jc w:val="both"/>
              <w:rPr>
                <w:rFonts w:eastAsia="Calibri" w:cs="Times New Roman"/>
                <w:sz w:val="20"/>
                <w:szCs w:val="20"/>
              </w:rPr>
            </w:pPr>
            <w:r w:rsidRPr="00936316">
              <w:rPr>
                <w:rStyle w:val="SCCSsocChar"/>
              </w:rPr>
              <w:t>Mandeep Singh Chehil v. Her Majesty the Queen</w:t>
            </w:r>
            <w:r w:rsidRPr="00936316">
              <w:rPr>
                <w:rFonts w:eastAsia="Calibri" w:cs="Times New Roman"/>
                <w:sz w:val="20"/>
                <w:szCs w:val="20"/>
              </w:rPr>
              <w:t xml:space="preserve"> (N.S.) </w:t>
            </w:r>
            <w:r w:rsidRPr="005568D3">
              <w:rPr>
                <w:rFonts w:eastAsia="Calibri" w:cs="Times New Roman"/>
                <w:sz w:val="20"/>
                <w:szCs w:val="20"/>
              </w:rPr>
              <w:t>(Criminal) (By Leave) (34524)</w:t>
            </w:r>
          </w:p>
          <w:p w:rsidR="00936316" w:rsidRPr="005568D3" w:rsidRDefault="00936316" w:rsidP="00936316">
            <w:pPr>
              <w:jc w:val="both"/>
              <w:rPr>
                <w:sz w:val="20"/>
                <w:szCs w:val="20"/>
              </w:rPr>
            </w:pPr>
            <w:r w:rsidRPr="005568D3">
              <w:rPr>
                <w:sz w:val="20"/>
                <w:szCs w:val="20"/>
              </w:rPr>
              <w:t xml:space="preserve">(Oral hearing on </w:t>
            </w:r>
            <w:r w:rsidR="00AF2DBF" w:rsidRPr="005568D3">
              <w:rPr>
                <w:sz w:val="20"/>
                <w:szCs w:val="20"/>
              </w:rPr>
              <w:t xml:space="preserve">application for </w:t>
            </w:r>
            <w:r w:rsidRPr="005568D3">
              <w:rPr>
                <w:sz w:val="20"/>
                <w:szCs w:val="20"/>
              </w:rPr>
              <w:t xml:space="preserve">leave </w:t>
            </w:r>
            <w:r w:rsidR="005568D3" w:rsidRPr="005568D3">
              <w:rPr>
                <w:sz w:val="20"/>
                <w:szCs w:val="20"/>
              </w:rPr>
              <w:t xml:space="preserve">to </w:t>
            </w:r>
            <w:r w:rsidRPr="005568D3">
              <w:rPr>
                <w:sz w:val="20"/>
                <w:szCs w:val="20"/>
              </w:rPr>
              <w:t>app</w:t>
            </w:r>
            <w:r w:rsidR="005568D3">
              <w:rPr>
                <w:sz w:val="20"/>
                <w:szCs w:val="20"/>
              </w:rPr>
              <w:t>ea</w:t>
            </w:r>
            <w:r w:rsidRPr="005568D3">
              <w:rPr>
                <w:sz w:val="20"/>
                <w:szCs w:val="20"/>
              </w:rPr>
              <w:t xml:space="preserve">l / Audition </w:t>
            </w:r>
            <w:r w:rsidR="0034604D" w:rsidRPr="005568D3">
              <w:rPr>
                <w:sz w:val="20"/>
                <w:szCs w:val="20"/>
              </w:rPr>
              <w:t>de la</w:t>
            </w:r>
            <w:r w:rsidRPr="005568D3">
              <w:rPr>
                <w:sz w:val="20"/>
                <w:szCs w:val="20"/>
              </w:rPr>
              <w:t xml:space="preserve"> demande d’autorisation d’appel)</w:t>
            </w:r>
          </w:p>
          <w:p w:rsidR="00936316" w:rsidRPr="005568D3" w:rsidRDefault="00936316" w:rsidP="00936316">
            <w:pPr>
              <w:jc w:val="both"/>
              <w:rPr>
                <w:rFonts w:eastAsia="Calibri" w:cs="Times New Roman"/>
                <w:sz w:val="20"/>
                <w:szCs w:val="20"/>
              </w:rPr>
            </w:pPr>
          </w:p>
        </w:tc>
      </w:tr>
      <w:tr w:rsidR="00936316" w:rsidRPr="00096C5F" w:rsidTr="00936316">
        <w:trPr>
          <w:cantSplit/>
        </w:trPr>
        <w:tc>
          <w:tcPr>
            <w:tcW w:w="2398" w:type="dxa"/>
          </w:tcPr>
          <w:p w:rsidR="00936316" w:rsidRPr="00E4453F" w:rsidRDefault="00936316" w:rsidP="00936316">
            <w:pPr>
              <w:rPr>
                <w:rFonts w:eastAsia="Calibri" w:cs="Times New Roman"/>
                <w:sz w:val="20"/>
                <w:szCs w:val="20"/>
              </w:rPr>
            </w:pPr>
            <w:r w:rsidRPr="00E4453F">
              <w:rPr>
                <w:rFonts w:eastAsia="Calibri" w:cs="Times New Roman"/>
                <w:sz w:val="20"/>
                <w:szCs w:val="20"/>
              </w:rPr>
              <w:t>2012-0</w:t>
            </w:r>
            <w:r>
              <w:rPr>
                <w:rFonts w:eastAsia="Calibri" w:cs="Times New Roman"/>
                <w:sz w:val="20"/>
                <w:szCs w:val="20"/>
              </w:rPr>
              <w:t>5</w:t>
            </w:r>
            <w:r w:rsidRPr="00E4453F">
              <w:rPr>
                <w:rFonts w:eastAsia="Calibri" w:cs="Times New Roman"/>
                <w:sz w:val="20"/>
                <w:szCs w:val="20"/>
              </w:rPr>
              <w:t>-</w:t>
            </w:r>
            <w:r>
              <w:rPr>
                <w:rFonts w:eastAsia="Calibri" w:cs="Times New Roman"/>
                <w:sz w:val="20"/>
                <w:szCs w:val="20"/>
              </w:rPr>
              <w:t>08</w:t>
            </w:r>
          </w:p>
        </w:tc>
        <w:tc>
          <w:tcPr>
            <w:tcW w:w="7178" w:type="dxa"/>
          </w:tcPr>
          <w:p w:rsidR="00936316" w:rsidRPr="00096C5F" w:rsidRDefault="00936316" w:rsidP="00936316">
            <w:pPr>
              <w:jc w:val="both"/>
              <w:rPr>
                <w:rFonts w:eastAsia="Calibri" w:cs="Times New Roman"/>
                <w:sz w:val="20"/>
                <w:szCs w:val="20"/>
              </w:rPr>
            </w:pPr>
            <w:r>
              <w:rPr>
                <w:rStyle w:val="SCCSsocChar"/>
              </w:rPr>
              <w:t xml:space="preserve">Annapolis County District School Board et al. </w:t>
            </w:r>
            <w:r w:rsidRPr="00E4453F">
              <w:rPr>
                <w:rStyle w:val="SCCSsocChar"/>
              </w:rPr>
              <w:t xml:space="preserve">v. </w:t>
            </w:r>
            <w:r>
              <w:rPr>
                <w:rStyle w:val="SCCSsocChar"/>
              </w:rPr>
              <w:t xml:space="preserve">Jonathan Lee </w:t>
            </w:r>
            <w:r w:rsidRPr="00E4453F">
              <w:rPr>
                <w:rStyle w:val="SCCSsocChar"/>
              </w:rPr>
              <w:t>Ma</w:t>
            </w:r>
            <w:r>
              <w:rPr>
                <w:rStyle w:val="SCCSsocChar"/>
              </w:rPr>
              <w:t>r</w:t>
            </w:r>
            <w:r w:rsidRPr="00E4453F">
              <w:rPr>
                <w:rStyle w:val="SCCSsocChar"/>
              </w:rPr>
              <w:t>s</w:t>
            </w:r>
            <w:r>
              <w:rPr>
                <w:rStyle w:val="SCCSsocChar"/>
              </w:rPr>
              <w:t>hall, represented by his G</w:t>
            </w:r>
            <w:r w:rsidRPr="00E4453F">
              <w:rPr>
                <w:rStyle w:val="SCCSsocChar"/>
              </w:rPr>
              <w:t>u</w:t>
            </w:r>
            <w:r>
              <w:rPr>
                <w:rStyle w:val="SCCSsocChar"/>
              </w:rPr>
              <w:t>ardia</w:t>
            </w:r>
            <w:r w:rsidRPr="00E4453F">
              <w:rPr>
                <w:rStyle w:val="SCCSsocChar"/>
              </w:rPr>
              <w:t>n</w:t>
            </w:r>
            <w:r w:rsidRPr="00096C5F">
              <w:rPr>
                <w:rStyle w:val="SCCSsocChar"/>
              </w:rPr>
              <w:t xml:space="preserve"> </w:t>
            </w:r>
            <w:r>
              <w:rPr>
                <w:rStyle w:val="SCCSsocChar"/>
              </w:rPr>
              <w:t xml:space="preserve">Vaughan Caldwell </w:t>
            </w:r>
            <w:r w:rsidRPr="00096C5F">
              <w:rPr>
                <w:rFonts w:eastAsia="Calibri" w:cs="Times New Roman"/>
                <w:sz w:val="20"/>
                <w:szCs w:val="20"/>
              </w:rPr>
              <w:t>(</w:t>
            </w:r>
            <w:r>
              <w:rPr>
                <w:rFonts w:eastAsia="Calibri" w:cs="Times New Roman"/>
                <w:sz w:val="20"/>
                <w:szCs w:val="20"/>
              </w:rPr>
              <w:t>N.S.</w:t>
            </w:r>
            <w:r w:rsidRPr="00096C5F">
              <w:rPr>
                <w:rFonts w:eastAsia="Calibri" w:cs="Times New Roman"/>
                <w:sz w:val="20"/>
                <w:szCs w:val="20"/>
              </w:rPr>
              <w:t>) (Ci</w:t>
            </w:r>
            <w:r>
              <w:rPr>
                <w:rFonts w:eastAsia="Calibri" w:cs="Times New Roman"/>
                <w:sz w:val="20"/>
                <w:szCs w:val="20"/>
              </w:rPr>
              <w:t>vi</w:t>
            </w:r>
            <w:r w:rsidRPr="00096C5F">
              <w:rPr>
                <w:rFonts w:eastAsia="Calibri" w:cs="Times New Roman"/>
                <w:sz w:val="20"/>
                <w:szCs w:val="20"/>
              </w:rPr>
              <w:t>l) (</w:t>
            </w:r>
            <w:r>
              <w:rPr>
                <w:rFonts w:eastAsia="Calibri" w:cs="Times New Roman"/>
                <w:sz w:val="20"/>
                <w:szCs w:val="20"/>
              </w:rPr>
              <w:t>By Leave</w:t>
            </w:r>
            <w:r w:rsidRPr="00096C5F">
              <w:rPr>
                <w:rFonts w:eastAsia="Calibri" w:cs="Times New Roman"/>
                <w:sz w:val="20"/>
                <w:szCs w:val="20"/>
              </w:rPr>
              <w:t>) (34</w:t>
            </w:r>
            <w:r>
              <w:rPr>
                <w:rFonts w:eastAsia="Calibri" w:cs="Times New Roman"/>
                <w:sz w:val="20"/>
                <w:szCs w:val="20"/>
              </w:rPr>
              <w:t>189</w:t>
            </w:r>
            <w:r w:rsidRPr="00096C5F">
              <w:rPr>
                <w:rFonts w:eastAsia="Calibri" w:cs="Times New Roman"/>
                <w:sz w:val="20"/>
                <w:szCs w:val="20"/>
              </w:rPr>
              <w:t>)</w:t>
            </w:r>
          </w:p>
          <w:p w:rsidR="00936316" w:rsidRPr="00096C5F" w:rsidRDefault="00936316" w:rsidP="00936316">
            <w:pPr>
              <w:jc w:val="both"/>
              <w:rPr>
                <w:rFonts w:eastAsia="Calibri" w:cs="Times New Roman"/>
                <w:sz w:val="20"/>
                <w:szCs w:val="20"/>
              </w:rPr>
            </w:pPr>
          </w:p>
        </w:tc>
      </w:tr>
      <w:tr w:rsidR="00936316" w:rsidRPr="00D41B13" w:rsidTr="00936316">
        <w:trPr>
          <w:cantSplit/>
        </w:trPr>
        <w:tc>
          <w:tcPr>
            <w:tcW w:w="2398" w:type="dxa"/>
          </w:tcPr>
          <w:p w:rsidR="00936316" w:rsidRPr="00E4453F" w:rsidRDefault="00936316" w:rsidP="004A5029">
            <w:pPr>
              <w:rPr>
                <w:rFonts w:eastAsia="Calibri" w:cs="Times New Roman"/>
                <w:sz w:val="20"/>
                <w:szCs w:val="20"/>
              </w:rPr>
            </w:pPr>
            <w:r w:rsidRPr="00E4453F">
              <w:rPr>
                <w:rFonts w:eastAsia="Calibri" w:cs="Times New Roman"/>
                <w:sz w:val="20"/>
                <w:szCs w:val="20"/>
              </w:rPr>
              <w:t>2012-0</w:t>
            </w:r>
            <w:r w:rsidR="004A5029">
              <w:rPr>
                <w:rFonts w:eastAsia="Calibri" w:cs="Times New Roman"/>
                <w:sz w:val="20"/>
                <w:szCs w:val="20"/>
              </w:rPr>
              <w:t>5</w:t>
            </w:r>
            <w:r w:rsidRPr="00E4453F">
              <w:rPr>
                <w:rFonts w:eastAsia="Calibri" w:cs="Times New Roman"/>
                <w:sz w:val="20"/>
                <w:szCs w:val="20"/>
              </w:rPr>
              <w:t>-</w:t>
            </w:r>
            <w:r>
              <w:rPr>
                <w:rFonts w:eastAsia="Calibri" w:cs="Times New Roman"/>
                <w:sz w:val="20"/>
                <w:szCs w:val="20"/>
              </w:rPr>
              <w:t>1</w:t>
            </w:r>
            <w:r w:rsidR="004A5029">
              <w:rPr>
                <w:rFonts w:eastAsia="Calibri" w:cs="Times New Roman"/>
                <w:sz w:val="20"/>
                <w:szCs w:val="20"/>
              </w:rPr>
              <w:t>0</w:t>
            </w:r>
          </w:p>
        </w:tc>
        <w:tc>
          <w:tcPr>
            <w:tcW w:w="7178" w:type="dxa"/>
          </w:tcPr>
          <w:p w:rsidR="00936316" w:rsidRDefault="00936316" w:rsidP="00936316">
            <w:pPr>
              <w:jc w:val="both"/>
              <w:rPr>
                <w:rFonts w:eastAsia="Calibri" w:cs="Times New Roman"/>
                <w:sz w:val="20"/>
                <w:szCs w:val="20"/>
              </w:rPr>
            </w:pPr>
            <w:r w:rsidRPr="00844298">
              <w:rPr>
                <w:rStyle w:val="SCCSsocChar"/>
              </w:rPr>
              <w:t>A</w:t>
            </w:r>
            <w:r w:rsidR="004A5029">
              <w:rPr>
                <w:rStyle w:val="SCCSsocChar"/>
              </w:rPr>
              <w:t>.B. by her Litigatio</w:t>
            </w:r>
            <w:r w:rsidRPr="00844298">
              <w:rPr>
                <w:rStyle w:val="SCCSsocChar"/>
              </w:rPr>
              <w:t xml:space="preserve">n </w:t>
            </w:r>
            <w:r w:rsidR="004A5029">
              <w:rPr>
                <w:rStyle w:val="SCCSsocChar"/>
              </w:rPr>
              <w:t>Guardian, C.D.</w:t>
            </w:r>
            <w:r w:rsidRPr="00844298">
              <w:rPr>
                <w:rStyle w:val="SCCSsocChar"/>
              </w:rPr>
              <w:t xml:space="preserve"> v.</w:t>
            </w:r>
            <w:r w:rsidR="002D4646">
              <w:rPr>
                <w:rStyle w:val="SCCSsocChar"/>
              </w:rPr>
              <w:t xml:space="preserve"> </w:t>
            </w:r>
            <w:r w:rsidR="004A5029">
              <w:rPr>
                <w:rStyle w:val="SCCSsocChar"/>
              </w:rPr>
              <w:t>B</w:t>
            </w:r>
            <w:r w:rsidRPr="00844298">
              <w:rPr>
                <w:rStyle w:val="SCCSsocChar"/>
              </w:rPr>
              <w:t>ra</w:t>
            </w:r>
            <w:r w:rsidR="004A5029">
              <w:rPr>
                <w:rStyle w:val="SCCSsocChar"/>
              </w:rPr>
              <w:t>gg Communications Incorpora</w:t>
            </w:r>
            <w:r w:rsidRPr="00844298">
              <w:rPr>
                <w:rStyle w:val="SCCSsocChar"/>
              </w:rPr>
              <w:t>t</w:t>
            </w:r>
            <w:r w:rsidR="004A5029">
              <w:rPr>
                <w:rStyle w:val="SCCSsocChar"/>
              </w:rPr>
              <w:t>ed, a body corporate et al.</w:t>
            </w:r>
            <w:r w:rsidR="00EA23F9">
              <w:rPr>
                <w:rStyle w:val="SCCSsocChar"/>
              </w:rPr>
              <w:t xml:space="preserve"> </w:t>
            </w:r>
            <w:r w:rsidRPr="00844298">
              <w:rPr>
                <w:rFonts w:eastAsia="Calibri" w:cs="Times New Roman"/>
                <w:sz w:val="20"/>
                <w:szCs w:val="20"/>
              </w:rPr>
              <w:t>(</w:t>
            </w:r>
            <w:r w:rsidR="00EA23F9">
              <w:rPr>
                <w:rFonts w:eastAsia="Calibri" w:cs="Times New Roman"/>
                <w:sz w:val="20"/>
                <w:szCs w:val="20"/>
              </w:rPr>
              <w:t>N.S.</w:t>
            </w:r>
            <w:r w:rsidRPr="00844298">
              <w:rPr>
                <w:rFonts w:eastAsia="Calibri" w:cs="Times New Roman"/>
                <w:sz w:val="20"/>
                <w:szCs w:val="20"/>
              </w:rPr>
              <w:t xml:space="preserve">) </w:t>
            </w:r>
            <w:r w:rsidRPr="00936316">
              <w:rPr>
                <w:rFonts w:eastAsia="Calibri" w:cs="Times New Roman"/>
                <w:sz w:val="20"/>
                <w:szCs w:val="20"/>
              </w:rPr>
              <w:t>(Ci</w:t>
            </w:r>
            <w:r w:rsidR="00EA23F9">
              <w:rPr>
                <w:rFonts w:eastAsia="Calibri" w:cs="Times New Roman"/>
                <w:sz w:val="20"/>
                <w:szCs w:val="20"/>
              </w:rPr>
              <w:t>v</w:t>
            </w:r>
            <w:r w:rsidRPr="00936316">
              <w:rPr>
                <w:rFonts w:eastAsia="Calibri" w:cs="Times New Roman"/>
                <w:sz w:val="20"/>
                <w:szCs w:val="20"/>
              </w:rPr>
              <w:t xml:space="preserve">il) (By Leave) </w:t>
            </w:r>
            <w:r w:rsidRPr="004A5029">
              <w:rPr>
                <w:rFonts w:eastAsia="Calibri" w:cs="Times New Roman"/>
                <w:sz w:val="20"/>
                <w:szCs w:val="20"/>
              </w:rPr>
              <w:t>(34</w:t>
            </w:r>
            <w:r w:rsidR="00EA23F9">
              <w:rPr>
                <w:rFonts w:eastAsia="Calibri" w:cs="Times New Roman"/>
                <w:sz w:val="20"/>
                <w:szCs w:val="20"/>
              </w:rPr>
              <w:t>240</w:t>
            </w:r>
            <w:r w:rsidRPr="004A5029">
              <w:rPr>
                <w:rFonts w:eastAsia="Calibri" w:cs="Times New Roman"/>
                <w:sz w:val="20"/>
                <w:szCs w:val="20"/>
              </w:rPr>
              <w:t>)</w:t>
            </w:r>
          </w:p>
          <w:p w:rsidR="00EA23F9" w:rsidRDefault="00EA23F9" w:rsidP="00EA23F9">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936316" w:rsidRPr="004A5029" w:rsidRDefault="00936316" w:rsidP="00936316">
            <w:pPr>
              <w:jc w:val="both"/>
              <w:rPr>
                <w:rFonts w:eastAsia="Calibri" w:cs="Times New Roman"/>
                <w:sz w:val="20"/>
                <w:szCs w:val="20"/>
              </w:rPr>
            </w:pPr>
          </w:p>
        </w:tc>
      </w:tr>
      <w:tr w:rsidR="00936316" w:rsidRPr="004A5029" w:rsidTr="00936316">
        <w:trPr>
          <w:cantSplit/>
        </w:trPr>
        <w:tc>
          <w:tcPr>
            <w:tcW w:w="2398" w:type="dxa"/>
          </w:tcPr>
          <w:p w:rsidR="00936316" w:rsidRPr="004A5029" w:rsidRDefault="00936316" w:rsidP="00EA23F9">
            <w:pPr>
              <w:rPr>
                <w:rFonts w:eastAsia="Calibri" w:cs="Times New Roman"/>
                <w:sz w:val="20"/>
                <w:szCs w:val="20"/>
              </w:rPr>
            </w:pPr>
            <w:r w:rsidRPr="004A5029">
              <w:rPr>
                <w:rFonts w:eastAsia="Calibri" w:cs="Times New Roman"/>
                <w:sz w:val="20"/>
                <w:szCs w:val="20"/>
              </w:rPr>
              <w:t>2012-0</w:t>
            </w:r>
            <w:r w:rsidR="00EA23F9">
              <w:rPr>
                <w:rFonts w:eastAsia="Calibri" w:cs="Times New Roman"/>
                <w:sz w:val="20"/>
                <w:szCs w:val="20"/>
              </w:rPr>
              <w:t>5</w:t>
            </w:r>
            <w:r w:rsidRPr="004A5029">
              <w:rPr>
                <w:rFonts w:eastAsia="Calibri" w:cs="Times New Roman"/>
                <w:sz w:val="20"/>
                <w:szCs w:val="20"/>
              </w:rPr>
              <w:t>-1</w:t>
            </w:r>
            <w:r w:rsidR="00EA23F9">
              <w:rPr>
                <w:rFonts w:eastAsia="Calibri" w:cs="Times New Roman"/>
                <w:sz w:val="20"/>
                <w:szCs w:val="20"/>
              </w:rPr>
              <w:t>5</w:t>
            </w:r>
          </w:p>
        </w:tc>
        <w:tc>
          <w:tcPr>
            <w:tcW w:w="7178" w:type="dxa"/>
          </w:tcPr>
          <w:p w:rsidR="00936316" w:rsidRPr="00EA23F9" w:rsidRDefault="00EA23F9" w:rsidP="00936316">
            <w:pPr>
              <w:jc w:val="both"/>
              <w:rPr>
                <w:rFonts w:eastAsia="Calibri" w:cs="Times New Roman"/>
                <w:sz w:val="20"/>
                <w:szCs w:val="20"/>
              </w:rPr>
            </w:pPr>
            <w:r w:rsidRPr="00EA23F9">
              <w:rPr>
                <w:rStyle w:val="SCCSsocChar"/>
              </w:rPr>
              <w:t xml:space="preserve">Her </w:t>
            </w:r>
            <w:r w:rsidR="00936316" w:rsidRPr="00EA23F9">
              <w:rPr>
                <w:rStyle w:val="SCCSsocChar"/>
              </w:rPr>
              <w:t>Majest</w:t>
            </w:r>
            <w:r w:rsidRPr="00EA23F9">
              <w:rPr>
                <w:rStyle w:val="SCCSsocChar"/>
              </w:rPr>
              <w:t>y the Qu</w:t>
            </w:r>
            <w:r w:rsidR="00936316" w:rsidRPr="00EA23F9">
              <w:rPr>
                <w:rStyle w:val="SCCSsocChar"/>
              </w:rPr>
              <w:t>ee</w:t>
            </w:r>
            <w:r w:rsidRPr="00EA23F9">
              <w:rPr>
                <w:rStyle w:val="SCCSsocChar"/>
              </w:rPr>
              <w:t>n</w:t>
            </w:r>
            <w:r w:rsidR="00936316" w:rsidRPr="00EA23F9">
              <w:rPr>
                <w:rStyle w:val="SCCSsocChar"/>
              </w:rPr>
              <w:t xml:space="preserve"> </w:t>
            </w:r>
            <w:r w:rsidRPr="00EA23F9">
              <w:rPr>
                <w:rStyle w:val="SCCSsocChar"/>
              </w:rPr>
              <w:t>v</w:t>
            </w:r>
            <w:r w:rsidR="00936316" w:rsidRPr="00EA23F9">
              <w:rPr>
                <w:rStyle w:val="SCCSsocChar"/>
              </w:rPr>
              <w:t xml:space="preserve">. </w:t>
            </w:r>
            <w:r w:rsidRPr="00EA23F9">
              <w:rPr>
                <w:rStyle w:val="SCCSsocChar"/>
              </w:rPr>
              <w:t xml:space="preserve">Richard </w:t>
            </w:r>
            <w:r w:rsidR="00936316" w:rsidRPr="00EA23F9">
              <w:rPr>
                <w:rStyle w:val="SCCSsocChar"/>
              </w:rPr>
              <w:t>Co</w:t>
            </w:r>
            <w:r w:rsidRPr="00EA23F9">
              <w:rPr>
                <w:rStyle w:val="SCCSsocChar"/>
              </w:rPr>
              <w:t>l</w:t>
            </w:r>
            <w:r w:rsidR="00936316" w:rsidRPr="00EA23F9">
              <w:rPr>
                <w:rStyle w:val="SCCSsocChar"/>
              </w:rPr>
              <w:t>e</w:t>
            </w:r>
            <w:r w:rsidRPr="00EA23F9">
              <w:rPr>
                <w:rStyle w:val="SCCSsocChar"/>
              </w:rPr>
              <w:t xml:space="preserve"> </w:t>
            </w:r>
            <w:r w:rsidR="00936316" w:rsidRPr="00EA23F9">
              <w:rPr>
                <w:rFonts w:eastAsia="Calibri" w:cs="Times New Roman"/>
                <w:sz w:val="20"/>
                <w:szCs w:val="20"/>
              </w:rPr>
              <w:t>(</w:t>
            </w:r>
            <w:r w:rsidRPr="00EA23F9">
              <w:rPr>
                <w:rFonts w:eastAsia="Calibri" w:cs="Times New Roman"/>
                <w:sz w:val="20"/>
                <w:szCs w:val="20"/>
              </w:rPr>
              <w:t>Ont.</w:t>
            </w:r>
            <w:r w:rsidR="00936316" w:rsidRPr="00EA23F9">
              <w:rPr>
                <w:rFonts w:eastAsia="Calibri" w:cs="Times New Roman"/>
                <w:sz w:val="20"/>
                <w:szCs w:val="20"/>
              </w:rPr>
              <w:t>) (Crimin</w:t>
            </w:r>
            <w:r w:rsidRPr="00EA23F9">
              <w:rPr>
                <w:rFonts w:eastAsia="Calibri" w:cs="Times New Roman"/>
                <w:sz w:val="20"/>
                <w:szCs w:val="20"/>
              </w:rPr>
              <w:t>a</w:t>
            </w:r>
            <w:r w:rsidR="00936316" w:rsidRPr="00EA23F9">
              <w:rPr>
                <w:rFonts w:eastAsia="Calibri" w:cs="Times New Roman"/>
                <w:sz w:val="20"/>
                <w:szCs w:val="20"/>
              </w:rPr>
              <w:t>l) (</w:t>
            </w:r>
            <w:r w:rsidRPr="00EA23F9">
              <w:rPr>
                <w:rFonts w:eastAsia="Calibri" w:cs="Times New Roman"/>
                <w:sz w:val="20"/>
                <w:szCs w:val="20"/>
              </w:rPr>
              <w:t>By L</w:t>
            </w:r>
            <w:r w:rsidR="00936316" w:rsidRPr="00EA23F9">
              <w:rPr>
                <w:rFonts w:eastAsia="Calibri" w:cs="Times New Roman"/>
                <w:sz w:val="20"/>
                <w:szCs w:val="20"/>
              </w:rPr>
              <w:t>e</w:t>
            </w:r>
            <w:r w:rsidRPr="00EA23F9">
              <w:rPr>
                <w:rFonts w:eastAsia="Calibri" w:cs="Times New Roman"/>
                <w:sz w:val="20"/>
                <w:szCs w:val="20"/>
              </w:rPr>
              <w:t>av</w:t>
            </w:r>
            <w:r w:rsidR="00936316" w:rsidRPr="00EA23F9">
              <w:rPr>
                <w:rFonts w:eastAsia="Calibri" w:cs="Times New Roman"/>
                <w:sz w:val="20"/>
                <w:szCs w:val="20"/>
              </w:rPr>
              <w:t>e) (342</w:t>
            </w:r>
            <w:r w:rsidRPr="00EA23F9">
              <w:rPr>
                <w:rFonts w:eastAsia="Calibri" w:cs="Times New Roman"/>
                <w:sz w:val="20"/>
                <w:szCs w:val="20"/>
              </w:rPr>
              <w:t>68</w:t>
            </w:r>
            <w:r w:rsidR="00936316" w:rsidRPr="00EA23F9">
              <w:rPr>
                <w:rFonts w:eastAsia="Calibri" w:cs="Times New Roman"/>
                <w:sz w:val="20"/>
                <w:szCs w:val="20"/>
              </w:rPr>
              <w:t>)</w:t>
            </w:r>
          </w:p>
          <w:p w:rsidR="00EA23F9" w:rsidRDefault="00EA23F9" w:rsidP="00EA23F9">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936316" w:rsidRPr="004A5029" w:rsidRDefault="00936316" w:rsidP="00936316">
            <w:pPr>
              <w:jc w:val="both"/>
              <w:rPr>
                <w:rFonts w:eastAsia="Calibri" w:cs="Times New Roman"/>
                <w:sz w:val="20"/>
                <w:szCs w:val="20"/>
              </w:rPr>
            </w:pPr>
          </w:p>
        </w:tc>
      </w:tr>
      <w:tr w:rsidR="00936316" w:rsidRPr="00E4453F" w:rsidTr="00936316">
        <w:trPr>
          <w:cantSplit/>
        </w:trPr>
        <w:tc>
          <w:tcPr>
            <w:tcW w:w="2398" w:type="dxa"/>
          </w:tcPr>
          <w:p w:rsidR="00936316" w:rsidRPr="00E4453F" w:rsidRDefault="00936316" w:rsidP="00EA23F9">
            <w:pPr>
              <w:rPr>
                <w:rFonts w:eastAsia="Calibri" w:cs="Times New Roman"/>
                <w:sz w:val="20"/>
                <w:szCs w:val="20"/>
              </w:rPr>
            </w:pPr>
            <w:r w:rsidRPr="00E4453F">
              <w:rPr>
                <w:rFonts w:eastAsia="Calibri" w:cs="Times New Roman"/>
                <w:sz w:val="20"/>
                <w:szCs w:val="20"/>
              </w:rPr>
              <w:t>2012-0</w:t>
            </w:r>
            <w:r w:rsidR="00EA23F9">
              <w:rPr>
                <w:rFonts w:eastAsia="Calibri" w:cs="Times New Roman"/>
                <w:sz w:val="20"/>
                <w:szCs w:val="20"/>
              </w:rPr>
              <w:t>5</w:t>
            </w:r>
            <w:r w:rsidRPr="00E4453F">
              <w:rPr>
                <w:rFonts w:eastAsia="Calibri" w:cs="Times New Roman"/>
                <w:sz w:val="20"/>
                <w:szCs w:val="20"/>
              </w:rPr>
              <w:t>-1</w:t>
            </w:r>
            <w:r w:rsidR="00EA23F9">
              <w:rPr>
                <w:rFonts w:eastAsia="Calibri" w:cs="Times New Roman"/>
                <w:sz w:val="20"/>
                <w:szCs w:val="20"/>
              </w:rPr>
              <w:t>6</w:t>
            </w:r>
          </w:p>
        </w:tc>
        <w:tc>
          <w:tcPr>
            <w:tcW w:w="7178" w:type="dxa"/>
          </w:tcPr>
          <w:p w:rsidR="00936316" w:rsidRDefault="00EA23F9" w:rsidP="00EA23F9">
            <w:pPr>
              <w:jc w:val="both"/>
              <w:rPr>
                <w:rFonts w:eastAsia="Calibri" w:cs="Times New Roman"/>
                <w:sz w:val="20"/>
                <w:szCs w:val="20"/>
              </w:rPr>
            </w:pPr>
            <w:r w:rsidRPr="00EA23F9">
              <w:rPr>
                <w:rStyle w:val="SCCSsocChar"/>
              </w:rPr>
              <w:t>Br</w:t>
            </w:r>
            <w:r w:rsidR="00936316" w:rsidRPr="00EA23F9">
              <w:rPr>
                <w:rStyle w:val="SCCSsocChar"/>
              </w:rPr>
              <w:t>e</w:t>
            </w:r>
            <w:r w:rsidRPr="00EA23F9">
              <w:rPr>
                <w:rStyle w:val="SCCSsocChar"/>
              </w:rPr>
              <w:t>nd</w:t>
            </w:r>
            <w:r w:rsidR="00936316" w:rsidRPr="00EA23F9">
              <w:rPr>
                <w:rStyle w:val="SCCSsocChar"/>
              </w:rPr>
              <w:t>a</w:t>
            </w:r>
            <w:r w:rsidRPr="00EA23F9">
              <w:rPr>
                <w:rStyle w:val="SCCSsocChar"/>
              </w:rPr>
              <w:t>n Davi</w:t>
            </w:r>
            <w:r w:rsidR="00936316" w:rsidRPr="00EA23F9">
              <w:rPr>
                <w:rStyle w:val="SCCSsocChar"/>
              </w:rPr>
              <w:t>d</w:t>
            </w:r>
            <w:r w:rsidRPr="00EA23F9">
              <w:rPr>
                <w:rStyle w:val="SCCSsocChar"/>
              </w:rPr>
              <w:t xml:space="preserve"> Auco</w:t>
            </w:r>
            <w:r w:rsidR="00936316" w:rsidRPr="00EA23F9">
              <w:rPr>
                <w:rStyle w:val="SCCSsocChar"/>
              </w:rPr>
              <w:t>i</w:t>
            </w:r>
            <w:r w:rsidRPr="00EA23F9">
              <w:rPr>
                <w:rStyle w:val="SCCSsocChar"/>
              </w:rPr>
              <w:t>n</w:t>
            </w:r>
            <w:r w:rsidR="00936316" w:rsidRPr="00EA23F9">
              <w:rPr>
                <w:rStyle w:val="SCCSsocChar"/>
              </w:rPr>
              <w:t xml:space="preserve"> v. </w:t>
            </w:r>
            <w:r w:rsidRPr="00EA23F9">
              <w:rPr>
                <w:rStyle w:val="SCCSsocChar"/>
              </w:rPr>
              <w:t>Her Majesty the Queen</w:t>
            </w:r>
            <w:r w:rsidR="00936316" w:rsidRPr="00EA23F9">
              <w:rPr>
                <w:rStyle w:val="SCCSsocChar"/>
              </w:rPr>
              <w:t xml:space="preserve"> </w:t>
            </w:r>
            <w:r w:rsidR="00936316" w:rsidRPr="00E4453F">
              <w:rPr>
                <w:rFonts w:eastAsia="Calibri" w:cs="Times New Roman"/>
                <w:sz w:val="20"/>
                <w:szCs w:val="20"/>
              </w:rPr>
              <w:t>(</w:t>
            </w:r>
            <w:r>
              <w:rPr>
                <w:rFonts w:eastAsia="Calibri" w:cs="Times New Roman"/>
                <w:sz w:val="20"/>
                <w:szCs w:val="20"/>
              </w:rPr>
              <w:t>N</w:t>
            </w:r>
            <w:r w:rsidR="00936316">
              <w:rPr>
                <w:rFonts w:eastAsia="Calibri" w:cs="Times New Roman"/>
                <w:sz w:val="20"/>
                <w:szCs w:val="20"/>
              </w:rPr>
              <w:t>.</w:t>
            </w:r>
            <w:r>
              <w:rPr>
                <w:rFonts w:eastAsia="Calibri" w:cs="Times New Roman"/>
                <w:sz w:val="20"/>
                <w:szCs w:val="20"/>
              </w:rPr>
              <w:t>S</w:t>
            </w:r>
            <w:r w:rsidR="00936316">
              <w:rPr>
                <w:rFonts w:eastAsia="Calibri" w:cs="Times New Roman"/>
                <w:sz w:val="20"/>
                <w:szCs w:val="20"/>
              </w:rPr>
              <w:t>.</w:t>
            </w:r>
            <w:r w:rsidR="00936316" w:rsidRPr="00E4453F">
              <w:rPr>
                <w:rFonts w:eastAsia="Calibri" w:cs="Times New Roman"/>
                <w:sz w:val="20"/>
                <w:szCs w:val="20"/>
              </w:rPr>
              <w:t>) (C</w:t>
            </w:r>
            <w:r>
              <w:rPr>
                <w:rFonts w:eastAsia="Calibri" w:cs="Times New Roman"/>
                <w:sz w:val="20"/>
                <w:szCs w:val="20"/>
              </w:rPr>
              <w:t>r</w:t>
            </w:r>
            <w:r w:rsidR="00936316" w:rsidRPr="00E4453F">
              <w:rPr>
                <w:rFonts w:eastAsia="Calibri" w:cs="Times New Roman"/>
                <w:sz w:val="20"/>
                <w:szCs w:val="20"/>
              </w:rPr>
              <w:t>i</w:t>
            </w:r>
            <w:r>
              <w:rPr>
                <w:rFonts w:eastAsia="Calibri" w:cs="Times New Roman"/>
                <w:sz w:val="20"/>
                <w:szCs w:val="20"/>
              </w:rPr>
              <w:t>m</w:t>
            </w:r>
            <w:r w:rsidR="00936316" w:rsidRPr="00E4453F">
              <w:rPr>
                <w:rFonts w:eastAsia="Calibri" w:cs="Times New Roman"/>
                <w:sz w:val="20"/>
                <w:szCs w:val="20"/>
              </w:rPr>
              <w:t>i</w:t>
            </w:r>
            <w:r>
              <w:rPr>
                <w:rFonts w:eastAsia="Calibri" w:cs="Times New Roman"/>
                <w:sz w:val="20"/>
                <w:szCs w:val="20"/>
              </w:rPr>
              <w:t>na</w:t>
            </w:r>
            <w:r w:rsidR="00936316" w:rsidRPr="00E4453F">
              <w:rPr>
                <w:rFonts w:eastAsia="Calibri" w:cs="Times New Roman"/>
                <w:sz w:val="20"/>
                <w:szCs w:val="20"/>
              </w:rPr>
              <w:t>l) (</w:t>
            </w:r>
            <w:r>
              <w:rPr>
                <w:rFonts w:eastAsia="Calibri" w:cs="Times New Roman"/>
                <w:sz w:val="20"/>
                <w:szCs w:val="20"/>
              </w:rPr>
              <w:t>As of Right</w:t>
            </w:r>
            <w:r w:rsidR="00936316" w:rsidRPr="00E4453F">
              <w:rPr>
                <w:rFonts w:eastAsia="Calibri" w:cs="Times New Roman"/>
                <w:sz w:val="20"/>
                <w:szCs w:val="20"/>
              </w:rPr>
              <w:t>) (3</w:t>
            </w:r>
            <w:r>
              <w:rPr>
                <w:rFonts w:eastAsia="Calibri" w:cs="Times New Roman"/>
                <w:sz w:val="20"/>
                <w:szCs w:val="20"/>
              </w:rPr>
              <w:t>4</w:t>
            </w:r>
            <w:r w:rsidR="00936316">
              <w:rPr>
                <w:rFonts w:eastAsia="Calibri" w:cs="Times New Roman"/>
                <w:sz w:val="20"/>
                <w:szCs w:val="20"/>
              </w:rPr>
              <w:t>3</w:t>
            </w:r>
            <w:r>
              <w:rPr>
                <w:rFonts w:eastAsia="Calibri" w:cs="Times New Roman"/>
                <w:sz w:val="20"/>
                <w:szCs w:val="20"/>
              </w:rPr>
              <w:t>4</w:t>
            </w:r>
            <w:r w:rsidR="00936316">
              <w:rPr>
                <w:rFonts w:eastAsia="Calibri" w:cs="Times New Roman"/>
                <w:sz w:val="20"/>
                <w:szCs w:val="20"/>
              </w:rPr>
              <w:t>9</w:t>
            </w:r>
            <w:r w:rsidR="00936316" w:rsidRPr="00E4453F">
              <w:rPr>
                <w:rFonts w:eastAsia="Calibri" w:cs="Times New Roman"/>
                <w:sz w:val="20"/>
                <w:szCs w:val="20"/>
              </w:rPr>
              <w:t>)</w:t>
            </w:r>
          </w:p>
          <w:p w:rsidR="00257BE9" w:rsidRPr="00E4453F" w:rsidRDefault="00257BE9" w:rsidP="00EA23F9">
            <w:pPr>
              <w:jc w:val="both"/>
              <w:rPr>
                <w:rFonts w:eastAsia="Calibri" w:cs="Times New Roman"/>
                <w:sz w:val="20"/>
                <w:szCs w:val="20"/>
              </w:rPr>
            </w:pPr>
          </w:p>
        </w:tc>
      </w:tr>
      <w:tr w:rsidR="00257BE9" w:rsidRPr="00E4453F" w:rsidTr="00936316">
        <w:trPr>
          <w:cantSplit/>
        </w:trPr>
        <w:tc>
          <w:tcPr>
            <w:tcW w:w="2398" w:type="dxa"/>
          </w:tcPr>
          <w:p w:rsidR="00257BE9" w:rsidRPr="00E4453F" w:rsidRDefault="00257BE9" w:rsidP="00EA23F9">
            <w:pPr>
              <w:rPr>
                <w:rFonts w:eastAsia="Calibri" w:cs="Times New Roman"/>
                <w:sz w:val="20"/>
                <w:szCs w:val="20"/>
              </w:rPr>
            </w:pPr>
            <w:r>
              <w:rPr>
                <w:rFonts w:eastAsia="Calibri" w:cs="Times New Roman"/>
                <w:sz w:val="20"/>
                <w:szCs w:val="20"/>
              </w:rPr>
              <w:t>2012-05-17</w:t>
            </w:r>
          </w:p>
        </w:tc>
        <w:tc>
          <w:tcPr>
            <w:tcW w:w="7178" w:type="dxa"/>
          </w:tcPr>
          <w:p w:rsidR="00257BE9" w:rsidRDefault="00257BE9" w:rsidP="00EA23F9">
            <w:pPr>
              <w:jc w:val="both"/>
              <w:rPr>
                <w:sz w:val="20"/>
                <w:szCs w:val="20"/>
              </w:rPr>
            </w:pPr>
            <w:r w:rsidRPr="00222267">
              <w:rPr>
                <w:i/>
                <w:sz w:val="20"/>
                <w:szCs w:val="20"/>
              </w:rPr>
              <w:t xml:space="preserve">Brian Cuthbertson </w:t>
            </w:r>
            <w:r w:rsidR="00222267">
              <w:rPr>
                <w:i/>
                <w:sz w:val="20"/>
                <w:szCs w:val="20"/>
              </w:rPr>
              <w:t>et al.</w:t>
            </w:r>
            <w:r w:rsidRPr="00222267">
              <w:rPr>
                <w:i/>
                <w:sz w:val="20"/>
                <w:szCs w:val="20"/>
              </w:rPr>
              <w:t xml:space="preserve"> v. Hassan Rasouli by his </w:t>
            </w:r>
            <w:r w:rsidR="00B36F35">
              <w:rPr>
                <w:i/>
                <w:sz w:val="20"/>
                <w:szCs w:val="20"/>
              </w:rPr>
              <w:t>L</w:t>
            </w:r>
            <w:r w:rsidRPr="00222267">
              <w:rPr>
                <w:i/>
                <w:sz w:val="20"/>
                <w:szCs w:val="20"/>
              </w:rPr>
              <w:t>itigation Guardian and Substitute Decision Maker, Parichehr Salasel</w:t>
            </w:r>
            <w:r>
              <w:rPr>
                <w:sz w:val="20"/>
                <w:szCs w:val="20"/>
              </w:rPr>
              <w:t xml:space="preserve"> </w:t>
            </w:r>
            <w:r w:rsidRPr="00F66A1B">
              <w:rPr>
                <w:sz w:val="20"/>
                <w:szCs w:val="20"/>
              </w:rPr>
              <w:t>(</w:t>
            </w:r>
            <w:r>
              <w:rPr>
                <w:sz w:val="20"/>
                <w:szCs w:val="20"/>
              </w:rPr>
              <w:t>Ont</w:t>
            </w:r>
            <w:r w:rsidRPr="00F66A1B">
              <w:rPr>
                <w:sz w:val="20"/>
                <w:szCs w:val="20"/>
              </w:rPr>
              <w:t>.) (Ci</w:t>
            </w:r>
            <w:r>
              <w:rPr>
                <w:sz w:val="20"/>
                <w:szCs w:val="20"/>
              </w:rPr>
              <w:t>v</w:t>
            </w:r>
            <w:r w:rsidRPr="00F66A1B">
              <w:rPr>
                <w:sz w:val="20"/>
                <w:szCs w:val="20"/>
              </w:rPr>
              <w:t>il) (By Leave)</w:t>
            </w:r>
            <w:r>
              <w:rPr>
                <w:sz w:val="20"/>
                <w:szCs w:val="20"/>
              </w:rPr>
              <w:t xml:space="preserve"> (34362)</w:t>
            </w:r>
          </w:p>
          <w:p w:rsidR="00222267" w:rsidRPr="00EA23F9" w:rsidRDefault="00222267" w:rsidP="004E0DBD">
            <w:pPr>
              <w:jc w:val="both"/>
              <w:rPr>
                <w:rStyle w:val="SCCSsocChar"/>
              </w:rPr>
            </w:pPr>
            <w:r w:rsidRPr="00B36F35">
              <w:rPr>
                <w:sz w:val="20"/>
                <w:szCs w:val="20"/>
              </w:rPr>
              <w:t xml:space="preserve">(Oral hearing on motion to quash the appeal / Audition </w:t>
            </w:r>
            <w:r w:rsidR="0034604D" w:rsidRPr="00B36F35">
              <w:rPr>
                <w:sz w:val="20"/>
                <w:szCs w:val="20"/>
              </w:rPr>
              <w:t>d</w:t>
            </w:r>
            <w:r w:rsidRPr="00B36F35">
              <w:rPr>
                <w:sz w:val="20"/>
                <w:szCs w:val="20"/>
              </w:rPr>
              <w:t>e</w:t>
            </w:r>
            <w:r w:rsidR="0034604D" w:rsidRPr="00B36F35">
              <w:rPr>
                <w:sz w:val="20"/>
                <w:szCs w:val="20"/>
              </w:rPr>
              <w:t xml:space="preserve"> la</w:t>
            </w:r>
            <w:r w:rsidRPr="00B36F35">
              <w:rPr>
                <w:sz w:val="20"/>
                <w:szCs w:val="20"/>
              </w:rPr>
              <w:t xml:space="preserve"> requête en cassation de l’appel)</w:t>
            </w:r>
          </w:p>
        </w:tc>
      </w:tr>
    </w:tbl>
    <w:p w:rsidR="00936316" w:rsidRPr="00EA23F9" w:rsidRDefault="00936316" w:rsidP="004B66B4">
      <w:pPr>
        <w:rPr>
          <w:sz w:val="20"/>
          <w:szCs w:val="20"/>
        </w:rPr>
      </w:pPr>
    </w:p>
    <w:p w:rsidR="004B66B4" w:rsidRPr="00DD0B49" w:rsidRDefault="009134DA" w:rsidP="002868D0">
      <w:pPr>
        <w:jc w:val="both"/>
        <w:rPr>
          <w:sz w:val="20"/>
          <w:szCs w:val="20"/>
        </w:rPr>
      </w:pPr>
      <w:r w:rsidRPr="009134DA">
        <w:rPr>
          <w:sz w:val="20"/>
          <w:szCs w:val="20"/>
          <w:lang w:val="fr-CA"/>
        </w:rPr>
        <w:pict>
          <v:rect id="_x0000_i1115" style="width:2in;height:1pt" o:hrpct="0" o:hralign="center" o:hrstd="t" o:hrnoshade="t" o:hr="t" fillcolor="black [3213]" stroked="f"/>
        </w:pict>
      </w:r>
    </w:p>
    <w:p w:rsidR="004B66B4" w:rsidRDefault="004B66B4" w:rsidP="004B66B4">
      <w:pPr>
        <w:tabs>
          <w:tab w:val="left" w:pos="1980"/>
        </w:tabs>
        <w:jc w:val="both"/>
        <w:rPr>
          <w:sz w:val="20"/>
          <w:szCs w:val="20"/>
        </w:rPr>
      </w:pPr>
    </w:p>
    <w:p w:rsidR="00EA23F9" w:rsidRPr="00DD0B49" w:rsidRDefault="00EA23F9"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w:t>
      </w:r>
      <w:r w:rsidR="0034604D">
        <w:rPr>
          <w:sz w:val="20"/>
          <w:szCs w:val="20"/>
          <w:lang w:val="fr-CA"/>
        </w:rPr>
        <w:t>.  T</w:t>
      </w:r>
      <w:r w:rsidRPr="00DD0B49">
        <w:rPr>
          <w:sz w:val="20"/>
          <w:szCs w:val="20"/>
          <w:lang w:val="fr-CA"/>
        </w:rPr>
        <w:t>outefois l’audition d</w:t>
      </w:r>
      <w:r w:rsidR="0034604D">
        <w:rPr>
          <w:sz w:val="20"/>
          <w:szCs w:val="20"/>
          <w:lang w:val="fr-CA"/>
        </w:rPr>
        <w:t>’</w:t>
      </w:r>
      <w:r w:rsidRPr="00DD0B49">
        <w:rPr>
          <w:sz w:val="20"/>
          <w:szCs w:val="20"/>
          <w:lang w:val="fr-CA"/>
        </w:rPr>
        <w:t>affaires concernant de</w:t>
      </w:r>
      <w:r w:rsidR="0034604D">
        <w:rPr>
          <w:sz w:val="20"/>
          <w:szCs w:val="20"/>
          <w:lang w:val="fr-CA"/>
        </w:rPr>
        <w:t xml:space="preserve"> nombreu</w:t>
      </w:r>
      <w:r w:rsidRPr="00DD0B49">
        <w:rPr>
          <w:sz w:val="20"/>
          <w:szCs w:val="20"/>
          <w:lang w:val="fr-CA"/>
        </w:rPr>
        <w:t>s</w:t>
      </w:r>
      <w:r w:rsidR="0034604D">
        <w:rPr>
          <w:sz w:val="20"/>
          <w:szCs w:val="20"/>
          <w:lang w:val="fr-CA"/>
        </w:rPr>
        <w:t>es</w:t>
      </w:r>
      <w:r w:rsidRPr="00DD0B49">
        <w:rPr>
          <w:sz w:val="20"/>
          <w:szCs w:val="20"/>
          <w:lang w:val="fr-CA"/>
        </w:rPr>
        <w:t xml:space="preserve"> parties commence souvent à 9 h.  Lorsque deux affaires doivent être entendues le même jour, la deuxième peut </w:t>
      </w:r>
      <w:r w:rsidR="0034604D">
        <w:rPr>
          <w:sz w:val="20"/>
          <w:szCs w:val="20"/>
          <w:lang w:val="fr-CA"/>
        </w:rPr>
        <w:t>être entendue</w:t>
      </w:r>
      <w:r w:rsidRPr="00DD0B49">
        <w:rPr>
          <w:sz w:val="20"/>
          <w:szCs w:val="20"/>
          <w:lang w:val="fr-CA"/>
        </w:rPr>
        <w:t xml:space="preserve"> lieu immédiatement après la première ou encore à 14 h. La date et l’heure d’une audience doivent être confirmées auprès du personnel du </w:t>
      </w:r>
      <w:r w:rsidR="0034604D">
        <w:rPr>
          <w:sz w:val="20"/>
          <w:szCs w:val="20"/>
          <w:lang w:val="fr-CA"/>
        </w:rPr>
        <w:t>G</w:t>
      </w:r>
      <w:r w:rsidRPr="00DD0B49">
        <w:rPr>
          <w:sz w:val="20"/>
          <w:szCs w:val="20"/>
          <w:lang w:val="fr-CA"/>
        </w:rPr>
        <w:t>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3F0570" w:rsidRDefault="005F263E" w:rsidP="005F263E">
      <w:pPr>
        <w:tabs>
          <w:tab w:val="left" w:pos="-1440"/>
          <w:tab w:val="left" w:pos="-720"/>
        </w:tabs>
        <w:ind w:left="720" w:hanging="720"/>
        <w:jc w:val="both"/>
        <w:rPr>
          <w:sz w:val="20"/>
          <w:szCs w:val="20"/>
        </w:rPr>
      </w:pPr>
    </w:p>
    <w:p w:rsidR="00F66A1B" w:rsidRPr="00F66A1B" w:rsidRDefault="00F66A1B" w:rsidP="00F66A1B">
      <w:pPr>
        <w:tabs>
          <w:tab w:val="left" w:pos="-1440"/>
          <w:tab w:val="left" w:pos="-720"/>
        </w:tabs>
        <w:ind w:left="720" w:hanging="720"/>
        <w:jc w:val="both"/>
        <w:rPr>
          <w:sz w:val="20"/>
          <w:szCs w:val="20"/>
        </w:rPr>
      </w:pPr>
      <w:r w:rsidRPr="00F66A1B">
        <w:rPr>
          <w:b/>
          <w:sz w:val="20"/>
          <w:szCs w:val="20"/>
        </w:rPr>
        <w:t>34524</w:t>
      </w:r>
      <w:r w:rsidRPr="00F66A1B">
        <w:rPr>
          <w:b/>
          <w:sz w:val="20"/>
          <w:szCs w:val="20"/>
        </w:rPr>
        <w:tab/>
        <w:t>Mandeep Singh Chehil v. Her Majesty the Queen</w:t>
      </w:r>
      <w:r>
        <w:rPr>
          <w:sz w:val="20"/>
          <w:szCs w:val="20"/>
        </w:rPr>
        <w:t xml:space="preserve"> </w:t>
      </w:r>
      <w:r w:rsidRPr="00F66A1B">
        <w:rPr>
          <w:sz w:val="20"/>
          <w:szCs w:val="20"/>
        </w:rPr>
        <w:t>(N.S.) (Criminal) (By Leave)</w:t>
      </w:r>
    </w:p>
    <w:p w:rsidR="00F66A1B" w:rsidRPr="00F66A1B" w:rsidRDefault="00F66A1B" w:rsidP="00F66A1B">
      <w:pPr>
        <w:tabs>
          <w:tab w:val="left" w:pos="-1440"/>
          <w:tab w:val="left" w:pos="-720"/>
        </w:tabs>
        <w:ind w:left="720" w:hanging="720"/>
        <w:jc w:val="both"/>
        <w:rPr>
          <w:sz w:val="20"/>
          <w:szCs w:val="20"/>
        </w:rPr>
      </w:pPr>
    </w:p>
    <w:p w:rsidR="00F66A1B" w:rsidRPr="00F66A1B" w:rsidRDefault="00F66A1B" w:rsidP="00F66A1B">
      <w:pPr>
        <w:tabs>
          <w:tab w:val="left" w:pos="-1440"/>
          <w:tab w:val="left" w:pos="-720"/>
        </w:tabs>
        <w:jc w:val="both"/>
        <w:rPr>
          <w:sz w:val="20"/>
          <w:szCs w:val="20"/>
        </w:rPr>
      </w:pPr>
      <w:r w:rsidRPr="00F66A1B">
        <w:rPr>
          <w:i/>
          <w:sz w:val="20"/>
          <w:szCs w:val="20"/>
        </w:rPr>
        <w:t>Charter of Rights and Freedoms</w:t>
      </w:r>
      <w:r w:rsidRPr="00F66A1B">
        <w:rPr>
          <w:sz w:val="20"/>
          <w:szCs w:val="20"/>
        </w:rPr>
        <w:t xml:space="preserve"> </w:t>
      </w:r>
      <w:r w:rsidR="00AD6758">
        <w:rPr>
          <w:sz w:val="20"/>
          <w:szCs w:val="20"/>
        </w:rPr>
        <w:t>-</w:t>
      </w:r>
      <w:r w:rsidRPr="00F66A1B">
        <w:rPr>
          <w:sz w:val="20"/>
          <w:szCs w:val="20"/>
        </w:rPr>
        <w:t xml:space="preserve"> Search and seizure </w:t>
      </w:r>
      <w:r w:rsidR="00AD6758">
        <w:rPr>
          <w:sz w:val="20"/>
          <w:szCs w:val="20"/>
        </w:rPr>
        <w:t>-</w:t>
      </w:r>
      <w:r w:rsidRPr="00F66A1B">
        <w:rPr>
          <w:sz w:val="20"/>
          <w:szCs w:val="20"/>
        </w:rPr>
        <w:t xml:space="preserve"> Freedom from unreasonable search and seizure </w:t>
      </w:r>
      <w:r w:rsidR="00AD6758">
        <w:rPr>
          <w:sz w:val="20"/>
          <w:szCs w:val="20"/>
        </w:rPr>
        <w:t>-</w:t>
      </w:r>
      <w:r w:rsidRPr="00F66A1B">
        <w:rPr>
          <w:sz w:val="20"/>
          <w:szCs w:val="20"/>
        </w:rPr>
        <w:t xml:space="preserve"> Sniff search of suitcase by sniffer-dog led to discovery of drugs</w:t>
      </w:r>
      <w:r w:rsidRPr="00DD0B49">
        <w:rPr>
          <w:sz w:val="20"/>
          <w:szCs w:val="20"/>
        </w:rPr>
        <w:t xml:space="preserve"> </w:t>
      </w:r>
      <w:r w:rsidR="00AD6758">
        <w:rPr>
          <w:sz w:val="20"/>
          <w:szCs w:val="20"/>
        </w:rPr>
        <w:t>-</w:t>
      </w:r>
      <w:r w:rsidRPr="00DD0B49">
        <w:rPr>
          <w:sz w:val="20"/>
          <w:szCs w:val="20"/>
        </w:rPr>
        <w:t xml:space="preserve"> </w:t>
      </w:r>
      <w:r w:rsidRPr="00F66A1B">
        <w:rPr>
          <w:sz w:val="20"/>
          <w:szCs w:val="20"/>
        </w:rPr>
        <w:t xml:space="preserve">Whether the jurisprudence is inconsistent regarding the meaning of “objectively reasonable suspicion” </w:t>
      </w:r>
      <w:r w:rsidR="00AD6758">
        <w:rPr>
          <w:sz w:val="20"/>
          <w:szCs w:val="20"/>
        </w:rPr>
        <w:t>-</w:t>
      </w:r>
      <w:r w:rsidRPr="00F66A1B">
        <w:rPr>
          <w:sz w:val="20"/>
          <w:szCs w:val="20"/>
        </w:rPr>
        <w:t xml:space="preserve"> What factors should be considered when deciding if there is a “reasonable suspicion” of criminal activity that justifies the use of a sniffer dog</w:t>
      </w:r>
      <w:r w:rsidRPr="00DD0B49">
        <w:rPr>
          <w:sz w:val="20"/>
          <w:szCs w:val="20"/>
        </w:rPr>
        <w:t xml:space="preserve"> </w:t>
      </w:r>
      <w:r w:rsidR="00AD6758">
        <w:rPr>
          <w:sz w:val="20"/>
          <w:szCs w:val="20"/>
        </w:rPr>
        <w:t>-</w:t>
      </w:r>
      <w:r w:rsidRPr="00DD0B49">
        <w:rPr>
          <w:sz w:val="20"/>
          <w:szCs w:val="20"/>
        </w:rPr>
        <w:t xml:space="preserve"> </w:t>
      </w:r>
      <w:r w:rsidRPr="00F66A1B">
        <w:rPr>
          <w:sz w:val="20"/>
          <w:szCs w:val="20"/>
        </w:rPr>
        <w:t>What standards should be applied by the courts when considering the reliability of a police sniffer-dog</w:t>
      </w:r>
      <w:r w:rsidRPr="00DD0B49">
        <w:rPr>
          <w:sz w:val="20"/>
          <w:szCs w:val="20"/>
        </w:rPr>
        <w:t xml:space="preserve"> </w:t>
      </w:r>
      <w:r w:rsidR="00AD6758">
        <w:rPr>
          <w:sz w:val="20"/>
          <w:szCs w:val="20"/>
        </w:rPr>
        <w:t>-</w:t>
      </w:r>
      <w:r w:rsidRPr="00DD0B49">
        <w:rPr>
          <w:sz w:val="20"/>
          <w:szCs w:val="20"/>
        </w:rPr>
        <w:t xml:space="preserve"> </w:t>
      </w:r>
      <w:r w:rsidRPr="00F66A1B">
        <w:rPr>
          <w:sz w:val="20"/>
          <w:szCs w:val="20"/>
        </w:rPr>
        <w:t xml:space="preserve">Whether there are issues of public importance raised </w:t>
      </w:r>
      <w:r w:rsidR="00AD6758">
        <w:rPr>
          <w:sz w:val="20"/>
          <w:szCs w:val="20"/>
        </w:rPr>
        <w:t>-</w:t>
      </w:r>
      <w:r w:rsidRPr="00F66A1B">
        <w:rPr>
          <w:sz w:val="20"/>
          <w:szCs w:val="20"/>
        </w:rPr>
        <w:t xml:space="preserve"> ss. 7, 8 and 9 of the </w:t>
      </w:r>
      <w:r w:rsidRPr="00F66A1B">
        <w:rPr>
          <w:i/>
          <w:sz w:val="20"/>
          <w:szCs w:val="20"/>
        </w:rPr>
        <w:t>Charter</w:t>
      </w:r>
      <w:r w:rsidRPr="00F66A1B">
        <w:rPr>
          <w:sz w:val="20"/>
          <w:szCs w:val="20"/>
        </w:rPr>
        <w:t xml:space="preserve">. </w:t>
      </w:r>
    </w:p>
    <w:p w:rsidR="00F66A1B" w:rsidRPr="00F66A1B" w:rsidRDefault="00F66A1B" w:rsidP="000B3C9A">
      <w:pPr>
        <w:tabs>
          <w:tab w:val="left" w:pos="-1440"/>
          <w:tab w:val="left" w:pos="-720"/>
        </w:tabs>
        <w:ind w:left="720" w:hanging="720"/>
        <w:jc w:val="both"/>
        <w:rPr>
          <w:sz w:val="20"/>
          <w:szCs w:val="20"/>
        </w:rPr>
      </w:pPr>
    </w:p>
    <w:p w:rsidR="000B3C9A" w:rsidRPr="00DD0B49" w:rsidRDefault="009134DA" w:rsidP="000B3C9A">
      <w:pPr>
        <w:tabs>
          <w:tab w:val="left" w:pos="-1440"/>
          <w:tab w:val="left" w:pos="-720"/>
        </w:tabs>
        <w:ind w:left="720" w:hanging="720"/>
        <w:jc w:val="both"/>
        <w:rPr>
          <w:sz w:val="20"/>
          <w:szCs w:val="20"/>
        </w:rPr>
      </w:pPr>
      <w:r w:rsidRPr="009134DA">
        <w:rPr>
          <w:sz w:val="20"/>
          <w:szCs w:val="20"/>
          <w:lang w:val="fr-CA"/>
        </w:rPr>
        <w:pict>
          <v:rect id="_x0000_i1118" style="width:2in;height:1pt" o:hrpct="0" o:hralign="center" o:hrstd="t" o:hrnoshade="t" o:hr="t" fillcolor="black [3213]" stroked="f"/>
        </w:pict>
      </w:r>
    </w:p>
    <w:p w:rsidR="000B3C9A" w:rsidRPr="003F0570" w:rsidRDefault="000B3C9A" w:rsidP="000B3C9A">
      <w:pPr>
        <w:tabs>
          <w:tab w:val="left" w:pos="-1440"/>
          <w:tab w:val="left" w:pos="-720"/>
        </w:tabs>
        <w:ind w:left="720" w:hanging="720"/>
        <w:jc w:val="both"/>
        <w:rPr>
          <w:sz w:val="20"/>
          <w:szCs w:val="20"/>
        </w:rPr>
      </w:pPr>
    </w:p>
    <w:p w:rsidR="00F66A1B" w:rsidRDefault="000B3C9A" w:rsidP="000B3C9A">
      <w:pPr>
        <w:tabs>
          <w:tab w:val="left" w:pos="-1440"/>
          <w:tab w:val="left" w:pos="-720"/>
        </w:tabs>
        <w:ind w:left="720" w:hanging="720"/>
        <w:jc w:val="both"/>
        <w:rPr>
          <w:sz w:val="20"/>
          <w:szCs w:val="20"/>
          <w:lang w:val="fr-CA"/>
        </w:rPr>
      </w:pPr>
      <w:r w:rsidRPr="00DD0B49">
        <w:rPr>
          <w:b/>
          <w:sz w:val="20"/>
          <w:szCs w:val="20"/>
          <w:lang w:val="fr-CA"/>
        </w:rPr>
        <w:t>3</w:t>
      </w:r>
      <w:r w:rsidR="00F66A1B">
        <w:rPr>
          <w:b/>
          <w:sz w:val="20"/>
          <w:szCs w:val="20"/>
          <w:lang w:val="fr-CA"/>
        </w:rPr>
        <w:t>4</w:t>
      </w:r>
      <w:r w:rsidRPr="00DD0B49">
        <w:rPr>
          <w:b/>
          <w:sz w:val="20"/>
          <w:szCs w:val="20"/>
          <w:lang w:val="fr-CA"/>
        </w:rPr>
        <w:t>5</w:t>
      </w:r>
      <w:r w:rsidR="00F66A1B">
        <w:rPr>
          <w:b/>
          <w:sz w:val="20"/>
          <w:szCs w:val="20"/>
          <w:lang w:val="fr-CA"/>
        </w:rPr>
        <w:t>24</w:t>
      </w:r>
      <w:r w:rsidRPr="00DD0B49">
        <w:rPr>
          <w:b/>
          <w:sz w:val="20"/>
          <w:szCs w:val="20"/>
          <w:lang w:val="fr-CA"/>
        </w:rPr>
        <w:tab/>
      </w:r>
      <w:r w:rsidR="00F66A1B" w:rsidRPr="00F66A1B">
        <w:rPr>
          <w:b/>
          <w:sz w:val="20"/>
          <w:szCs w:val="20"/>
          <w:lang w:val="fr-CA"/>
        </w:rPr>
        <w:t>Mandeep Singh Chehil c. Sa Majesté la Reine</w:t>
      </w:r>
      <w:r w:rsidR="00F66A1B">
        <w:rPr>
          <w:sz w:val="20"/>
          <w:szCs w:val="20"/>
          <w:lang w:val="fr-CA"/>
        </w:rPr>
        <w:t xml:space="preserve"> </w:t>
      </w:r>
      <w:r w:rsidR="00F66A1B" w:rsidRPr="009D40C7">
        <w:rPr>
          <w:sz w:val="20"/>
          <w:szCs w:val="20"/>
          <w:lang w:val="fr-CA"/>
        </w:rPr>
        <w:t>(N.</w:t>
      </w:r>
      <w:r w:rsidR="00F66A1B">
        <w:rPr>
          <w:sz w:val="20"/>
          <w:szCs w:val="20"/>
          <w:lang w:val="fr-CA"/>
        </w:rPr>
        <w:t>-</w:t>
      </w:r>
      <w:r w:rsidR="00F66A1B" w:rsidRPr="009D40C7">
        <w:rPr>
          <w:sz w:val="20"/>
          <w:szCs w:val="20"/>
          <w:lang w:val="fr-CA"/>
        </w:rPr>
        <w:t>É.) (Criminelle) (Sur autorisation)</w:t>
      </w:r>
    </w:p>
    <w:p w:rsidR="00F66A1B" w:rsidRDefault="00F66A1B" w:rsidP="000B3C9A">
      <w:pPr>
        <w:tabs>
          <w:tab w:val="left" w:pos="-1440"/>
          <w:tab w:val="left" w:pos="-720"/>
        </w:tabs>
        <w:ind w:left="720" w:hanging="720"/>
        <w:jc w:val="both"/>
        <w:rPr>
          <w:sz w:val="20"/>
          <w:szCs w:val="20"/>
          <w:lang w:val="fr-CA"/>
        </w:rPr>
      </w:pPr>
    </w:p>
    <w:p w:rsidR="00F66A1B" w:rsidRDefault="00F66A1B" w:rsidP="00F66A1B">
      <w:pPr>
        <w:tabs>
          <w:tab w:val="left" w:pos="-1440"/>
          <w:tab w:val="left" w:pos="-720"/>
        </w:tabs>
        <w:jc w:val="both"/>
        <w:rPr>
          <w:sz w:val="20"/>
          <w:szCs w:val="20"/>
          <w:lang w:val="fr-CA"/>
        </w:rPr>
      </w:pPr>
      <w:r w:rsidRPr="009D40C7">
        <w:rPr>
          <w:i/>
          <w:sz w:val="20"/>
          <w:szCs w:val="20"/>
          <w:lang w:val="fr-CA"/>
        </w:rPr>
        <w:t xml:space="preserve">Charte des droits et libertés </w:t>
      </w:r>
      <w:r w:rsidR="00AD6758">
        <w:rPr>
          <w:i/>
          <w:sz w:val="20"/>
          <w:szCs w:val="20"/>
          <w:lang w:val="fr-CA"/>
        </w:rPr>
        <w:t>-</w:t>
      </w:r>
      <w:r w:rsidRPr="009D40C7">
        <w:rPr>
          <w:sz w:val="20"/>
          <w:szCs w:val="20"/>
          <w:lang w:val="fr-CA"/>
        </w:rPr>
        <w:t xml:space="preserve"> Fouilles et perquisitions </w:t>
      </w:r>
      <w:r w:rsidR="00AD6758">
        <w:rPr>
          <w:sz w:val="20"/>
          <w:szCs w:val="20"/>
          <w:lang w:val="fr-CA"/>
        </w:rPr>
        <w:t>-</w:t>
      </w:r>
      <w:r w:rsidRPr="009D40C7">
        <w:rPr>
          <w:sz w:val="20"/>
          <w:szCs w:val="20"/>
          <w:lang w:val="fr-CA"/>
        </w:rPr>
        <w:t xml:space="preserve"> Protection contre fouilles, les perquisitions et les saisies abusives </w:t>
      </w:r>
      <w:r w:rsidR="00AD6758">
        <w:rPr>
          <w:sz w:val="20"/>
          <w:szCs w:val="20"/>
          <w:lang w:val="fr-CA"/>
        </w:rPr>
        <w:t>-</w:t>
      </w:r>
      <w:r w:rsidRPr="009D40C7">
        <w:rPr>
          <w:sz w:val="20"/>
          <w:szCs w:val="20"/>
          <w:lang w:val="fr-CA"/>
        </w:rPr>
        <w:t xml:space="preserve"> La fouille d</w:t>
      </w:r>
      <w:r w:rsidR="003F0570">
        <w:rPr>
          <w:sz w:val="20"/>
          <w:szCs w:val="20"/>
          <w:lang w:val="fr-CA"/>
        </w:rPr>
        <w:t>’</w:t>
      </w:r>
      <w:r w:rsidRPr="009D40C7">
        <w:rPr>
          <w:sz w:val="20"/>
          <w:szCs w:val="20"/>
          <w:lang w:val="fr-CA"/>
        </w:rPr>
        <w:t xml:space="preserve">une valise au moyen d’un chien renifleur a mené à la découverte de drogue </w:t>
      </w:r>
      <w:r w:rsidR="00AD6758">
        <w:rPr>
          <w:sz w:val="20"/>
          <w:szCs w:val="20"/>
          <w:lang w:val="fr-CA"/>
        </w:rPr>
        <w:t>-</w:t>
      </w:r>
      <w:r w:rsidRPr="009D40C7">
        <w:rPr>
          <w:sz w:val="20"/>
          <w:szCs w:val="20"/>
          <w:lang w:val="fr-CA"/>
        </w:rPr>
        <w:t xml:space="preserve"> La jurisprudence est</w:t>
      </w:r>
      <w:r w:rsidRPr="009D40C7">
        <w:rPr>
          <w:sz w:val="20"/>
          <w:szCs w:val="20"/>
          <w:lang w:val="fr-CA"/>
        </w:rPr>
        <w:noBreakHyphen/>
        <w:t>elle contradictoire quant au sens de l</w:t>
      </w:r>
      <w:r w:rsidR="003F0570">
        <w:rPr>
          <w:sz w:val="20"/>
          <w:szCs w:val="20"/>
          <w:lang w:val="fr-CA"/>
        </w:rPr>
        <w:t>’</w:t>
      </w:r>
      <w:r w:rsidRPr="009D40C7">
        <w:rPr>
          <w:sz w:val="20"/>
          <w:szCs w:val="20"/>
          <w:lang w:val="fr-CA"/>
        </w:rPr>
        <w:t xml:space="preserve">expression « soupçon objectivement raisonnable »? </w:t>
      </w:r>
      <w:r w:rsidR="00AD6758">
        <w:rPr>
          <w:sz w:val="20"/>
          <w:szCs w:val="20"/>
          <w:lang w:val="fr-CA"/>
        </w:rPr>
        <w:t>-</w:t>
      </w:r>
      <w:r w:rsidRPr="009D40C7">
        <w:rPr>
          <w:sz w:val="20"/>
          <w:szCs w:val="20"/>
          <w:lang w:val="fr-CA"/>
        </w:rPr>
        <w:t xml:space="preserve"> Quels facteurs doivent être pris en compte lorsqu</w:t>
      </w:r>
      <w:r w:rsidR="003F0570">
        <w:rPr>
          <w:sz w:val="20"/>
          <w:szCs w:val="20"/>
          <w:lang w:val="fr-CA"/>
        </w:rPr>
        <w:t>’</w:t>
      </w:r>
      <w:r w:rsidRPr="009D40C7">
        <w:rPr>
          <w:sz w:val="20"/>
          <w:szCs w:val="20"/>
          <w:lang w:val="fr-CA"/>
        </w:rPr>
        <w:t>il s</w:t>
      </w:r>
      <w:r w:rsidR="003F0570">
        <w:rPr>
          <w:sz w:val="20"/>
          <w:szCs w:val="20"/>
          <w:lang w:val="fr-CA"/>
        </w:rPr>
        <w:t>’</w:t>
      </w:r>
      <w:r w:rsidRPr="009D40C7">
        <w:rPr>
          <w:sz w:val="20"/>
          <w:szCs w:val="20"/>
          <w:lang w:val="fr-CA"/>
        </w:rPr>
        <w:t>agit de décider s</w:t>
      </w:r>
      <w:r w:rsidR="003F0570">
        <w:rPr>
          <w:sz w:val="20"/>
          <w:szCs w:val="20"/>
          <w:lang w:val="fr-CA"/>
        </w:rPr>
        <w:t>’</w:t>
      </w:r>
      <w:r w:rsidRPr="009D40C7">
        <w:rPr>
          <w:sz w:val="20"/>
          <w:szCs w:val="20"/>
          <w:lang w:val="fr-CA"/>
        </w:rPr>
        <w:t>il existe un « soupçon raisonnable » d</w:t>
      </w:r>
      <w:r w:rsidR="003F0570">
        <w:rPr>
          <w:sz w:val="20"/>
          <w:szCs w:val="20"/>
          <w:lang w:val="fr-CA"/>
        </w:rPr>
        <w:t>’</w:t>
      </w:r>
      <w:r w:rsidRPr="009D40C7">
        <w:rPr>
          <w:sz w:val="20"/>
          <w:szCs w:val="20"/>
          <w:lang w:val="fr-CA"/>
        </w:rPr>
        <w:t>activité criminelle qui justifie l</w:t>
      </w:r>
      <w:r w:rsidR="003F0570">
        <w:rPr>
          <w:sz w:val="20"/>
          <w:szCs w:val="20"/>
          <w:lang w:val="fr-CA"/>
        </w:rPr>
        <w:t>’</w:t>
      </w:r>
      <w:r w:rsidRPr="009D40C7">
        <w:rPr>
          <w:sz w:val="20"/>
          <w:szCs w:val="20"/>
          <w:lang w:val="fr-CA"/>
        </w:rPr>
        <w:t>utilisation d</w:t>
      </w:r>
      <w:r w:rsidR="003F0570">
        <w:rPr>
          <w:sz w:val="20"/>
          <w:szCs w:val="20"/>
          <w:lang w:val="fr-CA"/>
        </w:rPr>
        <w:t>’</w:t>
      </w:r>
      <w:r w:rsidRPr="009D40C7">
        <w:rPr>
          <w:sz w:val="20"/>
          <w:szCs w:val="20"/>
          <w:lang w:val="fr-CA"/>
        </w:rPr>
        <w:t xml:space="preserve">un chien renifleur? </w:t>
      </w:r>
      <w:r w:rsidR="00AD6758">
        <w:rPr>
          <w:sz w:val="20"/>
          <w:szCs w:val="20"/>
          <w:lang w:val="fr-CA"/>
        </w:rPr>
        <w:t>-</w:t>
      </w:r>
      <w:r w:rsidRPr="009D40C7">
        <w:rPr>
          <w:sz w:val="20"/>
          <w:szCs w:val="20"/>
          <w:lang w:val="fr-CA"/>
        </w:rPr>
        <w:t xml:space="preserve"> Quelles normes les tribunaux doivent</w:t>
      </w:r>
      <w:r w:rsidRPr="009D40C7">
        <w:rPr>
          <w:sz w:val="20"/>
          <w:szCs w:val="20"/>
          <w:lang w:val="fr-CA"/>
        </w:rPr>
        <w:noBreakHyphen/>
        <w:t>ils appliquer lorsqu</w:t>
      </w:r>
      <w:r w:rsidR="003F0570">
        <w:rPr>
          <w:sz w:val="20"/>
          <w:szCs w:val="20"/>
          <w:lang w:val="fr-CA"/>
        </w:rPr>
        <w:t>’</w:t>
      </w:r>
      <w:r w:rsidRPr="009D40C7">
        <w:rPr>
          <w:sz w:val="20"/>
          <w:szCs w:val="20"/>
          <w:lang w:val="fr-CA"/>
        </w:rPr>
        <w:t>ils considèrent la fiabilité d</w:t>
      </w:r>
      <w:r w:rsidR="003F0570">
        <w:rPr>
          <w:sz w:val="20"/>
          <w:szCs w:val="20"/>
          <w:lang w:val="fr-CA"/>
        </w:rPr>
        <w:t>’</w:t>
      </w:r>
      <w:r w:rsidRPr="009D40C7">
        <w:rPr>
          <w:sz w:val="20"/>
          <w:szCs w:val="20"/>
          <w:lang w:val="fr-CA"/>
        </w:rPr>
        <w:t xml:space="preserve">un chien policier renifleur? </w:t>
      </w:r>
      <w:r w:rsidR="003F0570">
        <w:rPr>
          <w:sz w:val="20"/>
          <w:szCs w:val="20"/>
          <w:lang w:val="fr-CA"/>
        </w:rPr>
        <w:t>–</w:t>
      </w:r>
      <w:r w:rsidRPr="009D40C7">
        <w:rPr>
          <w:sz w:val="20"/>
          <w:szCs w:val="20"/>
          <w:lang w:val="fr-CA"/>
        </w:rPr>
        <w:t xml:space="preserve"> L</w:t>
      </w:r>
      <w:r w:rsidR="003F0570">
        <w:rPr>
          <w:sz w:val="20"/>
          <w:szCs w:val="20"/>
          <w:lang w:val="fr-CA"/>
        </w:rPr>
        <w:t>’</w:t>
      </w:r>
      <w:r w:rsidRPr="009D40C7">
        <w:rPr>
          <w:sz w:val="20"/>
          <w:szCs w:val="20"/>
          <w:lang w:val="fr-CA"/>
        </w:rPr>
        <w:t>affaire soulève</w:t>
      </w:r>
      <w:r w:rsidRPr="009D40C7">
        <w:rPr>
          <w:sz w:val="20"/>
          <w:szCs w:val="20"/>
          <w:lang w:val="fr-CA"/>
        </w:rPr>
        <w:noBreakHyphen/>
        <w:t>t</w:t>
      </w:r>
      <w:r w:rsidRPr="009D40C7">
        <w:rPr>
          <w:sz w:val="20"/>
          <w:szCs w:val="20"/>
          <w:lang w:val="fr-CA"/>
        </w:rPr>
        <w:noBreakHyphen/>
        <w:t>elle des questions d</w:t>
      </w:r>
      <w:r w:rsidR="003F0570">
        <w:rPr>
          <w:sz w:val="20"/>
          <w:szCs w:val="20"/>
          <w:lang w:val="fr-CA"/>
        </w:rPr>
        <w:t>’</w:t>
      </w:r>
      <w:r w:rsidRPr="009D40C7">
        <w:rPr>
          <w:sz w:val="20"/>
          <w:szCs w:val="20"/>
          <w:lang w:val="fr-CA"/>
        </w:rPr>
        <w:t xml:space="preserve">importance pour le public? </w:t>
      </w:r>
      <w:r w:rsidR="00AD6758">
        <w:rPr>
          <w:sz w:val="20"/>
          <w:szCs w:val="20"/>
          <w:lang w:val="fr-CA"/>
        </w:rPr>
        <w:t>-</w:t>
      </w:r>
      <w:r w:rsidRPr="009D40C7">
        <w:rPr>
          <w:sz w:val="20"/>
          <w:szCs w:val="20"/>
          <w:lang w:val="fr-CA"/>
        </w:rPr>
        <w:t xml:space="preserve"> Art. 7, 8 et 9 de la </w:t>
      </w:r>
      <w:r w:rsidRPr="009D40C7">
        <w:rPr>
          <w:i/>
          <w:sz w:val="20"/>
          <w:szCs w:val="20"/>
          <w:lang w:val="fr-CA"/>
        </w:rPr>
        <w:t>Charte</w:t>
      </w:r>
      <w:r w:rsidRPr="009D40C7">
        <w:rPr>
          <w:sz w:val="20"/>
          <w:szCs w:val="20"/>
          <w:lang w:val="fr-CA"/>
        </w:rPr>
        <w:t>.</w:t>
      </w:r>
    </w:p>
    <w:p w:rsidR="00F66A1B" w:rsidRPr="00F66A1B" w:rsidRDefault="00F66A1B" w:rsidP="000B3C9A">
      <w:pPr>
        <w:tabs>
          <w:tab w:val="left" w:pos="-1440"/>
          <w:tab w:val="left" w:pos="-720"/>
        </w:tabs>
        <w:ind w:left="720" w:hanging="720"/>
        <w:jc w:val="both"/>
        <w:rPr>
          <w:sz w:val="20"/>
          <w:szCs w:val="20"/>
          <w:lang w:val="fr-CA"/>
        </w:rPr>
      </w:pPr>
    </w:p>
    <w:p w:rsidR="000B3C9A" w:rsidRDefault="009134DA" w:rsidP="000B3C9A">
      <w:pPr>
        <w:tabs>
          <w:tab w:val="left" w:pos="-1440"/>
          <w:tab w:val="left" w:pos="-720"/>
        </w:tabs>
        <w:ind w:left="720" w:hanging="720"/>
        <w:jc w:val="both"/>
        <w:rPr>
          <w:sz w:val="20"/>
          <w:szCs w:val="20"/>
          <w:lang w:val="fr-CA"/>
        </w:rPr>
      </w:pPr>
      <w:r w:rsidRPr="009134DA">
        <w:rPr>
          <w:sz w:val="20"/>
          <w:szCs w:val="20"/>
          <w:lang w:val="fr-CA"/>
        </w:rPr>
        <w:pict>
          <v:rect id="_x0000_i1119" style="width:2in;height:1pt" o:hrpct="0" o:hralign="center" o:hrstd="t" o:hrnoshade="t" o:hr="t" fillcolor="black [3213]" stroked="f"/>
        </w:pict>
      </w:r>
    </w:p>
    <w:p w:rsidR="00F66A1B" w:rsidRDefault="00F66A1B" w:rsidP="000B3C9A">
      <w:pPr>
        <w:tabs>
          <w:tab w:val="left" w:pos="-1440"/>
          <w:tab w:val="left" w:pos="-720"/>
        </w:tabs>
        <w:ind w:left="720" w:hanging="720"/>
        <w:jc w:val="both"/>
        <w:rPr>
          <w:sz w:val="20"/>
          <w:szCs w:val="20"/>
          <w:lang w:val="fr-CA"/>
        </w:rPr>
      </w:pPr>
    </w:p>
    <w:p w:rsidR="00F66A1B" w:rsidRPr="00DD0B49" w:rsidRDefault="00F66A1B"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bookmarkStart w:id="3" w:name="1"/>
    <w:bookmarkEnd w:id="3"/>
    <w:p w:rsidR="00F66A1B" w:rsidRPr="0068676A" w:rsidRDefault="009134DA" w:rsidP="00F66A1B">
      <w:pPr>
        <w:widowControl w:val="0"/>
        <w:ind w:left="720" w:hanging="720"/>
        <w:jc w:val="both"/>
        <w:rPr>
          <w:b/>
          <w:i/>
          <w:sz w:val="20"/>
          <w:szCs w:val="20"/>
        </w:rPr>
      </w:pPr>
      <w:r w:rsidRPr="0068676A">
        <w:rPr>
          <w:b/>
          <w:sz w:val="20"/>
          <w:szCs w:val="20"/>
        </w:rPr>
        <w:lastRenderedPageBreak/>
        <w:fldChar w:fldCharType="begin"/>
      </w:r>
      <w:r w:rsidR="00F66A1B" w:rsidRPr="0068676A">
        <w:rPr>
          <w:b/>
          <w:sz w:val="20"/>
          <w:szCs w:val="20"/>
        </w:rPr>
        <w:instrText xml:space="preserve"> SEQ CHAPTER \h \r 1</w:instrText>
      </w:r>
      <w:r w:rsidRPr="0068676A">
        <w:rPr>
          <w:b/>
          <w:sz w:val="20"/>
          <w:szCs w:val="20"/>
        </w:rPr>
        <w:fldChar w:fldCharType="end"/>
      </w:r>
      <w:r w:rsidR="00F66A1B" w:rsidRPr="0068676A">
        <w:rPr>
          <w:b/>
          <w:sz w:val="20"/>
          <w:szCs w:val="20"/>
        </w:rPr>
        <w:t>34189</w:t>
      </w:r>
      <w:r w:rsidR="00F66A1B" w:rsidRPr="0068676A">
        <w:rPr>
          <w:sz w:val="20"/>
          <w:szCs w:val="20"/>
        </w:rPr>
        <w:tab/>
      </w:r>
      <w:bookmarkStart w:id="4" w:name="3"/>
      <w:bookmarkEnd w:id="4"/>
      <w:r w:rsidR="00F66A1B" w:rsidRPr="0068676A">
        <w:rPr>
          <w:b/>
          <w:i/>
          <w:sz w:val="20"/>
          <w:szCs w:val="20"/>
        </w:rPr>
        <w:t>Annapolis County District School Board and Douglas Ernest Feener v. Johnathan Lee Marshall, represented by his Guardian, Vaughan Caldwell</w:t>
      </w:r>
    </w:p>
    <w:p w:rsidR="00F66A1B" w:rsidRPr="0068676A" w:rsidRDefault="00F66A1B" w:rsidP="00F66A1B">
      <w:pPr>
        <w:widowControl w:val="0"/>
        <w:ind w:left="1440" w:hanging="1440"/>
        <w:jc w:val="both"/>
        <w:rPr>
          <w:sz w:val="20"/>
          <w:szCs w:val="20"/>
        </w:rPr>
      </w:pPr>
    </w:p>
    <w:p w:rsidR="00F66A1B" w:rsidRPr="0068676A" w:rsidRDefault="00F66A1B" w:rsidP="00F66A1B">
      <w:pPr>
        <w:widowControl w:val="0"/>
        <w:jc w:val="both"/>
        <w:rPr>
          <w:sz w:val="20"/>
          <w:szCs w:val="20"/>
        </w:rPr>
      </w:pPr>
      <w:r w:rsidRPr="0068676A">
        <w:rPr>
          <w:sz w:val="20"/>
          <w:szCs w:val="20"/>
        </w:rPr>
        <w:t xml:space="preserve">Appeals </w:t>
      </w:r>
      <w:r w:rsidRPr="0068676A">
        <w:rPr>
          <w:sz w:val="20"/>
          <w:szCs w:val="20"/>
        </w:rPr>
        <w:noBreakHyphen/>
        <w:t xml:space="preserve"> Judgments and Orders </w:t>
      </w:r>
      <w:r w:rsidRPr="0068676A">
        <w:rPr>
          <w:sz w:val="20"/>
          <w:szCs w:val="20"/>
        </w:rPr>
        <w:noBreakHyphen/>
        <w:t xml:space="preserve"> Jury Trial </w:t>
      </w:r>
      <w:r w:rsidRPr="0068676A">
        <w:rPr>
          <w:sz w:val="20"/>
          <w:szCs w:val="20"/>
        </w:rPr>
        <w:noBreakHyphen/>
        <w:t xml:space="preserve"> Charge to the jury </w:t>
      </w:r>
      <w:r w:rsidRPr="0068676A">
        <w:rPr>
          <w:sz w:val="20"/>
          <w:szCs w:val="20"/>
        </w:rPr>
        <w:noBreakHyphen/>
        <w:t xml:space="preserve"> New trial ordered due to misdirection by trial judge </w:t>
      </w:r>
      <w:r w:rsidRPr="0068676A">
        <w:rPr>
          <w:sz w:val="20"/>
          <w:szCs w:val="20"/>
        </w:rPr>
        <w:noBreakHyphen/>
        <w:t xml:space="preserve"> Torts </w:t>
      </w:r>
      <w:r w:rsidRPr="0068676A">
        <w:rPr>
          <w:sz w:val="20"/>
          <w:szCs w:val="20"/>
        </w:rPr>
        <w:noBreakHyphen/>
        <w:t xml:space="preserve"> Motor Vehicles </w:t>
      </w:r>
      <w:r w:rsidRPr="0068676A">
        <w:rPr>
          <w:sz w:val="20"/>
          <w:szCs w:val="20"/>
        </w:rPr>
        <w:noBreakHyphen/>
        <w:t xml:space="preserve"> Negligence </w:t>
      </w:r>
      <w:r w:rsidRPr="0068676A">
        <w:rPr>
          <w:sz w:val="20"/>
          <w:szCs w:val="20"/>
        </w:rPr>
        <w:noBreakHyphen/>
        <w:t xml:space="preserve"> Standard of care </w:t>
      </w:r>
      <w:r w:rsidRPr="0068676A">
        <w:rPr>
          <w:sz w:val="20"/>
          <w:szCs w:val="20"/>
        </w:rPr>
        <w:noBreakHyphen/>
        <w:t xml:space="preserve"> No contributory negligence by minor </w:t>
      </w:r>
      <w:r w:rsidRPr="0068676A">
        <w:rPr>
          <w:sz w:val="20"/>
          <w:szCs w:val="20"/>
        </w:rPr>
        <w:noBreakHyphen/>
        <w:t xml:space="preserve"> Bus driver hitting child who ran across highway </w:t>
      </w:r>
      <w:r w:rsidRPr="0068676A">
        <w:rPr>
          <w:sz w:val="20"/>
          <w:szCs w:val="20"/>
        </w:rPr>
        <w:noBreakHyphen/>
        <w:t xml:space="preserve"> Whether driver was negligent </w:t>
      </w:r>
      <w:r w:rsidRPr="0068676A">
        <w:rPr>
          <w:sz w:val="20"/>
          <w:szCs w:val="20"/>
        </w:rPr>
        <w:noBreakHyphen/>
        <w:t xml:space="preserve"> Standard of care owed in circumstances </w:t>
      </w:r>
      <w:r w:rsidRPr="0068676A">
        <w:rPr>
          <w:sz w:val="20"/>
          <w:szCs w:val="20"/>
        </w:rPr>
        <w:noBreakHyphen/>
        <w:t xml:space="preserve"> Whether the Court of Appeal erred in concluding that the trial judge may not charge a civil jury on pedestrian and vehicle right</w:t>
      </w:r>
      <w:r w:rsidRPr="0068676A">
        <w:rPr>
          <w:sz w:val="20"/>
          <w:szCs w:val="20"/>
        </w:rPr>
        <w:noBreakHyphen/>
        <w:t>of</w:t>
      </w:r>
      <w:r w:rsidRPr="0068676A">
        <w:rPr>
          <w:sz w:val="20"/>
          <w:szCs w:val="20"/>
        </w:rPr>
        <w:noBreakHyphen/>
        <w:t xml:space="preserve">way provisions in cases where the trial judge has already concluded that the plaintiff cannot be held contributorily negligent </w:t>
      </w:r>
      <w:r w:rsidRPr="0068676A">
        <w:rPr>
          <w:sz w:val="20"/>
          <w:szCs w:val="20"/>
        </w:rPr>
        <w:noBreakHyphen/>
        <w:t xml:space="preserve"> Whether the Court of Appeal erred in declining to make a finding of liability against the appellants rather than ordering a new trial.</w:t>
      </w:r>
    </w:p>
    <w:p w:rsidR="00F66A1B" w:rsidRPr="0068676A" w:rsidRDefault="00F66A1B" w:rsidP="00F66A1B">
      <w:pPr>
        <w:widowControl w:val="0"/>
        <w:jc w:val="both"/>
        <w:rPr>
          <w:sz w:val="20"/>
          <w:szCs w:val="20"/>
        </w:rPr>
      </w:pPr>
    </w:p>
    <w:p w:rsidR="00F66A1B" w:rsidRPr="0068676A" w:rsidRDefault="00F66A1B" w:rsidP="00F66A1B">
      <w:pPr>
        <w:widowControl w:val="0"/>
        <w:jc w:val="both"/>
        <w:rPr>
          <w:sz w:val="20"/>
          <w:szCs w:val="20"/>
        </w:rPr>
      </w:pPr>
      <w:r w:rsidRPr="0068676A">
        <w:rPr>
          <w:sz w:val="20"/>
          <w:szCs w:val="20"/>
        </w:rPr>
        <w:t xml:space="preserve">Four year old respondent Johnathan Marshall was playing with his two older brothers outside their home located along a highway when he was struck by a bus driven by the appellant Mr. Feener.  Mr. Feener was driving his empty school bus on his way to pick up high school children.  As the bus approached the home, Johnathan ran onto the highway and into its path.  Mr. Feener braked immediately upon seeing the boy but Johnathan was struck, suffering serious injuries.  Upon attaining the age of 19, Johnathan, through his litigation guardian, commenced an action against Mr. Feener and his employer, the appellant School Board.  The appellants commenced third party claims against Johnathan’s parents, and the claim against his mother remains outstanding.  After a ten week jury trial, the jury found that there was no negligence on the part of Mr. Feener that caused or contributed to the damages suffered by Johnathan.  The Supreme Court of Nova Scotia, Trial Division dismissed Johnathan’s action.  The respondent appealed, alleging various errors by the trial judge in his charge to the jury.  The Nova Scotia Court of Appeal allowed the appeal, finding certain references by the trial judge relating to the pedestrian and vehicle rights of way set out in s. 125 of the </w:t>
      </w:r>
      <w:r w:rsidRPr="0068676A">
        <w:rPr>
          <w:i/>
          <w:sz w:val="20"/>
          <w:szCs w:val="20"/>
        </w:rPr>
        <w:t xml:space="preserve">Motor Vehicle Act, </w:t>
      </w:r>
      <w:r w:rsidRPr="0068676A">
        <w:rPr>
          <w:sz w:val="20"/>
          <w:szCs w:val="20"/>
        </w:rPr>
        <w:t>R.S.N.S. 1989, c. 293 to be a misdirection constituting a reversible error of law.  The appellate court ordered a new trial.</w:t>
      </w:r>
    </w:p>
    <w:p w:rsidR="00F66A1B" w:rsidRPr="0068676A" w:rsidRDefault="00F66A1B" w:rsidP="00F66A1B">
      <w:pPr>
        <w:widowControl w:val="0"/>
        <w:jc w:val="both"/>
        <w:rPr>
          <w:sz w:val="20"/>
          <w:szCs w:val="20"/>
        </w:rPr>
      </w:pPr>
    </w:p>
    <w:p w:rsidR="00F66A1B" w:rsidRPr="0068676A" w:rsidRDefault="00F66A1B" w:rsidP="00F66A1B">
      <w:pPr>
        <w:widowControl w:val="0"/>
        <w:jc w:val="both"/>
        <w:rPr>
          <w:sz w:val="20"/>
          <w:szCs w:val="20"/>
        </w:rPr>
      </w:pPr>
    </w:p>
    <w:p w:rsidR="00F66A1B" w:rsidRPr="0068676A" w:rsidRDefault="00F66A1B" w:rsidP="0078410A">
      <w:pPr>
        <w:widowControl w:val="0"/>
        <w:ind w:left="3600" w:hanging="3600"/>
        <w:jc w:val="both"/>
        <w:rPr>
          <w:sz w:val="20"/>
          <w:szCs w:val="20"/>
        </w:rPr>
      </w:pPr>
      <w:r w:rsidRPr="0068676A">
        <w:rPr>
          <w:sz w:val="20"/>
          <w:szCs w:val="20"/>
        </w:rPr>
        <w:t>Origin of the case:</w:t>
      </w:r>
      <w:r w:rsidRPr="0068676A">
        <w:rPr>
          <w:sz w:val="20"/>
          <w:szCs w:val="20"/>
        </w:rPr>
        <w:tab/>
      </w:r>
      <w:bookmarkStart w:id="5" w:name="4"/>
      <w:bookmarkEnd w:id="5"/>
      <w:r w:rsidRPr="0068676A">
        <w:rPr>
          <w:sz w:val="20"/>
          <w:szCs w:val="20"/>
        </w:rPr>
        <w:t>Nova Scotia</w:t>
      </w:r>
    </w:p>
    <w:p w:rsidR="00F66A1B" w:rsidRPr="0068676A" w:rsidRDefault="00F66A1B" w:rsidP="0078410A">
      <w:pPr>
        <w:widowControl w:val="0"/>
        <w:ind w:left="3600" w:hanging="3600"/>
        <w:jc w:val="both"/>
        <w:rPr>
          <w:sz w:val="20"/>
          <w:szCs w:val="20"/>
        </w:rPr>
      </w:pPr>
    </w:p>
    <w:p w:rsidR="00F66A1B" w:rsidRPr="0068676A" w:rsidRDefault="00F66A1B" w:rsidP="0078410A">
      <w:pPr>
        <w:widowControl w:val="0"/>
        <w:ind w:left="3600" w:hanging="3600"/>
        <w:jc w:val="both"/>
        <w:rPr>
          <w:sz w:val="20"/>
          <w:szCs w:val="20"/>
        </w:rPr>
      </w:pPr>
      <w:r w:rsidRPr="0068676A">
        <w:rPr>
          <w:sz w:val="20"/>
          <w:szCs w:val="20"/>
        </w:rPr>
        <w:t>File No.:</w:t>
      </w:r>
      <w:r w:rsidRPr="0068676A">
        <w:rPr>
          <w:sz w:val="20"/>
          <w:szCs w:val="20"/>
        </w:rPr>
        <w:tab/>
      </w:r>
      <w:bookmarkStart w:id="6" w:name="2"/>
      <w:bookmarkEnd w:id="6"/>
      <w:r w:rsidRPr="0068676A">
        <w:rPr>
          <w:sz w:val="20"/>
          <w:szCs w:val="20"/>
        </w:rPr>
        <w:t>34189</w:t>
      </w:r>
    </w:p>
    <w:p w:rsidR="00F66A1B" w:rsidRPr="0068676A" w:rsidRDefault="00F66A1B" w:rsidP="0078410A">
      <w:pPr>
        <w:widowControl w:val="0"/>
        <w:ind w:left="3600" w:hanging="3600"/>
        <w:jc w:val="both"/>
        <w:rPr>
          <w:sz w:val="20"/>
          <w:szCs w:val="20"/>
        </w:rPr>
      </w:pPr>
    </w:p>
    <w:p w:rsidR="00F66A1B" w:rsidRPr="0068676A" w:rsidRDefault="00F66A1B" w:rsidP="0078410A">
      <w:pPr>
        <w:widowControl w:val="0"/>
        <w:ind w:left="3600" w:hanging="3600"/>
        <w:jc w:val="both"/>
        <w:rPr>
          <w:sz w:val="20"/>
          <w:szCs w:val="20"/>
        </w:rPr>
      </w:pPr>
      <w:r w:rsidRPr="0068676A">
        <w:rPr>
          <w:sz w:val="20"/>
          <w:szCs w:val="20"/>
        </w:rPr>
        <w:t>Judgment of the Court of Appeal:</w:t>
      </w:r>
      <w:r w:rsidRPr="0068676A">
        <w:rPr>
          <w:sz w:val="20"/>
          <w:szCs w:val="20"/>
        </w:rPr>
        <w:tab/>
      </w:r>
      <w:bookmarkStart w:id="7" w:name="5"/>
      <w:bookmarkEnd w:id="7"/>
      <w:r w:rsidRPr="0068676A">
        <w:rPr>
          <w:sz w:val="20"/>
          <w:szCs w:val="20"/>
        </w:rPr>
        <w:t>February 4, 2011</w:t>
      </w:r>
    </w:p>
    <w:p w:rsidR="00F66A1B" w:rsidRPr="0068676A" w:rsidRDefault="00F66A1B" w:rsidP="0078410A">
      <w:pPr>
        <w:widowControl w:val="0"/>
        <w:ind w:left="3600" w:hanging="3600"/>
        <w:jc w:val="both"/>
        <w:rPr>
          <w:sz w:val="20"/>
          <w:szCs w:val="20"/>
        </w:rPr>
      </w:pPr>
    </w:p>
    <w:p w:rsidR="00F66A1B" w:rsidRPr="0068676A" w:rsidRDefault="00F66A1B" w:rsidP="0078410A">
      <w:pPr>
        <w:widowControl w:val="0"/>
        <w:ind w:left="3600" w:hanging="3600"/>
        <w:jc w:val="both"/>
        <w:rPr>
          <w:sz w:val="20"/>
          <w:szCs w:val="20"/>
        </w:rPr>
      </w:pPr>
      <w:r w:rsidRPr="0068676A">
        <w:rPr>
          <w:sz w:val="20"/>
          <w:szCs w:val="20"/>
        </w:rPr>
        <w:t>Counsel:</w:t>
      </w:r>
      <w:r w:rsidRPr="0068676A">
        <w:rPr>
          <w:sz w:val="20"/>
          <w:szCs w:val="20"/>
        </w:rPr>
        <w:tab/>
      </w:r>
      <w:bookmarkStart w:id="8" w:name="6"/>
      <w:bookmarkEnd w:id="8"/>
      <w:r w:rsidRPr="0068676A">
        <w:rPr>
          <w:sz w:val="20"/>
          <w:szCs w:val="20"/>
        </w:rPr>
        <w:t>Scott C. Norton, Q.C. and G. Grant Machum for the appellants/cross</w:t>
      </w:r>
      <w:r w:rsidRPr="0068676A">
        <w:rPr>
          <w:sz w:val="20"/>
          <w:szCs w:val="20"/>
        </w:rPr>
        <w:noBreakHyphen/>
        <w:t>respondents</w:t>
      </w:r>
    </w:p>
    <w:p w:rsidR="00F66A1B" w:rsidRPr="0068676A" w:rsidRDefault="00F66A1B" w:rsidP="0078410A">
      <w:pPr>
        <w:widowControl w:val="0"/>
        <w:ind w:left="3600" w:hanging="3600"/>
        <w:jc w:val="both"/>
        <w:rPr>
          <w:sz w:val="20"/>
          <w:szCs w:val="20"/>
        </w:rPr>
      </w:pPr>
      <w:r w:rsidRPr="0068676A">
        <w:rPr>
          <w:sz w:val="20"/>
          <w:szCs w:val="20"/>
        </w:rPr>
        <w:tab/>
      </w:r>
      <w:bookmarkStart w:id="9" w:name="7"/>
      <w:bookmarkEnd w:id="9"/>
      <w:r w:rsidRPr="0068676A">
        <w:rPr>
          <w:sz w:val="20"/>
          <w:szCs w:val="20"/>
        </w:rPr>
        <w:t>Robert K. Dickson, Q.C. for the respondent/cross</w:t>
      </w:r>
      <w:r w:rsidRPr="0068676A">
        <w:rPr>
          <w:sz w:val="20"/>
          <w:szCs w:val="20"/>
        </w:rPr>
        <w:noBreakHyphen/>
        <w:t>appellant</w:t>
      </w:r>
    </w:p>
    <w:p w:rsidR="000B3C9A" w:rsidRPr="0078410A" w:rsidRDefault="000B3C9A" w:rsidP="000B3C9A">
      <w:pPr>
        <w:tabs>
          <w:tab w:val="left" w:pos="-1440"/>
          <w:tab w:val="left" w:pos="-720"/>
        </w:tabs>
        <w:jc w:val="both"/>
        <w:rPr>
          <w:sz w:val="20"/>
          <w:szCs w:val="20"/>
        </w:rPr>
      </w:pPr>
    </w:p>
    <w:p w:rsidR="000B3C9A" w:rsidRDefault="009134DA" w:rsidP="000B3C9A">
      <w:pPr>
        <w:tabs>
          <w:tab w:val="left" w:pos="-1440"/>
          <w:tab w:val="left" w:pos="-720"/>
        </w:tabs>
        <w:jc w:val="both"/>
        <w:rPr>
          <w:sz w:val="20"/>
          <w:szCs w:val="20"/>
          <w:lang w:val="fr-CA"/>
        </w:rPr>
      </w:pPr>
      <w:r w:rsidRPr="009134DA">
        <w:rPr>
          <w:sz w:val="20"/>
          <w:szCs w:val="20"/>
          <w:lang w:val="fr-CA"/>
        </w:rPr>
        <w:pict>
          <v:rect id="_x0000_i1120" style="width:2in;height:1pt" o:hrpct="0" o:hralign="center" o:hrstd="t" o:hrnoshade="t" o:hr="t" fillcolor="black [3213]" stroked="f"/>
        </w:pict>
      </w:r>
    </w:p>
    <w:p w:rsidR="00F66A1B" w:rsidRDefault="00F66A1B" w:rsidP="000B3C9A">
      <w:pPr>
        <w:tabs>
          <w:tab w:val="left" w:pos="-1440"/>
          <w:tab w:val="left" w:pos="-720"/>
        </w:tabs>
        <w:jc w:val="both"/>
        <w:rPr>
          <w:sz w:val="20"/>
          <w:szCs w:val="20"/>
          <w:lang w:val="fr-CA"/>
        </w:rPr>
      </w:pPr>
    </w:p>
    <w:p w:rsidR="00F66A1B" w:rsidRDefault="00F66A1B">
      <w:pPr>
        <w:rPr>
          <w:sz w:val="20"/>
          <w:szCs w:val="20"/>
          <w:lang w:val="fr-CA"/>
        </w:rPr>
      </w:pPr>
      <w:r>
        <w:rPr>
          <w:sz w:val="20"/>
          <w:szCs w:val="20"/>
          <w:lang w:val="fr-CA"/>
        </w:rPr>
        <w:br w:type="page"/>
      </w:r>
    </w:p>
    <w:p w:rsidR="0078410A" w:rsidRPr="0078410A" w:rsidRDefault="0078410A" w:rsidP="0078410A">
      <w:pPr>
        <w:pStyle w:val="SCCLsocParty"/>
        <w:ind w:left="720" w:hanging="720"/>
        <w:jc w:val="left"/>
        <w:rPr>
          <w:b/>
          <w:i/>
          <w:sz w:val="20"/>
          <w:szCs w:val="20"/>
          <w:lang w:val="en-US"/>
        </w:rPr>
      </w:pPr>
      <w:r w:rsidRPr="00F657BB">
        <w:rPr>
          <w:rStyle w:val="SCCFileNumberChar"/>
          <w:sz w:val="20"/>
          <w:szCs w:val="20"/>
        </w:rPr>
        <w:lastRenderedPageBreak/>
        <w:t>34189</w:t>
      </w:r>
      <w:r w:rsidRPr="0078410A">
        <w:rPr>
          <w:rStyle w:val="SCCFileNumberChar"/>
          <w:sz w:val="20"/>
          <w:szCs w:val="20"/>
        </w:rPr>
        <w:tab/>
      </w:r>
      <w:r w:rsidRPr="0078410A">
        <w:rPr>
          <w:b/>
          <w:i/>
          <w:sz w:val="20"/>
          <w:szCs w:val="20"/>
          <w:lang w:val="en-US"/>
        </w:rPr>
        <w:t>Annapolis County District School Board et Douglas Ernest Feener c. Johnathan Lee Marshall, représenté par son tuteur, Vaughan Caldwell</w:t>
      </w:r>
    </w:p>
    <w:p w:rsidR="0078410A" w:rsidRDefault="0078410A" w:rsidP="0078410A">
      <w:pPr>
        <w:tabs>
          <w:tab w:val="left" w:pos="-1440"/>
          <w:tab w:val="left" w:pos="-720"/>
        </w:tabs>
        <w:ind w:left="720" w:hanging="720"/>
        <w:jc w:val="both"/>
        <w:rPr>
          <w:sz w:val="20"/>
          <w:szCs w:val="20"/>
          <w:lang w:val="en-US"/>
        </w:rPr>
      </w:pPr>
    </w:p>
    <w:p w:rsidR="0078410A" w:rsidRPr="00F657BB" w:rsidRDefault="0078410A" w:rsidP="0078410A">
      <w:pPr>
        <w:jc w:val="both"/>
        <w:rPr>
          <w:sz w:val="20"/>
          <w:szCs w:val="20"/>
          <w:lang w:val="fr-CA"/>
        </w:rPr>
      </w:pPr>
      <w:r w:rsidRPr="00F657BB">
        <w:rPr>
          <w:sz w:val="20"/>
          <w:szCs w:val="20"/>
          <w:lang w:val="fr-CA"/>
        </w:rPr>
        <w:t xml:space="preserve">Appels </w:t>
      </w:r>
      <w:r w:rsidRPr="00F657BB">
        <w:rPr>
          <w:sz w:val="20"/>
          <w:szCs w:val="20"/>
          <w:lang w:val="fr-CA"/>
        </w:rPr>
        <w:noBreakHyphen/>
        <w:t xml:space="preserve"> Jugements et ordonnances </w:t>
      </w:r>
      <w:r w:rsidRPr="00F657BB">
        <w:rPr>
          <w:sz w:val="20"/>
          <w:szCs w:val="20"/>
          <w:lang w:val="fr-CA"/>
        </w:rPr>
        <w:noBreakHyphen/>
        <w:t xml:space="preserve"> Procès avec jury </w:t>
      </w:r>
      <w:r w:rsidRPr="00F657BB">
        <w:rPr>
          <w:sz w:val="20"/>
          <w:szCs w:val="20"/>
          <w:lang w:val="fr-CA"/>
        </w:rPr>
        <w:noBreakHyphen/>
        <w:t xml:space="preserve"> Exposé au jury </w:t>
      </w:r>
      <w:r w:rsidRPr="00F657BB">
        <w:rPr>
          <w:sz w:val="20"/>
          <w:szCs w:val="20"/>
          <w:lang w:val="fr-CA"/>
        </w:rPr>
        <w:noBreakHyphen/>
        <w:t xml:space="preserve"> Nouveau procès ordonné en raison d’une directive erronée du juge du procès </w:t>
      </w:r>
      <w:r w:rsidRPr="00F657BB">
        <w:rPr>
          <w:sz w:val="20"/>
          <w:szCs w:val="20"/>
          <w:lang w:val="fr-CA"/>
        </w:rPr>
        <w:noBreakHyphen/>
        <w:t xml:space="preserve"> Responsabilité délictuelle </w:t>
      </w:r>
      <w:r w:rsidRPr="00F657BB">
        <w:rPr>
          <w:sz w:val="20"/>
          <w:szCs w:val="20"/>
          <w:lang w:val="fr-CA"/>
        </w:rPr>
        <w:noBreakHyphen/>
        <w:t xml:space="preserve"> Véhicules automobiles </w:t>
      </w:r>
      <w:r w:rsidRPr="00F657BB">
        <w:rPr>
          <w:sz w:val="20"/>
          <w:szCs w:val="20"/>
          <w:lang w:val="fr-CA"/>
        </w:rPr>
        <w:noBreakHyphen/>
        <w:t xml:space="preserve"> Négligence </w:t>
      </w:r>
      <w:r w:rsidRPr="00F657BB">
        <w:rPr>
          <w:sz w:val="20"/>
          <w:szCs w:val="20"/>
          <w:lang w:val="fr-CA"/>
        </w:rPr>
        <w:noBreakHyphen/>
        <w:t xml:space="preserve"> Norme de diligence </w:t>
      </w:r>
      <w:r w:rsidRPr="00F657BB">
        <w:rPr>
          <w:sz w:val="20"/>
          <w:szCs w:val="20"/>
          <w:lang w:val="fr-CA"/>
        </w:rPr>
        <w:noBreakHyphen/>
        <w:t xml:space="preserve"> Aucune négligence contributive de la victime mineure </w:t>
      </w:r>
      <w:r w:rsidRPr="00F657BB">
        <w:rPr>
          <w:sz w:val="20"/>
          <w:szCs w:val="20"/>
          <w:lang w:val="fr-CA"/>
        </w:rPr>
        <w:noBreakHyphen/>
        <w:t xml:space="preserve"> Un chauffeur d’autobus a heurté un enfant qui traversait la route en courant </w:t>
      </w:r>
      <w:r w:rsidRPr="00F657BB">
        <w:rPr>
          <w:sz w:val="20"/>
          <w:szCs w:val="20"/>
          <w:lang w:val="fr-CA"/>
        </w:rPr>
        <w:noBreakHyphen/>
        <w:t xml:space="preserve"> Le chauffeur a</w:t>
      </w:r>
      <w:r w:rsidRPr="00F657BB">
        <w:rPr>
          <w:sz w:val="20"/>
          <w:szCs w:val="20"/>
          <w:lang w:val="fr-CA"/>
        </w:rPr>
        <w:noBreakHyphen/>
        <w:t>t</w:t>
      </w:r>
      <w:r w:rsidRPr="00F657BB">
        <w:rPr>
          <w:sz w:val="20"/>
          <w:szCs w:val="20"/>
          <w:lang w:val="fr-CA"/>
        </w:rPr>
        <w:noBreakHyphen/>
        <w:t xml:space="preserve">il été négligent? </w:t>
      </w:r>
      <w:r w:rsidRPr="00F657BB">
        <w:rPr>
          <w:sz w:val="20"/>
          <w:szCs w:val="20"/>
          <w:lang w:val="fr-CA"/>
        </w:rPr>
        <w:noBreakHyphen/>
        <w:t xml:space="preserve"> Norme de diligence applicable en l’espèce </w:t>
      </w:r>
      <w:r w:rsidRPr="00F657BB">
        <w:rPr>
          <w:sz w:val="20"/>
          <w:szCs w:val="20"/>
          <w:lang w:val="fr-CA"/>
        </w:rPr>
        <w:noBreakHyphen/>
        <w:t xml:space="preserve"> La Cour d’appel a</w:t>
      </w:r>
      <w:r w:rsidRPr="00F657BB">
        <w:rPr>
          <w:sz w:val="20"/>
          <w:szCs w:val="20"/>
          <w:lang w:val="fr-CA"/>
        </w:rPr>
        <w:noBreakHyphen/>
        <w:t>t</w:t>
      </w:r>
      <w:r w:rsidRPr="00F657BB">
        <w:rPr>
          <w:sz w:val="20"/>
          <w:szCs w:val="20"/>
          <w:lang w:val="fr-CA"/>
        </w:rPr>
        <w:noBreakHyphen/>
        <w:t xml:space="preserve">elle commis une erreur en concluant que les juges qui président des procès civils ne peuvent exposer au jury les dispositions relatives aux priorités de passage des piétons et des véhicules lorsqu’il a été statué que le plaignant ne peut être tenu coupable de négligence contributive? </w:t>
      </w:r>
      <w:r w:rsidRPr="00F657BB">
        <w:rPr>
          <w:sz w:val="20"/>
          <w:szCs w:val="20"/>
          <w:lang w:val="fr-CA"/>
        </w:rPr>
        <w:noBreakHyphen/>
        <w:t xml:space="preserve"> La Cour d’appel a</w:t>
      </w:r>
      <w:r w:rsidRPr="00F657BB">
        <w:rPr>
          <w:sz w:val="20"/>
          <w:szCs w:val="20"/>
          <w:lang w:val="fr-CA"/>
        </w:rPr>
        <w:noBreakHyphen/>
        <w:t>t</w:t>
      </w:r>
      <w:r w:rsidRPr="00F657BB">
        <w:rPr>
          <w:sz w:val="20"/>
          <w:szCs w:val="20"/>
          <w:lang w:val="fr-CA"/>
        </w:rPr>
        <w:noBreakHyphen/>
        <w:t>elle commis une erreur en concluant à l’absence de responsabilité des appelants au lieu d’ordonner la tenue d’un nouveau procès?</w:t>
      </w:r>
    </w:p>
    <w:p w:rsidR="0078410A" w:rsidRDefault="0078410A" w:rsidP="0078410A">
      <w:pPr>
        <w:tabs>
          <w:tab w:val="left" w:pos="-1440"/>
          <w:tab w:val="left" w:pos="-720"/>
        </w:tabs>
        <w:ind w:left="720" w:hanging="720"/>
        <w:jc w:val="both"/>
        <w:rPr>
          <w:sz w:val="20"/>
          <w:szCs w:val="20"/>
          <w:lang w:val="fr-CA"/>
        </w:rPr>
      </w:pPr>
    </w:p>
    <w:p w:rsidR="0078410A" w:rsidRPr="00F657BB" w:rsidRDefault="0078410A" w:rsidP="0078410A">
      <w:pPr>
        <w:jc w:val="both"/>
        <w:rPr>
          <w:sz w:val="20"/>
          <w:szCs w:val="20"/>
          <w:lang w:val="fr-CA"/>
        </w:rPr>
      </w:pPr>
      <w:r w:rsidRPr="00F657BB">
        <w:rPr>
          <w:sz w:val="20"/>
          <w:szCs w:val="20"/>
          <w:lang w:val="fr-CA"/>
        </w:rPr>
        <w:t>L’intimé Johnathan Marshall, alors âgé de quatre ans, jouait avec ses deux frères aînés à l’extérieur de leur maison située le long d’une route lorsqu’il a été heurté par un autobus conduit par le demandeur, M. Feener.  Monsieur Feener conduisait son autobus scolaire vide, en route pour aller prendre des élèves de l’école secondaire.  Alors que l’autobus approchait de la maison, Johnathan a couru sur la route et dans sa trajectoire.  Monsieur Feener a freiné dès qu’il a aperçu le garçon, mais Johnathan a été frappé et a subi des blessures graves.  Lorsqu’il a atteint l’âge de 19 ans, Johnathan, par son tuteur à l’instance, a intenté une action contre M. Feener et son employeur, la commission scolaire appelante.  Les appelants ont mis en cause les parents de Johnathan et la demande contre sa mère est toujours en instance.  Au terme d’un procès de dix semaines, le jury a conclu que M. Feener n’avait commis aucune négligence qui aurait causé le préjudice subi par Johnathan ou qui y aurait contribué.  La Cour suprême de la Nouvelle</w:t>
      </w:r>
      <w:r w:rsidRPr="00F657BB">
        <w:rPr>
          <w:sz w:val="20"/>
          <w:szCs w:val="20"/>
          <w:lang w:val="fr-CA"/>
        </w:rPr>
        <w:noBreakHyphen/>
        <w:t>Écosse, Section de première instance, a rejeté l’action de Johnathan.  L’intimé a interjeté appel, alléguant diverses erreurs qui auraient été commises par le juge du procès dans son exposé au jury.  La Cour d’appel de la Nouvelle</w:t>
      </w:r>
      <w:r w:rsidRPr="00F657BB">
        <w:rPr>
          <w:sz w:val="20"/>
          <w:szCs w:val="20"/>
          <w:lang w:val="fr-CA"/>
        </w:rPr>
        <w:noBreakHyphen/>
        <w:t xml:space="preserve">Écosse a accueilli l’appel, concluant que certaines références du juge du procès aux priorités de passage des piétons et des véhicules prévues à l’art. 125 du </w:t>
      </w:r>
      <w:r w:rsidRPr="00F657BB">
        <w:rPr>
          <w:i/>
          <w:sz w:val="20"/>
          <w:szCs w:val="20"/>
          <w:lang w:val="fr-CA"/>
        </w:rPr>
        <w:t xml:space="preserve">Motor Vehicle Act, </w:t>
      </w:r>
      <w:r w:rsidRPr="00F657BB">
        <w:rPr>
          <w:sz w:val="20"/>
          <w:szCs w:val="20"/>
          <w:lang w:val="fr-CA"/>
        </w:rPr>
        <w:t>R.S.N.S. 1989, ch. 293, constituaient une directive erronée, soit une erreur de droit justifiant l’infirmation de la décision, et a ordonné un nouveau procès.</w:t>
      </w:r>
    </w:p>
    <w:p w:rsidR="0078410A" w:rsidRDefault="0078410A" w:rsidP="0078410A">
      <w:pPr>
        <w:tabs>
          <w:tab w:val="left" w:pos="-1440"/>
          <w:tab w:val="left" w:pos="-720"/>
        </w:tabs>
        <w:ind w:left="720" w:hanging="720"/>
        <w:jc w:val="both"/>
        <w:rPr>
          <w:sz w:val="20"/>
          <w:szCs w:val="20"/>
          <w:lang w:val="fr-CA"/>
        </w:rPr>
      </w:pPr>
    </w:p>
    <w:p w:rsidR="0078410A" w:rsidRDefault="0078410A" w:rsidP="0078410A">
      <w:pPr>
        <w:tabs>
          <w:tab w:val="left" w:pos="-1440"/>
          <w:tab w:val="left" w:pos="-720"/>
        </w:tabs>
        <w:ind w:left="720" w:hanging="720"/>
        <w:jc w:val="both"/>
        <w:rPr>
          <w:sz w:val="20"/>
          <w:szCs w:val="20"/>
          <w:lang w:val="fr-CA"/>
        </w:rPr>
      </w:pPr>
    </w:p>
    <w:p w:rsidR="0078410A" w:rsidRPr="0078410A" w:rsidRDefault="0078410A" w:rsidP="0078410A">
      <w:pPr>
        <w:tabs>
          <w:tab w:val="left" w:pos="-1440"/>
          <w:tab w:val="left" w:pos="-720"/>
        </w:tabs>
        <w:ind w:left="3600" w:hanging="3600"/>
        <w:jc w:val="both"/>
        <w:rPr>
          <w:sz w:val="20"/>
          <w:szCs w:val="20"/>
          <w:lang w:val="fr-CA"/>
        </w:rPr>
      </w:pPr>
      <w:r w:rsidRPr="0078410A">
        <w:rPr>
          <w:sz w:val="20"/>
          <w:szCs w:val="20"/>
          <w:lang w:val="fr-CA"/>
        </w:rPr>
        <w:t xml:space="preserve">Origine : </w:t>
      </w:r>
      <w:r w:rsidRPr="0078410A">
        <w:rPr>
          <w:sz w:val="20"/>
          <w:szCs w:val="20"/>
          <w:lang w:val="fr-CA"/>
        </w:rPr>
        <w:tab/>
        <w:t>Nouvelle Écosse</w:t>
      </w:r>
    </w:p>
    <w:p w:rsidR="0078410A" w:rsidRPr="0078410A" w:rsidRDefault="0078410A" w:rsidP="0078410A">
      <w:pPr>
        <w:tabs>
          <w:tab w:val="left" w:pos="-1440"/>
          <w:tab w:val="left" w:pos="-720"/>
        </w:tabs>
        <w:ind w:left="3600" w:hanging="3600"/>
        <w:jc w:val="both"/>
        <w:rPr>
          <w:sz w:val="20"/>
          <w:szCs w:val="20"/>
          <w:lang w:val="fr-CA"/>
        </w:rPr>
      </w:pPr>
    </w:p>
    <w:p w:rsidR="0078410A" w:rsidRPr="0078410A" w:rsidRDefault="0078410A" w:rsidP="0078410A">
      <w:pPr>
        <w:tabs>
          <w:tab w:val="left" w:pos="-1440"/>
          <w:tab w:val="left" w:pos="-720"/>
        </w:tabs>
        <w:ind w:left="3600" w:hanging="3600"/>
        <w:jc w:val="both"/>
        <w:rPr>
          <w:sz w:val="20"/>
          <w:szCs w:val="20"/>
          <w:lang w:val="fr-CA"/>
        </w:rPr>
      </w:pPr>
      <w:r w:rsidRPr="0078410A">
        <w:rPr>
          <w:sz w:val="20"/>
          <w:szCs w:val="20"/>
          <w:lang w:val="fr-CA"/>
        </w:rPr>
        <w:t xml:space="preserve">No du greffe : </w:t>
      </w:r>
      <w:r w:rsidRPr="0078410A">
        <w:rPr>
          <w:sz w:val="20"/>
          <w:szCs w:val="20"/>
          <w:lang w:val="fr-CA"/>
        </w:rPr>
        <w:tab/>
        <w:t>34189</w:t>
      </w:r>
    </w:p>
    <w:p w:rsidR="0078410A" w:rsidRDefault="0078410A" w:rsidP="0078410A">
      <w:pPr>
        <w:tabs>
          <w:tab w:val="left" w:pos="-1440"/>
          <w:tab w:val="left" w:pos="-720"/>
        </w:tabs>
        <w:ind w:left="3600" w:hanging="3600"/>
        <w:jc w:val="both"/>
        <w:rPr>
          <w:sz w:val="20"/>
          <w:szCs w:val="20"/>
          <w:lang w:val="fr-CA"/>
        </w:rPr>
      </w:pPr>
    </w:p>
    <w:p w:rsidR="0078410A" w:rsidRPr="0078410A" w:rsidRDefault="0078410A" w:rsidP="0078410A">
      <w:pPr>
        <w:tabs>
          <w:tab w:val="left" w:pos="-1440"/>
          <w:tab w:val="left" w:pos="-720"/>
        </w:tabs>
        <w:ind w:left="3600" w:hanging="3600"/>
        <w:jc w:val="both"/>
        <w:rPr>
          <w:sz w:val="20"/>
          <w:szCs w:val="20"/>
          <w:lang w:val="fr-CA"/>
        </w:rPr>
      </w:pPr>
      <w:r w:rsidRPr="0078410A">
        <w:rPr>
          <w:sz w:val="20"/>
          <w:szCs w:val="20"/>
          <w:lang w:val="fr-CA"/>
        </w:rPr>
        <w:t>Arrêt de la Cour d’appel :</w:t>
      </w:r>
      <w:r>
        <w:rPr>
          <w:sz w:val="20"/>
          <w:szCs w:val="20"/>
          <w:lang w:val="fr-CA"/>
        </w:rPr>
        <w:tab/>
      </w:r>
      <w:r w:rsidRPr="0078410A">
        <w:rPr>
          <w:sz w:val="20"/>
          <w:szCs w:val="20"/>
          <w:lang w:val="fr-CA"/>
        </w:rPr>
        <w:t>4 février 2011</w:t>
      </w:r>
    </w:p>
    <w:p w:rsidR="0078410A" w:rsidRPr="0078410A" w:rsidRDefault="0078410A" w:rsidP="0078410A">
      <w:pPr>
        <w:tabs>
          <w:tab w:val="left" w:pos="-1440"/>
          <w:tab w:val="left" w:pos="-720"/>
        </w:tabs>
        <w:ind w:left="3600" w:hanging="3600"/>
        <w:jc w:val="both"/>
        <w:rPr>
          <w:sz w:val="20"/>
          <w:szCs w:val="20"/>
          <w:lang w:val="fr-CA"/>
        </w:rPr>
      </w:pPr>
    </w:p>
    <w:p w:rsidR="0078410A" w:rsidRPr="0078410A" w:rsidRDefault="0078410A" w:rsidP="0078410A">
      <w:pPr>
        <w:tabs>
          <w:tab w:val="left" w:pos="-1440"/>
          <w:tab w:val="left" w:pos="-720"/>
        </w:tabs>
        <w:ind w:left="3600" w:hanging="3600"/>
        <w:jc w:val="both"/>
        <w:rPr>
          <w:sz w:val="20"/>
          <w:szCs w:val="20"/>
          <w:lang w:val="fr-CA"/>
        </w:rPr>
      </w:pPr>
      <w:r w:rsidRPr="0078410A">
        <w:rPr>
          <w:sz w:val="20"/>
          <w:szCs w:val="20"/>
          <w:lang w:val="fr-CA"/>
        </w:rPr>
        <w:t>Avocats :</w:t>
      </w:r>
      <w:r w:rsidRPr="0078410A">
        <w:rPr>
          <w:sz w:val="20"/>
          <w:szCs w:val="20"/>
          <w:lang w:val="fr-CA"/>
        </w:rPr>
        <w:tab/>
        <w:t>Scott C. Norton, c.r. et G. Grant Machum pour les appelants et intimés au pourvoi incident</w:t>
      </w:r>
    </w:p>
    <w:p w:rsidR="0078410A" w:rsidRDefault="0078410A" w:rsidP="0078410A">
      <w:pPr>
        <w:tabs>
          <w:tab w:val="left" w:pos="-1440"/>
          <w:tab w:val="left" w:pos="-720"/>
        </w:tabs>
        <w:ind w:left="3600" w:hanging="3600"/>
        <w:jc w:val="both"/>
        <w:rPr>
          <w:sz w:val="20"/>
          <w:szCs w:val="20"/>
          <w:lang w:val="fr-CA"/>
        </w:rPr>
      </w:pPr>
      <w:r>
        <w:rPr>
          <w:sz w:val="20"/>
          <w:szCs w:val="20"/>
          <w:lang w:val="fr-CA"/>
        </w:rPr>
        <w:tab/>
      </w:r>
      <w:r w:rsidRPr="0078410A">
        <w:rPr>
          <w:sz w:val="20"/>
          <w:szCs w:val="20"/>
          <w:lang w:val="fr-CA"/>
        </w:rPr>
        <w:t>Robert K. Dickson, c.r. pour l’intimé et appelant au pourvoi incident</w:t>
      </w:r>
    </w:p>
    <w:p w:rsidR="0078410A" w:rsidRPr="0078410A" w:rsidRDefault="0078410A" w:rsidP="0078410A">
      <w:pPr>
        <w:tabs>
          <w:tab w:val="left" w:pos="-1440"/>
          <w:tab w:val="left" w:pos="-720"/>
        </w:tabs>
        <w:ind w:left="3600" w:hanging="3600"/>
        <w:jc w:val="both"/>
        <w:rPr>
          <w:sz w:val="20"/>
          <w:szCs w:val="20"/>
          <w:lang w:val="fr-CA"/>
        </w:rPr>
      </w:pPr>
    </w:p>
    <w:p w:rsidR="0078410A" w:rsidRDefault="009134DA" w:rsidP="0078410A">
      <w:pPr>
        <w:tabs>
          <w:tab w:val="left" w:pos="-1440"/>
          <w:tab w:val="left" w:pos="-720"/>
        </w:tabs>
        <w:jc w:val="both"/>
        <w:rPr>
          <w:sz w:val="20"/>
          <w:szCs w:val="20"/>
          <w:lang w:val="fr-CA"/>
        </w:rPr>
      </w:pPr>
      <w:r w:rsidRPr="009134DA">
        <w:rPr>
          <w:sz w:val="20"/>
          <w:szCs w:val="20"/>
          <w:lang w:val="fr-CA"/>
        </w:rPr>
        <w:pict>
          <v:rect id="_x0000_i1121" style="width:2in;height:1pt" o:hrpct="0" o:hralign="center" o:hrstd="t" o:hrnoshade="t" o:hr="t" fillcolor="black [3213]" stroked="f"/>
        </w:pict>
      </w:r>
    </w:p>
    <w:p w:rsidR="0078410A" w:rsidRDefault="0078410A" w:rsidP="0078410A">
      <w:pPr>
        <w:tabs>
          <w:tab w:val="left" w:pos="-1440"/>
          <w:tab w:val="left" w:pos="-720"/>
        </w:tabs>
        <w:jc w:val="both"/>
        <w:rPr>
          <w:sz w:val="20"/>
          <w:szCs w:val="20"/>
          <w:lang w:val="fr-CA"/>
        </w:rPr>
      </w:pPr>
    </w:p>
    <w:p w:rsidR="0078410A" w:rsidRDefault="0078410A">
      <w:pPr>
        <w:rPr>
          <w:sz w:val="20"/>
          <w:szCs w:val="20"/>
          <w:lang w:val="fr-CA"/>
        </w:rPr>
      </w:pPr>
    </w:p>
    <w:p w:rsidR="0078410A" w:rsidRDefault="0078410A">
      <w:pPr>
        <w:rPr>
          <w:sz w:val="20"/>
          <w:szCs w:val="20"/>
          <w:lang w:val="fr-CA"/>
        </w:rPr>
      </w:pPr>
      <w:r>
        <w:rPr>
          <w:sz w:val="20"/>
          <w:szCs w:val="20"/>
          <w:lang w:val="fr-CA"/>
        </w:rPr>
        <w:br w:type="page"/>
      </w:r>
    </w:p>
    <w:p w:rsidR="00E77067" w:rsidRPr="00B860CE" w:rsidRDefault="009134DA" w:rsidP="00E77067">
      <w:pPr>
        <w:widowControl w:val="0"/>
        <w:ind w:left="720" w:hanging="720"/>
        <w:jc w:val="both"/>
        <w:rPr>
          <w:sz w:val="20"/>
          <w:szCs w:val="20"/>
        </w:rPr>
      </w:pPr>
      <w:r w:rsidRPr="00B860CE">
        <w:rPr>
          <w:b/>
          <w:sz w:val="20"/>
          <w:szCs w:val="20"/>
        </w:rPr>
        <w:lastRenderedPageBreak/>
        <w:fldChar w:fldCharType="begin"/>
      </w:r>
      <w:r w:rsidR="00E77067" w:rsidRPr="00B860CE">
        <w:rPr>
          <w:b/>
          <w:sz w:val="20"/>
          <w:szCs w:val="20"/>
        </w:rPr>
        <w:instrText xml:space="preserve"> SEQ CHAPTER \h \r 1</w:instrText>
      </w:r>
      <w:r w:rsidRPr="00B860CE">
        <w:rPr>
          <w:b/>
          <w:sz w:val="20"/>
          <w:szCs w:val="20"/>
        </w:rPr>
        <w:fldChar w:fldCharType="end"/>
      </w:r>
      <w:r w:rsidR="00E77067" w:rsidRPr="00B860CE">
        <w:rPr>
          <w:b/>
          <w:sz w:val="20"/>
          <w:szCs w:val="20"/>
        </w:rPr>
        <w:t>34240</w:t>
      </w:r>
      <w:r w:rsidR="00E77067" w:rsidRPr="00B860CE">
        <w:rPr>
          <w:sz w:val="20"/>
          <w:szCs w:val="20"/>
        </w:rPr>
        <w:tab/>
      </w:r>
      <w:r w:rsidR="00E77067" w:rsidRPr="00B860CE">
        <w:rPr>
          <w:b/>
          <w:i/>
          <w:sz w:val="20"/>
          <w:szCs w:val="20"/>
        </w:rPr>
        <w:t>A.B. by her Litigation Guardian, C.D. v. Bragg Communications Incorporated, a body corporate and Halifax Herald Limited, a body corporate</w:t>
      </w:r>
    </w:p>
    <w:p w:rsidR="00E77067" w:rsidRPr="00B860CE" w:rsidRDefault="00E77067" w:rsidP="00E77067">
      <w:pPr>
        <w:widowControl w:val="0"/>
        <w:jc w:val="both"/>
        <w:rPr>
          <w:sz w:val="20"/>
          <w:szCs w:val="20"/>
        </w:rPr>
      </w:pPr>
    </w:p>
    <w:p w:rsidR="00E77067" w:rsidRPr="00B860CE" w:rsidRDefault="00E77067" w:rsidP="00E77067">
      <w:pPr>
        <w:widowControl w:val="0"/>
        <w:jc w:val="both"/>
        <w:rPr>
          <w:smallCaps/>
          <w:sz w:val="20"/>
          <w:szCs w:val="20"/>
        </w:rPr>
      </w:pPr>
      <w:r w:rsidRPr="00B860CE">
        <w:rPr>
          <w:smallCaps/>
          <w:sz w:val="20"/>
          <w:szCs w:val="20"/>
        </w:rPr>
        <w:t>(Publication Ban in Case) (Sealing Order)</w:t>
      </w:r>
    </w:p>
    <w:p w:rsidR="00E77067" w:rsidRPr="00B860CE" w:rsidRDefault="00E77067" w:rsidP="00E77067">
      <w:pPr>
        <w:widowControl w:val="0"/>
        <w:jc w:val="both"/>
        <w:rPr>
          <w:sz w:val="20"/>
          <w:szCs w:val="20"/>
        </w:rPr>
      </w:pPr>
    </w:p>
    <w:p w:rsidR="00E77067" w:rsidRPr="00B860CE" w:rsidRDefault="00E77067" w:rsidP="00E77067">
      <w:pPr>
        <w:widowControl w:val="0"/>
        <w:jc w:val="both"/>
        <w:rPr>
          <w:sz w:val="20"/>
          <w:szCs w:val="20"/>
        </w:rPr>
      </w:pPr>
      <w:r w:rsidRPr="00B860CE">
        <w:rPr>
          <w:sz w:val="20"/>
          <w:szCs w:val="20"/>
        </w:rPr>
        <w:t xml:space="preserve">Civil procedure </w:t>
      </w:r>
      <w:r w:rsidRPr="00B860CE">
        <w:rPr>
          <w:sz w:val="20"/>
          <w:szCs w:val="20"/>
        </w:rPr>
        <w:noBreakHyphen/>
        <w:t xml:space="preserve"> Confidentiality orders </w:t>
      </w:r>
      <w:r w:rsidRPr="00B860CE">
        <w:rPr>
          <w:sz w:val="20"/>
          <w:szCs w:val="20"/>
        </w:rPr>
        <w:noBreakHyphen/>
        <w:t xml:space="preserve"> Defamation </w:t>
      </w:r>
      <w:r w:rsidRPr="00B860CE">
        <w:rPr>
          <w:sz w:val="20"/>
          <w:szCs w:val="20"/>
        </w:rPr>
        <w:noBreakHyphen/>
        <w:t xml:space="preserve"> Appellant applying for order requiring disclosure of identity of persons who used particular IP address to create fake profile on Facebook </w:t>
      </w:r>
      <w:r w:rsidRPr="00B860CE">
        <w:rPr>
          <w:sz w:val="20"/>
          <w:szCs w:val="20"/>
        </w:rPr>
        <w:noBreakHyphen/>
        <w:t xml:space="preserve"> Appellant also applying for permission to proceed by way of initials and for order prohibiting publication of allegedly defamatory statements in profile </w:t>
      </w:r>
      <w:r w:rsidRPr="00B860CE">
        <w:rPr>
          <w:sz w:val="20"/>
          <w:szCs w:val="20"/>
        </w:rPr>
        <w:noBreakHyphen/>
        <w:t xml:space="preserve"> Whether a minor seeking a civil remedy for online sexualized bullying should be entitled to bring a motion to determine the identity of the intended defendant using a pseudonym and under a publication ban concerning the substance of the statement </w:t>
      </w:r>
      <w:r w:rsidRPr="00B860CE">
        <w:rPr>
          <w:sz w:val="20"/>
          <w:szCs w:val="20"/>
        </w:rPr>
        <w:noBreakHyphen/>
        <w:t xml:space="preserve"> Whether a court should take notice of the inherent vulnerability of young people subject to online sexualized bullying and the serious risk of harm to them if they are required to republish the comments and reveal their identity to seek a remedy, in considering if a confidentiality order and publication ban should be granted </w:t>
      </w:r>
      <w:r w:rsidRPr="00B860CE">
        <w:rPr>
          <w:sz w:val="20"/>
          <w:szCs w:val="20"/>
        </w:rPr>
        <w:noBreakHyphen/>
        <w:t xml:space="preserve"> Whether a court can invoke its </w:t>
      </w:r>
      <w:r w:rsidRPr="00B860CE">
        <w:rPr>
          <w:i/>
          <w:sz w:val="20"/>
          <w:szCs w:val="20"/>
        </w:rPr>
        <w:t>parens patriae</w:t>
      </w:r>
      <w:r w:rsidRPr="00B860CE">
        <w:rPr>
          <w:sz w:val="20"/>
          <w:szCs w:val="20"/>
        </w:rPr>
        <w:t xml:space="preserve"> jurisdiction to protect a child, in considering whether a confidentiality order and publication ban should be granted for a child subject to online sexualized bullying </w:t>
      </w:r>
      <w:r w:rsidRPr="00B860CE">
        <w:rPr>
          <w:sz w:val="20"/>
          <w:szCs w:val="20"/>
        </w:rPr>
        <w:noBreakHyphen/>
        <w:t xml:space="preserve"> Whether media that choose to intervene in a motion for a publication ban should be entitled to costs if the motion is not successful, particularly when the motion involves interests broader than those of the applicant.</w:t>
      </w:r>
    </w:p>
    <w:p w:rsidR="00E77067" w:rsidRPr="00B860CE" w:rsidRDefault="00E77067" w:rsidP="00E77067">
      <w:pPr>
        <w:widowControl w:val="0"/>
        <w:jc w:val="both"/>
        <w:rPr>
          <w:sz w:val="20"/>
          <w:szCs w:val="20"/>
        </w:rPr>
      </w:pPr>
    </w:p>
    <w:p w:rsidR="00E77067" w:rsidRPr="00B860CE" w:rsidRDefault="00E77067" w:rsidP="00E77067">
      <w:pPr>
        <w:widowControl w:val="0"/>
        <w:jc w:val="both"/>
        <w:rPr>
          <w:sz w:val="20"/>
          <w:szCs w:val="20"/>
        </w:rPr>
      </w:pPr>
      <w:r w:rsidRPr="00B860CE">
        <w:rPr>
          <w:sz w:val="20"/>
          <w:szCs w:val="20"/>
        </w:rPr>
        <w:t>The appellant became aware of a fake profile on the social networking website Facebook, which included a photograph of the appellant, a slightly modified version of her name, and other particulars which identified her.  The fake profile also discussed the appellant’s physical appearance, her weight, and allegedly included scandalous sexual commentary of a private and intimate nature.  The appellant, by her litigation guardian, applied in chambers for an order requiring the respondent Bragg Communications to disclose the identity of the persons who used a particular IP address to perpetrate the alleged defamation.  As additional relief, the appellant sought an order which would allow her to proceed by pseudonym (initials), and as well, a partial publication ban to prevent the public from knowing the words contained in the fake Facebook profile.  LeBlanc J. granted the disclosure order but refused the additional relief sought.  The Court of Appeal upheld that decision.</w:t>
      </w:r>
    </w:p>
    <w:p w:rsidR="00E77067" w:rsidRPr="00B860CE" w:rsidRDefault="00E77067" w:rsidP="00E77067">
      <w:pPr>
        <w:widowControl w:val="0"/>
        <w:jc w:val="both"/>
        <w:rPr>
          <w:sz w:val="20"/>
          <w:szCs w:val="20"/>
        </w:rPr>
      </w:pPr>
    </w:p>
    <w:p w:rsidR="00E77067" w:rsidRPr="00B860CE" w:rsidRDefault="00E77067" w:rsidP="00E77067">
      <w:pPr>
        <w:widowControl w:val="0"/>
        <w:jc w:val="both"/>
        <w:rPr>
          <w:sz w:val="20"/>
          <w:szCs w:val="20"/>
        </w:rPr>
      </w:pPr>
    </w:p>
    <w:p w:rsidR="00E77067" w:rsidRPr="00B860CE" w:rsidRDefault="00E77067" w:rsidP="00E77067">
      <w:pPr>
        <w:widowControl w:val="0"/>
        <w:ind w:left="3600" w:hanging="3600"/>
        <w:jc w:val="both"/>
        <w:rPr>
          <w:sz w:val="20"/>
          <w:szCs w:val="20"/>
        </w:rPr>
      </w:pPr>
      <w:r w:rsidRPr="00B860CE">
        <w:rPr>
          <w:sz w:val="20"/>
          <w:szCs w:val="20"/>
        </w:rPr>
        <w:t>Origin of the case:</w:t>
      </w:r>
      <w:r w:rsidRPr="00B860CE">
        <w:rPr>
          <w:sz w:val="20"/>
          <w:szCs w:val="20"/>
        </w:rPr>
        <w:tab/>
        <w:t>Nova Scotia</w:t>
      </w:r>
    </w:p>
    <w:p w:rsidR="00E77067" w:rsidRPr="00B860CE" w:rsidRDefault="00E77067" w:rsidP="00E77067">
      <w:pPr>
        <w:widowControl w:val="0"/>
        <w:ind w:left="3600" w:hanging="3600"/>
        <w:jc w:val="both"/>
        <w:rPr>
          <w:sz w:val="20"/>
          <w:szCs w:val="20"/>
        </w:rPr>
      </w:pPr>
    </w:p>
    <w:p w:rsidR="00E77067" w:rsidRPr="00B860CE" w:rsidRDefault="00E77067" w:rsidP="00E77067">
      <w:pPr>
        <w:widowControl w:val="0"/>
        <w:ind w:left="3600" w:hanging="3600"/>
        <w:jc w:val="both"/>
        <w:rPr>
          <w:sz w:val="20"/>
          <w:szCs w:val="20"/>
        </w:rPr>
      </w:pPr>
      <w:r w:rsidRPr="00B860CE">
        <w:rPr>
          <w:sz w:val="20"/>
          <w:szCs w:val="20"/>
        </w:rPr>
        <w:t>File No.:</w:t>
      </w:r>
      <w:r w:rsidRPr="00B860CE">
        <w:rPr>
          <w:sz w:val="20"/>
          <w:szCs w:val="20"/>
        </w:rPr>
        <w:tab/>
        <w:t>34240</w:t>
      </w:r>
    </w:p>
    <w:p w:rsidR="00E77067" w:rsidRPr="00B860CE" w:rsidRDefault="00E77067" w:rsidP="00E77067">
      <w:pPr>
        <w:widowControl w:val="0"/>
        <w:ind w:left="3600" w:hanging="3600"/>
        <w:jc w:val="both"/>
        <w:rPr>
          <w:sz w:val="20"/>
          <w:szCs w:val="20"/>
        </w:rPr>
      </w:pPr>
    </w:p>
    <w:p w:rsidR="00E77067" w:rsidRPr="00B860CE" w:rsidRDefault="00E77067" w:rsidP="00E77067">
      <w:pPr>
        <w:widowControl w:val="0"/>
        <w:ind w:left="3600" w:hanging="3600"/>
        <w:jc w:val="both"/>
        <w:rPr>
          <w:sz w:val="20"/>
          <w:szCs w:val="20"/>
        </w:rPr>
      </w:pPr>
      <w:r w:rsidRPr="00B860CE">
        <w:rPr>
          <w:sz w:val="20"/>
          <w:szCs w:val="20"/>
        </w:rPr>
        <w:t>Judgment of the Court of Appeal:</w:t>
      </w:r>
      <w:r w:rsidRPr="00B860CE">
        <w:rPr>
          <w:sz w:val="20"/>
          <w:szCs w:val="20"/>
        </w:rPr>
        <w:tab/>
        <w:t>March 4, 2011</w:t>
      </w:r>
    </w:p>
    <w:p w:rsidR="00E77067" w:rsidRPr="00B860CE" w:rsidRDefault="00E77067" w:rsidP="00E77067">
      <w:pPr>
        <w:widowControl w:val="0"/>
        <w:ind w:left="3600" w:hanging="3600"/>
        <w:jc w:val="both"/>
        <w:rPr>
          <w:sz w:val="20"/>
          <w:szCs w:val="20"/>
        </w:rPr>
      </w:pPr>
    </w:p>
    <w:p w:rsidR="00E77067" w:rsidRPr="00B860CE" w:rsidRDefault="00E77067" w:rsidP="00E77067">
      <w:pPr>
        <w:widowControl w:val="0"/>
        <w:ind w:left="3600" w:hanging="3600"/>
        <w:jc w:val="both"/>
        <w:rPr>
          <w:sz w:val="20"/>
          <w:szCs w:val="20"/>
        </w:rPr>
      </w:pPr>
      <w:r w:rsidRPr="00B860CE">
        <w:rPr>
          <w:sz w:val="20"/>
          <w:szCs w:val="20"/>
        </w:rPr>
        <w:t>Counsel:</w:t>
      </w:r>
      <w:r w:rsidRPr="00B860CE">
        <w:rPr>
          <w:sz w:val="20"/>
          <w:szCs w:val="20"/>
        </w:rPr>
        <w:tab/>
        <w:t>Michelle Awad, Q.C. for the appellant</w:t>
      </w:r>
    </w:p>
    <w:p w:rsidR="00E77067" w:rsidRPr="00B860CE" w:rsidRDefault="00E77067" w:rsidP="00E77067">
      <w:pPr>
        <w:widowControl w:val="0"/>
        <w:ind w:left="3600" w:hanging="3600"/>
        <w:jc w:val="both"/>
        <w:rPr>
          <w:sz w:val="20"/>
          <w:szCs w:val="20"/>
        </w:rPr>
      </w:pPr>
      <w:r w:rsidRPr="00B860CE">
        <w:rPr>
          <w:sz w:val="20"/>
          <w:szCs w:val="20"/>
        </w:rPr>
        <w:tab/>
        <w:t xml:space="preserve">Daniel W. Burnett as </w:t>
      </w:r>
      <w:r w:rsidRPr="004F4291">
        <w:rPr>
          <w:i/>
          <w:sz w:val="20"/>
          <w:szCs w:val="20"/>
        </w:rPr>
        <w:t>Amicus Curiae</w:t>
      </w:r>
    </w:p>
    <w:p w:rsidR="0078410A" w:rsidRPr="00DD0B49" w:rsidRDefault="0078410A" w:rsidP="0078410A">
      <w:pPr>
        <w:tabs>
          <w:tab w:val="left" w:pos="-1440"/>
          <w:tab w:val="left" w:pos="-720"/>
        </w:tabs>
        <w:jc w:val="both"/>
        <w:rPr>
          <w:sz w:val="20"/>
          <w:szCs w:val="20"/>
          <w:lang w:val="fr-CA"/>
        </w:rPr>
      </w:pPr>
    </w:p>
    <w:p w:rsidR="0078410A" w:rsidRDefault="009134DA" w:rsidP="0078410A">
      <w:pPr>
        <w:tabs>
          <w:tab w:val="left" w:pos="-1440"/>
          <w:tab w:val="left" w:pos="-720"/>
        </w:tabs>
        <w:jc w:val="both"/>
        <w:rPr>
          <w:sz w:val="20"/>
          <w:szCs w:val="20"/>
          <w:lang w:val="fr-CA"/>
        </w:rPr>
      </w:pPr>
      <w:r w:rsidRPr="009134DA">
        <w:rPr>
          <w:sz w:val="20"/>
          <w:szCs w:val="20"/>
          <w:lang w:val="fr-CA"/>
        </w:rPr>
        <w:pict>
          <v:rect id="_x0000_i1122" style="width:2in;height:1pt" o:hrpct="0" o:hralign="center" o:hrstd="t" o:hrnoshade="t" o:hr="t" fillcolor="black [3213]" stroked="f"/>
        </w:pict>
      </w:r>
    </w:p>
    <w:p w:rsidR="0078410A" w:rsidRDefault="0078410A" w:rsidP="0078410A">
      <w:pPr>
        <w:tabs>
          <w:tab w:val="left" w:pos="-1440"/>
          <w:tab w:val="left" w:pos="-720"/>
        </w:tabs>
        <w:jc w:val="both"/>
        <w:rPr>
          <w:sz w:val="20"/>
          <w:szCs w:val="20"/>
          <w:lang w:val="fr-CA"/>
        </w:rPr>
      </w:pPr>
    </w:p>
    <w:p w:rsidR="0078410A" w:rsidRDefault="0078410A">
      <w:pPr>
        <w:rPr>
          <w:sz w:val="20"/>
          <w:szCs w:val="20"/>
          <w:lang w:val="fr-CA"/>
        </w:rPr>
      </w:pPr>
      <w:r>
        <w:rPr>
          <w:sz w:val="20"/>
          <w:szCs w:val="20"/>
          <w:lang w:val="fr-CA"/>
        </w:rPr>
        <w:br w:type="page"/>
      </w:r>
    </w:p>
    <w:p w:rsidR="00E77067" w:rsidRPr="00DD492E" w:rsidRDefault="009134DA" w:rsidP="00E77067">
      <w:pPr>
        <w:widowControl w:val="0"/>
        <w:ind w:left="720" w:hanging="720"/>
        <w:jc w:val="both"/>
        <w:rPr>
          <w:sz w:val="20"/>
          <w:szCs w:val="20"/>
          <w:lang w:val="fr-CA"/>
        </w:rPr>
      </w:pPr>
      <w:r w:rsidRPr="00DD492E">
        <w:rPr>
          <w:b/>
          <w:sz w:val="20"/>
          <w:szCs w:val="20"/>
          <w:lang w:val="fr-CA"/>
        </w:rPr>
        <w:lastRenderedPageBreak/>
        <w:fldChar w:fldCharType="begin"/>
      </w:r>
      <w:r w:rsidR="00E77067" w:rsidRPr="00DD492E">
        <w:rPr>
          <w:b/>
          <w:sz w:val="20"/>
          <w:szCs w:val="20"/>
          <w:lang w:val="fr-CA"/>
        </w:rPr>
        <w:instrText xml:space="preserve"> SEQ CHAPTER \h \r 1</w:instrText>
      </w:r>
      <w:r w:rsidRPr="00DD492E">
        <w:rPr>
          <w:b/>
          <w:sz w:val="20"/>
          <w:szCs w:val="20"/>
          <w:lang w:val="fr-CA"/>
        </w:rPr>
        <w:fldChar w:fldCharType="end"/>
      </w:r>
      <w:r w:rsidR="00E77067" w:rsidRPr="00DD492E">
        <w:rPr>
          <w:b/>
          <w:sz w:val="20"/>
          <w:szCs w:val="20"/>
          <w:lang w:val="fr-CA"/>
        </w:rPr>
        <w:t>34240</w:t>
      </w:r>
      <w:r w:rsidR="00E77067" w:rsidRPr="00DD492E">
        <w:rPr>
          <w:sz w:val="20"/>
          <w:szCs w:val="20"/>
          <w:lang w:val="fr-CA"/>
        </w:rPr>
        <w:tab/>
      </w:r>
      <w:r w:rsidR="00E77067" w:rsidRPr="00DD492E">
        <w:rPr>
          <w:b/>
          <w:i/>
          <w:sz w:val="20"/>
          <w:szCs w:val="20"/>
          <w:lang w:val="fr-CA"/>
        </w:rPr>
        <w:t xml:space="preserve">A.B. par son tuteur à l’instance, C.D. c. Bragg Communications Incorporated, une personne morale et Halifax Herald Limited, une personne morale </w:t>
      </w:r>
    </w:p>
    <w:p w:rsidR="00E77067" w:rsidRPr="00DD492E" w:rsidRDefault="00E77067" w:rsidP="00E77067">
      <w:pPr>
        <w:widowControl w:val="0"/>
        <w:jc w:val="both"/>
        <w:rPr>
          <w:sz w:val="20"/>
          <w:szCs w:val="20"/>
          <w:lang w:val="fr-CA"/>
        </w:rPr>
      </w:pPr>
    </w:p>
    <w:p w:rsidR="00E77067" w:rsidRPr="00DD492E" w:rsidRDefault="00E77067" w:rsidP="00E77067">
      <w:pPr>
        <w:widowControl w:val="0"/>
        <w:jc w:val="both"/>
        <w:rPr>
          <w:smallCaps/>
          <w:sz w:val="20"/>
          <w:szCs w:val="20"/>
          <w:lang w:val="fr-CA"/>
        </w:rPr>
      </w:pPr>
      <w:r w:rsidRPr="00DD492E">
        <w:rPr>
          <w:smallCaps/>
          <w:sz w:val="20"/>
          <w:szCs w:val="20"/>
          <w:lang w:val="fr-CA"/>
        </w:rPr>
        <w:t>(Ordonnance de non</w:t>
      </w:r>
      <w:r w:rsidRPr="00DD492E">
        <w:rPr>
          <w:smallCaps/>
          <w:sz w:val="20"/>
          <w:szCs w:val="20"/>
          <w:lang w:val="fr-CA"/>
        </w:rPr>
        <w:noBreakHyphen/>
        <w:t>publication dans le dossier) (Ordonnance de mise sous scellés)</w:t>
      </w:r>
    </w:p>
    <w:p w:rsidR="00E77067" w:rsidRPr="00DD492E" w:rsidRDefault="00E77067" w:rsidP="00E77067">
      <w:pPr>
        <w:widowControl w:val="0"/>
        <w:jc w:val="both"/>
        <w:rPr>
          <w:sz w:val="20"/>
          <w:szCs w:val="20"/>
          <w:lang w:val="fr-CA"/>
        </w:rPr>
      </w:pPr>
    </w:p>
    <w:p w:rsidR="00E77067" w:rsidRPr="00DD492E" w:rsidRDefault="00E77067" w:rsidP="00E77067">
      <w:pPr>
        <w:widowControl w:val="0"/>
        <w:jc w:val="both"/>
        <w:rPr>
          <w:sz w:val="20"/>
          <w:szCs w:val="20"/>
          <w:lang w:val="fr-CA"/>
        </w:rPr>
      </w:pPr>
      <w:r w:rsidRPr="00DD492E">
        <w:rPr>
          <w:sz w:val="20"/>
          <w:szCs w:val="20"/>
          <w:lang w:val="fr-CA"/>
        </w:rPr>
        <w:t xml:space="preserve">Procédure civile </w:t>
      </w:r>
      <w:r w:rsidRPr="00DD492E">
        <w:rPr>
          <w:sz w:val="20"/>
          <w:szCs w:val="20"/>
          <w:lang w:val="fr-CA"/>
        </w:rPr>
        <w:noBreakHyphen/>
        <w:t xml:space="preserve"> Ordonnances de confidentialité </w:t>
      </w:r>
      <w:r w:rsidRPr="00DD492E">
        <w:rPr>
          <w:sz w:val="20"/>
          <w:szCs w:val="20"/>
          <w:lang w:val="fr-CA"/>
        </w:rPr>
        <w:noBreakHyphen/>
        <w:t xml:space="preserve"> Diffamation </w:t>
      </w:r>
      <w:r w:rsidRPr="00DD492E">
        <w:rPr>
          <w:sz w:val="20"/>
          <w:szCs w:val="20"/>
          <w:lang w:val="fr-CA"/>
        </w:rPr>
        <w:noBreakHyphen/>
        <w:t xml:space="preserve"> L’appelante sollicite une ordonnance de divulgation de l’identité des personnes qui ont utilisé une adresse IP particulière pour créer un faux profil sur Facebook </w:t>
      </w:r>
      <w:r w:rsidRPr="00DD492E">
        <w:rPr>
          <w:sz w:val="20"/>
          <w:szCs w:val="20"/>
          <w:lang w:val="fr-CA"/>
        </w:rPr>
        <w:noBreakHyphen/>
        <w:t xml:space="preserve"> L’appelante sollicite également la permission de procéder par voie d’initiales et une ordonnance de non</w:t>
      </w:r>
      <w:r w:rsidRPr="00DD492E">
        <w:rPr>
          <w:sz w:val="20"/>
          <w:szCs w:val="20"/>
          <w:lang w:val="fr-CA"/>
        </w:rPr>
        <w:noBreakHyphen/>
        <w:t xml:space="preserve">publication de déclarations censément diffamatoires dans le profil </w:t>
      </w:r>
      <w:r w:rsidRPr="00DD492E">
        <w:rPr>
          <w:sz w:val="20"/>
          <w:szCs w:val="20"/>
          <w:lang w:val="fr-CA"/>
        </w:rPr>
        <w:noBreakHyphen/>
        <w:t xml:space="preserve"> Un mineur qui demande une réparation civile pour harcèlement à caractère sexuel en ligne devrait</w:t>
      </w:r>
      <w:r w:rsidRPr="00DD492E">
        <w:rPr>
          <w:sz w:val="20"/>
          <w:szCs w:val="20"/>
          <w:lang w:val="fr-CA"/>
        </w:rPr>
        <w:noBreakHyphen/>
        <w:t>il avoir le droit de présenter une requête pour déterminer l’identité du défendeur visé sous un pseudonyme et sous le régime d’une ordonnance de non</w:t>
      </w:r>
      <w:r w:rsidRPr="00DD492E">
        <w:rPr>
          <w:sz w:val="20"/>
          <w:szCs w:val="20"/>
          <w:lang w:val="fr-CA"/>
        </w:rPr>
        <w:noBreakHyphen/>
        <w:t xml:space="preserve">publication portant sur la substance de la déclaration? </w:t>
      </w:r>
      <w:r w:rsidRPr="00DD492E">
        <w:rPr>
          <w:sz w:val="20"/>
          <w:szCs w:val="20"/>
          <w:lang w:val="fr-CA"/>
        </w:rPr>
        <w:noBreakHyphen/>
        <w:t xml:space="preserve"> En considérant la question de savoir s’il y a lieu de prononcer une ordonnance de confidentialité et une ordonnance de non</w:t>
      </w:r>
      <w:r w:rsidRPr="00DD492E">
        <w:rPr>
          <w:sz w:val="20"/>
          <w:szCs w:val="20"/>
          <w:lang w:val="fr-CA"/>
        </w:rPr>
        <w:noBreakHyphen/>
        <w:t>publication, le tribunal doit</w:t>
      </w:r>
      <w:r w:rsidRPr="00DD492E">
        <w:rPr>
          <w:sz w:val="20"/>
          <w:szCs w:val="20"/>
          <w:lang w:val="fr-CA"/>
        </w:rPr>
        <w:noBreakHyphen/>
        <w:t xml:space="preserve">il admettre d’office la vulnérabilité inhérente des adolescents qui font l’objet de harcèlement à caractère sexuel en ligne et du risque grave de préjudice qu’ils peuvent subir s’ils sont tenus de publier de nouveau les commentaires et de révéler leur identité pour obtenir une réparation? </w:t>
      </w:r>
      <w:r w:rsidRPr="00DD492E">
        <w:rPr>
          <w:sz w:val="20"/>
          <w:szCs w:val="20"/>
          <w:lang w:val="fr-CA"/>
        </w:rPr>
        <w:noBreakHyphen/>
        <w:t xml:space="preserve"> En considérant la question de savoir s’il y a lieu de prononcer une ordonnance de confidentialité et une ordonnance de non</w:t>
      </w:r>
      <w:r w:rsidRPr="00DD492E">
        <w:rPr>
          <w:sz w:val="20"/>
          <w:szCs w:val="20"/>
          <w:lang w:val="fr-CA"/>
        </w:rPr>
        <w:noBreakHyphen/>
        <w:t>publication en faveur d’un enfant qui fait l’objet de harcèlement à caractère sexuel en ligne, le tribunal peut</w:t>
      </w:r>
      <w:r w:rsidRPr="00DD492E">
        <w:rPr>
          <w:sz w:val="20"/>
          <w:szCs w:val="20"/>
          <w:lang w:val="fr-CA"/>
        </w:rPr>
        <w:noBreakHyphen/>
        <w:t xml:space="preserve">il invoquer sa compétence </w:t>
      </w:r>
      <w:r w:rsidRPr="00DD492E">
        <w:rPr>
          <w:i/>
          <w:sz w:val="20"/>
          <w:szCs w:val="20"/>
          <w:lang w:val="fr-CA"/>
        </w:rPr>
        <w:t>parens patriae</w:t>
      </w:r>
      <w:r w:rsidRPr="00DD492E">
        <w:rPr>
          <w:sz w:val="20"/>
          <w:szCs w:val="20"/>
          <w:lang w:val="fr-CA"/>
        </w:rPr>
        <w:t xml:space="preserve"> pour protéger l’enfant? </w:t>
      </w:r>
      <w:r w:rsidRPr="00DD492E">
        <w:rPr>
          <w:sz w:val="20"/>
          <w:szCs w:val="20"/>
          <w:lang w:val="fr-CA"/>
        </w:rPr>
        <w:noBreakHyphen/>
        <w:t xml:space="preserve"> Les médias qui choisissent d’intervenir dans une requête visant à obtenir une ordonnance de non</w:t>
      </w:r>
      <w:r w:rsidRPr="00DD492E">
        <w:rPr>
          <w:sz w:val="20"/>
          <w:szCs w:val="20"/>
          <w:lang w:val="fr-CA"/>
        </w:rPr>
        <w:noBreakHyphen/>
        <w:t>publication devraient</w:t>
      </w:r>
      <w:r w:rsidRPr="00DD492E">
        <w:rPr>
          <w:sz w:val="20"/>
          <w:szCs w:val="20"/>
          <w:lang w:val="fr-CA"/>
        </w:rPr>
        <w:noBreakHyphen/>
        <w:t>ils avoir le droit aux dépens si la requête est rejetée, en particulier lorsque la requête porte sur des intérêts qui dépassent ceux du requérant?</w:t>
      </w:r>
    </w:p>
    <w:p w:rsidR="00E77067" w:rsidRPr="00DD492E" w:rsidRDefault="00E77067" w:rsidP="00E77067">
      <w:pPr>
        <w:widowControl w:val="0"/>
        <w:jc w:val="both"/>
        <w:rPr>
          <w:sz w:val="20"/>
          <w:szCs w:val="20"/>
          <w:lang w:val="fr-CA"/>
        </w:rPr>
      </w:pPr>
    </w:p>
    <w:p w:rsidR="00E77067" w:rsidRPr="00DD492E" w:rsidRDefault="00E77067" w:rsidP="00E77067">
      <w:pPr>
        <w:widowControl w:val="0"/>
        <w:jc w:val="both"/>
        <w:rPr>
          <w:sz w:val="20"/>
          <w:szCs w:val="20"/>
          <w:lang w:val="fr-CA"/>
        </w:rPr>
      </w:pPr>
      <w:r w:rsidRPr="00DD492E">
        <w:rPr>
          <w:sz w:val="20"/>
          <w:szCs w:val="20"/>
          <w:lang w:val="fr-CA"/>
        </w:rPr>
        <w:t>L’appelante a pris connaissance d’un faux profil sur le site Web de réseautage social Facebook, qui comprenait une photographie de l’appelante, une version légèrement modifiée de son nom et d’autres détails qui l’identifiaient.  Le faux profil discutait également de l’apparence physique de l’appelante, de son poids, et comprenait censément des commentaires scandaleux à caractère sexuel de nature privée et intime.  L’appelante, par son tuteur à l’instance, à présenté en cabinet une demande en vue d’obtenir une ordonnance obligeant l’intimée Bragg Communications à divulguer l’identité des personnes qui ont utilisé une adresse IP particulière pour perpétrer la diffamation alléguée.  À titre de réparation additionnelle, l’appelante a sollicité une ordonnance qui lui permettrait de procéder par un pseudonyme (initiales) et une ordonnance de non</w:t>
      </w:r>
      <w:r w:rsidRPr="00DD492E">
        <w:rPr>
          <w:sz w:val="20"/>
          <w:szCs w:val="20"/>
          <w:lang w:val="fr-CA"/>
        </w:rPr>
        <w:noBreakHyphen/>
        <w:t>publication partielle pour empêcher le public de connaître les mots qui se trouvaient dans le faux profil Facebook.  Le juge LeBlanc a accordé l’ordonnance de divulgation, mais a refusé la réparation additionnelle demandée.  La Cour d’appel a confirmé cette décision.</w:t>
      </w:r>
    </w:p>
    <w:p w:rsidR="00E77067" w:rsidRPr="00DD492E" w:rsidRDefault="00E77067" w:rsidP="00E77067">
      <w:pPr>
        <w:widowControl w:val="0"/>
        <w:jc w:val="both"/>
        <w:rPr>
          <w:sz w:val="20"/>
          <w:szCs w:val="20"/>
          <w:lang w:val="fr-CA"/>
        </w:rPr>
      </w:pPr>
    </w:p>
    <w:p w:rsidR="00E77067" w:rsidRPr="00DD492E" w:rsidRDefault="00E77067" w:rsidP="00E77067">
      <w:pPr>
        <w:widowControl w:val="0"/>
        <w:jc w:val="both"/>
        <w:rPr>
          <w:sz w:val="20"/>
          <w:szCs w:val="20"/>
          <w:lang w:val="fr-CA"/>
        </w:rPr>
      </w:pPr>
    </w:p>
    <w:p w:rsidR="00E77067" w:rsidRPr="00DD492E" w:rsidRDefault="00E77067" w:rsidP="00E77067">
      <w:pPr>
        <w:widowControl w:val="0"/>
        <w:ind w:left="3600" w:hanging="3600"/>
        <w:jc w:val="both"/>
        <w:rPr>
          <w:sz w:val="20"/>
          <w:szCs w:val="20"/>
          <w:lang w:val="fr-CA"/>
        </w:rPr>
      </w:pPr>
      <w:r w:rsidRPr="00DD492E">
        <w:rPr>
          <w:sz w:val="20"/>
          <w:szCs w:val="20"/>
          <w:lang w:val="fr-CA"/>
        </w:rPr>
        <w:t>Origine :</w:t>
      </w:r>
      <w:r w:rsidRPr="00DD492E">
        <w:rPr>
          <w:sz w:val="20"/>
          <w:szCs w:val="20"/>
          <w:lang w:val="fr-CA"/>
        </w:rPr>
        <w:tab/>
        <w:t>Nouvelle</w:t>
      </w:r>
      <w:r w:rsidRPr="00DD492E">
        <w:rPr>
          <w:sz w:val="20"/>
          <w:szCs w:val="20"/>
          <w:lang w:val="fr-CA"/>
        </w:rPr>
        <w:noBreakHyphen/>
        <w:t>Écosse</w:t>
      </w:r>
    </w:p>
    <w:p w:rsidR="00E77067" w:rsidRPr="00DD492E" w:rsidRDefault="00E77067" w:rsidP="00E77067">
      <w:pPr>
        <w:widowControl w:val="0"/>
        <w:ind w:left="3600" w:hanging="3600"/>
        <w:jc w:val="both"/>
        <w:rPr>
          <w:sz w:val="20"/>
          <w:szCs w:val="20"/>
          <w:lang w:val="fr-CA"/>
        </w:rPr>
      </w:pPr>
    </w:p>
    <w:p w:rsidR="00E77067" w:rsidRPr="00DD492E" w:rsidRDefault="00E77067" w:rsidP="00E77067">
      <w:pPr>
        <w:widowControl w:val="0"/>
        <w:ind w:left="3600" w:hanging="3600"/>
        <w:jc w:val="both"/>
        <w:rPr>
          <w:sz w:val="20"/>
          <w:szCs w:val="20"/>
          <w:lang w:val="fr-CA"/>
        </w:rPr>
      </w:pPr>
      <w:r w:rsidRPr="00DD492E">
        <w:rPr>
          <w:sz w:val="20"/>
          <w:szCs w:val="20"/>
          <w:lang w:val="fr-CA"/>
        </w:rPr>
        <w:t>N</w:t>
      </w:r>
      <w:r w:rsidRPr="00DD492E">
        <w:rPr>
          <w:sz w:val="20"/>
          <w:szCs w:val="20"/>
          <w:vertAlign w:val="superscript"/>
          <w:lang w:val="fr-CA"/>
        </w:rPr>
        <w:t>o</w:t>
      </w:r>
      <w:r w:rsidRPr="00DD492E">
        <w:rPr>
          <w:sz w:val="20"/>
          <w:szCs w:val="20"/>
          <w:lang w:val="fr-CA"/>
        </w:rPr>
        <w:t xml:space="preserve"> du greffe :</w:t>
      </w:r>
      <w:r w:rsidRPr="00DD492E">
        <w:rPr>
          <w:sz w:val="20"/>
          <w:szCs w:val="20"/>
          <w:lang w:val="fr-CA"/>
        </w:rPr>
        <w:tab/>
        <w:t>34240</w:t>
      </w:r>
    </w:p>
    <w:p w:rsidR="00E77067" w:rsidRPr="00DD492E" w:rsidRDefault="00E77067" w:rsidP="00E77067">
      <w:pPr>
        <w:widowControl w:val="0"/>
        <w:ind w:left="3600" w:hanging="3600"/>
        <w:jc w:val="both"/>
        <w:rPr>
          <w:sz w:val="20"/>
          <w:szCs w:val="20"/>
          <w:lang w:val="fr-CA"/>
        </w:rPr>
      </w:pPr>
    </w:p>
    <w:p w:rsidR="00E77067" w:rsidRPr="00DD492E" w:rsidRDefault="00E77067" w:rsidP="00E77067">
      <w:pPr>
        <w:widowControl w:val="0"/>
        <w:ind w:left="3600" w:hanging="3600"/>
        <w:jc w:val="both"/>
        <w:rPr>
          <w:sz w:val="20"/>
          <w:szCs w:val="20"/>
          <w:lang w:val="fr-CA"/>
        </w:rPr>
      </w:pPr>
      <w:r w:rsidRPr="00DD492E">
        <w:rPr>
          <w:sz w:val="20"/>
          <w:szCs w:val="20"/>
          <w:lang w:val="fr-CA"/>
        </w:rPr>
        <w:t>Arrêt de la Cour d’appel :</w:t>
      </w:r>
      <w:r w:rsidRPr="00DD492E">
        <w:rPr>
          <w:sz w:val="20"/>
          <w:szCs w:val="20"/>
          <w:lang w:val="fr-CA"/>
        </w:rPr>
        <w:tab/>
        <w:t>4 mars 2011</w:t>
      </w:r>
    </w:p>
    <w:p w:rsidR="00E77067" w:rsidRPr="00DD492E" w:rsidRDefault="00E77067" w:rsidP="00E77067">
      <w:pPr>
        <w:widowControl w:val="0"/>
        <w:ind w:left="3600" w:hanging="3600"/>
        <w:jc w:val="both"/>
        <w:rPr>
          <w:sz w:val="20"/>
          <w:szCs w:val="20"/>
          <w:lang w:val="fr-CA"/>
        </w:rPr>
      </w:pPr>
    </w:p>
    <w:p w:rsidR="00E77067" w:rsidRPr="00DD492E" w:rsidRDefault="00E77067" w:rsidP="00E77067">
      <w:pPr>
        <w:widowControl w:val="0"/>
        <w:ind w:left="3600" w:hanging="3600"/>
        <w:jc w:val="both"/>
        <w:rPr>
          <w:sz w:val="20"/>
          <w:szCs w:val="20"/>
          <w:lang w:val="fr-CA"/>
        </w:rPr>
      </w:pPr>
      <w:r w:rsidRPr="00DD492E">
        <w:rPr>
          <w:sz w:val="20"/>
          <w:szCs w:val="20"/>
          <w:lang w:val="fr-CA"/>
        </w:rPr>
        <w:t>Avocats :</w:t>
      </w:r>
      <w:r w:rsidRPr="00DD492E">
        <w:rPr>
          <w:sz w:val="20"/>
          <w:szCs w:val="20"/>
          <w:lang w:val="fr-CA"/>
        </w:rPr>
        <w:tab/>
        <w:t>Michelle Awad, c.r. pour l’appelante</w:t>
      </w:r>
    </w:p>
    <w:p w:rsidR="00E77067" w:rsidRPr="00DD492E" w:rsidRDefault="00E77067" w:rsidP="00E77067">
      <w:pPr>
        <w:widowControl w:val="0"/>
        <w:ind w:left="3600" w:hanging="3600"/>
        <w:jc w:val="both"/>
        <w:rPr>
          <w:sz w:val="20"/>
          <w:szCs w:val="20"/>
          <w:lang w:val="fr-CA"/>
        </w:rPr>
      </w:pPr>
      <w:r w:rsidRPr="00DD492E">
        <w:rPr>
          <w:sz w:val="20"/>
          <w:szCs w:val="20"/>
          <w:lang w:val="fr-CA"/>
        </w:rPr>
        <w:tab/>
        <w:t>Daniel W. Burnett en qualité d’</w:t>
      </w:r>
      <w:r w:rsidRPr="00DD492E">
        <w:rPr>
          <w:i/>
          <w:sz w:val="20"/>
          <w:szCs w:val="20"/>
          <w:lang w:val="fr-CA"/>
        </w:rPr>
        <w:t>amicus curiae</w:t>
      </w:r>
      <w:r w:rsidRPr="00DD492E">
        <w:rPr>
          <w:sz w:val="20"/>
          <w:szCs w:val="20"/>
          <w:lang w:val="fr-CA"/>
        </w:rPr>
        <w:t xml:space="preserve"> </w:t>
      </w:r>
    </w:p>
    <w:p w:rsidR="0078410A" w:rsidRPr="00DD0B49" w:rsidRDefault="0078410A" w:rsidP="0078410A">
      <w:pPr>
        <w:tabs>
          <w:tab w:val="left" w:pos="-1440"/>
          <w:tab w:val="left" w:pos="-720"/>
        </w:tabs>
        <w:jc w:val="both"/>
        <w:rPr>
          <w:sz w:val="20"/>
          <w:szCs w:val="20"/>
          <w:lang w:val="fr-CA"/>
        </w:rPr>
      </w:pPr>
    </w:p>
    <w:p w:rsidR="0078410A" w:rsidRDefault="009134DA" w:rsidP="0078410A">
      <w:pPr>
        <w:tabs>
          <w:tab w:val="left" w:pos="-1440"/>
          <w:tab w:val="left" w:pos="-720"/>
        </w:tabs>
        <w:jc w:val="both"/>
        <w:rPr>
          <w:sz w:val="20"/>
          <w:szCs w:val="20"/>
          <w:lang w:val="fr-CA"/>
        </w:rPr>
      </w:pPr>
      <w:r w:rsidRPr="009134DA">
        <w:rPr>
          <w:sz w:val="20"/>
          <w:szCs w:val="20"/>
          <w:lang w:val="fr-CA"/>
        </w:rPr>
        <w:pict>
          <v:rect id="_x0000_i1123" style="width:2in;height:1pt" o:hrpct="0" o:hralign="center" o:hrstd="t" o:hrnoshade="t" o:hr="t" fillcolor="black [3213]" stroked="f"/>
        </w:pict>
      </w:r>
    </w:p>
    <w:p w:rsidR="0078410A" w:rsidRDefault="0078410A" w:rsidP="0078410A">
      <w:pPr>
        <w:tabs>
          <w:tab w:val="left" w:pos="-1440"/>
          <w:tab w:val="left" w:pos="-720"/>
        </w:tabs>
        <w:jc w:val="both"/>
        <w:rPr>
          <w:sz w:val="20"/>
          <w:szCs w:val="20"/>
          <w:lang w:val="fr-CA"/>
        </w:rPr>
      </w:pPr>
    </w:p>
    <w:p w:rsidR="0078410A" w:rsidRDefault="0078410A">
      <w:pPr>
        <w:rPr>
          <w:sz w:val="20"/>
          <w:szCs w:val="20"/>
          <w:lang w:val="fr-CA"/>
        </w:rPr>
      </w:pPr>
      <w:r>
        <w:rPr>
          <w:sz w:val="20"/>
          <w:szCs w:val="20"/>
          <w:lang w:val="fr-CA"/>
        </w:rPr>
        <w:br w:type="page"/>
      </w:r>
    </w:p>
    <w:p w:rsidR="00C14F8B" w:rsidRPr="00C44540" w:rsidRDefault="009134DA" w:rsidP="00C14F8B">
      <w:pPr>
        <w:widowControl w:val="0"/>
        <w:ind w:left="720" w:hanging="720"/>
        <w:jc w:val="both"/>
        <w:rPr>
          <w:sz w:val="20"/>
          <w:szCs w:val="20"/>
        </w:rPr>
      </w:pPr>
      <w:r w:rsidRPr="00C44540">
        <w:rPr>
          <w:b/>
          <w:sz w:val="20"/>
          <w:szCs w:val="20"/>
        </w:rPr>
        <w:lastRenderedPageBreak/>
        <w:fldChar w:fldCharType="begin"/>
      </w:r>
      <w:r w:rsidR="00C14F8B" w:rsidRPr="00C44540">
        <w:rPr>
          <w:b/>
          <w:sz w:val="20"/>
          <w:szCs w:val="20"/>
        </w:rPr>
        <w:instrText xml:space="preserve"> SEQ CHAPTER \h \r 1</w:instrText>
      </w:r>
      <w:r w:rsidRPr="00C44540">
        <w:rPr>
          <w:b/>
          <w:sz w:val="20"/>
          <w:szCs w:val="20"/>
        </w:rPr>
        <w:fldChar w:fldCharType="end"/>
      </w:r>
      <w:r w:rsidR="00C14F8B" w:rsidRPr="00C44540">
        <w:rPr>
          <w:b/>
          <w:sz w:val="20"/>
          <w:szCs w:val="20"/>
        </w:rPr>
        <w:t>34268</w:t>
      </w:r>
      <w:r w:rsidR="00C14F8B" w:rsidRPr="00C44540">
        <w:rPr>
          <w:sz w:val="20"/>
          <w:szCs w:val="20"/>
        </w:rPr>
        <w:tab/>
      </w:r>
      <w:r w:rsidR="00C14F8B" w:rsidRPr="00C44540">
        <w:rPr>
          <w:b/>
          <w:i/>
          <w:sz w:val="20"/>
          <w:szCs w:val="20"/>
        </w:rPr>
        <w:t>Her Majesty the Queen v. Richard Cole</w:t>
      </w:r>
    </w:p>
    <w:p w:rsidR="00C14F8B" w:rsidRPr="00C44540" w:rsidRDefault="00C14F8B" w:rsidP="00C14F8B">
      <w:pPr>
        <w:widowControl w:val="0"/>
        <w:jc w:val="both"/>
        <w:rPr>
          <w:sz w:val="20"/>
          <w:szCs w:val="20"/>
        </w:rPr>
      </w:pPr>
    </w:p>
    <w:p w:rsidR="00C14F8B" w:rsidRPr="00C14F8B" w:rsidRDefault="00C14F8B" w:rsidP="00C14F8B">
      <w:pPr>
        <w:widowControl w:val="0"/>
        <w:jc w:val="both"/>
        <w:rPr>
          <w:smallCaps/>
          <w:sz w:val="20"/>
          <w:szCs w:val="20"/>
        </w:rPr>
      </w:pPr>
      <w:r w:rsidRPr="00C14F8B">
        <w:rPr>
          <w:smallCaps/>
          <w:sz w:val="20"/>
          <w:szCs w:val="20"/>
        </w:rPr>
        <w:t>(Publication Ban in Case) (Publication Ban on Party)</w:t>
      </w:r>
    </w:p>
    <w:p w:rsidR="00C14F8B" w:rsidRPr="00C44540" w:rsidRDefault="00C14F8B" w:rsidP="00C14F8B">
      <w:pPr>
        <w:widowControl w:val="0"/>
        <w:jc w:val="both"/>
        <w:rPr>
          <w:sz w:val="20"/>
          <w:szCs w:val="20"/>
        </w:rPr>
      </w:pPr>
    </w:p>
    <w:p w:rsidR="00C14F8B" w:rsidRPr="00C44540" w:rsidRDefault="00C14F8B" w:rsidP="00C14F8B">
      <w:pPr>
        <w:widowControl w:val="0"/>
        <w:jc w:val="both"/>
        <w:rPr>
          <w:sz w:val="20"/>
          <w:szCs w:val="20"/>
        </w:rPr>
      </w:pPr>
      <w:r w:rsidRPr="00C44540">
        <w:rPr>
          <w:i/>
          <w:sz w:val="20"/>
          <w:szCs w:val="20"/>
        </w:rPr>
        <w:t>Charter of Rights</w:t>
      </w:r>
      <w:r w:rsidRPr="00C44540">
        <w:rPr>
          <w:sz w:val="20"/>
          <w:szCs w:val="20"/>
        </w:rPr>
        <w:t xml:space="preserve"> </w:t>
      </w:r>
      <w:r w:rsidRPr="00C44540">
        <w:rPr>
          <w:sz w:val="20"/>
          <w:szCs w:val="20"/>
        </w:rPr>
        <w:noBreakHyphen/>
        <w:t xml:space="preserve"> Criminal law </w:t>
      </w:r>
      <w:r w:rsidRPr="00C44540">
        <w:rPr>
          <w:sz w:val="20"/>
          <w:szCs w:val="20"/>
        </w:rPr>
        <w:noBreakHyphen/>
        <w:t xml:space="preserve"> Unreasonable search and seizure </w:t>
      </w:r>
      <w:r w:rsidRPr="00C44540">
        <w:rPr>
          <w:sz w:val="20"/>
          <w:szCs w:val="20"/>
        </w:rPr>
        <w:noBreakHyphen/>
        <w:t xml:space="preserve"> Reasonable expectation of privacy </w:t>
      </w:r>
      <w:r w:rsidRPr="00C44540">
        <w:rPr>
          <w:sz w:val="20"/>
          <w:szCs w:val="20"/>
        </w:rPr>
        <w:noBreakHyphen/>
        <w:t xml:space="preserve"> Employer issued computer </w:t>
      </w:r>
      <w:r w:rsidRPr="00C44540">
        <w:rPr>
          <w:sz w:val="20"/>
          <w:szCs w:val="20"/>
        </w:rPr>
        <w:noBreakHyphen/>
        <w:t xml:space="preserve"> How should the existence of a reasonable expectation of privacy in a work computer be assessed? </w:t>
      </w:r>
      <w:r w:rsidRPr="00C44540">
        <w:rPr>
          <w:sz w:val="20"/>
          <w:szCs w:val="20"/>
        </w:rPr>
        <w:noBreakHyphen/>
        <w:t xml:space="preserve"> Whether the warrantless search and seizure of the computer evidence by the police was reasonable </w:t>
      </w:r>
      <w:r w:rsidRPr="00C44540">
        <w:rPr>
          <w:sz w:val="20"/>
          <w:szCs w:val="20"/>
        </w:rPr>
        <w:noBreakHyphen/>
        <w:t xml:space="preserve"> Whether the Court of Appeal erred in excluding the computer evidence.</w:t>
      </w:r>
    </w:p>
    <w:p w:rsidR="00C14F8B" w:rsidRPr="00C44540" w:rsidRDefault="00C14F8B" w:rsidP="00C14F8B">
      <w:pPr>
        <w:widowControl w:val="0"/>
        <w:jc w:val="both"/>
        <w:rPr>
          <w:sz w:val="20"/>
          <w:szCs w:val="20"/>
        </w:rPr>
      </w:pPr>
    </w:p>
    <w:p w:rsidR="00C14F8B" w:rsidRPr="00C44540" w:rsidRDefault="00C14F8B" w:rsidP="00C14F8B">
      <w:pPr>
        <w:widowControl w:val="0"/>
        <w:jc w:val="both"/>
        <w:rPr>
          <w:sz w:val="20"/>
          <w:szCs w:val="20"/>
        </w:rPr>
      </w:pPr>
      <w:r w:rsidRPr="00C44540">
        <w:rPr>
          <w:sz w:val="20"/>
          <w:szCs w:val="20"/>
        </w:rPr>
        <w:t xml:space="preserve">Cole was a high school teacher who taught computer science.  He was issued a laptop computer by the school.  One of the school’s information technologists employed software to monitor the network to ensure its integrity.  The technologist noted a high level of connection to the school server from Cole’s computer.  In examining the usage, the technologist remotely accessed Cole’s history of internet access and one of his drives.  The technologist found a potentially dangerous hidden file he believed might destabilize the school’s network.  He opened the file and found nude photographic images of a young woman, who was a student of the school.  The student had sent the photographs to another student via email.  In the course of his supervisory duties, Cole had accessed the student’s email account, found the photographs, and copied them onto his computer.  Cole surrendered his computer to the principal upon request.  The school board’s technicians copied the photographs and internet file onto a disc and provided them to police with the computer.  Police determined that a search warrant was unnecessary, as the school authorities had represented that they owned the computer and the data thereon.  Police viewed the material and charged Cole with possession of child pornography and fraudulently obtaining data from another computer hard drive.  The trial judge excluded the evidence on the basis of a breach of Cole’s s. 8 </w:t>
      </w:r>
      <w:r w:rsidRPr="00C44540">
        <w:rPr>
          <w:i/>
          <w:sz w:val="20"/>
          <w:szCs w:val="20"/>
        </w:rPr>
        <w:t>Charter</w:t>
      </w:r>
      <w:r w:rsidRPr="00C44540">
        <w:rPr>
          <w:sz w:val="20"/>
          <w:szCs w:val="20"/>
        </w:rPr>
        <w:t xml:space="preserve"> rights.  In overturning the decision, the summary conviction appeal judge held that although Cole had a valid subjective expectation of privacy in his computer’s contents, the trial judge erred in determining that such expectation was reasonable.  The Court of Appeal allowed the appeal, set aside the decision of the summary conviction appeal judge and remitted the matter for trial.  The court concluded that the evidence of the disc containing the temporary internet files and the laptop computer and its mirror image was excluded.</w:t>
      </w:r>
    </w:p>
    <w:p w:rsidR="00C14F8B" w:rsidRPr="00C44540" w:rsidRDefault="00C14F8B" w:rsidP="00C14F8B">
      <w:pPr>
        <w:widowControl w:val="0"/>
        <w:jc w:val="both"/>
        <w:rPr>
          <w:sz w:val="20"/>
          <w:szCs w:val="20"/>
        </w:rPr>
      </w:pPr>
    </w:p>
    <w:p w:rsidR="00C14F8B" w:rsidRPr="00C44540" w:rsidRDefault="00C14F8B" w:rsidP="00C14F8B">
      <w:pPr>
        <w:widowControl w:val="0"/>
        <w:jc w:val="both"/>
        <w:rPr>
          <w:sz w:val="20"/>
          <w:szCs w:val="20"/>
        </w:rPr>
      </w:pPr>
    </w:p>
    <w:p w:rsidR="00C14F8B" w:rsidRPr="00C44540" w:rsidRDefault="00C14F8B" w:rsidP="00C14F8B">
      <w:pPr>
        <w:widowControl w:val="0"/>
        <w:ind w:left="3600" w:hanging="3600"/>
        <w:jc w:val="both"/>
        <w:rPr>
          <w:sz w:val="20"/>
          <w:szCs w:val="20"/>
        </w:rPr>
      </w:pPr>
      <w:r w:rsidRPr="00C44540">
        <w:rPr>
          <w:sz w:val="20"/>
          <w:szCs w:val="20"/>
        </w:rPr>
        <w:t>Origin of the case:</w:t>
      </w:r>
      <w:r w:rsidRPr="00C44540">
        <w:rPr>
          <w:sz w:val="20"/>
          <w:szCs w:val="20"/>
        </w:rPr>
        <w:tab/>
        <w:t>Ontario</w:t>
      </w:r>
    </w:p>
    <w:p w:rsidR="00C14F8B" w:rsidRPr="00C44540" w:rsidRDefault="00C14F8B" w:rsidP="00C14F8B">
      <w:pPr>
        <w:widowControl w:val="0"/>
        <w:ind w:left="3600" w:hanging="3600"/>
        <w:jc w:val="both"/>
        <w:rPr>
          <w:sz w:val="20"/>
          <w:szCs w:val="20"/>
        </w:rPr>
      </w:pPr>
    </w:p>
    <w:p w:rsidR="00C14F8B" w:rsidRPr="00C44540" w:rsidRDefault="00C14F8B" w:rsidP="00C14F8B">
      <w:pPr>
        <w:widowControl w:val="0"/>
        <w:ind w:left="3600" w:hanging="3600"/>
        <w:jc w:val="both"/>
        <w:rPr>
          <w:sz w:val="20"/>
          <w:szCs w:val="20"/>
        </w:rPr>
      </w:pPr>
      <w:r w:rsidRPr="00C44540">
        <w:rPr>
          <w:sz w:val="20"/>
          <w:szCs w:val="20"/>
        </w:rPr>
        <w:t>File No.:</w:t>
      </w:r>
      <w:r w:rsidRPr="00C44540">
        <w:rPr>
          <w:sz w:val="20"/>
          <w:szCs w:val="20"/>
        </w:rPr>
        <w:tab/>
        <w:t>34268</w:t>
      </w:r>
    </w:p>
    <w:p w:rsidR="00C14F8B" w:rsidRPr="00C44540" w:rsidRDefault="00C14F8B" w:rsidP="00C14F8B">
      <w:pPr>
        <w:widowControl w:val="0"/>
        <w:ind w:left="3600" w:hanging="3600"/>
        <w:jc w:val="both"/>
        <w:rPr>
          <w:sz w:val="20"/>
          <w:szCs w:val="20"/>
        </w:rPr>
      </w:pPr>
    </w:p>
    <w:p w:rsidR="00C14F8B" w:rsidRPr="00C44540" w:rsidRDefault="00C14F8B" w:rsidP="00C14F8B">
      <w:pPr>
        <w:widowControl w:val="0"/>
        <w:ind w:left="3600" w:hanging="3600"/>
        <w:jc w:val="both"/>
        <w:rPr>
          <w:sz w:val="20"/>
          <w:szCs w:val="20"/>
        </w:rPr>
      </w:pPr>
      <w:r w:rsidRPr="00C44540">
        <w:rPr>
          <w:sz w:val="20"/>
          <w:szCs w:val="20"/>
        </w:rPr>
        <w:t>Judgment of the Court of Appeal:</w:t>
      </w:r>
      <w:r w:rsidRPr="00C44540">
        <w:rPr>
          <w:sz w:val="20"/>
          <w:szCs w:val="20"/>
        </w:rPr>
        <w:tab/>
        <w:t>March 22, 2011</w:t>
      </w:r>
    </w:p>
    <w:p w:rsidR="00C14F8B" w:rsidRPr="00C44540" w:rsidRDefault="00C14F8B" w:rsidP="00C14F8B">
      <w:pPr>
        <w:widowControl w:val="0"/>
        <w:ind w:left="3600" w:hanging="3600"/>
        <w:jc w:val="both"/>
        <w:rPr>
          <w:sz w:val="20"/>
          <w:szCs w:val="20"/>
        </w:rPr>
      </w:pPr>
    </w:p>
    <w:p w:rsidR="00C14F8B" w:rsidRPr="00C44540" w:rsidRDefault="00C14F8B" w:rsidP="00C14F8B">
      <w:pPr>
        <w:widowControl w:val="0"/>
        <w:ind w:left="3600" w:hanging="3600"/>
        <w:jc w:val="both"/>
        <w:rPr>
          <w:sz w:val="20"/>
          <w:szCs w:val="20"/>
        </w:rPr>
      </w:pPr>
      <w:r w:rsidRPr="00C44540">
        <w:rPr>
          <w:sz w:val="20"/>
          <w:szCs w:val="20"/>
        </w:rPr>
        <w:t>Counsel:</w:t>
      </w:r>
      <w:r w:rsidRPr="00C44540">
        <w:rPr>
          <w:sz w:val="20"/>
          <w:szCs w:val="20"/>
        </w:rPr>
        <w:tab/>
        <w:t>Amy Alyea and Frank Au for the appellant</w:t>
      </w:r>
    </w:p>
    <w:p w:rsidR="00C14F8B" w:rsidRPr="00C44540" w:rsidRDefault="00C14F8B" w:rsidP="00C14F8B">
      <w:pPr>
        <w:widowControl w:val="0"/>
        <w:ind w:left="3600" w:hanging="3600"/>
        <w:jc w:val="both"/>
        <w:rPr>
          <w:sz w:val="20"/>
          <w:szCs w:val="20"/>
        </w:rPr>
      </w:pPr>
      <w:r w:rsidRPr="00C44540">
        <w:rPr>
          <w:sz w:val="20"/>
          <w:szCs w:val="20"/>
        </w:rPr>
        <w:tab/>
        <w:t>Frank Addario and Andrew Furgiuele for the respondent</w:t>
      </w:r>
    </w:p>
    <w:p w:rsidR="0078410A" w:rsidRPr="00C14F8B" w:rsidRDefault="0078410A" w:rsidP="0078410A">
      <w:pPr>
        <w:tabs>
          <w:tab w:val="left" w:pos="-1440"/>
          <w:tab w:val="left" w:pos="-720"/>
        </w:tabs>
        <w:jc w:val="both"/>
        <w:rPr>
          <w:sz w:val="20"/>
          <w:szCs w:val="20"/>
        </w:rPr>
      </w:pPr>
    </w:p>
    <w:p w:rsidR="0078410A" w:rsidRDefault="009134DA" w:rsidP="0078410A">
      <w:pPr>
        <w:tabs>
          <w:tab w:val="left" w:pos="-1440"/>
          <w:tab w:val="left" w:pos="-720"/>
        </w:tabs>
        <w:jc w:val="both"/>
        <w:rPr>
          <w:sz w:val="20"/>
          <w:szCs w:val="20"/>
          <w:lang w:val="fr-CA"/>
        </w:rPr>
      </w:pPr>
      <w:r w:rsidRPr="009134DA">
        <w:rPr>
          <w:sz w:val="20"/>
          <w:szCs w:val="20"/>
          <w:lang w:val="fr-CA"/>
        </w:rPr>
        <w:pict>
          <v:rect id="_x0000_i1124" style="width:2in;height:1pt" o:hrpct="0" o:hralign="center" o:hrstd="t" o:hrnoshade="t" o:hr="t" fillcolor="black [3213]" stroked="f"/>
        </w:pict>
      </w:r>
    </w:p>
    <w:p w:rsidR="0078410A" w:rsidRDefault="0078410A" w:rsidP="0078410A">
      <w:pPr>
        <w:tabs>
          <w:tab w:val="left" w:pos="-1440"/>
          <w:tab w:val="left" w:pos="-720"/>
        </w:tabs>
        <w:jc w:val="both"/>
        <w:rPr>
          <w:sz w:val="20"/>
          <w:szCs w:val="20"/>
          <w:lang w:val="fr-CA"/>
        </w:rPr>
      </w:pPr>
    </w:p>
    <w:p w:rsidR="0078410A" w:rsidRDefault="0078410A">
      <w:pPr>
        <w:rPr>
          <w:sz w:val="20"/>
          <w:szCs w:val="20"/>
          <w:lang w:val="fr-CA"/>
        </w:rPr>
      </w:pPr>
      <w:r>
        <w:rPr>
          <w:sz w:val="20"/>
          <w:szCs w:val="20"/>
          <w:lang w:val="fr-CA"/>
        </w:rPr>
        <w:br w:type="page"/>
      </w:r>
    </w:p>
    <w:p w:rsidR="0078410A" w:rsidRPr="00C14F8B" w:rsidRDefault="00C14F8B" w:rsidP="00C14F8B">
      <w:pPr>
        <w:ind w:left="720" w:hanging="720"/>
        <w:rPr>
          <w:sz w:val="20"/>
          <w:szCs w:val="20"/>
          <w:lang w:val="fr-CA"/>
        </w:rPr>
      </w:pPr>
      <w:r w:rsidRPr="00F64F7B">
        <w:rPr>
          <w:rStyle w:val="SCCFileNumberChar"/>
          <w:sz w:val="20"/>
          <w:szCs w:val="20"/>
          <w:lang w:val="fr-CA"/>
        </w:rPr>
        <w:lastRenderedPageBreak/>
        <w:t>34268</w:t>
      </w:r>
      <w:r>
        <w:rPr>
          <w:rStyle w:val="SCCFileNumberChar"/>
          <w:sz w:val="20"/>
          <w:szCs w:val="20"/>
          <w:lang w:val="fr-CA"/>
        </w:rPr>
        <w:tab/>
      </w:r>
      <w:r w:rsidRPr="00C14F8B">
        <w:rPr>
          <w:b/>
          <w:i/>
          <w:sz w:val="20"/>
          <w:szCs w:val="20"/>
          <w:lang w:val="fr-CA"/>
        </w:rPr>
        <w:t>Sa Majesté la Reine c. Richard Cole</w:t>
      </w:r>
    </w:p>
    <w:p w:rsidR="0078410A" w:rsidRDefault="0078410A" w:rsidP="0078410A">
      <w:pPr>
        <w:tabs>
          <w:tab w:val="left" w:pos="-1440"/>
          <w:tab w:val="left" w:pos="-720"/>
        </w:tabs>
        <w:jc w:val="both"/>
        <w:rPr>
          <w:sz w:val="20"/>
          <w:szCs w:val="20"/>
          <w:lang w:val="fr-CA"/>
        </w:rPr>
      </w:pPr>
    </w:p>
    <w:p w:rsidR="00C14F8B" w:rsidRPr="00F64F7B" w:rsidRDefault="00C14F8B" w:rsidP="00C14F8B">
      <w:pPr>
        <w:pStyle w:val="SCCBanSummary"/>
        <w:rPr>
          <w:sz w:val="20"/>
          <w:szCs w:val="20"/>
          <w:lang w:val="fr-CA"/>
        </w:rPr>
      </w:pPr>
      <w:r w:rsidRPr="00F64F7B">
        <w:rPr>
          <w:sz w:val="20"/>
          <w:szCs w:val="20"/>
          <w:lang w:val="fr-CA"/>
        </w:rPr>
        <w:t>(Ordonnance de non</w:t>
      </w:r>
      <w:r w:rsidRPr="00F64F7B">
        <w:rPr>
          <w:sz w:val="20"/>
          <w:szCs w:val="20"/>
          <w:lang w:val="fr-CA"/>
        </w:rPr>
        <w:noBreakHyphen/>
        <w:t>publication dans le dossier) (</w:t>
      </w:r>
      <w:r w:rsidR="00DC665B">
        <w:rPr>
          <w:sz w:val="20"/>
          <w:szCs w:val="20"/>
          <w:lang w:val="fr-CA"/>
        </w:rPr>
        <w:t>O</w:t>
      </w:r>
      <w:r w:rsidRPr="00F64F7B">
        <w:rPr>
          <w:sz w:val="20"/>
          <w:szCs w:val="20"/>
          <w:lang w:val="fr-CA"/>
        </w:rPr>
        <w:t>rdonnance de non</w:t>
      </w:r>
      <w:r w:rsidRPr="00F64F7B">
        <w:rPr>
          <w:sz w:val="20"/>
          <w:szCs w:val="20"/>
          <w:lang w:val="fr-CA"/>
        </w:rPr>
        <w:noBreakHyphen/>
        <w:t>publication visant une partie)</w:t>
      </w:r>
    </w:p>
    <w:p w:rsidR="00C14F8B" w:rsidRPr="00F64F7B" w:rsidRDefault="00C14F8B" w:rsidP="00C14F8B">
      <w:pPr>
        <w:rPr>
          <w:sz w:val="20"/>
          <w:szCs w:val="20"/>
          <w:lang w:val="fr-CA"/>
        </w:rPr>
      </w:pPr>
    </w:p>
    <w:p w:rsidR="00C14F8B" w:rsidRDefault="00C14F8B" w:rsidP="00C14F8B">
      <w:pPr>
        <w:tabs>
          <w:tab w:val="left" w:pos="-1440"/>
          <w:tab w:val="left" w:pos="-720"/>
        </w:tabs>
        <w:jc w:val="both"/>
        <w:rPr>
          <w:sz w:val="20"/>
          <w:szCs w:val="20"/>
          <w:lang w:val="fr-CA"/>
        </w:rPr>
      </w:pPr>
      <w:r w:rsidRPr="00F64F7B">
        <w:rPr>
          <w:i/>
          <w:sz w:val="20"/>
          <w:szCs w:val="20"/>
          <w:lang w:val="fr-CA"/>
        </w:rPr>
        <w:t xml:space="preserve">Charte des droits </w:t>
      </w:r>
      <w:r w:rsidRPr="00F64F7B">
        <w:rPr>
          <w:sz w:val="20"/>
          <w:szCs w:val="20"/>
          <w:lang w:val="fr-CA"/>
        </w:rPr>
        <w:noBreakHyphen/>
        <w:t xml:space="preserve"> Droit criminel </w:t>
      </w:r>
      <w:r w:rsidRPr="00F64F7B">
        <w:rPr>
          <w:sz w:val="20"/>
          <w:szCs w:val="20"/>
          <w:lang w:val="fr-CA"/>
        </w:rPr>
        <w:noBreakHyphen/>
        <w:t xml:space="preserve"> Perquisition, fouille et saisie abusives </w:t>
      </w:r>
      <w:r w:rsidRPr="00F64F7B">
        <w:rPr>
          <w:sz w:val="20"/>
          <w:szCs w:val="20"/>
          <w:lang w:val="fr-CA"/>
        </w:rPr>
        <w:noBreakHyphen/>
        <w:t xml:space="preserve"> Attente raisonnable de respect de la vie privée </w:t>
      </w:r>
      <w:r w:rsidRPr="00F64F7B">
        <w:rPr>
          <w:sz w:val="20"/>
          <w:szCs w:val="20"/>
          <w:lang w:val="fr-CA"/>
        </w:rPr>
        <w:noBreakHyphen/>
        <w:t xml:space="preserve"> Ordinateur fourni par l’employeur </w:t>
      </w:r>
      <w:r w:rsidRPr="00F64F7B">
        <w:rPr>
          <w:sz w:val="20"/>
          <w:szCs w:val="20"/>
          <w:lang w:val="fr-CA"/>
        </w:rPr>
        <w:noBreakHyphen/>
        <w:t xml:space="preserve"> Comment doit être évaluée une attente raisonnable de respect de la vie privée à l’égard d’un ordinateur fourni par l’employeur pour le travail? </w:t>
      </w:r>
      <w:r w:rsidRPr="00F64F7B">
        <w:rPr>
          <w:sz w:val="20"/>
          <w:szCs w:val="20"/>
          <w:lang w:val="fr-CA"/>
        </w:rPr>
        <w:noBreakHyphen/>
        <w:t xml:space="preserve"> La perquisition et la saisie sans mandat, par les policiers, de la preuve contenue dans l’ordinateur étaient</w:t>
      </w:r>
      <w:r w:rsidRPr="00F64F7B">
        <w:rPr>
          <w:sz w:val="20"/>
          <w:szCs w:val="20"/>
          <w:lang w:val="fr-CA"/>
        </w:rPr>
        <w:noBreakHyphen/>
        <w:t xml:space="preserve">elles abusives? </w:t>
      </w:r>
      <w:r w:rsidRPr="00F64F7B">
        <w:rPr>
          <w:sz w:val="20"/>
          <w:szCs w:val="20"/>
          <w:lang w:val="fr-CA"/>
        </w:rPr>
        <w:noBreakHyphen/>
        <w:t xml:space="preserve"> La Cour d’appel a</w:t>
      </w:r>
      <w:r w:rsidRPr="00F64F7B">
        <w:rPr>
          <w:sz w:val="20"/>
          <w:szCs w:val="20"/>
          <w:lang w:val="fr-CA"/>
        </w:rPr>
        <w:noBreakHyphen/>
        <w:t>t</w:t>
      </w:r>
      <w:r w:rsidRPr="00F64F7B">
        <w:rPr>
          <w:sz w:val="20"/>
          <w:szCs w:val="20"/>
          <w:lang w:val="fr-CA"/>
        </w:rPr>
        <w:noBreakHyphen/>
        <w:t>elle commis une erreur en excluant la preuve extraite de l’ordinateur?</w:t>
      </w:r>
    </w:p>
    <w:p w:rsidR="00C14F8B" w:rsidRDefault="00C14F8B" w:rsidP="00C14F8B">
      <w:pPr>
        <w:tabs>
          <w:tab w:val="left" w:pos="-1440"/>
          <w:tab w:val="left" w:pos="-720"/>
        </w:tabs>
        <w:jc w:val="both"/>
        <w:rPr>
          <w:sz w:val="20"/>
          <w:szCs w:val="20"/>
          <w:lang w:val="fr-CA"/>
        </w:rPr>
      </w:pPr>
    </w:p>
    <w:p w:rsidR="00C14F8B" w:rsidRPr="00F64F7B" w:rsidRDefault="00C14F8B" w:rsidP="00C14F8B">
      <w:pPr>
        <w:jc w:val="both"/>
        <w:rPr>
          <w:sz w:val="20"/>
          <w:szCs w:val="20"/>
          <w:lang w:val="fr-CA"/>
        </w:rPr>
      </w:pPr>
      <w:r w:rsidRPr="00F64F7B">
        <w:rPr>
          <w:sz w:val="20"/>
          <w:szCs w:val="20"/>
          <w:lang w:val="fr-CA"/>
        </w:rPr>
        <w:t xml:space="preserve">Monsieur Cole enseignait l’informatique dans une école secondaire.  L’école lui a fourni un ordinateur portable.  Un des techniciens en informatique de l’école utilisait un logiciel pour surveiller le réseau afin d’assurer son intégrité.  Le technicien a noté un degré élevé de connexions au serveur de l’école à partir de l’ordinateur de M. Cole.  En examinant l’usage, le technicien a accédé à distance à l’historique de l’accès Internet de M. Cole et à un des lecteurs de son ordinateur.  Le technicien a trouvé un fichier caché potentiellement dangereux qui pouvait à son avis déstabiliser le réseau de l’école.  Il a ouvert le fichier et a trouvé des images photographiques d’une jeune femme nue qui était une étudiante de l’école.  L’élève avait envoyé les photographies à un autre élève par courrier électronique.  Dans le cadre de ses fonctions de surveillant, M. Cole avait accédé au compte de courrier électronique de l’élève, trouvé les photographies et les avait copiées dans son ordinateur.  Monsieur Cole a remis son ordinateur au directeur sur demande.  Les techniciens de la commission scolaire ont copié les photographies et les fichiers Internet sur un disque et les ont fournis à la police avec l’ordinateur.  Les policiers ont estimé qu’un mandat de perquisition était inutile, puisque les autorités scolaires leur avaient dit qu’elles étaient propriétaires de l’ordinateur et des données qui s’y trouvaient.  Les policiers ont examiné les fichiers et ont accusé M. Cole de possession de pornographie juvénile et d’avoir obtenu frauduleusement des données du disque dur d’un autre ordinateur.  Le juge du procès a exclu la preuve, statuant qu’il y avait eu atteinte aux droits de M. Cole garantis par l’art. 8 de la </w:t>
      </w:r>
      <w:r w:rsidRPr="00F64F7B">
        <w:rPr>
          <w:i/>
          <w:sz w:val="20"/>
          <w:szCs w:val="20"/>
          <w:lang w:val="fr-CA"/>
        </w:rPr>
        <w:t>Charte</w:t>
      </w:r>
      <w:r w:rsidRPr="00F64F7B">
        <w:rPr>
          <w:sz w:val="20"/>
          <w:szCs w:val="20"/>
          <w:lang w:val="fr-CA"/>
        </w:rPr>
        <w:t>.  En infirmant la décision, le juge de la cour d’appel en matière de poursuites sommaires a statué que même si M. Cole avait une attente subjective valable de respect de la vie privée à l’égard du contenu de son ordinateur, le juge du procès a eu tort de statuer que cette attente était raisonnable.  La Cour d’appel a accueilli l’appel, annulé la décision du juge de la cour d’appel en matière de poursuites sommaires et renvoyé l’affaire à procès.  La Cour a conclu que la preuve du disque renfermant les fichiers Internet temporaires et l’ordinateur et son image</w:t>
      </w:r>
      <w:r w:rsidRPr="00F64F7B">
        <w:rPr>
          <w:sz w:val="20"/>
          <w:szCs w:val="20"/>
          <w:lang w:val="fr-CA"/>
        </w:rPr>
        <w:noBreakHyphen/>
        <w:t>miroir était exclue.</w:t>
      </w:r>
    </w:p>
    <w:p w:rsidR="00C14F8B" w:rsidRDefault="00C14F8B" w:rsidP="00C14F8B">
      <w:pPr>
        <w:tabs>
          <w:tab w:val="left" w:pos="-1440"/>
          <w:tab w:val="left" w:pos="-720"/>
        </w:tabs>
        <w:jc w:val="both"/>
        <w:rPr>
          <w:sz w:val="20"/>
          <w:szCs w:val="20"/>
          <w:lang w:val="fr-CA"/>
        </w:rPr>
      </w:pPr>
    </w:p>
    <w:p w:rsidR="00C14F8B" w:rsidRDefault="00C14F8B" w:rsidP="00C14F8B">
      <w:pPr>
        <w:tabs>
          <w:tab w:val="left" w:pos="-1440"/>
          <w:tab w:val="left" w:pos="-720"/>
        </w:tabs>
        <w:jc w:val="both"/>
        <w:rPr>
          <w:sz w:val="20"/>
          <w:szCs w:val="20"/>
          <w:lang w:val="fr-CA"/>
        </w:rPr>
      </w:pPr>
    </w:p>
    <w:p w:rsidR="00C14F8B" w:rsidRPr="00C14F8B" w:rsidRDefault="00C14F8B" w:rsidP="00C14F8B">
      <w:pPr>
        <w:ind w:left="3600" w:hanging="3600"/>
        <w:jc w:val="both"/>
        <w:rPr>
          <w:sz w:val="20"/>
          <w:szCs w:val="20"/>
          <w:lang w:val="fr-CA"/>
        </w:rPr>
      </w:pPr>
      <w:r w:rsidRPr="00C14F8B">
        <w:rPr>
          <w:sz w:val="20"/>
          <w:szCs w:val="20"/>
          <w:lang w:val="fr-CA"/>
        </w:rPr>
        <w:t>Origine</w:t>
      </w:r>
      <w:r>
        <w:rPr>
          <w:sz w:val="20"/>
          <w:szCs w:val="20"/>
          <w:lang w:val="fr-CA"/>
        </w:rPr>
        <w:t> :</w:t>
      </w:r>
      <w:r>
        <w:rPr>
          <w:sz w:val="20"/>
          <w:szCs w:val="20"/>
          <w:lang w:val="fr-CA"/>
        </w:rPr>
        <w:tab/>
      </w:r>
      <w:r w:rsidRPr="00C14F8B">
        <w:rPr>
          <w:sz w:val="20"/>
          <w:szCs w:val="20"/>
          <w:lang w:val="fr-CA"/>
        </w:rPr>
        <w:t>Ontario</w:t>
      </w:r>
    </w:p>
    <w:p w:rsidR="00C14F8B" w:rsidRPr="00C14F8B" w:rsidRDefault="00C14F8B" w:rsidP="00C14F8B">
      <w:pPr>
        <w:tabs>
          <w:tab w:val="left" w:pos="-1440"/>
          <w:tab w:val="left" w:pos="-720"/>
        </w:tabs>
        <w:ind w:left="3600" w:hanging="3600"/>
        <w:jc w:val="both"/>
        <w:rPr>
          <w:sz w:val="20"/>
          <w:szCs w:val="20"/>
          <w:lang w:val="fr-CA"/>
        </w:rPr>
      </w:pPr>
    </w:p>
    <w:p w:rsidR="00C14F8B" w:rsidRPr="00C14F8B" w:rsidRDefault="00C14F8B" w:rsidP="00C14F8B">
      <w:pPr>
        <w:tabs>
          <w:tab w:val="left" w:pos="-1440"/>
          <w:tab w:val="left" w:pos="-720"/>
        </w:tabs>
        <w:ind w:left="3600" w:hanging="3600"/>
        <w:jc w:val="both"/>
        <w:rPr>
          <w:sz w:val="20"/>
          <w:szCs w:val="20"/>
          <w:lang w:val="fr-CA"/>
        </w:rPr>
      </w:pPr>
      <w:r w:rsidRPr="00C14F8B">
        <w:rPr>
          <w:sz w:val="20"/>
          <w:szCs w:val="20"/>
          <w:lang w:val="fr-CA"/>
        </w:rPr>
        <w:t>No du greffe :</w:t>
      </w:r>
      <w:r w:rsidRPr="00C14F8B">
        <w:rPr>
          <w:sz w:val="20"/>
          <w:szCs w:val="20"/>
          <w:lang w:val="fr-CA"/>
        </w:rPr>
        <w:tab/>
        <w:t>34268</w:t>
      </w:r>
    </w:p>
    <w:p w:rsidR="00C14F8B" w:rsidRPr="00C14F8B" w:rsidRDefault="00C14F8B" w:rsidP="00C14F8B">
      <w:pPr>
        <w:tabs>
          <w:tab w:val="left" w:pos="-1440"/>
          <w:tab w:val="left" w:pos="-720"/>
        </w:tabs>
        <w:ind w:left="3600" w:hanging="3600"/>
        <w:jc w:val="both"/>
        <w:rPr>
          <w:sz w:val="20"/>
          <w:szCs w:val="20"/>
          <w:lang w:val="fr-CA"/>
        </w:rPr>
      </w:pPr>
    </w:p>
    <w:p w:rsidR="00C14F8B" w:rsidRDefault="00C14F8B" w:rsidP="00C14F8B">
      <w:pPr>
        <w:tabs>
          <w:tab w:val="left" w:pos="-1440"/>
          <w:tab w:val="left" w:pos="-720"/>
        </w:tabs>
        <w:ind w:left="3600" w:hanging="3600"/>
        <w:jc w:val="both"/>
        <w:rPr>
          <w:sz w:val="20"/>
          <w:szCs w:val="20"/>
          <w:lang w:val="fr-CA"/>
        </w:rPr>
      </w:pPr>
      <w:r w:rsidRPr="00C14F8B">
        <w:rPr>
          <w:sz w:val="20"/>
          <w:szCs w:val="20"/>
          <w:lang w:val="fr-CA"/>
        </w:rPr>
        <w:t>Arrêt de la Cour d’appel :</w:t>
      </w:r>
      <w:r w:rsidRPr="00C14F8B">
        <w:rPr>
          <w:sz w:val="20"/>
          <w:szCs w:val="20"/>
          <w:lang w:val="fr-CA"/>
        </w:rPr>
        <w:tab/>
        <w:t>22 mars 2011</w:t>
      </w:r>
    </w:p>
    <w:p w:rsidR="00C14F8B" w:rsidRPr="00C14F8B" w:rsidRDefault="00C14F8B" w:rsidP="00C14F8B">
      <w:pPr>
        <w:tabs>
          <w:tab w:val="left" w:pos="-1440"/>
          <w:tab w:val="left" w:pos="-720"/>
        </w:tabs>
        <w:ind w:left="3600" w:hanging="3600"/>
        <w:jc w:val="both"/>
        <w:rPr>
          <w:sz w:val="20"/>
          <w:szCs w:val="20"/>
          <w:lang w:val="fr-CA"/>
        </w:rPr>
      </w:pPr>
    </w:p>
    <w:p w:rsidR="00C14F8B" w:rsidRPr="00C14F8B" w:rsidRDefault="00C14F8B" w:rsidP="00C14F8B">
      <w:pPr>
        <w:tabs>
          <w:tab w:val="left" w:pos="-1440"/>
          <w:tab w:val="left" w:pos="-720"/>
        </w:tabs>
        <w:ind w:left="3600" w:hanging="3600"/>
        <w:jc w:val="both"/>
        <w:rPr>
          <w:sz w:val="20"/>
          <w:szCs w:val="20"/>
          <w:lang w:val="fr-CA"/>
        </w:rPr>
      </w:pPr>
      <w:r w:rsidRPr="00C14F8B">
        <w:rPr>
          <w:sz w:val="20"/>
          <w:szCs w:val="20"/>
          <w:lang w:val="fr-CA"/>
        </w:rPr>
        <w:t>Avocats :</w:t>
      </w:r>
      <w:r w:rsidRPr="00C14F8B">
        <w:rPr>
          <w:sz w:val="20"/>
          <w:szCs w:val="20"/>
          <w:lang w:val="fr-CA"/>
        </w:rPr>
        <w:tab/>
        <w:t>Amy Alyea et Frank Au pour l’appelante</w:t>
      </w:r>
    </w:p>
    <w:p w:rsidR="00C14F8B" w:rsidRDefault="00C14F8B" w:rsidP="00C14F8B">
      <w:pPr>
        <w:tabs>
          <w:tab w:val="left" w:pos="-1440"/>
          <w:tab w:val="left" w:pos="-720"/>
        </w:tabs>
        <w:ind w:left="3600" w:hanging="3600"/>
        <w:jc w:val="both"/>
        <w:rPr>
          <w:sz w:val="20"/>
          <w:szCs w:val="20"/>
          <w:lang w:val="fr-CA"/>
        </w:rPr>
      </w:pPr>
      <w:r w:rsidRPr="00C14F8B">
        <w:rPr>
          <w:sz w:val="20"/>
          <w:szCs w:val="20"/>
          <w:lang w:val="fr-CA"/>
        </w:rPr>
        <w:tab/>
        <w:t>Frank Addario et Andrew Furgiuele pour l’intimé</w:t>
      </w:r>
    </w:p>
    <w:p w:rsidR="00C14F8B" w:rsidRPr="00C14F8B" w:rsidRDefault="00C14F8B" w:rsidP="00C14F8B">
      <w:pPr>
        <w:tabs>
          <w:tab w:val="left" w:pos="-1440"/>
          <w:tab w:val="left" w:pos="-720"/>
        </w:tabs>
        <w:ind w:left="3600" w:hanging="3600"/>
        <w:jc w:val="both"/>
        <w:rPr>
          <w:sz w:val="20"/>
          <w:szCs w:val="20"/>
          <w:lang w:val="fr-CA"/>
        </w:rPr>
      </w:pPr>
    </w:p>
    <w:p w:rsidR="0078410A" w:rsidRDefault="009134DA" w:rsidP="0078410A">
      <w:pPr>
        <w:tabs>
          <w:tab w:val="left" w:pos="-1440"/>
          <w:tab w:val="left" w:pos="-720"/>
        </w:tabs>
        <w:jc w:val="both"/>
        <w:rPr>
          <w:sz w:val="20"/>
          <w:szCs w:val="20"/>
          <w:lang w:val="fr-CA"/>
        </w:rPr>
      </w:pPr>
      <w:r w:rsidRPr="009134DA">
        <w:rPr>
          <w:sz w:val="20"/>
          <w:szCs w:val="20"/>
          <w:lang w:val="fr-CA"/>
        </w:rPr>
        <w:pict>
          <v:rect id="_x0000_i1125" style="width:2in;height:1pt" o:hrpct="0" o:hralign="center" o:hrstd="t" o:hrnoshade="t" o:hr="t" fillcolor="black [3213]" stroked="f"/>
        </w:pict>
      </w:r>
    </w:p>
    <w:p w:rsidR="0078410A" w:rsidRDefault="0078410A" w:rsidP="0078410A">
      <w:pPr>
        <w:tabs>
          <w:tab w:val="left" w:pos="-1440"/>
          <w:tab w:val="left" w:pos="-720"/>
        </w:tabs>
        <w:jc w:val="both"/>
        <w:rPr>
          <w:sz w:val="20"/>
          <w:szCs w:val="20"/>
          <w:lang w:val="fr-CA"/>
        </w:rPr>
      </w:pPr>
    </w:p>
    <w:p w:rsidR="0078410A" w:rsidRDefault="0078410A">
      <w:pPr>
        <w:rPr>
          <w:sz w:val="20"/>
          <w:szCs w:val="20"/>
          <w:lang w:val="fr-CA"/>
        </w:rPr>
      </w:pPr>
      <w:r>
        <w:rPr>
          <w:sz w:val="20"/>
          <w:szCs w:val="20"/>
          <w:lang w:val="fr-CA"/>
        </w:rPr>
        <w:br w:type="page"/>
      </w:r>
    </w:p>
    <w:p w:rsidR="003A0B72" w:rsidRPr="00B11BB2" w:rsidRDefault="009134DA" w:rsidP="003A0B72">
      <w:pPr>
        <w:widowControl w:val="0"/>
        <w:ind w:left="720" w:hanging="720"/>
        <w:jc w:val="both"/>
        <w:rPr>
          <w:sz w:val="20"/>
          <w:szCs w:val="20"/>
        </w:rPr>
      </w:pPr>
      <w:r w:rsidRPr="00B11BB2">
        <w:rPr>
          <w:b/>
          <w:sz w:val="20"/>
          <w:szCs w:val="20"/>
        </w:rPr>
        <w:lastRenderedPageBreak/>
        <w:fldChar w:fldCharType="begin"/>
      </w:r>
      <w:r w:rsidR="003A0B72" w:rsidRPr="00B11BB2">
        <w:rPr>
          <w:b/>
          <w:sz w:val="20"/>
          <w:szCs w:val="20"/>
        </w:rPr>
        <w:instrText xml:space="preserve"> SEQ CHAPTER \h \r 1</w:instrText>
      </w:r>
      <w:r w:rsidRPr="00B11BB2">
        <w:rPr>
          <w:b/>
          <w:sz w:val="20"/>
          <w:szCs w:val="20"/>
        </w:rPr>
        <w:fldChar w:fldCharType="end"/>
      </w:r>
      <w:r w:rsidR="003A0B72" w:rsidRPr="00B11BB2">
        <w:rPr>
          <w:b/>
          <w:sz w:val="20"/>
          <w:szCs w:val="20"/>
        </w:rPr>
        <w:t>34349</w:t>
      </w:r>
      <w:r w:rsidR="003A0B72" w:rsidRPr="00B11BB2">
        <w:rPr>
          <w:sz w:val="20"/>
          <w:szCs w:val="20"/>
        </w:rPr>
        <w:tab/>
      </w:r>
      <w:r w:rsidR="003A0B72" w:rsidRPr="00B11BB2">
        <w:rPr>
          <w:b/>
          <w:i/>
          <w:sz w:val="20"/>
          <w:szCs w:val="20"/>
        </w:rPr>
        <w:t>Brendan David Aucoin v. Her Majesty the Queen</w:t>
      </w:r>
    </w:p>
    <w:p w:rsidR="003A0B72" w:rsidRPr="00B11BB2" w:rsidRDefault="003A0B72" w:rsidP="003A0B72">
      <w:pPr>
        <w:widowControl w:val="0"/>
        <w:jc w:val="both"/>
        <w:rPr>
          <w:sz w:val="20"/>
          <w:szCs w:val="20"/>
        </w:rPr>
      </w:pPr>
    </w:p>
    <w:p w:rsidR="003A0B72" w:rsidRPr="00B11BB2" w:rsidRDefault="003A0B72" w:rsidP="003A0B72">
      <w:pPr>
        <w:widowControl w:val="0"/>
        <w:jc w:val="both"/>
        <w:rPr>
          <w:sz w:val="20"/>
          <w:szCs w:val="20"/>
        </w:rPr>
      </w:pPr>
      <w:r w:rsidRPr="00B11BB2">
        <w:rPr>
          <w:i/>
          <w:sz w:val="20"/>
          <w:szCs w:val="20"/>
        </w:rPr>
        <w:t>Charter of Rights</w:t>
      </w:r>
      <w:r w:rsidRPr="00B11BB2">
        <w:rPr>
          <w:sz w:val="20"/>
          <w:szCs w:val="20"/>
        </w:rPr>
        <w:t xml:space="preserve"> </w:t>
      </w:r>
      <w:r w:rsidRPr="00B11BB2">
        <w:rPr>
          <w:sz w:val="20"/>
          <w:szCs w:val="20"/>
        </w:rPr>
        <w:noBreakHyphen/>
        <w:t xml:space="preserve"> Criminal law </w:t>
      </w:r>
      <w:r w:rsidRPr="00B11BB2">
        <w:rPr>
          <w:sz w:val="20"/>
          <w:szCs w:val="20"/>
        </w:rPr>
        <w:noBreakHyphen/>
        <w:t xml:space="preserve"> Search and Seizure </w:t>
      </w:r>
      <w:r w:rsidRPr="00B11BB2">
        <w:rPr>
          <w:sz w:val="20"/>
          <w:szCs w:val="20"/>
        </w:rPr>
        <w:noBreakHyphen/>
        <w:t xml:space="preserve"> Whether there were lawful grounds to detain the appellant in the back seat of the police car </w:t>
      </w:r>
      <w:r w:rsidRPr="00B11BB2">
        <w:rPr>
          <w:sz w:val="20"/>
          <w:szCs w:val="20"/>
        </w:rPr>
        <w:noBreakHyphen/>
        <w:t xml:space="preserve"> If so, whether there were lawful grounds to search the appellant prior to placing him in the back seat of the police car </w:t>
      </w:r>
      <w:r w:rsidRPr="00B11BB2">
        <w:rPr>
          <w:sz w:val="20"/>
          <w:szCs w:val="20"/>
        </w:rPr>
        <w:noBreakHyphen/>
        <w:t xml:space="preserve"> If so, whether the search of the appellant was reasonably carried out </w:t>
      </w:r>
      <w:r w:rsidRPr="00B11BB2">
        <w:rPr>
          <w:sz w:val="20"/>
          <w:szCs w:val="20"/>
        </w:rPr>
        <w:noBreakHyphen/>
        <w:t xml:space="preserve"> </w:t>
      </w:r>
      <w:r w:rsidRPr="00B11BB2">
        <w:rPr>
          <w:i/>
          <w:sz w:val="20"/>
          <w:szCs w:val="20"/>
        </w:rPr>
        <w:t>Canadian Charter of Rights and Freedoms</w:t>
      </w:r>
      <w:r w:rsidRPr="00B11BB2">
        <w:rPr>
          <w:sz w:val="20"/>
          <w:szCs w:val="20"/>
        </w:rPr>
        <w:t>, s. 8.</w:t>
      </w:r>
    </w:p>
    <w:p w:rsidR="003A0B72" w:rsidRPr="00B11BB2" w:rsidRDefault="003A0B72" w:rsidP="003A0B72">
      <w:pPr>
        <w:widowControl w:val="0"/>
        <w:jc w:val="both"/>
        <w:rPr>
          <w:sz w:val="20"/>
          <w:szCs w:val="20"/>
        </w:rPr>
      </w:pPr>
    </w:p>
    <w:p w:rsidR="003A0B72" w:rsidRPr="00B11BB2" w:rsidRDefault="003A0B72" w:rsidP="003A0B72">
      <w:pPr>
        <w:widowControl w:val="0"/>
        <w:jc w:val="both"/>
        <w:rPr>
          <w:sz w:val="20"/>
          <w:szCs w:val="20"/>
        </w:rPr>
      </w:pPr>
      <w:r w:rsidRPr="00B11BB2">
        <w:rPr>
          <w:sz w:val="20"/>
          <w:szCs w:val="20"/>
        </w:rPr>
        <w:t>The appellant was convicted of possession of cocaine for the purposes of trafficking.  He appealed his conviction and the two</w:t>
      </w:r>
      <w:r w:rsidRPr="00B11BB2">
        <w:rPr>
          <w:sz w:val="20"/>
          <w:szCs w:val="20"/>
        </w:rPr>
        <w:noBreakHyphen/>
        <w:t xml:space="preserve">year sentence imposed by the trial judge.  Among the issues raised on appeal was whether the police officer breached the appellant’s s. 8 </w:t>
      </w:r>
      <w:r w:rsidRPr="00B11BB2">
        <w:rPr>
          <w:i/>
          <w:sz w:val="20"/>
          <w:szCs w:val="20"/>
        </w:rPr>
        <w:t>Charter</w:t>
      </w:r>
      <w:r w:rsidRPr="00B11BB2">
        <w:rPr>
          <w:sz w:val="20"/>
          <w:szCs w:val="20"/>
        </w:rPr>
        <w:t xml:space="preserve"> rights when he did a pat down search of the appellant prior to placing him in the back seat of the police car so that he could write him a ticket for a motor vehicle infraction while sitting in the front seat.  The majority of the Court of Appeal dismissed the appeal.  Beveridge J.A., dissenting, would have allowed the appeal on the basis that the appellant’s s. 8 </w:t>
      </w:r>
      <w:r w:rsidRPr="00B11BB2">
        <w:rPr>
          <w:i/>
          <w:iCs/>
          <w:sz w:val="20"/>
          <w:szCs w:val="20"/>
        </w:rPr>
        <w:t>Charter</w:t>
      </w:r>
      <w:r w:rsidRPr="00B11BB2">
        <w:rPr>
          <w:sz w:val="20"/>
          <w:szCs w:val="20"/>
        </w:rPr>
        <w:t xml:space="preserve"> rights had been infringed.  He concluded that the police officer had no lawful authority to search the appellant, and therefore concluded that the search that led to the discovery of the cocaine was illegal.  He would have excluded the evidence and entered an acquittal.  </w:t>
      </w:r>
    </w:p>
    <w:p w:rsidR="003A0B72" w:rsidRPr="00B11BB2" w:rsidRDefault="003A0B72" w:rsidP="003A0B72">
      <w:pPr>
        <w:widowControl w:val="0"/>
        <w:jc w:val="both"/>
        <w:rPr>
          <w:sz w:val="20"/>
          <w:szCs w:val="20"/>
        </w:rPr>
      </w:pPr>
    </w:p>
    <w:p w:rsidR="003A0B72" w:rsidRPr="00B11BB2" w:rsidRDefault="003A0B72" w:rsidP="003A0B72">
      <w:pPr>
        <w:widowControl w:val="0"/>
        <w:jc w:val="both"/>
        <w:rPr>
          <w:sz w:val="20"/>
          <w:szCs w:val="20"/>
        </w:rPr>
      </w:pPr>
    </w:p>
    <w:p w:rsidR="003A0B72" w:rsidRPr="00B11BB2" w:rsidRDefault="003A0B72" w:rsidP="003A0B72">
      <w:pPr>
        <w:widowControl w:val="0"/>
        <w:ind w:left="3600" w:hanging="3600"/>
        <w:jc w:val="both"/>
        <w:rPr>
          <w:sz w:val="20"/>
          <w:szCs w:val="20"/>
        </w:rPr>
      </w:pPr>
      <w:r w:rsidRPr="00B11BB2">
        <w:rPr>
          <w:sz w:val="20"/>
          <w:szCs w:val="20"/>
        </w:rPr>
        <w:t>Origin of the case:</w:t>
      </w:r>
      <w:r w:rsidRPr="00B11BB2">
        <w:rPr>
          <w:sz w:val="20"/>
          <w:szCs w:val="20"/>
        </w:rPr>
        <w:tab/>
        <w:t>Nova Scotia</w:t>
      </w:r>
    </w:p>
    <w:p w:rsidR="003A0B72" w:rsidRPr="00B11BB2" w:rsidRDefault="003A0B72" w:rsidP="003A0B72">
      <w:pPr>
        <w:widowControl w:val="0"/>
        <w:ind w:left="3600" w:hanging="3600"/>
        <w:jc w:val="both"/>
        <w:rPr>
          <w:sz w:val="20"/>
          <w:szCs w:val="20"/>
        </w:rPr>
      </w:pPr>
    </w:p>
    <w:p w:rsidR="003A0B72" w:rsidRPr="00B11BB2" w:rsidRDefault="003A0B72" w:rsidP="003A0B72">
      <w:pPr>
        <w:widowControl w:val="0"/>
        <w:ind w:left="3600" w:hanging="3600"/>
        <w:jc w:val="both"/>
        <w:rPr>
          <w:sz w:val="20"/>
          <w:szCs w:val="20"/>
        </w:rPr>
      </w:pPr>
      <w:r w:rsidRPr="00B11BB2">
        <w:rPr>
          <w:sz w:val="20"/>
          <w:szCs w:val="20"/>
        </w:rPr>
        <w:t>File No.:</w:t>
      </w:r>
      <w:r w:rsidRPr="00B11BB2">
        <w:rPr>
          <w:sz w:val="20"/>
          <w:szCs w:val="20"/>
        </w:rPr>
        <w:tab/>
        <w:t>34349</w:t>
      </w:r>
    </w:p>
    <w:p w:rsidR="003A0B72" w:rsidRPr="00B11BB2" w:rsidRDefault="003A0B72" w:rsidP="003A0B72">
      <w:pPr>
        <w:widowControl w:val="0"/>
        <w:ind w:left="3600" w:hanging="3600"/>
        <w:jc w:val="both"/>
        <w:rPr>
          <w:sz w:val="20"/>
          <w:szCs w:val="20"/>
        </w:rPr>
      </w:pPr>
    </w:p>
    <w:p w:rsidR="003A0B72" w:rsidRPr="00B11BB2" w:rsidRDefault="003A0B72" w:rsidP="003A0B72">
      <w:pPr>
        <w:widowControl w:val="0"/>
        <w:ind w:left="3600" w:hanging="3600"/>
        <w:jc w:val="both"/>
        <w:rPr>
          <w:sz w:val="20"/>
          <w:szCs w:val="20"/>
        </w:rPr>
      </w:pPr>
      <w:r w:rsidRPr="00B11BB2">
        <w:rPr>
          <w:sz w:val="20"/>
          <w:szCs w:val="20"/>
        </w:rPr>
        <w:t>Judgment of the Court of Appeal:</w:t>
      </w:r>
      <w:r w:rsidRPr="00B11BB2">
        <w:rPr>
          <w:sz w:val="20"/>
          <w:szCs w:val="20"/>
        </w:rPr>
        <w:tab/>
        <w:t>July 13, 2011</w:t>
      </w:r>
    </w:p>
    <w:p w:rsidR="003A0B72" w:rsidRPr="00B11BB2" w:rsidRDefault="003A0B72" w:rsidP="003A0B72">
      <w:pPr>
        <w:widowControl w:val="0"/>
        <w:ind w:left="3600" w:hanging="3600"/>
        <w:jc w:val="both"/>
        <w:rPr>
          <w:sz w:val="20"/>
          <w:szCs w:val="20"/>
        </w:rPr>
      </w:pPr>
    </w:p>
    <w:p w:rsidR="003A0B72" w:rsidRPr="00B11BB2" w:rsidRDefault="003A0B72" w:rsidP="003A0B72">
      <w:pPr>
        <w:widowControl w:val="0"/>
        <w:ind w:left="3600" w:hanging="3600"/>
        <w:jc w:val="both"/>
        <w:rPr>
          <w:sz w:val="20"/>
          <w:szCs w:val="20"/>
        </w:rPr>
      </w:pPr>
      <w:r w:rsidRPr="00B11BB2">
        <w:rPr>
          <w:sz w:val="20"/>
          <w:szCs w:val="20"/>
        </w:rPr>
        <w:t>Counsel:</w:t>
      </w:r>
      <w:r w:rsidRPr="00B11BB2">
        <w:rPr>
          <w:sz w:val="20"/>
          <w:szCs w:val="20"/>
        </w:rPr>
        <w:tab/>
        <w:t>Brian Vardigans and Roger Burrill for the appellant</w:t>
      </w:r>
    </w:p>
    <w:p w:rsidR="003A0B72" w:rsidRPr="00B11BB2" w:rsidRDefault="003A0B72" w:rsidP="003A0B72">
      <w:pPr>
        <w:widowControl w:val="0"/>
        <w:ind w:left="3600" w:hanging="3600"/>
        <w:jc w:val="both"/>
        <w:rPr>
          <w:sz w:val="20"/>
          <w:szCs w:val="20"/>
        </w:rPr>
      </w:pPr>
      <w:r w:rsidRPr="00B11BB2">
        <w:rPr>
          <w:sz w:val="20"/>
          <w:szCs w:val="20"/>
        </w:rPr>
        <w:tab/>
        <w:t>Leonard J. Mackay for the respondent</w:t>
      </w:r>
    </w:p>
    <w:p w:rsidR="0078410A" w:rsidRPr="003A0B72" w:rsidRDefault="0078410A" w:rsidP="0078410A">
      <w:pPr>
        <w:tabs>
          <w:tab w:val="left" w:pos="-1440"/>
          <w:tab w:val="left" w:pos="-720"/>
        </w:tabs>
        <w:jc w:val="both"/>
        <w:rPr>
          <w:sz w:val="20"/>
          <w:szCs w:val="20"/>
        </w:rPr>
      </w:pPr>
    </w:p>
    <w:p w:rsidR="0078410A" w:rsidRDefault="009134DA" w:rsidP="0078410A">
      <w:pPr>
        <w:tabs>
          <w:tab w:val="left" w:pos="-1440"/>
          <w:tab w:val="left" w:pos="-720"/>
        </w:tabs>
        <w:jc w:val="both"/>
        <w:rPr>
          <w:sz w:val="20"/>
          <w:szCs w:val="20"/>
          <w:lang w:val="fr-CA"/>
        </w:rPr>
      </w:pPr>
      <w:r w:rsidRPr="009134DA">
        <w:rPr>
          <w:sz w:val="20"/>
          <w:szCs w:val="20"/>
          <w:lang w:val="fr-CA"/>
        </w:rPr>
        <w:pict>
          <v:rect id="_x0000_i1126" style="width:2in;height:1pt" o:hrpct="0" o:hralign="center" o:hrstd="t" o:hrnoshade="t" o:hr="t" fillcolor="black [3213]" stroked="f"/>
        </w:pict>
      </w:r>
    </w:p>
    <w:p w:rsidR="0078410A" w:rsidRDefault="0078410A" w:rsidP="0078410A">
      <w:pPr>
        <w:tabs>
          <w:tab w:val="left" w:pos="-1440"/>
          <w:tab w:val="left" w:pos="-720"/>
        </w:tabs>
        <w:jc w:val="both"/>
        <w:rPr>
          <w:sz w:val="20"/>
          <w:szCs w:val="20"/>
          <w:lang w:val="fr-CA"/>
        </w:rPr>
      </w:pPr>
    </w:p>
    <w:p w:rsidR="0078410A" w:rsidRDefault="0078410A">
      <w:pPr>
        <w:rPr>
          <w:sz w:val="20"/>
          <w:szCs w:val="20"/>
          <w:lang w:val="fr-CA"/>
        </w:rPr>
      </w:pPr>
      <w:r>
        <w:rPr>
          <w:sz w:val="20"/>
          <w:szCs w:val="20"/>
          <w:lang w:val="fr-CA"/>
        </w:rPr>
        <w:br w:type="page"/>
      </w:r>
    </w:p>
    <w:p w:rsidR="003A0B72" w:rsidRPr="00E50423" w:rsidRDefault="009134DA" w:rsidP="003A0B72">
      <w:pPr>
        <w:widowControl w:val="0"/>
        <w:ind w:left="720" w:hanging="720"/>
        <w:jc w:val="both"/>
        <w:rPr>
          <w:sz w:val="20"/>
          <w:szCs w:val="20"/>
          <w:lang w:val="fr-FR"/>
        </w:rPr>
      </w:pPr>
      <w:r w:rsidRPr="00E50423">
        <w:rPr>
          <w:b/>
          <w:sz w:val="20"/>
          <w:szCs w:val="20"/>
        </w:rPr>
        <w:lastRenderedPageBreak/>
        <w:fldChar w:fldCharType="begin"/>
      </w:r>
      <w:r w:rsidR="003A0B72" w:rsidRPr="00E50423">
        <w:rPr>
          <w:b/>
          <w:sz w:val="20"/>
          <w:szCs w:val="20"/>
          <w:lang w:val="fr-FR"/>
        </w:rPr>
        <w:instrText xml:space="preserve"> SEQ CHAPTER \h \r 1</w:instrText>
      </w:r>
      <w:r w:rsidRPr="00E50423">
        <w:rPr>
          <w:b/>
          <w:sz w:val="20"/>
          <w:szCs w:val="20"/>
        </w:rPr>
        <w:fldChar w:fldCharType="end"/>
      </w:r>
      <w:r w:rsidR="003A0B72" w:rsidRPr="00E50423">
        <w:rPr>
          <w:b/>
          <w:sz w:val="20"/>
          <w:szCs w:val="20"/>
          <w:lang w:val="fr-FR"/>
        </w:rPr>
        <w:t>34349</w:t>
      </w:r>
      <w:r w:rsidR="003A0B72" w:rsidRPr="00E50423">
        <w:rPr>
          <w:sz w:val="20"/>
          <w:szCs w:val="20"/>
          <w:lang w:val="fr-FR"/>
        </w:rPr>
        <w:tab/>
      </w:r>
      <w:r w:rsidR="003A0B72" w:rsidRPr="00E50423">
        <w:rPr>
          <w:b/>
          <w:i/>
          <w:sz w:val="20"/>
          <w:szCs w:val="20"/>
          <w:lang w:val="fr-FR"/>
        </w:rPr>
        <w:t xml:space="preserve">Brendan David Aucoin c. Sa </w:t>
      </w:r>
      <w:r w:rsidR="003A0B72">
        <w:rPr>
          <w:b/>
          <w:i/>
          <w:sz w:val="20"/>
          <w:szCs w:val="20"/>
          <w:lang w:val="fr-FR"/>
        </w:rPr>
        <w:t>M</w:t>
      </w:r>
      <w:r w:rsidR="003A0B72" w:rsidRPr="00E50423">
        <w:rPr>
          <w:b/>
          <w:i/>
          <w:sz w:val="20"/>
          <w:szCs w:val="20"/>
          <w:lang w:val="fr-FR"/>
        </w:rPr>
        <w:t>ajesté la Reine</w:t>
      </w:r>
    </w:p>
    <w:p w:rsidR="003A0B72" w:rsidRPr="00E50423" w:rsidRDefault="003A0B72" w:rsidP="003A0B72">
      <w:pPr>
        <w:widowControl w:val="0"/>
        <w:jc w:val="both"/>
        <w:rPr>
          <w:sz w:val="20"/>
          <w:szCs w:val="20"/>
          <w:lang w:val="fr-FR"/>
        </w:rPr>
      </w:pPr>
    </w:p>
    <w:p w:rsidR="003A0B72" w:rsidRPr="00E50423" w:rsidRDefault="003A0B72" w:rsidP="003A0B72">
      <w:pPr>
        <w:widowControl w:val="0"/>
        <w:jc w:val="both"/>
        <w:rPr>
          <w:sz w:val="20"/>
          <w:szCs w:val="20"/>
          <w:lang w:val="fr-FR"/>
        </w:rPr>
      </w:pPr>
      <w:r w:rsidRPr="00E50423">
        <w:rPr>
          <w:i/>
          <w:sz w:val="20"/>
          <w:szCs w:val="20"/>
          <w:lang w:val="fr-FR"/>
        </w:rPr>
        <w:t>Charte des droits</w:t>
      </w:r>
      <w:r w:rsidRPr="00E50423">
        <w:rPr>
          <w:sz w:val="20"/>
          <w:szCs w:val="20"/>
          <w:lang w:val="fr-FR"/>
        </w:rPr>
        <w:t xml:space="preserve"> </w:t>
      </w:r>
      <w:r w:rsidRPr="00E50423">
        <w:rPr>
          <w:sz w:val="20"/>
          <w:szCs w:val="20"/>
          <w:lang w:val="fr-FR"/>
        </w:rPr>
        <w:noBreakHyphen/>
        <w:t xml:space="preserve"> Droit criminel </w:t>
      </w:r>
      <w:r w:rsidRPr="00E50423">
        <w:rPr>
          <w:sz w:val="20"/>
          <w:szCs w:val="20"/>
          <w:lang w:val="fr-FR"/>
        </w:rPr>
        <w:noBreakHyphen/>
        <w:t xml:space="preserve"> Fouilles, perquisitions et saisies </w:t>
      </w:r>
      <w:r w:rsidRPr="00E50423">
        <w:rPr>
          <w:sz w:val="20"/>
          <w:szCs w:val="20"/>
          <w:lang w:val="fr-FR"/>
        </w:rPr>
        <w:noBreakHyphen/>
        <w:t xml:space="preserve"> Y avait</w:t>
      </w:r>
      <w:r w:rsidRPr="00E50423">
        <w:rPr>
          <w:sz w:val="20"/>
          <w:szCs w:val="20"/>
          <w:lang w:val="fr-FR"/>
        </w:rPr>
        <w:noBreakHyphen/>
        <w:t xml:space="preserve">il des motifs légitimes de détenir l’appelant sur la banquette arrière de la voiture de police ? </w:t>
      </w:r>
      <w:r w:rsidRPr="00E50423">
        <w:rPr>
          <w:sz w:val="20"/>
          <w:szCs w:val="20"/>
          <w:lang w:val="fr-FR"/>
        </w:rPr>
        <w:noBreakHyphen/>
        <w:t xml:space="preserve"> Si oui, y avait</w:t>
      </w:r>
      <w:r w:rsidRPr="00E50423">
        <w:rPr>
          <w:sz w:val="20"/>
          <w:szCs w:val="20"/>
          <w:lang w:val="fr-FR"/>
        </w:rPr>
        <w:noBreakHyphen/>
        <w:t xml:space="preserve">il des motifs légitimes de fouiller l’appelant avant de l’asseoir sur la banquette arrière de la voiture de police ? </w:t>
      </w:r>
      <w:r w:rsidRPr="00E50423">
        <w:rPr>
          <w:sz w:val="20"/>
          <w:szCs w:val="20"/>
          <w:lang w:val="fr-FR"/>
        </w:rPr>
        <w:noBreakHyphen/>
        <w:t xml:space="preserve"> Si oui, la fouille de l’appelant a</w:t>
      </w:r>
      <w:r w:rsidRPr="00E50423">
        <w:rPr>
          <w:sz w:val="20"/>
          <w:szCs w:val="20"/>
          <w:lang w:val="fr-FR"/>
        </w:rPr>
        <w:noBreakHyphen/>
        <w:t>t</w:t>
      </w:r>
      <w:r w:rsidRPr="00E50423">
        <w:rPr>
          <w:sz w:val="20"/>
          <w:szCs w:val="20"/>
          <w:lang w:val="fr-FR"/>
        </w:rPr>
        <w:noBreakHyphen/>
        <w:t xml:space="preserve">elle été menée raisonnablement ? </w:t>
      </w:r>
      <w:r w:rsidRPr="00E50423">
        <w:rPr>
          <w:i/>
          <w:sz w:val="20"/>
          <w:szCs w:val="20"/>
          <w:lang w:val="fr-FR"/>
        </w:rPr>
        <w:t>Charte canadienne des droits et libertés</w:t>
      </w:r>
      <w:r w:rsidRPr="00E50423">
        <w:rPr>
          <w:sz w:val="20"/>
          <w:szCs w:val="20"/>
          <w:lang w:val="fr-FR"/>
        </w:rPr>
        <w:t>, art. 8.</w:t>
      </w:r>
    </w:p>
    <w:p w:rsidR="003A0B72" w:rsidRPr="00E50423" w:rsidRDefault="003A0B72" w:rsidP="003A0B72">
      <w:pPr>
        <w:widowControl w:val="0"/>
        <w:jc w:val="both"/>
        <w:rPr>
          <w:sz w:val="20"/>
          <w:szCs w:val="20"/>
          <w:lang w:val="fr-FR"/>
        </w:rPr>
      </w:pPr>
    </w:p>
    <w:p w:rsidR="003A0B72" w:rsidRPr="00E50423" w:rsidRDefault="003A0B72" w:rsidP="003A0B72">
      <w:pPr>
        <w:widowControl w:val="0"/>
        <w:jc w:val="both"/>
        <w:rPr>
          <w:sz w:val="20"/>
          <w:szCs w:val="20"/>
          <w:lang w:val="fr-FR"/>
        </w:rPr>
      </w:pPr>
      <w:r w:rsidRPr="00E50423">
        <w:rPr>
          <w:sz w:val="20"/>
          <w:szCs w:val="20"/>
          <w:lang w:val="fr-FR"/>
        </w:rPr>
        <w:t xml:space="preserve">L’appelant a été déclaré coupable de possession de cocaïne en vue d’en faire le trafic.  Il a interjeté appel de sa déclaration de culpabilité et de la peine de deux ans qui lui a été infligée par le juge du procès.  En appel, l’appelant a notamment soulevé la question de savoir si le policier avait violé les droits qui lui sont garantis par l’art. 8 de la </w:t>
      </w:r>
      <w:r w:rsidRPr="00E50423">
        <w:rPr>
          <w:i/>
          <w:sz w:val="20"/>
          <w:szCs w:val="20"/>
          <w:lang w:val="fr-FR"/>
        </w:rPr>
        <w:t>Charte</w:t>
      </w:r>
      <w:r w:rsidRPr="00E50423">
        <w:rPr>
          <w:sz w:val="20"/>
          <w:szCs w:val="20"/>
          <w:lang w:val="fr-FR"/>
        </w:rPr>
        <w:t xml:space="preserve"> lorsqu’il l’a fouillé par palpation avant de l’asseoir sur la banquette arrière de la voiture de police pour lui</w:t>
      </w:r>
      <w:r w:rsidRPr="00E50423">
        <w:rPr>
          <w:sz w:val="20"/>
          <w:szCs w:val="20"/>
          <w:lang w:val="fr-FR"/>
        </w:rPr>
        <w:noBreakHyphen/>
        <w:t xml:space="preserve">même s’asseoir sur le siège avant du véhicule et lui rédiger un billet d’infraction pour une contravention au code de la route.  Les juges majoritaires de la Cour d’appel ont rejeté l’appel.  Le juge Beveridge, dissident, aurait accueilli l’appel puisque, à son avis, les droits de l’appelant protégés par l’art. 8 de la </w:t>
      </w:r>
      <w:r w:rsidRPr="00E50423">
        <w:rPr>
          <w:i/>
          <w:sz w:val="20"/>
          <w:szCs w:val="20"/>
          <w:lang w:val="fr-FR"/>
        </w:rPr>
        <w:t>Charte</w:t>
      </w:r>
      <w:r w:rsidRPr="00E50423">
        <w:rPr>
          <w:sz w:val="20"/>
          <w:szCs w:val="20"/>
          <w:lang w:val="fr-FR"/>
        </w:rPr>
        <w:t xml:space="preserve"> avaient été violés.  Il a conclu que le policier n’avait pas le pouvoir légal de fouiller l’appelant et que, en conséquence, la fouille qui a mené à la découverte de la cocaïne avait été illégale.  Il aurait exclu l’élément de preuve et inscrit un verdict d’acquittement. </w:t>
      </w:r>
    </w:p>
    <w:p w:rsidR="003A0B72" w:rsidRPr="00E50423" w:rsidRDefault="003A0B72" w:rsidP="003A0B72">
      <w:pPr>
        <w:widowControl w:val="0"/>
        <w:jc w:val="both"/>
        <w:rPr>
          <w:sz w:val="20"/>
          <w:szCs w:val="20"/>
          <w:lang w:val="fr-FR"/>
        </w:rPr>
      </w:pPr>
    </w:p>
    <w:p w:rsidR="003A0B72" w:rsidRPr="00E50423" w:rsidRDefault="003A0B72" w:rsidP="003A0B72">
      <w:pPr>
        <w:widowControl w:val="0"/>
        <w:jc w:val="both"/>
        <w:rPr>
          <w:sz w:val="20"/>
          <w:szCs w:val="20"/>
          <w:lang w:val="fr-FR"/>
        </w:rPr>
      </w:pPr>
    </w:p>
    <w:p w:rsidR="003A0B72" w:rsidRPr="00E50423" w:rsidRDefault="003A0B72" w:rsidP="003A0B72">
      <w:pPr>
        <w:widowControl w:val="0"/>
        <w:ind w:left="3600" w:hanging="3600"/>
        <w:jc w:val="both"/>
        <w:rPr>
          <w:sz w:val="20"/>
          <w:szCs w:val="20"/>
          <w:lang w:val="fr-FR"/>
        </w:rPr>
      </w:pPr>
      <w:r w:rsidRPr="00E50423">
        <w:rPr>
          <w:sz w:val="20"/>
          <w:szCs w:val="20"/>
          <w:lang w:val="fr-FR"/>
        </w:rPr>
        <w:t>Origine de la cause :</w:t>
      </w:r>
      <w:r w:rsidRPr="00E50423">
        <w:rPr>
          <w:sz w:val="20"/>
          <w:szCs w:val="20"/>
          <w:lang w:val="fr-FR"/>
        </w:rPr>
        <w:tab/>
        <w:t>Nouvelle</w:t>
      </w:r>
      <w:r w:rsidRPr="00E50423">
        <w:rPr>
          <w:sz w:val="20"/>
          <w:szCs w:val="20"/>
          <w:lang w:val="fr-FR"/>
        </w:rPr>
        <w:noBreakHyphen/>
        <w:t>Écosse</w:t>
      </w:r>
    </w:p>
    <w:p w:rsidR="003A0B72" w:rsidRPr="00E50423" w:rsidRDefault="003A0B72" w:rsidP="003A0B72">
      <w:pPr>
        <w:widowControl w:val="0"/>
        <w:ind w:left="3600" w:hanging="3600"/>
        <w:jc w:val="both"/>
        <w:rPr>
          <w:sz w:val="20"/>
          <w:szCs w:val="20"/>
          <w:lang w:val="fr-FR"/>
        </w:rPr>
      </w:pPr>
    </w:p>
    <w:p w:rsidR="003A0B72" w:rsidRPr="00E50423" w:rsidRDefault="003A0B72" w:rsidP="003A0B72">
      <w:pPr>
        <w:widowControl w:val="0"/>
        <w:ind w:left="3600" w:hanging="3600"/>
        <w:jc w:val="both"/>
        <w:rPr>
          <w:sz w:val="20"/>
          <w:szCs w:val="20"/>
          <w:lang w:val="fr-FR"/>
        </w:rPr>
      </w:pPr>
      <w:r w:rsidRPr="00E50423">
        <w:rPr>
          <w:sz w:val="20"/>
          <w:szCs w:val="20"/>
          <w:lang w:val="fr-FR"/>
        </w:rPr>
        <w:t>N</w:t>
      </w:r>
      <w:r w:rsidRPr="00E50423">
        <w:rPr>
          <w:sz w:val="20"/>
          <w:szCs w:val="20"/>
          <w:vertAlign w:val="superscript"/>
          <w:lang w:val="fr-FR"/>
        </w:rPr>
        <w:t>o</w:t>
      </w:r>
      <w:r w:rsidRPr="00E50423">
        <w:rPr>
          <w:sz w:val="20"/>
          <w:szCs w:val="20"/>
          <w:lang w:val="fr-FR"/>
        </w:rPr>
        <w:t xml:space="preserve"> du greffe :</w:t>
      </w:r>
      <w:r w:rsidRPr="00E50423">
        <w:rPr>
          <w:sz w:val="20"/>
          <w:szCs w:val="20"/>
          <w:lang w:val="fr-FR"/>
        </w:rPr>
        <w:tab/>
        <w:t>34349</w:t>
      </w:r>
    </w:p>
    <w:p w:rsidR="003A0B72" w:rsidRPr="00E50423" w:rsidRDefault="003A0B72" w:rsidP="003A0B72">
      <w:pPr>
        <w:widowControl w:val="0"/>
        <w:ind w:left="3600" w:hanging="3600"/>
        <w:jc w:val="both"/>
        <w:rPr>
          <w:sz w:val="20"/>
          <w:szCs w:val="20"/>
          <w:lang w:val="fr-FR"/>
        </w:rPr>
      </w:pPr>
    </w:p>
    <w:p w:rsidR="003A0B72" w:rsidRPr="00E50423" w:rsidRDefault="003A0B72" w:rsidP="003A0B72">
      <w:pPr>
        <w:widowControl w:val="0"/>
        <w:ind w:left="3600" w:hanging="3600"/>
        <w:jc w:val="both"/>
        <w:rPr>
          <w:sz w:val="20"/>
          <w:szCs w:val="20"/>
          <w:lang w:val="fr-FR"/>
        </w:rPr>
      </w:pPr>
      <w:r w:rsidRPr="00E50423">
        <w:rPr>
          <w:sz w:val="20"/>
          <w:szCs w:val="20"/>
          <w:lang w:val="fr-FR"/>
        </w:rPr>
        <w:t>Arrêt de la Cour d’appel :</w:t>
      </w:r>
      <w:r w:rsidRPr="00E50423">
        <w:rPr>
          <w:sz w:val="20"/>
          <w:szCs w:val="20"/>
          <w:lang w:val="fr-FR"/>
        </w:rPr>
        <w:tab/>
        <w:t>13 juillet 2011</w:t>
      </w:r>
    </w:p>
    <w:p w:rsidR="003A0B72" w:rsidRPr="00E50423" w:rsidRDefault="003A0B72" w:rsidP="003A0B72">
      <w:pPr>
        <w:widowControl w:val="0"/>
        <w:ind w:left="3600" w:hanging="3600"/>
        <w:jc w:val="both"/>
        <w:rPr>
          <w:sz w:val="20"/>
          <w:szCs w:val="20"/>
          <w:lang w:val="fr-FR"/>
        </w:rPr>
      </w:pPr>
    </w:p>
    <w:p w:rsidR="003A0B72" w:rsidRPr="00E50423" w:rsidRDefault="003A0B72" w:rsidP="003A0B72">
      <w:pPr>
        <w:widowControl w:val="0"/>
        <w:ind w:left="3600" w:hanging="3600"/>
        <w:jc w:val="both"/>
        <w:rPr>
          <w:sz w:val="20"/>
          <w:szCs w:val="20"/>
          <w:lang w:val="fr-FR"/>
        </w:rPr>
      </w:pPr>
      <w:r w:rsidRPr="00E50423">
        <w:rPr>
          <w:sz w:val="20"/>
          <w:szCs w:val="20"/>
          <w:lang w:val="fr-FR"/>
        </w:rPr>
        <w:t>Avocats :</w:t>
      </w:r>
      <w:r w:rsidRPr="00E50423">
        <w:rPr>
          <w:sz w:val="20"/>
          <w:szCs w:val="20"/>
          <w:lang w:val="fr-FR"/>
        </w:rPr>
        <w:tab/>
        <w:t>Brian Vardigans et Roger Burrill pour l’appelant</w:t>
      </w:r>
    </w:p>
    <w:p w:rsidR="003A0B72" w:rsidRPr="00E50423" w:rsidRDefault="003A0B72" w:rsidP="003A0B72">
      <w:pPr>
        <w:widowControl w:val="0"/>
        <w:ind w:left="3600" w:hanging="3600"/>
        <w:jc w:val="both"/>
        <w:rPr>
          <w:sz w:val="20"/>
          <w:szCs w:val="20"/>
        </w:rPr>
      </w:pPr>
      <w:r w:rsidRPr="00E50423">
        <w:rPr>
          <w:sz w:val="20"/>
          <w:szCs w:val="20"/>
          <w:lang w:val="fr-FR"/>
        </w:rPr>
        <w:tab/>
      </w:r>
      <w:r w:rsidRPr="00E50423">
        <w:rPr>
          <w:sz w:val="20"/>
          <w:szCs w:val="20"/>
        </w:rPr>
        <w:t>Leonard J. Mackay pour l’intimée</w:t>
      </w:r>
    </w:p>
    <w:p w:rsidR="0078410A" w:rsidRPr="00DD0B49" w:rsidRDefault="0078410A" w:rsidP="0078410A">
      <w:pPr>
        <w:tabs>
          <w:tab w:val="left" w:pos="-1440"/>
          <w:tab w:val="left" w:pos="-720"/>
        </w:tabs>
        <w:jc w:val="both"/>
        <w:rPr>
          <w:sz w:val="20"/>
          <w:szCs w:val="20"/>
          <w:lang w:val="fr-CA"/>
        </w:rPr>
      </w:pPr>
    </w:p>
    <w:p w:rsidR="0078410A" w:rsidRDefault="009134DA" w:rsidP="0078410A">
      <w:pPr>
        <w:tabs>
          <w:tab w:val="left" w:pos="-1440"/>
          <w:tab w:val="left" w:pos="-720"/>
        </w:tabs>
        <w:jc w:val="both"/>
        <w:rPr>
          <w:sz w:val="20"/>
          <w:szCs w:val="20"/>
          <w:lang w:val="fr-CA"/>
        </w:rPr>
      </w:pPr>
      <w:r w:rsidRPr="009134DA">
        <w:rPr>
          <w:sz w:val="20"/>
          <w:szCs w:val="20"/>
          <w:lang w:val="fr-CA"/>
        </w:rPr>
        <w:pict>
          <v:rect id="_x0000_i1127" style="width:2in;height:1pt" o:hrpct="0" o:hralign="center" o:hrstd="t" o:hrnoshade="t" o:hr="t" fillcolor="black [3213]" stroked="f"/>
        </w:pict>
      </w:r>
    </w:p>
    <w:p w:rsidR="0078410A" w:rsidRDefault="0078410A" w:rsidP="0078410A">
      <w:pPr>
        <w:tabs>
          <w:tab w:val="left" w:pos="-1440"/>
          <w:tab w:val="left" w:pos="-720"/>
        </w:tabs>
        <w:jc w:val="both"/>
        <w:rPr>
          <w:sz w:val="20"/>
          <w:szCs w:val="20"/>
          <w:lang w:val="fr-CA"/>
        </w:rPr>
      </w:pPr>
    </w:p>
    <w:p w:rsidR="00DB093C" w:rsidRDefault="00DB093C">
      <w:pPr>
        <w:rPr>
          <w:sz w:val="20"/>
          <w:szCs w:val="20"/>
          <w:lang w:val="fr-CA"/>
        </w:rPr>
      </w:pPr>
      <w:r>
        <w:rPr>
          <w:sz w:val="20"/>
          <w:szCs w:val="20"/>
          <w:lang w:val="fr-CA"/>
        </w:rPr>
        <w:br w:type="page"/>
      </w:r>
    </w:p>
    <w:p w:rsidR="00DB093C" w:rsidRPr="00F66A1B" w:rsidRDefault="00DB093C" w:rsidP="00DB093C">
      <w:pPr>
        <w:tabs>
          <w:tab w:val="left" w:pos="-1440"/>
          <w:tab w:val="left" w:pos="-720"/>
        </w:tabs>
        <w:ind w:left="720" w:hanging="720"/>
        <w:jc w:val="both"/>
        <w:rPr>
          <w:sz w:val="20"/>
          <w:szCs w:val="20"/>
        </w:rPr>
      </w:pPr>
      <w:r w:rsidRPr="00F66A1B">
        <w:rPr>
          <w:b/>
          <w:sz w:val="20"/>
          <w:szCs w:val="20"/>
        </w:rPr>
        <w:lastRenderedPageBreak/>
        <w:t>34</w:t>
      </w:r>
      <w:r w:rsidR="00257BE9">
        <w:rPr>
          <w:b/>
          <w:sz w:val="20"/>
          <w:szCs w:val="20"/>
        </w:rPr>
        <w:t>36</w:t>
      </w:r>
      <w:r w:rsidRPr="00F66A1B">
        <w:rPr>
          <w:b/>
          <w:sz w:val="20"/>
          <w:szCs w:val="20"/>
        </w:rPr>
        <w:t>2</w:t>
      </w:r>
      <w:r w:rsidRPr="00F66A1B">
        <w:rPr>
          <w:b/>
          <w:sz w:val="20"/>
          <w:szCs w:val="20"/>
        </w:rPr>
        <w:tab/>
      </w:r>
      <w:r w:rsidR="00257BE9">
        <w:rPr>
          <w:b/>
          <w:sz w:val="20"/>
          <w:szCs w:val="20"/>
        </w:rPr>
        <w:t xml:space="preserve">Brian Cuthbertson </w:t>
      </w:r>
      <w:r w:rsidRPr="00F66A1B">
        <w:rPr>
          <w:b/>
          <w:sz w:val="20"/>
          <w:szCs w:val="20"/>
        </w:rPr>
        <w:t>and</w:t>
      </w:r>
      <w:r w:rsidR="00257BE9">
        <w:rPr>
          <w:b/>
          <w:sz w:val="20"/>
          <w:szCs w:val="20"/>
        </w:rPr>
        <w:t xml:space="preserve"> Gordon Rubenfeld </w:t>
      </w:r>
      <w:r w:rsidRPr="00F66A1B">
        <w:rPr>
          <w:b/>
          <w:sz w:val="20"/>
          <w:szCs w:val="20"/>
        </w:rPr>
        <w:t>v. H</w:t>
      </w:r>
      <w:r w:rsidR="00257BE9">
        <w:rPr>
          <w:b/>
          <w:sz w:val="20"/>
          <w:szCs w:val="20"/>
        </w:rPr>
        <w:t xml:space="preserve">assan Rasouli by his </w:t>
      </w:r>
      <w:r w:rsidR="00B36F35">
        <w:rPr>
          <w:b/>
          <w:sz w:val="20"/>
          <w:szCs w:val="20"/>
        </w:rPr>
        <w:t>L</w:t>
      </w:r>
      <w:r w:rsidR="00257BE9">
        <w:rPr>
          <w:b/>
          <w:sz w:val="20"/>
          <w:szCs w:val="20"/>
        </w:rPr>
        <w:t>itigation Guardian and Substitute Decision Mak</w:t>
      </w:r>
      <w:r w:rsidRPr="00F66A1B">
        <w:rPr>
          <w:b/>
          <w:sz w:val="20"/>
          <w:szCs w:val="20"/>
        </w:rPr>
        <w:t>er</w:t>
      </w:r>
      <w:r w:rsidR="00257BE9">
        <w:rPr>
          <w:b/>
          <w:sz w:val="20"/>
          <w:szCs w:val="20"/>
        </w:rPr>
        <w:t>, Parichehr Salasel</w:t>
      </w:r>
      <w:r>
        <w:rPr>
          <w:sz w:val="20"/>
          <w:szCs w:val="20"/>
        </w:rPr>
        <w:t xml:space="preserve"> </w:t>
      </w:r>
      <w:r w:rsidRPr="00F66A1B">
        <w:rPr>
          <w:sz w:val="20"/>
          <w:szCs w:val="20"/>
        </w:rPr>
        <w:t>(</w:t>
      </w:r>
      <w:r w:rsidR="00257BE9">
        <w:rPr>
          <w:sz w:val="20"/>
          <w:szCs w:val="20"/>
        </w:rPr>
        <w:t>Ont</w:t>
      </w:r>
      <w:r w:rsidRPr="00F66A1B">
        <w:rPr>
          <w:sz w:val="20"/>
          <w:szCs w:val="20"/>
        </w:rPr>
        <w:t>.) (Ci</w:t>
      </w:r>
      <w:r w:rsidR="00257BE9">
        <w:rPr>
          <w:sz w:val="20"/>
          <w:szCs w:val="20"/>
        </w:rPr>
        <w:t>v</w:t>
      </w:r>
      <w:r w:rsidRPr="00F66A1B">
        <w:rPr>
          <w:sz w:val="20"/>
          <w:szCs w:val="20"/>
        </w:rPr>
        <w:t>il) (By Leave)</w:t>
      </w:r>
    </w:p>
    <w:p w:rsidR="00DB093C" w:rsidRDefault="00DB093C" w:rsidP="00DB093C">
      <w:pPr>
        <w:tabs>
          <w:tab w:val="left" w:pos="-1440"/>
          <w:tab w:val="left" w:pos="-720"/>
        </w:tabs>
        <w:ind w:left="720" w:hanging="720"/>
        <w:jc w:val="both"/>
        <w:rPr>
          <w:sz w:val="20"/>
          <w:szCs w:val="20"/>
        </w:rPr>
      </w:pPr>
    </w:p>
    <w:p w:rsidR="00DB093C" w:rsidRPr="00F66A1B" w:rsidRDefault="00257BE9" w:rsidP="00257BE9">
      <w:pPr>
        <w:tabs>
          <w:tab w:val="left" w:pos="-1440"/>
          <w:tab w:val="left" w:pos="-720"/>
        </w:tabs>
        <w:jc w:val="both"/>
        <w:rPr>
          <w:sz w:val="20"/>
          <w:szCs w:val="20"/>
        </w:rPr>
      </w:pPr>
      <w:r w:rsidRPr="00C23337">
        <w:rPr>
          <w:rFonts w:cs="Times New Roman"/>
          <w:sz w:val="20"/>
          <w:szCs w:val="20"/>
        </w:rPr>
        <w:t>Legislation – Interpretation – Health Care – Withdrawal of life-sustaining medical treatment -- Whether there is a special category of medical decisions taken at the end of a patient’s life to which established medical standards of care do not apply – Whether patient consent is required under any circumstances to the withholding or withdrawal of treatment that the patient’s doctor is not prepared to offer or to continue to offer – Whether a patient’s right to personal autonomy is engaged by a decision to withhold or withdraw life support or other measures required to sustain life when death is otherwise imminent – If life support or similar measures can legally be withheld or withdrawn, what process must first be followed by doctors and what redress is available to patients or substitute decision makers in the event of a conflict -- Whether the Health Care Consent Act, 1996, SO 1996, c. 2, Sch. A, changed the common law of consent to treatment -- Whether Court of Appeal erred in adopting an unreasonable interpretation of the Health Care Consent Act that requires physicians to breach an applicable medical standard of care – Whether the law of informed consent confers upon patients a right to insist upon the continuation of a particular treatment when a medical standard of care requires it to be withdrawn.</w:t>
      </w:r>
    </w:p>
    <w:p w:rsidR="00DB093C" w:rsidRPr="00F66A1B" w:rsidRDefault="00DB093C" w:rsidP="00DB093C">
      <w:pPr>
        <w:tabs>
          <w:tab w:val="left" w:pos="-1440"/>
          <w:tab w:val="left" w:pos="-720"/>
        </w:tabs>
        <w:ind w:left="720" w:hanging="720"/>
        <w:jc w:val="both"/>
        <w:rPr>
          <w:sz w:val="20"/>
          <w:szCs w:val="20"/>
        </w:rPr>
      </w:pPr>
    </w:p>
    <w:p w:rsidR="00DB093C" w:rsidRPr="00DD0B49" w:rsidRDefault="009134DA" w:rsidP="00DB093C">
      <w:pPr>
        <w:tabs>
          <w:tab w:val="left" w:pos="-1440"/>
          <w:tab w:val="left" w:pos="-720"/>
        </w:tabs>
        <w:ind w:left="720" w:hanging="720"/>
        <w:jc w:val="both"/>
        <w:rPr>
          <w:sz w:val="20"/>
          <w:szCs w:val="20"/>
        </w:rPr>
      </w:pPr>
      <w:r w:rsidRPr="009134DA">
        <w:rPr>
          <w:sz w:val="20"/>
          <w:szCs w:val="20"/>
          <w:lang w:val="fr-CA"/>
        </w:rPr>
        <w:pict>
          <v:rect id="_x0000_i1128" style="width:2in;height:1pt" o:hrpct="0" o:hralign="center" o:hrstd="t" o:hrnoshade="t" o:hr="t" fillcolor="black [3213]" stroked="f"/>
        </w:pict>
      </w:r>
    </w:p>
    <w:p w:rsidR="00DB093C" w:rsidRPr="003F0570" w:rsidRDefault="00DB093C" w:rsidP="00DB093C">
      <w:pPr>
        <w:tabs>
          <w:tab w:val="left" w:pos="-1440"/>
          <w:tab w:val="left" w:pos="-720"/>
        </w:tabs>
        <w:ind w:left="720" w:hanging="720"/>
        <w:jc w:val="both"/>
        <w:rPr>
          <w:sz w:val="20"/>
          <w:szCs w:val="20"/>
        </w:rPr>
      </w:pPr>
    </w:p>
    <w:p w:rsidR="00DB093C" w:rsidRDefault="00DB093C" w:rsidP="00DB093C">
      <w:pPr>
        <w:tabs>
          <w:tab w:val="left" w:pos="-1440"/>
          <w:tab w:val="left" w:pos="-720"/>
        </w:tabs>
        <w:ind w:left="720" w:hanging="720"/>
        <w:jc w:val="both"/>
        <w:rPr>
          <w:sz w:val="20"/>
          <w:szCs w:val="20"/>
          <w:lang w:val="fr-CA"/>
        </w:rPr>
      </w:pPr>
      <w:r w:rsidRPr="00DD0B49">
        <w:rPr>
          <w:b/>
          <w:sz w:val="20"/>
          <w:szCs w:val="20"/>
          <w:lang w:val="fr-CA"/>
        </w:rPr>
        <w:t>3</w:t>
      </w:r>
      <w:r>
        <w:rPr>
          <w:b/>
          <w:sz w:val="20"/>
          <w:szCs w:val="20"/>
          <w:lang w:val="fr-CA"/>
        </w:rPr>
        <w:t>4</w:t>
      </w:r>
      <w:r w:rsidR="00257BE9">
        <w:rPr>
          <w:b/>
          <w:sz w:val="20"/>
          <w:szCs w:val="20"/>
          <w:lang w:val="fr-CA"/>
        </w:rPr>
        <w:t>36</w:t>
      </w:r>
      <w:r>
        <w:rPr>
          <w:b/>
          <w:sz w:val="20"/>
          <w:szCs w:val="20"/>
          <w:lang w:val="fr-CA"/>
        </w:rPr>
        <w:t>2</w:t>
      </w:r>
      <w:r w:rsidRPr="00DD0B49">
        <w:rPr>
          <w:b/>
          <w:sz w:val="20"/>
          <w:szCs w:val="20"/>
          <w:lang w:val="fr-CA"/>
        </w:rPr>
        <w:tab/>
      </w:r>
      <w:r w:rsidR="00257BE9">
        <w:rPr>
          <w:b/>
          <w:sz w:val="20"/>
          <w:szCs w:val="20"/>
          <w:lang w:val="fr-CA"/>
        </w:rPr>
        <w:t>Bri</w:t>
      </w:r>
      <w:r w:rsidRPr="00F66A1B">
        <w:rPr>
          <w:b/>
          <w:sz w:val="20"/>
          <w:szCs w:val="20"/>
          <w:lang w:val="fr-CA"/>
        </w:rPr>
        <w:t>an</w:t>
      </w:r>
      <w:r w:rsidR="00257BE9">
        <w:rPr>
          <w:b/>
          <w:sz w:val="20"/>
          <w:szCs w:val="20"/>
          <w:lang w:val="fr-CA"/>
        </w:rPr>
        <w:t xml:space="preserve"> Cuthbertson et Gordon Rubenfeld </w:t>
      </w:r>
      <w:r w:rsidRPr="00F66A1B">
        <w:rPr>
          <w:b/>
          <w:sz w:val="20"/>
          <w:szCs w:val="20"/>
          <w:lang w:val="fr-CA"/>
        </w:rPr>
        <w:t xml:space="preserve">c. </w:t>
      </w:r>
      <w:r w:rsidR="00257BE9">
        <w:rPr>
          <w:b/>
          <w:sz w:val="20"/>
          <w:szCs w:val="20"/>
          <w:lang w:val="fr-CA"/>
        </w:rPr>
        <w:t>Hassan Rasouli, représenté par son tuteur à l’instance et mandataire spécial, P</w:t>
      </w:r>
      <w:r w:rsidRPr="00F66A1B">
        <w:rPr>
          <w:b/>
          <w:sz w:val="20"/>
          <w:szCs w:val="20"/>
          <w:lang w:val="fr-CA"/>
        </w:rPr>
        <w:t>a</w:t>
      </w:r>
      <w:r w:rsidR="00257BE9">
        <w:rPr>
          <w:b/>
          <w:sz w:val="20"/>
          <w:szCs w:val="20"/>
          <w:lang w:val="fr-CA"/>
        </w:rPr>
        <w:t>richehr Salasel</w:t>
      </w:r>
      <w:r>
        <w:rPr>
          <w:sz w:val="20"/>
          <w:szCs w:val="20"/>
          <w:lang w:val="fr-CA"/>
        </w:rPr>
        <w:t xml:space="preserve"> </w:t>
      </w:r>
      <w:r w:rsidRPr="009D40C7">
        <w:rPr>
          <w:sz w:val="20"/>
          <w:szCs w:val="20"/>
          <w:lang w:val="fr-CA"/>
        </w:rPr>
        <w:t>(</w:t>
      </w:r>
      <w:r w:rsidR="00257BE9">
        <w:rPr>
          <w:sz w:val="20"/>
          <w:szCs w:val="20"/>
          <w:lang w:val="fr-CA"/>
        </w:rPr>
        <w:t>Ont</w:t>
      </w:r>
      <w:r w:rsidRPr="009D40C7">
        <w:rPr>
          <w:sz w:val="20"/>
          <w:szCs w:val="20"/>
          <w:lang w:val="fr-CA"/>
        </w:rPr>
        <w:t>.) (Ci</w:t>
      </w:r>
      <w:r w:rsidR="00257BE9">
        <w:rPr>
          <w:sz w:val="20"/>
          <w:szCs w:val="20"/>
          <w:lang w:val="fr-CA"/>
        </w:rPr>
        <w:t>vi</w:t>
      </w:r>
      <w:r w:rsidRPr="009D40C7">
        <w:rPr>
          <w:sz w:val="20"/>
          <w:szCs w:val="20"/>
          <w:lang w:val="fr-CA"/>
        </w:rPr>
        <w:t>le) (Sur autorisation)</w:t>
      </w:r>
    </w:p>
    <w:p w:rsidR="00DB093C" w:rsidRDefault="00DB093C" w:rsidP="00DB093C">
      <w:pPr>
        <w:tabs>
          <w:tab w:val="left" w:pos="-1440"/>
          <w:tab w:val="left" w:pos="-720"/>
        </w:tabs>
        <w:ind w:left="720" w:hanging="720"/>
        <w:jc w:val="both"/>
        <w:rPr>
          <w:sz w:val="20"/>
          <w:szCs w:val="20"/>
          <w:lang w:val="fr-CA"/>
        </w:rPr>
      </w:pPr>
    </w:p>
    <w:p w:rsidR="00DB093C" w:rsidRDefault="00257BE9" w:rsidP="00257BE9">
      <w:pPr>
        <w:tabs>
          <w:tab w:val="left" w:pos="-1440"/>
          <w:tab w:val="left" w:pos="-720"/>
        </w:tabs>
        <w:jc w:val="both"/>
        <w:rPr>
          <w:rFonts w:cs="Times New Roman"/>
          <w:sz w:val="20"/>
          <w:szCs w:val="20"/>
          <w:lang w:val="fr-CA"/>
        </w:rPr>
      </w:pPr>
      <w:r w:rsidRPr="00C23337">
        <w:rPr>
          <w:rFonts w:cs="Times New Roman"/>
          <w:sz w:val="20"/>
          <w:szCs w:val="20"/>
          <w:lang w:val="fr-CA"/>
        </w:rPr>
        <w:t>Législation — Interprétation — Soins de santé — Retrait d'un traitement médical de maintien de la vie — Existe t il une catégorie spéciale de décisions médicales prises à la fin de la vie d'un patient à laquelle les normes médicales établies ne s'appliquent pas? — Faut il en toutes  circonstances obtenir le consentement du patient pour refuser ou retirer un traitement que le médecin du patient n'est pas disposé à offrir ou à continuer d'offrir? — Le droit du patient à l'autonomie personnelle est il mis en cause par la décision de refuser ou de retirer des procédures de maintien de la vie ou autres mesures nécessaires pour garder un patient en vie  lorsque la mort est par ailleurs imminente? — Si l'on peut légalement refuser ou retirer des procédures de maintien de la vie ou des mesures analogues, quelle démarche les médecins doivent-ils accomplir en premier lieu et quel recours est ouvert aux patients ou mandataires spéciaux en cas de conflit? — La Loi de 1996 sur le consentement aux soins de santé, L.O. 1996, ch. 2, ann. A (la « Loi »), a t elle modifié la common law en ce qui concerne le consentement aux traitements? — La Cour d'appel a t elle commis une erreur et donné une interprétation déraisonnable la Loi sur le consentement aux soins de santé, interprétation qui aurait pour effet d’obliger les médecins à enfreindre une norme médicale applicable en matière de soins de santé? — Les patients possèdent-ils, en vertu du droit relatif au consentement éclairé, le droit d'exiger la poursuite d'un traitement particulier lorsqu'une norme médicale en matière de soins de santé requiert son retrait?</w:t>
      </w:r>
    </w:p>
    <w:p w:rsidR="00257BE9" w:rsidRPr="00F66A1B" w:rsidRDefault="00257BE9" w:rsidP="00257BE9">
      <w:pPr>
        <w:tabs>
          <w:tab w:val="left" w:pos="-1440"/>
          <w:tab w:val="left" w:pos="-720"/>
        </w:tabs>
        <w:jc w:val="both"/>
        <w:rPr>
          <w:sz w:val="20"/>
          <w:szCs w:val="20"/>
          <w:lang w:val="fr-CA"/>
        </w:rPr>
      </w:pPr>
    </w:p>
    <w:p w:rsidR="00DB093C" w:rsidRDefault="009134DA" w:rsidP="00DB093C">
      <w:pPr>
        <w:tabs>
          <w:tab w:val="left" w:pos="-1440"/>
          <w:tab w:val="left" w:pos="-720"/>
        </w:tabs>
        <w:ind w:left="720" w:hanging="720"/>
        <w:jc w:val="both"/>
        <w:rPr>
          <w:sz w:val="20"/>
          <w:szCs w:val="20"/>
          <w:lang w:val="fr-CA"/>
        </w:rPr>
      </w:pPr>
      <w:r w:rsidRPr="009134DA">
        <w:rPr>
          <w:sz w:val="20"/>
          <w:szCs w:val="20"/>
          <w:lang w:val="fr-CA"/>
        </w:rPr>
        <w:pict>
          <v:rect id="_x0000_i1129" style="width:2in;height:1pt" o:hrpct="0" o:hralign="center" o:hrstd="t" o:hrnoshade="t" o:hr="t" fillcolor="black [3213]" stroked="f"/>
        </w:pict>
      </w:r>
    </w:p>
    <w:p w:rsidR="00DB093C" w:rsidRDefault="00DB093C" w:rsidP="00DB093C">
      <w:pPr>
        <w:tabs>
          <w:tab w:val="left" w:pos="-1440"/>
          <w:tab w:val="left" w:pos="-720"/>
        </w:tabs>
        <w:ind w:left="720" w:hanging="720"/>
        <w:jc w:val="both"/>
        <w:rPr>
          <w:sz w:val="20"/>
          <w:szCs w:val="20"/>
          <w:lang w:val="fr-CA"/>
        </w:rPr>
      </w:pPr>
    </w:p>
    <w:p w:rsidR="00F66A1B" w:rsidRDefault="00F66A1B" w:rsidP="000B3C9A">
      <w:pPr>
        <w:tabs>
          <w:tab w:val="left" w:pos="-1440"/>
          <w:tab w:val="left" w:pos="-720"/>
        </w:tabs>
        <w:jc w:val="both"/>
        <w:rPr>
          <w:sz w:val="20"/>
          <w:szCs w:val="20"/>
          <w:lang w:val="fr-CA"/>
        </w:rPr>
      </w:pPr>
    </w:p>
    <w:p w:rsidR="00DB093C" w:rsidRDefault="00DB093C">
      <w:pPr>
        <w:rPr>
          <w:sz w:val="20"/>
          <w:szCs w:val="20"/>
        </w:rPr>
      </w:pPr>
    </w:p>
    <w:p w:rsidR="00DB093C" w:rsidRPr="00F66A1B" w:rsidRDefault="00DB093C" w:rsidP="000B3C9A">
      <w:pPr>
        <w:tabs>
          <w:tab w:val="left" w:pos="-1440"/>
          <w:tab w:val="left" w:pos="-720"/>
        </w:tabs>
        <w:jc w:val="both"/>
        <w:rPr>
          <w:sz w:val="20"/>
          <w:szCs w:val="20"/>
        </w:rPr>
      </w:pPr>
    </w:p>
    <w:p w:rsidR="005F263E" w:rsidRPr="00F66A1B" w:rsidRDefault="005F263E" w:rsidP="00782AE4">
      <w:pPr>
        <w:jc w:val="both"/>
        <w:rPr>
          <w:sz w:val="20"/>
          <w:szCs w:val="20"/>
        </w:rPr>
      </w:pPr>
    </w:p>
    <w:p w:rsidR="005F263E" w:rsidRPr="00F66A1B" w:rsidRDefault="005F263E" w:rsidP="00782AE4">
      <w:pPr>
        <w:jc w:val="both"/>
        <w:rPr>
          <w:sz w:val="20"/>
          <w:szCs w:val="20"/>
        </w:rPr>
        <w:sectPr w:rsidR="005F263E" w:rsidRPr="00F66A1B" w:rsidSect="005F263E">
          <w:headerReference w:type="default"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p w:rsidR="00E903A1" w:rsidRPr="002E0C7E" w:rsidRDefault="009134DA"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w:t>
      </w:r>
      <w:r w:rsidR="00E56E42">
        <w:rPr>
          <w:rFonts w:asciiTheme="minorHAnsi" w:hAnsiTheme="minorHAnsi" w:cstheme="minorHAnsi"/>
          <w:b/>
          <w:szCs w:val="24"/>
        </w:rPr>
        <w:t>Ê</w:t>
      </w:r>
      <w:r w:rsidR="00E903A1" w:rsidRPr="002E0C7E">
        <w:rPr>
          <w:rFonts w:asciiTheme="minorHAnsi" w:hAnsiTheme="minorHAnsi" w:cstheme="minorHAnsi"/>
          <w:b/>
          <w:szCs w:val="24"/>
        </w:rPr>
        <w:t>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74"/>
      <w:footerReference w:type="default" r:id="rId7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5E" w:rsidRDefault="004B065E" w:rsidP="00A87207">
      <w:r>
        <w:separator/>
      </w:r>
    </w:p>
  </w:endnote>
  <w:endnote w:type="continuationSeparator" w:id="0">
    <w:p w:rsidR="004B065E" w:rsidRDefault="004B065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065E" w:rsidRDefault="004B065E">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134DA">
      <w:rPr>
        <w:lang w:val="fr-CA"/>
      </w:rPr>
      <w:pict>
        <v:rect id="_x0000_i1092" style="width:480.95pt;height:1pt" o:hralign="center" o:hrstd="t" o:hrnoshade="t" o:hr="t" fillcolor="black [3213]" stroked="f"/>
      </w:pict>
    </w:r>
  </w:p>
  <w:p w:rsidR="004B065E" w:rsidRPr="0009648D" w:rsidRDefault="004B065E" w:rsidP="00ED7E83">
    <w:pPr>
      <w:tabs>
        <w:tab w:val="center" w:pos="4680"/>
      </w:tabs>
    </w:pPr>
    <w:r>
      <w:tab/>
    </w:r>
    <w:r w:rsidRPr="0009648D">
      <w:t xml:space="preserve">- </w:t>
    </w:r>
    <w:fldSimple w:instr=" PAGE   \* MERGEFORMAT ">
      <w:r w:rsidR="005568D3">
        <w:rPr>
          <w:noProof/>
        </w:rPr>
        <w:t>662</w:t>
      </w:r>
    </w:fldSimple>
    <w:r w:rsidRPr="0009648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pPr>
      <w:pStyle w:val="Footer"/>
      <w:rPr>
        <w:lang w:val="fr-CA"/>
      </w:rPr>
    </w:pPr>
    <w:r w:rsidRPr="009134DA">
      <w:rPr>
        <w:lang w:val="fr-CA"/>
      </w:rPr>
      <w:pict>
        <v:rect id="_x0000_i1093" style="width:480.95pt;height:1pt" o:hralign="center" o:hrstd="t" o:hrnoshade="t" o:hr="t" fillcolor="black [3213]" stroked="f"/>
      </w:pict>
    </w:r>
  </w:p>
  <w:p w:rsidR="004B065E" w:rsidRDefault="004B065E" w:rsidP="00245129">
    <w:pPr>
      <w:tabs>
        <w:tab w:val="center" w:pos="4680"/>
      </w:tabs>
    </w:pPr>
    <w:r>
      <w:tab/>
    </w:r>
    <w:r w:rsidRPr="0009648D">
      <w:t xml:space="preserve">- </w:t>
    </w:r>
    <w:fldSimple w:instr=" PAGE   \* MERGEFORMAT ">
      <w:r w:rsidR="005568D3">
        <w:rPr>
          <w:noProof/>
        </w:rPr>
        <w:t>619</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065E" w:rsidRDefault="004B065E">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755F22">
    <w:pPr>
      <w:tabs>
        <w:tab w:val="left" w:pos="-1440"/>
        <w:tab w:val="left" w:pos="-720"/>
      </w:tabs>
    </w:pPr>
    <w:r>
      <w:pict>
        <v:rect id="_x0000_i1096" style="width:480.95pt;height:1pt" o:hralign="center" o:hrstd="t" o:hrnoshade="t" o:hr="t" fillcolor="black [3213]" stroked="f"/>
      </w:pict>
    </w:r>
  </w:p>
  <w:p w:rsidR="004B065E" w:rsidRDefault="004B065E" w:rsidP="00EB2B90">
    <w:pPr>
      <w:tabs>
        <w:tab w:val="center" w:pos="4680"/>
      </w:tabs>
    </w:pPr>
    <w:r>
      <w:tab/>
      <w:t xml:space="preserve">- </w:t>
    </w:r>
    <w:fldSimple w:instr=" PAGE   \* MERGEFORMAT ">
      <w:r>
        <w:rPr>
          <w:noProof/>
        </w:rPr>
        <w:t>665</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EB2B90">
    <w:pPr>
      <w:tabs>
        <w:tab w:val="center" w:pos="4680"/>
      </w:tabs>
    </w:pPr>
    <w:r>
      <w:pict>
        <v:rect id="_x0000_i1097" style="width:480.95pt;height:1pt" o:hralign="center" o:hrstd="t" o:hrnoshade="t" o:hr="t" fillcolor="black [3213]" stroked="f"/>
      </w:pict>
    </w:r>
  </w:p>
  <w:p w:rsidR="004B065E" w:rsidRPr="0031432F" w:rsidRDefault="004B065E" w:rsidP="00EB2B90">
    <w:pPr>
      <w:tabs>
        <w:tab w:val="center" w:pos="4680"/>
      </w:tabs>
    </w:pPr>
    <w:r>
      <w:tab/>
      <w:t xml:space="preserve">- </w:t>
    </w:r>
    <w:fldSimple w:instr=" PAGE   \* MERGEFORMAT ">
      <w:r w:rsidR="005568D3">
        <w:rPr>
          <w:noProof/>
        </w:rPr>
        <w:t>664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065E" w:rsidRDefault="004B065E">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134DA">
      <w:rPr>
        <w:lang w:val="fr-CA"/>
      </w:rPr>
      <w:pict>
        <v:rect id="_x0000_i1099" style="width:480.95pt;height:1pt" o:hralign="center" o:hrstd="t" o:hrnoshade="t" o:hr="t" fillcolor="black [3213]" stroked="f"/>
      </w:pict>
    </w:r>
  </w:p>
  <w:p w:rsidR="004B065E" w:rsidRDefault="004B065E" w:rsidP="00EB2B90">
    <w:pPr>
      <w:tabs>
        <w:tab w:val="center" w:pos="4680"/>
      </w:tabs>
    </w:pPr>
    <w:r>
      <w:tab/>
      <w:t xml:space="preserve">- </w:t>
    </w:r>
    <w:fldSimple w:instr=" PAGE   \* MERGEFORMAT ">
      <w:r>
        <w:rPr>
          <w:noProof/>
        </w:rPr>
        <w:t>519</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pPr>
      <w:pStyle w:val="Footer"/>
      <w:rPr>
        <w:lang w:val="fr-CA"/>
      </w:rPr>
    </w:pPr>
    <w:r w:rsidRPr="009134DA">
      <w:rPr>
        <w:lang w:val="fr-CA"/>
      </w:rPr>
      <w:pict>
        <v:rect id="_x0000_i1100" style="width:480.95pt;height:1pt" o:hralign="center" o:hrstd="t" o:hrnoshade="t" o:hr="t" fillcolor="black [3213]" stroked="f"/>
      </w:pict>
    </w:r>
  </w:p>
  <w:p w:rsidR="004B065E" w:rsidRDefault="004B065E" w:rsidP="00EB2B90">
    <w:pPr>
      <w:tabs>
        <w:tab w:val="center" w:pos="4680"/>
      </w:tabs>
    </w:pPr>
    <w:r>
      <w:tab/>
      <w:t xml:space="preserve">- </w:t>
    </w:r>
    <w:fldSimple w:instr=" PAGE   \* MERGEFORMAT ">
      <w:r w:rsidR="005568D3">
        <w:rPr>
          <w:noProof/>
        </w:rPr>
        <w:t>665</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065E" w:rsidRDefault="004B06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065E" w:rsidRDefault="004B065E">
    <w:pPr>
      <w:widowControl w:val="0"/>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134DA">
      <w:rPr>
        <w:lang w:val="fr-CA"/>
      </w:rPr>
      <w:pict>
        <v:rect id="_x0000_i1102" style="width:480.95pt;height:1pt" o:hralign="center" o:hrstd="t" o:hrnoshade="t" o:hr="t" fillcolor="black [3213]" stroked="f"/>
      </w:pict>
    </w:r>
  </w:p>
  <w:p w:rsidR="004B065E" w:rsidRDefault="004B065E" w:rsidP="00697C62">
    <w:pPr>
      <w:tabs>
        <w:tab w:val="center" w:pos="4680"/>
      </w:tabs>
    </w:pPr>
    <w:r>
      <w:tab/>
      <w:t xml:space="preserve">- </w:t>
    </w:r>
    <w:r w:rsidR="009134DA" w:rsidRPr="00B74FED">
      <w:rPr>
        <w:szCs w:val="24"/>
      </w:rPr>
      <w:fldChar w:fldCharType="begin"/>
    </w:r>
    <w:r w:rsidRPr="00B74FED">
      <w:rPr>
        <w:szCs w:val="24"/>
      </w:rPr>
      <w:instrText xml:space="preserve"> PAGE   \* MERGEFORMAT </w:instrText>
    </w:r>
    <w:r w:rsidR="009134DA" w:rsidRPr="00B74FED">
      <w:rPr>
        <w:szCs w:val="24"/>
      </w:rPr>
      <w:fldChar w:fldCharType="separate"/>
    </w:r>
    <w:r>
      <w:rPr>
        <w:noProof/>
        <w:szCs w:val="24"/>
      </w:rPr>
      <w:t>681</w:t>
    </w:r>
    <w:r w:rsidR="009134DA" w:rsidRPr="00B74FED">
      <w:rPr>
        <w:szCs w:val="24"/>
      </w:rPr>
      <w:fldChar w:fldCharType="end"/>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802863">
    <w:pPr>
      <w:widowControl w:val="0"/>
      <w:tabs>
        <w:tab w:val="left" w:pos="-1440"/>
        <w:tab w:val="left" w:pos="-720"/>
      </w:tabs>
    </w:pPr>
    <w:r w:rsidRPr="009134DA">
      <w:rPr>
        <w:lang w:val="fr-CA"/>
      </w:rPr>
      <w:pict>
        <v:rect id="_x0000_i1103" style="width:480.95pt;height:1pt" o:hralign="center" o:hrstd="t" o:hrnoshade="t" o:hr="t" fillcolor="black [3213]" stroked="f"/>
      </w:pict>
    </w:r>
  </w:p>
  <w:p w:rsidR="004B065E" w:rsidRPr="00180897" w:rsidRDefault="004B065E" w:rsidP="00697C62">
    <w:pPr>
      <w:tabs>
        <w:tab w:val="center" w:pos="4680"/>
      </w:tabs>
    </w:pPr>
    <w:r>
      <w:tab/>
      <w:t xml:space="preserve">- </w:t>
    </w:r>
    <w:r w:rsidR="009134DA" w:rsidRPr="00B74FED">
      <w:rPr>
        <w:szCs w:val="24"/>
      </w:rPr>
      <w:fldChar w:fldCharType="begin"/>
    </w:r>
    <w:r w:rsidRPr="00B74FED">
      <w:rPr>
        <w:szCs w:val="24"/>
      </w:rPr>
      <w:instrText xml:space="preserve"> PAGE   \* MERGEFORMAT </w:instrText>
    </w:r>
    <w:r w:rsidR="009134DA" w:rsidRPr="00B74FED">
      <w:rPr>
        <w:szCs w:val="24"/>
      </w:rPr>
      <w:fldChar w:fldCharType="separate"/>
    </w:r>
    <w:r w:rsidR="005568D3">
      <w:rPr>
        <w:noProof/>
        <w:szCs w:val="24"/>
      </w:rPr>
      <w:t>666</w:t>
    </w:r>
    <w:r w:rsidR="009134DA" w:rsidRPr="00B74FED">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065E" w:rsidRDefault="004B065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732DB7">
    <w:r>
      <w:pict>
        <v:rect id="_x0000_i1106" style="width:480.95pt;height:1pt" o:hralign="center" o:hrstd="t" o:hrnoshade="t" o:hr="t" fillcolor="black" stroked="f"/>
      </w:pict>
    </w:r>
  </w:p>
  <w:p w:rsidR="004B065E" w:rsidRDefault="004B065E">
    <w:pPr>
      <w:tabs>
        <w:tab w:val="center" w:pos="4740"/>
      </w:tabs>
      <w:spacing w:line="0" w:lineRule="atLeast"/>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pPr>
      <w:pStyle w:val="Footer"/>
    </w:pPr>
    <w:r>
      <w:pict>
        <v:rect id="_x0000_i1107" style="width:480.95pt;height:1pt" o:hralign="center" o:hrstd="t" o:hrnoshade="t" o:hr="t" fillcolor="black [3213]" stroked="f"/>
      </w:pict>
    </w:r>
  </w:p>
  <w:p w:rsidR="004B065E" w:rsidRPr="003C2C0F" w:rsidRDefault="004B065E" w:rsidP="00697C62">
    <w:pPr>
      <w:tabs>
        <w:tab w:val="center" w:pos="4680"/>
      </w:tabs>
    </w:pPr>
    <w:r>
      <w:tab/>
      <w:t xml:space="preserve">- </w:t>
    </w:r>
    <w:fldSimple w:instr=" PAGE   \* MERGEFORMAT ">
      <w:r w:rsidR="005568D3">
        <w:rPr>
          <w:noProof/>
        </w:rPr>
        <w:t>667</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065E" w:rsidRDefault="004B065E">
    <w:pPr>
      <w:tabs>
        <w:tab w:val="center" w:pos="4740"/>
      </w:tabs>
    </w:pPr>
    <w:r>
      <w:tab/>
      <w:t xml:space="preserve">- </w:t>
    </w:r>
    <w:r>
      <w:pgNum/>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065E" w:rsidRDefault="009134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2" style="width:480.95pt;height:1pt" o:hralign="center" o:hrstd="t" o:hrnoshade="t" o:hr="t" fillcolor="black [3213]" stroked="f"/>
      </w:pict>
    </w:r>
  </w:p>
  <w:p w:rsidR="004B065E" w:rsidRDefault="004B065E" w:rsidP="00782AE4">
    <w:pPr>
      <w:tabs>
        <w:tab w:val="center" w:pos="4680"/>
      </w:tabs>
    </w:pPr>
    <w:r>
      <w:tab/>
      <w:t xml:space="preserve">- </w:t>
    </w:r>
    <w:r w:rsidR="009134DA" w:rsidRPr="001775C1">
      <w:rPr>
        <w:szCs w:val="24"/>
      </w:rPr>
      <w:fldChar w:fldCharType="begin"/>
    </w:r>
    <w:r w:rsidRPr="001775C1">
      <w:rPr>
        <w:szCs w:val="24"/>
      </w:rPr>
      <w:instrText xml:space="preserve"> PAGE   \* MERGEFORMAT </w:instrText>
    </w:r>
    <w:r w:rsidR="009134DA" w:rsidRPr="001775C1">
      <w:rPr>
        <w:szCs w:val="24"/>
      </w:rPr>
      <w:fldChar w:fldCharType="separate"/>
    </w:r>
    <w:r w:rsidR="005568D3">
      <w:rPr>
        <w:noProof/>
        <w:szCs w:val="24"/>
      </w:rPr>
      <w:t>674</w:t>
    </w:r>
    <w:r w:rsidR="009134DA" w:rsidRPr="001775C1">
      <w:rPr>
        <w:szCs w:val="24"/>
      </w:rPr>
      <w:fldChar w:fldCharType="end"/>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782AE4">
    <w:pPr>
      <w:tabs>
        <w:tab w:val="center" w:pos="4680"/>
      </w:tabs>
    </w:pPr>
    <w:r>
      <w:pict>
        <v:rect id="_x0000_i1113" style="width:480.95pt;height:1pt" o:hralign="center" o:hrstd="t" o:hrnoshade="t" o:hr="t" fillcolor="black [3213]" stroked="f"/>
      </w:pict>
    </w:r>
  </w:p>
  <w:p w:rsidR="004B065E" w:rsidRDefault="004B065E" w:rsidP="00782AE4">
    <w:pPr>
      <w:tabs>
        <w:tab w:val="center" w:pos="4680"/>
      </w:tabs>
    </w:pPr>
    <w:r>
      <w:tab/>
      <w:t xml:space="preserve">- </w:t>
    </w:r>
    <w:r w:rsidR="009134DA" w:rsidRPr="001775C1">
      <w:rPr>
        <w:szCs w:val="24"/>
      </w:rPr>
      <w:fldChar w:fldCharType="begin"/>
    </w:r>
    <w:r w:rsidRPr="001775C1">
      <w:rPr>
        <w:szCs w:val="24"/>
      </w:rPr>
      <w:instrText xml:space="preserve"> PAGE   \* MERGEFORMAT </w:instrText>
    </w:r>
    <w:r w:rsidR="009134DA" w:rsidRPr="001775C1">
      <w:rPr>
        <w:szCs w:val="24"/>
      </w:rPr>
      <w:fldChar w:fldCharType="separate"/>
    </w:r>
    <w:r w:rsidR="005568D3">
      <w:rPr>
        <w:noProof/>
        <w:szCs w:val="24"/>
      </w:rPr>
      <w:t>668</w:t>
    </w:r>
    <w:r w:rsidR="009134DA"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4B065E" w:rsidRDefault="004B065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4B065E" w:rsidRDefault="004B065E">
    <w:pPr>
      <w:tabs>
        <w:tab w:val="center" w:pos="4740"/>
      </w:tabs>
    </w:pPr>
    <w:r>
      <w:tab/>
      <w:t xml:space="preserve">- </w:t>
    </w:r>
    <w:r>
      <w:pgNum/>
    </w: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22323B">
    <w:r>
      <w:pict>
        <v:rect id="_x0000_i1116" style="width:480.95pt;height:1pt" o:hralign="center" o:hrstd="t" o:hrnoshade="t" o:hr="t" fillcolor="black [3213]" stroked="f"/>
      </w:pict>
    </w:r>
  </w:p>
  <w:p w:rsidR="004B065E" w:rsidRDefault="004B065E">
    <w:pPr>
      <w:tabs>
        <w:tab w:val="center" w:pos="4740"/>
      </w:tabs>
      <w:spacing w:line="0" w:lineRule="atLeast"/>
    </w:pPr>
    <w:r>
      <w:tab/>
      <w:t xml:space="preserve">- </w:t>
    </w:r>
    <w:fldSimple w:instr=" PAGE   \* MERGEFORMAT ">
      <w:r>
        <w:rPr>
          <w:noProof/>
        </w:rPr>
        <w:t>687</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22323B">
    <w:r>
      <w:pict>
        <v:rect id="_x0000_i1117" style="width:480.95pt;height:1pt" o:hralign="center" o:hrstd="t" o:hrnoshade="t" o:hr="t" fillcolor="black [3213]" stroked="f"/>
      </w:pict>
    </w:r>
  </w:p>
  <w:p w:rsidR="004B065E" w:rsidRDefault="004B065E" w:rsidP="0022323B">
    <w:pPr>
      <w:tabs>
        <w:tab w:val="center" w:pos="4740"/>
      </w:tabs>
      <w:spacing w:line="0" w:lineRule="atLeast"/>
    </w:pPr>
    <w:r>
      <w:tab/>
      <w:t xml:space="preserve">- </w:t>
    </w:r>
    <w:fldSimple w:instr=" PAGE   \* MERGEFORMAT ">
      <w:r w:rsidR="005568D3">
        <w:rPr>
          <w:noProof/>
        </w:rPr>
        <w:t>675</w:t>
      </w:r>
    </w:fldSimple>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22323B">
    <w:r>
      <w:pict>
        <v:rect id="_x0000_i1130" style="width:480.95pt;height:1pt" o:hralign="center" o:hrstd="t" o:hrnoshade="t" o:hr="t" fillcolor="black [3213]" stroked="f"/>
      </w:pict>
    </w:r>
  </w:p>
  <w:p w:rsidR="004B065E" w:rsidRDefault="004B065E">
    <w:pPr>
      <w:tabs>
        <w:tab w:val="center" w:pos="4740"/>
      </w:tabs>
      <w:spacing w:line="0" w:lineRule="atLeast"/>
    </w:pPr>
    <w:r>
      <w:tab/>
      <w:t xml:space="preserve">- </w:t>
    </w:r>
    <w:fldSimple w:instr=" PAGE   \* MERGEFORMAT ">
      <w:r w:rsidR="005568D3">
        <w:rPr>
          <w:noProof/>
        </w:rPr>
        <w:t>685</w:t>
      </w:r>
    </w:fldSimple>
    <w: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22323B">
    <w:r>
      <w:pict>
        <v:rect id="_x0000_i1131" style="width:480.95pt;height:1pt" o:hralign="center" o:hrstd="t" o:hrnoshade="t" o:hr="t" fillcolor="black [3213]" stroked="f"/>
      </w:pict>
    </w:r>
  </w:p>
  <w:p w:rsidR="004B065E" w:rsidRDefault="004B065E" w:rsidP="0022323B">
    <w:pPr>
      <w:tabs>
        <w:tab w:val="center" w:pos="4740"/>
      </w:tabs>
      <w:spacing w:line="0" w:lineRule="atLeast"/>
    </w:pPr>
    <w:r>
      <w:tab/>
      <w:t xml:space="preserve">- </w:t>
    </w:r>
    <w:fldSimple w:instr=" PAGE   \* MERGEFORMAT ">
      <w:r w:rsidR="005568D3">
        <w:rPr>
          <w:noProof/>
        </w:rPr>
        <w:t>676</w:t>
      </w:r>
    </w:fldSimple>
    <w: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Pr="00924065" w:rsidRDefault="004B065E"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A87207">
    <w:pPr>
      <w:pStyle w:val="Footer"/>
    </w:pPr>
    <w:r>
      <w:pict>
        <v:rect id="_x0000_i1035" style="width:480.95pt;height:1pt" o:hralign="center" o:hrstd="t" o:hrnoshade="t" o:hr="t" fillcolor="black [3213]" stroked="f"/>
      </w:pict>
    </w:r>
  </w:p>
  <w:p w:rsidR="004B065E" w:rsidRPr="00B7374B" w:rsidRDefault="004B065E" w:rsidP="00B7374B">
    <w:pPr>
      <w:tabs>
        <w:tab w:val="center" w:pos="4680"/>
      </w:tabs>
      <w:rPr>
        <w:szCs w:val="24"/>
      </w:rPr>
    </w:pPr>
    <w:r w:rsidRPr="00954D22">
      <w:rPr>
        <w:szCs w:val="24"/>
      </w:rPr>
      <w:tab/>
      <w:t xml:space="preserve">- </w:t>
    </w:r>
    <w:r w:rsidR="009134DA" w:rsidRPr="00954D22">
      <w:rPr>
        <w:szCs w:val="24"/>
      </w:rPr>
      <w:fldChar w:fldCharType="begin"/>
    </w:r>
    <w:r w:rsidRPr="00954D22">
      <w:rPr>
        <w:szCs w:val="24"/>
      </w:rPr>
      <w:instrText xml:space="preserve"> PAGE   \* MERGEFORMAT </w:instrText>
    </w:r>
    <w:r w:rsidR="009134DA" w:rsidRPr="00954D22">
      <w:rPr>
        <w:szCs w:val="24"/>
      </w:rPr>
      <w:fldChar w:fldCharType="separate"/>
    </w:r>
    <w:r w:rsidR="005568D3">
      <w:rPr>
        <w:noProof/>
        <w:szCs w:val="24"/>
      </w:rPr>
      <w:t>615</w:t>
    </w:r>
    <w:r w:rsidR="009134D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755F22">
    <w:pPr>
      <w:tabs>
        <w:tab w:val="left" w:pos="-1440"/>
        <w:tab w:val="left" w:pos="-720"/>
      </w:tabs>
    </w:pPr>
    <w:r>
      <w:pict>
        <v:rect id="_x0000_i1036" style="width:480.95pt;height:1pt" o:hralign="center" o:hrstd="t" o:hrnoshade="t" o:hr="t" fillcolor="black [3213]" stroked="f"/>
      </w:pict>
    </w:r>
  </w:p>
  <w:p w:rsidR="004B065E" w:rsidRPr="00954D22" w:rsidRDefault="004B065E" w:rsidP="00B7374B">
    <w:pPr>
      <w:tabs>
        <w:tab w:val="center" w:pos="4680"/>
      </w:tabs>
      <w:rPr>
        <w:szCs w:val="24"/>
      </w:rPr>
    </w:pPr>
    <w:r w:rsidRPr="00954D22">
      <w:rPr>
        <w:szCs w:val="24"/>
      </w:rPr>
      <w:tab/>
      <w:t xml:space="preserve">- </w:t>
    </w:r>
    <w:r w:rsidR="009134DA">
      <w:rPr>
        <w:szCs w:val="24"/>
      </w:rPr>
      <w:fldChar w:fldCharType="begin"/>
    </w:r>
    <w:r>
      <w:rPr>
        <w:szCs w:val="24"/>
      </w:rPr>
      <w:instrText xml:space="preserve"> PAGE   \* MERGEFORMAT </w:instrText>
    </w:r>
    <w:r w:rsidR="009134DA">
      <w:rPr>
        <w:szCs w:val="24"/>
      </w:rPr>
      <w:fldChar w:fldCharType="separate"/>
    </w:r>
    <w:r w:rsidR="005568D3">
      <w:rPr>
        <w:noProof/>
        <w:szCs w:val="24"/>
      </w:rPr>
      <w:t>614</w:t>
    </w:r>
    <w:r w:rsidR="009134DA">
      <w:rPr>
        <w:szCs w:val="24"/>
      </w:rPr>
      <w:fldChar w:fldCharType="end"/>
    </w:r>
    <w:r w:rsidRPr="00954D22">
      <w:rPr>
        <w:szCs w:val="24"/>
      </w:rPr>
      <w:t xml:space="preserve"> -</w:t>
    </w:r>
  </w:p>
  <w:p w:rsidR="004B065E" w:rsidRDefault="004B065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A87207">
    <w:pPr>
      <w:pStyle w:val="Footer"/>
    </w:pPr>
    <w:r>
      <w:pict>
        <v:rect id="_x0000_i1038" style="width:480.95pt;height:1pt" o:hralign="center" o:hrstd="t" o:hrnoshade="t" o:hr="t" fillcolor="black [3213]" stroked="f"/>
      </w:pict>
    </w:r>
  </w:p>
  <w:p w:rsidR="004B065E" w:rsidRPr="00B7374B" w:rsidRDefault="004B065E" w:rsidP="00B7374B">
    <w:pPr>
      <w:tabs>
        <w:tab w:val="center" w:pos="4680"/>
      </w:tabs>
      <w:rPr>
        <w:szCs w:val="24"/>
      </w:rPr>
    </w:pPr>
    <w:r w:rsidRPr="00954D22">
      <w:rPr>
        <w:szCs w:val="24"/>
      </w:rPr>
      <w:tab/>
      <w:t xml:space="preserve">- </w:t>
    </w:r>
    <w:r w:rsidR="009134DA" w:rsidRPr="00954D22">
      <w:rPr>
        <w:szCs w:val="24"/>
      </w:rPr>
      <w:fldChar w:fldCharType="begin"/>
    </w:r>
    <w:r w:rsidRPr="00954D22">
      <w:rPr>
        <w:szCs w:val="24"/>
      </w:rPr>
      <w:instrText xml:space="preserve"> PAGE   \* MERGEFORMAT </w:instrText>
    </w:r>
    <w:r w:rsidR="009134DA" w:rsidRPr="00954D22">
      <w:rPr>
        <w:szCs w:val="24"/>
      </w:rPr>
      <w:fldChar w:fldCharType="separate"/>
    </w:r>
    <w:r>
      <w:rPr>
        <w:noProof/>
        <w:szCs w:val="24"/>
      </w:rPr>
      <w:t>617</w:t>
    </w:r>
    <w:r w:rsidR="009134D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4B065E" w:rsidRPr="00954D22" w:rsidRDefault="004B065E" w:rsidP="00B7374B">
    <w:pPr>
      <w:tabs>
        <w:tab w:val="center" w:pos="4680"/>
      </w:tabs>
      <w:rPr>
        <w:szCs w:val="24"/>
      </w:rPr>
    </w:pPr>
    <w:r w:rsidRPr="00954D22">
      <w:rPr>
        <w:szCs w:val="24"/>
      </w:rPr>
      <w:tab/>
      <w:t xml:space="preserve">- </w:t>
    </w:r>
    <w:r w:rsidR="009134DA" w:rsidRPr="00954D22">
      <w:rPr>
        <w:szCs w:val="24"/>
      </w:rPr>
      <w:fldChar w:fldCharType="begin"/>
    </w:r>
    <w:r w:rsidRPr="00954D22">
      <w:rPr>
        <w:szCs w:val="24"/>
      </w:rPr>
      <w:instrText xml:space="preserve"> PAGE   \* MERGEFORMAT </w:instrText>
    </w:r>
    <w:r w:rsidR="009134DA" w:rsidRPr="00954D22">
      <w:rPr>
        <w:szCs w:val="24"/>
      </w:rPr>
      <w:fldChar w:fldCharType="separate"/>
    </w:r>
    <w:r w:rsidR="005568D3">
      <w:rPr>
        <w:noProof/>
        <w:szCs w:val="24"/>
      </w:rPr>
      <w:t>616</w:t>
    </w:r>
    <w:r w:rsidR="009134D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A87207">
    <w:pPr>
      <w:pStyle w:val="Footer"/>
    </w:pPr>
    <w:r>
      <w:pict>
        <v:rect id="_x0000_i1042" style="width:480.95pt;height:1pt" o:hralign="center" o:hrstd="t" o:hrnoshade="t" o:hr="t" fillcolor="black [3213]" stroked="f"/>
      </w:pict>
    </w:r>
  </w:p>
  <w:p w:rsidR="004B065E" w:rsidRPr="00B7374B" w:rsidRDefault="004B065E" w:rsidP="00B7374B">
    <w:pPr>
      <w:tabs>
        <w:tab w:val="center" w:pos="4680"/>
      </w:tabs>
      <w:rPr>
        <w:szCs w:val="24"/>
      </w:rPr>
    </w:pPr>
    <w:r w:rsidRPr="00954D22">
      <w:rPr>
        <w:szCs w:val="24"/>
      </w:rPr>
      <w:tab/>
      <w:t xml:space="preserve">- </w:t>
    </w:r>
    <w:r w:rsidR="009134DA" w:rsidRPr="00954D22">
      <w:rPr>
        <w:szCs w:val="24"/>
      </w:rPr>
      <w:fldChar w:fldCharType="begin"/>
    </w:r>
    <w:r w:rsidRPr="00954D22">
      <w:rPr>
        <w:szCs w:val="24"/>
      </w:rPr>
      <w:instrText xml:space="preserve"> PAGE   \* MERGEFORMAT </w:instrText>
    </w:r>
    <w:r w:rsidR="009134DA" w:rsidRPr="00954D22">
      <w:rPr>
        <w:szCs w:val="24"/>
      </w:rPr>
      <w:fldChar w:fldCharType="separate"/>
    </w:r>
    <w:r w:rsidR="005568D3">
      <w:rPr>
        <w:noProof/>
        <w:szCs w:val="24"/>
      </w:rPr>
      <w:t>618</w:t>
    </w:r>
    <w:r w:rsidR="009134DA" w:rsidRPr="00954D22">
      <w:rPr>
        <w:szCs w:val="24"/>
      </w:rPr>
      <w:fldChar w:fldCharType="end"/>
    </w:r>
    <w:r>
      <w:rPr>
        <w:szCs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9134DA" w:rsidP="0044776A">
    <w:pPr>
      <w:tabs>
        <w:tab w:val="left" w:pos="-1440"/>
        <w:tab w:val="left" w:pos="-720"/>
      </w:tabs>
    </w:pPr>
    <w:r>
      <w:pict>
        <v:rect id="_x0000_i1043" style="width:480.95pt;height:1pt" o:hralign="center" o:hrstd="t" o:hrnoshade="t" o:hr="t" fillcolor="black [3213]" stroked="f"/>
      </w:pict>
    </w:r>
  </w:p>
  <w:p w:rsidR="004B065E" w:rsidRPr="00954D22" w:rsidRDefault="004B065E" w:rsidP="00B7374B">
    <w:pPr>
      <w:tabs>
        <w:tab w:val="center" w:pos="4680"/>
      </w:tabs>
      <w:rPr>
        <w:szCs w:val="24"/>
      </w:rPr>
    </w:pPr>
    <w:r w:rsidRPr="00954D22">
      <w:rPr>
        <w:szCs w:val="24"/>
      </w:rPr>
      <w:tab/>
      <w:t xml:space="preserve">- </w:t>
    </w:r>
    <w:r w:rsidR="009134DA" w:rsidRPr="00954D22">
      <w:rPr>
        <w:szCs w:val="24"/>
      </w:rPr>
      <w:fldChar w:fldCharType="begin"/>
    </w:r>
    <w:r w:rsidRPr="00954D22">
      <w:rPr>
        <w:szCs w:val="24"/>
      </w:rPr>
      <w:instrText xml:space="preserve"> PAGE   \* MERGEFORMAT </w:instrText>
    </w:r>
    <w:r w:rsidR="009134DA" w:rsidRPr="00954D22">
      <w:rPr>
        <w:szCs w:val="24"/>
      </w:rPr>
      <w:fldChar w:fldCharType="separate"/>
    </w:r>
    <w:r w:rsidR="005568D3">
      <w:rPr>
        <w:noProof/>
        <w:szCs w:val="24"/>
      </w:rPr>
      <w:t>617</w:t>
    </w:r>
    <w:r w:rsidR="009134DA" w:rsidRPr="00954D22">
      <w:rPr>
        <w:szCs w:val="24"/>
      </w:rPr>
      <w:fldChar w:fldCharType="end"/>
    </w:r>
    <w:r w:rsidRPr="00954D22">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5E" w:rsidRDefault="004B065E" w:rsidP="00A87207">
      <w:r>
        <w:separator/>
      </w:r>
    </w:p>
  </w:footnote>
  <w:footnote w:type="continuationSeparator" w:id="0">
    <w:p w:rsidR="004B065E" w:rsidRDefault="004B065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065E" w:rsidRPr="00B36F35">
      <w:tc>
        <w:tcPr>
          <w:tcW w:w="420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B065E" w:rsidRDefault="004B06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065E" w:rsidRPr="00FF6BA5" w:rsidRDefault="004B06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B065E" w:rsidRPr="00FF6BA5"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B065E" w:rsidRPr="00FF6BA5"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B065E" w:rsidRPr="00FF6BA5"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065E" w:rsidRPr="00B36F35" w:rsidTr="00245129">
      <w:tc>
        <w:tcPr>
          <w:tcW w:w="4200" w:type="dxa"/>
          <w:tcMar>
            <w:left w:w="0" w:type="dxa"/>
            <w:right w:w="0" w:type="dxa"/>
          </w:tcMar>
        </w:tcPr>
        <w:p w:rsidR="004B065E" w:rsidRPr="00755F22"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B065E" w:rsidRPr="00755F22"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B065E" w:rsidRPr="00755F22" w:rsidRDefault="004B06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065E" w:rsidRPr="00755F22" w:rsidRDefault="004B06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065E" w:rsidRPr="00755F22" w:rsidRDefault="004B065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B065E" w:rsidRPr="00755F22" w:rsidRDefault="004B06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B065E" w:rsidRPr="00FF6BA5" w:rsidRDefault="004B065E" w:rsidP="00755F22">
    <w:pPr>
      <w:tabs>
        <w:tab w:val="left" w:pos="-1440"/>
        <w:tab w:val="left" w:pos="-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B065E">
      <w:tc>
        <w:tcPr>
          <w:tcW w:w="423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B065E" w:rsidRDefault="004B06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065E" w:rsidRDefault="004B06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B065E">
      <w:trPr>
        <w:gridAfter w:val="2"/>
        <w:wAfter w:w="5250" w:type="dxa"/>
      </w:trPr>
      <w:tc>
        <w:tcPr>
          <w:tcW w:w="4230" w:type="dxa"/>
          <w:tcMar>
            <w:left w:w="0" w:type="dxa"/>
            <w:right w:w="0" w:type="dxa"/>
          </w:tcMar>
        </w:tcPr>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B065E" w:rsidRPr="00755F22" w:rsidTr="00245129">
      <w:tc>
        <w:tcPr>
          <w:tcW w:w="4230" w:type="dxa"/>
          <w:tcMar>
            <w:left w:w="0" w:type="dxa"/>
            <w:right w:w="0" w:type="dxa"/>
          </w:tcMar>
        </w:tcPr>
        <w:p w:rsidR="004B065E" w:rsidRPr="00755F22" w:rsidRDefault="004B065E" w:rsidP="00831CA9">
          <w:pPr>
            <w:keepNext/>
            <w:keepLines/>
            <w:rPr>
              <w:sz w:val="20"/>
              <w:szCs w:val="20"/>
            </w:rPr>
          </w:pPr>
          <w:r w:rsidRPr="00755F22">
            <w:rPr>
              <w:sz w:val="20"/>
              <w:szCs w:val="20"/>
            </w:rPr>
            <w:t>MOTIONS</w:t>
          </w:r>
        </w:p>
      </w:tc>
      <w:tc>
        <w:tcPr>
          <w:tcW w:w="1170" w:type="dxa"/>
          <w:tcMar>
            <w:left w:w="0" w:type="dxa"/>
            <w:right w:w="0" w:type="dxa"/>
          </w:tcMar>
        </w:tcPr>
        <w:p w:rsidR="004B065E" w:rsidRPr="00755F22" w:rsidRDefault="004B065E" w:rsidP="00831CA9">
          <w:pPr>
            <w:keepLines/>
            <w:jc w:val="center"/>
            <w:rPr>
              <w:sz w:val="20"/>
              <w:szCs w:val="20"/>
            </w:rPr>
          </w:pPr>
        </w:p>
        <w:p w:rsidR="004B065E" w:rsidRPr="00755F22" w:rsidRDefault="004B065E" w:rsidP="00831CA9">
          <w:pPr>
            <w:keepLines/>
            <w:tabs>
              <w:tab w:val="left" w:pos="-1440"/>
              <w:tab w:val="left" w:pos="-720"/>
            </w:tabs>
            <w:jc w:val="center"/>
            <w:rPr>
              <w:sz w:val="20"/>
              <w:szCs w:val="20"/>
            </w:rPr>
          </w:pPr>
        </w:p>
      </w:tc>
      <w:tc>
        <w:tcPr>
          <w:tcW w:w="4080" w:type="dxa"/>
          <w:tcMar>
            <w:left w:w="0" w:type="dxa"/>
            <w:right w:w="0" w:type="dxa"/>
          </w:tcMar>
        </w:tcPr>
        <w:p w:rsidR="004B065E" w:rsidRPr="00BA6468" w:rsidRDefault="004B065E" w:rsidP="00BA6468">
          <w:pPr>
            <w:keepLines/>
            <w:rPr>
              <w:sz w:val="20"/>
              <w:szCs w:val="20"/>
              <w:lang w:val="fr-CA"/>
            </w:rPr>
          </w:pPr>
          <w:r w:rsidRPr="00BA6468">
            <w:rPr>
              <w:sz w:val="20"/>
              <w:szCs w:val="20"/>
              <w:lang w:val="fr-CA"/>
            </w:rPr>
            <w:t>REQUÊTES</w:t>
          </w:r>
        </w:p>
      </w:tc>
    </w:tr>
  </w:tbl>
  <w:p w:rsidR="004B065E" w:rsidRDefault="004B065E" w:rsidP="00831CA9">
    <w:pPr>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065E" w:rsidRPr="00B36F35">
      <w:tc>
        <w:tcPr>
          <w:tcW w:w="420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065E" w:rsidRPr="00B01A03" w:rsidRDefault="004B06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B065E" w:rsidRPr="00B01A03"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065E" w:rsidRPr="00B01A03"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B065E" w:rsidRPr="00B36F35" w:rsidTr="00245129">
      <w:tc>
        <w:tcPr>
          <w:tcW w:w="4200" w:type="dxa"/>
          <w:tcMar>
            <w:left w:w="0" w:type="dxa"/>
            <w:right w:w="0" w:type="dxa"/>
          </w:tcMar>
        </w:tcPr>
        <w:p w:rsidR="004B065E" w:rsidRPr="00F40249" w:rsidRDefault="004B065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B065E" w:rsidRDefault="004B065E" w:rsidP="00102926">
          <w:pPr>
            <w:keepNext/>
            <w:keepLines/>
            <w:tabs>
              <w:tab w:val="left" w:pos="-1440"/>
              <w:tab w:val="left" w:pos="-720"/>
            </w:tabs>
            <w:jc w:val="center"/>
            <w:rPr>
              <w:sz w:val="20"/>
              <w:szCs w:val="20"/>
            </w:rPr>
          </w:pPr>
        </w:p>
        <w:p w:rsidR="004B065E" w:rsidRDefault="004B065E" w:rsidP="00102926">
          <w:pPr>
            <w:keepNext/>
            <w:keepLines/>
            <w:tabs>
              <w:tab w:val="left" w:pos="-1440"/>
              <w:tab w:val="left" w:pos="-720"/>
            </w:tabs>
            <w:jc w:val="center"/>
            <w:rPr>
              <w:sz w:val="20"/>
              <w:szCs w:val="20"/>
            </w:rPr>
          </w:pPr>
        </w:p>
        <w:p w:rsidR="004B065E" w:rsidRPr="00F40249" w:rsidRDefault="004B065E" w:rsidP="00102926">
          <w:pPr>
            <w:keepNext/>
            <w:keepLines/>
            <w:tabs>
              <w:tab w:val="left" w:pos="-1440"/>
              <w:tab w:val="left" w:pos="-720"/>
            </w:tabs>
            <w:jc w:val="center"/>
            <w:rPr>
              <w:sz w:val="20"/>
              <w:szCs w:val="20"/>
            </w:rPr>
          </w:pPr>
        </w:p>
      </w:tc>
      <w:tc>
        <w:tcPr>
          <w:tcW w:w="4230" w:type="dxa"/>
          <w:tcMar>
            <w:left w:w="0" w:type="dxa"/>
            <w:right w:w="0" w:type="dxa"/>
          </w:tcMar>
        </w:tcPr>
        <w:p w:rsidR="004B065E" w:rsidRPr="00F40249" w:rsidRDefault="004B065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B065E" w:rsidRPr="00B01A03" w:rsidRDefault="004B065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065E" w:rsidRPr="00B36F35">
      <w:tc>
        <w:tcPr>
          <w:tcW w:w="4200" w:type="dxa"/>
          <w:tcMar>
            <w:left w:w="0" w:type="dxa"/>
            <w:right w:w="0" w:type="dxa"/>
          </w:tcMar>
        </w:tcPr>
        <w:p w:rsidR="004B065E" w:rsidRDefault="004B065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4B065E" w:rsidRDefault="004B065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4B065E" w:rsidRDefault="004B065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065E" w:rsidRPr="009256DC" w:rsidRDefault="004B065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4B065E" w:rsidRPr="009256DC" w:rsidRDefault="004B06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065E" w:rsidRPr="009256DC" w:rsidRDefault="004B06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065E" w:rsidRPr="00B36F35" w:rsidTr="00245129">
      <w:tc>
        <w:tcPr>
          <w:tcW w:w="4200" w:type="dxa"/>
          <w:tcMar>
            <w:left w:w="0" w:type="dxa"/>
            <w:right w:w="0" w:type="dxa"/>
          </w:tcMar>
        </w:tcPr>
        <w:p w:rsidR="004B065E" w:rsidRPr="00802863" w:rsidRDefault="004B065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4B065E" w:rsidRPr="00802863" w:rsidRDefault="004B065E" w:rsidP="00802863">
          <w:pPr>
            <w:keepNext/>
            <w:keepLines/>
            <w:widowControl w:val="0"/>
            <w:tabs>
              <w:tab w:val="left" w:pos="-1440"/>
              <w:tab w:val="left" w:pos="-720"/>
            </w:tabs>
            <w:jc w:val="center"/>
            <w:rPr>
              <w:sz w:val="20"/>
              <w:szCs w:val="20"/>
            </w:rPr>
          </w:pPr>
        </w:p>
        <w:p w:rsidR="004B065E" w:rsidRPr="00802863" w:rsidRDefault="004B065E" w:rsidP="00802863">
          <w:pPr>
            <w:keepNext/>
            <w:keepLines/>
            <w:widowControl w:val="0"/>
            <w:tabs>
              <w:tab w:val="left" w:pos="-1440"/>
              <w:tab w:val="left" w:pos="-720"/>
            </w:tabs>
            <w:jc w:val="center"/>
            <w:rPr>
              <w:sz w:val="20"/>
              <w:szCs w:val="20"/>
            </w:rPr>
          </w:pPr>
        </w:p>
        <w:p w:rsidR="004B065E" w:rsidRPr="00802863" w:rsidRDefault="004B065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4B065E" w:rsidRPr="00802863" w:rsidRDefault="004B065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4B065E" w:rsidRPr="009256DC" w:rsidRDefault="004B065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065E" w:rsidRPr="00B36F35">
      <w:tc>
        <w:tcPr>
          <w:tcW w:w="420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B065E" w:rsidRPr="003C2C0F" w:rsidRDefault="004B06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B065E" w:rsidRPr="003C2C0F"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B065E" w:rsidRPr="003C2C0F"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065E" w:rsidRPr="00B36F35" w:rsidTr="00245129">
      <w:tc>
        <w:tcPr>
          <w:tcW w:w="4200" w:type="dxa"/>
          <w:tcMar>
            <w:left w:w="0" w:type="dxa"/>
            <w:right w:w="0" w:type="dxa"/>
          </w:tcMar>
        </w:tcPr>
        <w:p w:rsidR="004B065E" w:rsidRPr="00FF6EEC" w:rsidRDefault="004B065E" w:rsidP="00FF6EEC">
          <w:pPr>
            <w:rPr>
              <w:sz w:val="20"/>
              <w:szCs w:val="20"/>
            </w:rPr>
          </w:pPr>
          <w:r w:rsidRPr="00FF6EEC">
            <w:rPr>
              <w:sz w:val="20"/>
              <w:szCs w:val="20"/>
            </w:rPr>
            <w:t>PRONOUNCEMENTS OF APPEALS RESERVED</w:t>
          </w:r>
        </w:p>
      </w:tc>
      <w:tc>
        <w:tcPr>
          <w:tcW w:w="1200" w:type="dxa"/>
          <w:tcMar>
            <w:left w:w="0" w:type="dxa"/>
            <w:right w:w="0" w:type="dxa"/>
          </w:tcMar>
        </w:tcPr>
        <w:p w:rsidR="004B065E" w:rsidRPr="00FF6EEC" w:rsidRDefault="004B065E" w:rsidP="00FF6EEC">
          <w:pPr>
            <w:jc w:val="center"/>
            <w:rPr>
              <w:sz w:val="20"/>
              <w:szCs w:val="20"/>
            </w:rPr>
          </w:pPr>
        </w:p>
        <w:p w:rsidR="004B065E" w:rsidRPr="00FF6EEC" w:rsidRDefault="004B065E" w:rsidP="00FF6EEC">
          <w:pPr>
            <w:jc w:val="center"/>
            <w:rPr>
              <w:sz w:val="20"/>
              <w:szCs w:val="20"/>
            </w:rPr>
          </w:pPr>
        </w:p>
        <w:p w:rsidR="004B065E" w:rsidRPr="00FF6EEC" w:rsidRDefault="004B065E" w:rsidP="00FF6EEC">
          <w:pPr>
            <w:jc w:val="center"/>
            <w:rPr>
              <w:sz w:val="20"/>
              <w:szCs w:val="20"/>
            </w:rPr>
          </w:pPr>
        </w:p>
      </w:tc>
      <w:tc>
        <w:tcPr>
          <w:tcW w:w="4080" w:type="dxa"/>
          <w:tcMar>
            <w:left w:w="0" w:type="dxa"/>
            <w:right w:w="0" w:type="dxa"/>
          </w:tcMar>
        </w:tcPr>
        <w:p w:rsidR="004B065E" w:rsidRPr="00FF6EEC" w:rsidRDefault="004B065E" w:rsidP="00FF6EEC">
          <w:pPr>
            <w:rPr>
              <w:sz w:val="20"/>
              <w:szCs w:val="20"/>
              <w:lang w:val="fr-CA"/>
            </w:rPr>
          </w:pPr>
          <w:r w:rsidRPr="00FF6EEC">
            <w:rPr>
              <w:sz w:val="20"/>
              <w:szCs w:val="20"/>
              <w:lang w:val="fr-CA"/>
            </w:rPr>
            <w:t>JUGEMENTS RENDUS SUR LES APPELS EN DÉLIBÉRÉ</w:t>
          </w:r>
        </w:p>
      </w:tc>
    </w:tr>
  </w:tbl>
  <w:p w:rsidR="004B065E" w:rsidRPr="003C2C0F" w:rsidRDefault="004B065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B065E">
      <w:tc>
        <w:tcPr>
          <w:tcW w:w="423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065E"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B065E" w:rsidRDefault="004B065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065E" w:rsidRDefault="004B0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B065E" w:rsidRPr="00782AE4" w:rsidTr="00245129">
      <w:tc>
        <w:tcPr>
          <w:tcW w:w="4230" w:type="dxa"/>
          <w:tcMar>
            <w:left w:w="0" w:type="dxa"/>
            <w:right w:w="0" w:type="dxa"/>
          </w:tcMar>
        </w:tcPr>
        <w:p w:rsidR="004B065E" w:rsidRPr="00782AE4" w:rsidRDefault="004B065E" w:rsidP="00102926">
          <w:pPr>
            <w:keepNext/>
            <w:keepLines/>
            <w:tabs>
              <w:tab w:val="left" w:pos="-1440"/>
              <w:tab w:val="left" w:pos="-720"/>
            </w:tabs>
            <w:rPr>
              <w:sz w:val="20"/>
              <w:szCs w:val="20"/>
            </w:rPr>
          </w:pPr>
          <w:r w:rsidRPr="00782AE4">
            <w:rPr>
              <w:sz w:val="20"/>
              <w:szCs w:val="20"/>
            </w:rPr>
            <w:t xml:space="preserve">HEADNOTES OF RECENT </w:t>
          </w:r>
        </w:p>
        <w:p w:rsidR="004B065E" w:rsidRPr="00782AE4"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B065E" w:rsidRDefault="004B065E" w:rsidP="00102926">
          <w:pPr>
            <w:keepNext/>
            <w:keepLines/>
            <w:tabs>
              <w:tab w:val="left" w:pos="-1440"/>
              <w:tab w:val="left" w:pos="-720"/>
            </w:tabs>
            <w:jc w:val="center"/>
            <w:rPr>
              <w:sz w:val="20"/>
              <w:szCs w:val="20"/>
            </w:rPr>
          </w:pPr>
        </w:p>
        <w:p w:rsidR="004B065E" w:rsidRDefault="004B065E" w:rsidP="00102926">
          <w:pPr>
            <w:keepNext/>
            <w:keepLines/>
            <w:tabs>
              <w:tab w:val="left" w:pos="-1440"/>
              <w:tab w:val="left" w:pos="-720"/>
            </w:tabs>
            <w:jc w:val="center"/>
            <w:rPr>
              <w:sz w:val="20"/>
              <w:szCs w:val="20"/>
            </w:rPr>
          </w:pPr>
        </w:p>
        <w:p w:rsidR="004B065E" w:rsidRPr="00782AE4" w:rsidRDefault="004B065E" w:rsidP="00102926">
          <w:pPr>
            <w:keepNext/>
            <w:keepLines/>
            <w:tabs>
              <w:tab w:val="left" w:pos="-1440"/>
              <w:tab w:val="left" w:pos="-720"/>
            </w:tabs>
            <w:jc w:val="center"/>
            <w:rPr>
              <w:sz w:val="20"/>
              <w:szCs w:val="20"/>
            </w:rPr>
          </w:pPr>
        </w:p>
      </w:tc>
      <w:tc>
        <w:tcPr>
          <w:tcW w:w="4080" w:type="dxa"/>
          <w:tcMar>
            <w:left w:w="0" w:type="dxa"/>
            <w:right w:w="0" w:type="dxa"/>
          </w:tcMar>
        </w:tcPr>
        <w:p w:rsidR="004B065E" w:rsidRPr="00102926" w:rsidRDefault="004B065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B065E" w:rsidRPr="00782AE4" w:rsidRDefault="004B065E" w:rsidP="00102926">
          <w:pPr>
            <w:keepLines/>
            <w:tabs>
              <w:tab w:val="left" w:pos="-1440"/>
              <w:tab w:val="left" w:pos="-720"/>
            </w:tabs>
            <w:rPr>
              <w:sz w:val="20"/>
              <w:szCs w:val="20"/>
            </w:rPr>
          </w:pPr>
          <w:r w:rsidRPr="00102926">
            <w:rPr>
              <w:sz w:val="20"/>
              <w:szCs w:val="20"/>
              <w:lang w:val="fr-CA"/>
            </w:rPr>
            <w:t>RÉCENTS</w:t>
          </w:r>
        </w:p>
      </w:tc>
    </w:tr>
  </w:tbl>
  <w:p w:rsidR="004B065E" w:rsidRDefault="004B065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065E">
      <w:tc>
        <w:tcPr>
          <w:tcW w:w="4200" w:type="dxa"/>
          <w:tcMar>
            <w:left w:w="0" w:type="dxa"/>
            <w:right w:w="0" w:type="dxa"/>
          </w:tcMar>
        </w:tcPr>
        <w:p w:rsidR="004B065E" w:rsidRDefault="004B065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4B065E" w:rsidRDefault="004B065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4B065E" w:rsidRDefault="004B065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4B065E" w:rsidRDefault="004B065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4B065E" w:rsidRDefault="004B065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4B065E" w:rsidRDefault="004B065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065E" w:rsidRPr="00C50A5C" w:rsidTr="00245129">
      <w:tc>
        <w:tcPr>
          <w:tcW w:w="4200" w:type="dxa"/>
          <w:tcMar>
            <w:left w:w="0" w:type="dxa"/>
            <w:right w:w="0" w:type="dxa"/>
          </w:tcMar>
        </w:tcPr>
        <w:p w:rsidR="004B065E" w:rsidRPr="00C50A5C" w:rsidRDefault="004B065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4B065E" w:rsidRPr="00C50A5C" w:rsidRDefault="004B065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4B065E" w:rsidRPr="00C50A5C" w:rsidRDefault="004B065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4B065E" w:rsidRPr="00C50A5C" w:rsidRDefault="004B065E"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4B065E" w:rsidRDefault="004B065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065E" w:rsidRPr="005F263E" w:rsidTr="00245129">
      <w:tc>
        <w:tcPr>
          <w:tcW w:w="4200" w:type="dxa"/>
          <w:tcMar>
            <w:left w:w="0" w:type="dxa"/>
            <w:right w:w="0" w:type="dxa"/>
          </w:tcMar>
        </w:tcPr>
        <w:p w:rsidR="004B065E" w:rsidRPr="005F263E" w:rsidRDefault="004B065E"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4B065E" w:rsidRPr="005F263E" w:rsidRDefault="004B065E" w:rsidP="00245129">
          <w:pPr>
            <w:keepNext/>
            <w:keepLines/>
            <w:tabs>
              <w:tab w:val="left" w:pos="-1440"/>
              <w:tab w:val="left" w:pos="-720"/>
            </w:tabs>
            <w:jc w:val="center"/>
            <w:rPr>
              <w:sz w:val="20"/>
              <w:szCs w:val="20"/>
            </w:rPr>
          </w:pPr>
        </w:p>
        <w:p w:rsidR="004B065E" w:rsidRPr="005F263E" w:rsidRDefault="004B065E" w:rsidP="00245129">
          <w:pPr>
            <w:keepNext/>
            <w:keepLines/>
            <w:tabs>
              <w:tab w:val="left" w:pos="-1440"/>
              <w:tab w:val="left" w:pos="-720"/>
            </w:tabs>
            <w:jc w:val="center"/>
            <w:rPr>
              <w:sz w:val="20"/>
              <w:szCs w:val="20"/>
            </w:rPr>
          </w:pPr>
        </w:p>
      </w:tc>
      <w:tc>
        <w:tcPr>
          <w:tcW w:w="4080" w:type="dxa"/>
          <w:tcMar>
            <w:left w:w="0" w:type="dxa"/>
            <w:right w:w="0" w:type="dxa"/>
          </w:tcMar>
        </w:tcPr>
        <w:p w:rsidR="004B065E" w:rsidRPr="005F263E" w:rsidRDefault="004B065E" w:rsidP="00245129">
          <w:pPr>
            <w:keepLines/>
            <w:tabs>
              <w:tab w:val="left" w:pos="-1440"/>
              <w:tab w:val="left" w:pos="-720"/>
            </w:tabs>
            <w:rPr>
              <w:sz w:val="20"/>
              <w:szCs w:val="20"/>
            </w:rPr>
          </w:pPr>
          <w:r w:rsidRPr="005F263E">
            <w:rPr>
              <w:sz w:val="20"/>
              <w:szCs w:val="20"/>
            </w:rPr>
            <w:t>RÉSUMÉS DES AFFAIRES</w:t>
          </w:r>
        </w:p>
      </w:tc>
    </w:tr>
  </w:tbl>
  <w:p w:rsidR="004B065E" w:rsidRDefault="004B065E" w:rsidP="005F263E"/>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B065E" w:rsidRPr="0044776A" w:rsidTr="00245129">
      <w:tc>
        <w:tcPr>
          <w:tcW w:w="4290" w:type="dxa"/>
          <w:tcMar>
            <w:left w:w="0" w:type="dxa"/>
            <w:right w:w="0" w:type="dxa"/>
          </w:tcMar>
        </w:tcPr>
        <w:p w:rsidR="004B065E" w:rsidRPr="0044776A" w:rsidRDefault="004B065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B065E" w:rsidRPr="0044776A" w:rsidRDefault="004B065E" w:rsidP="002E2327">
          <w:pPr>
            <w:keepNext/>
            <w:keepLines/>
            <w:tabs>
              <w:tab w:val="left" w:pos="-1440"/>
              <w:tab w:val="left" w:pos="-720"/>
            </w:tabs>
            <w:jc w:val="center"/>
            <w:rPr>
              <w:sz w:val="20"/>
              <w:szCs w:val="20"/>
            </w:rPr>
          </w:pPr>
        </w:p>
        <w:p w:rsidR="004B065E" w:rsidRPr="0044776A" w:rsidRDefault="004B065E" w:rsidP="002E2327">
          <w:pPr>
            <w:keepNext/>
            <w:keepLines/>
            <w:tabs>
              <w:tab w:val="left" w:pos="-1440"/>
              <w:tab w:val="left" w:pos="-720"/>
            </w:tabs>
            <w:jc w:val="center"/>
            <w:rPr>
              <w:sz w:val="20"/>
              <w:szCs w:val="20"/>
            </w:rPr>
          </w:pPr>
        </w:p>
        <w:p w:rsidR="004B065E" w:rsidRPr="0044776A" w:rsidRDefault="004B065E" w:rsidP="002E2327">
          <w:pPr>
            <w:keepNext/>
            <w:keepLines/>
            <w:tabs>
              <w:tab w:val="left" w:pos="-1440"/>
              <w:tab w:val="left" w:pos="-720"/>
            </w:tabs>
            <w:jc w:val="center"/>
            <w:rPr>
              <w:sz w:val="20"/>
              <w:szCs w:val="20"/>
            </w:rPr>
          </w:pPr>
        </w:p>
      </w:tc>
      <w:tc>
        <w:tcPr>
          <w:tcW w:w="4320" w:type="dxa"/>
          <w:tcMar>
            <w:left w:w="0" w:type="dxa"/>
            <w:right w:w="0" w:type="dxa"/>
          </w:tcMar>
        </w:tcPr>
        <w:p w:rsidR="004B065E" w:rsidRPr="0044776A" w:rsidRDefault="004B065E" w:rsidP="002E2327">
          <w:pPr>
            <w:keepLines/>
            <w:rPr>
              <w:sz w:val="20"/>
              <w:szCs w:val="20"/>
              <w:lang w:val="fr-CA"/>
            </w:rPr>
          </w:pPr>
          <w:r w:rsidRPr="0044776A">
            <w:rPr>
              <w:sz w:val="20"/>
              <w:szCs w:val="20"/>
              <w:lang w:val="fr-CA"/>
            </w:rPr>
            <w:t>DEMANDES D'AUTORISATION D'APPEL DÉPOSÉES</w:t>
          </w:r>
        </w:p>
      </w:tc>
    </w:tr>
  </w:tbl>
  <w:p w:rsidR="004B065E" w:rsidRDefault="004B065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065E" w:rsidRPr="00B36F35" w:rsidTr="00245129">
      <w:tc>
        <w:tcPr>
          <w:tcW w:w="4200" w:type="dxa"/>
          <w:tcMar>
            <w:left w:w="0" w:type="dxa"/>
            <w:right w:w="0" w:type="dxa"/>
          </w:tcMar>
        </w:tcPr>
        <w:p w:rsidR="004B065E" w:rsidRPr="0044776A" w:rsidRDefault="004B065E" w:rsidP="0044776A">
          <w:pPr>
            <w:keepNext/>
            <w:keepLines/>
            <w:widowControl w:val="0"/>
            <w:rPr>
              <w:sz w:val="20"/>
              <w:szCs w:val="20"/>
            </w:rPr>
          </w:pPr>
          <w:r>
            <w:rPr>
              <w:sz w:val="20"/>
              <w:szCs w:val="20"/>
            </w:rPr>
            <w:t>APPLICATIONS FOR LEAVE</w:t>
          </w:r>
        </w:p>
        <w:p w:rsidR="004B065E" w:rsidRPr="0044776A" w:rsidRDefault="004B065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B065E" w:rsidRPr="0044776A" w:rsidRDefault="004B065E" w:rsidP="0044776A">
          <w:pPr>
            <w:keepNext/>
            <w:keepLines/>
            <w:widowControl w:val="0"/>
            <w:jc w:val="center"/>
            <w:rPr>
              <w:sz w:val="20"/>
              <w:szCs w:val="20"/>
            </w:rPr>
          </w:pPr>
        </w:p>
        <w:p w:rsidR="004B065E" w:rsidRPr="0044776A" w:rsidRDefault="004B065E" w:rsidP="0044776A">
          <w:pPr>
            <w:keepNext/>
            <w:keepLines/>
            <w:widowControl w:val="0"/>
            <w:jc w:val="center"/>
            <w:rPr>
              <w:sz w:val="20"/>
              <w:szCs w:val="20"/>
            </w:rPr>
          </w:pPr>
        </w:p>
        <w:p w:rsidR="004B065E" w:rsidRPr="0044776A" w:rsidRDefault="004B065E" w:rsidP="0044776A">
          <w:pPr>
            <w:keepNext/>
            <w:keepLines/>
            <w:widowControl w:val="0"/>
            <w:jc w:val="center"/>
            <w:rPr>
              <w:sz w:val="20"/>
              <w:szCs w:val="20"/>
            </w:rPr>
          </w:pPr>
        </w:p>
      </w:tc>
      <w:tc>
        <w:tcPr>
          <w:tcW w:w="4080" w:type="dxa"/>
          <w:tcMar>
            <w:left w:w="0" w:type="dxa"/>
            <w:right w:w="0" w:type="dxa"/>
          </w:tcMar>
        </w:tcPr>
        <w:p w:rsidR="004B065E" w:rsidRPr="0044776A" w:rsidRDefault="004B065E" w:rsidP="0044776A">
          <w:pPr>
            <w:keepLines/>
            <w:widowControl w:val="0"/>
            <w:rPr>
              <w:sz w:val="20"/>
              <w:szCs w:val="20"/>
              <w:lang w:val="fr-CA"/>
            </w:rPr>
          </w:pPr>
          <w:r w:rsidRPr="0044776A">
            <w:rPr>
              <w:sz w:val="20"/>
              <w:szCs w:val="20"/>
              <w:lang w:val="fr-CA"/>
            </w:rPr>
            <w:t>DEMANDES SOUMISES À LA COUR DEPUIS LA DERNIÈRE PARUTION</w:t>
          </w:r>
        </w:p>
        <w:p w:rsidR="004B065E" w:rsidRPr="0044776A" w:rsidRDefault="004B065E" w:rsidP="0044776A">
          <w:pPr>
            <w:widowControl w:val="0"/>
            <w:rPr>
              <w:sz w:val="20"/>
              <w:szCs w:val="20"/>
              <w:lang w:val="fr-CA"/>
            </w:rPr>
          </w:pPr>
        </w:p>
      </w:tc>
    </w:tr>
  </w:tbl>
  <w:p w:rsidR="004B065E" w:rsidRPr="002E2327" w:rsidRDefault="004B065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B065E" w:rsidRPr="0044776A" w:rsidTr="00245129">
      <w:tc>
        <w:tcPr>
          <w:tcW w:w="4200" w:type="dxa"/>
          <w:tcMar>
            <w:left w:w="0" w:type="dxa"/>
            <w:right w:w="0" w:type="dxa"/>
          </w:tcMar>
        </w:tcPr>
        <w:p w:rsidR="004B065E" w:rsidRPr="0044776A" w:rsidRDefault="004B065E" w:rsidP="0044776A">
          <w:pPr>
            <w:rPr>
              <w:sz w:val="20"/>
              <w:szCs w:val="20"/>
            </w:rPr>
          </w:pPr>
          <w:r w:rsidRPr="0044776A">
            <w:rPr>
              <w:sz w:val="20"/>
              <w:szCs w:val="20"/>
            </w:rPr>
            <w:t>ORAL HEARING ORDERED</w:t>
          </w:r>
        </w:p>
      </w:tc>
      <w:tc>
        <w:tcPr>
          <w:tcW w:w="1200" w:type="dxa"/>
          <w:tcMar>
            <w:left w:w="0" w:type="dxa"/>
            <w:right w:w="0" w:type="dxa"/>
          </w:tcMar>
        </w:tcPr>
        <w:p w:rsidR="004B065E" w:rsidRPr="0044776A" w:rsidRDefault="004B065E" w:rsidP="0044776A">
          <w:pPr>
            <w:keepLines/>
            <w:jc w:val="center"/>
            <w:rPr>
              <w:rFonts w:ascii="Times New" w:hAnsi="Times New"/>
              <w:sz w:val="20"/>
              <w:szCs w:val="20"/>
            </w:rPr>
          </w:pPr>
        </w:p>
        <w:p w:rsidR="004B065E" w:rsidRPr="0044776A" w:rsidRDefault="004B065E" w:rsidP="0044776A">
          <w:pPr>
            <w:keepLines/>
            <w:jc w:val="center"/>
            <w:rPr>
              <w:rFonts w:ascii="Times New" w:hAnsi="Times New"/>
              <w:sz w:val="20"/>
              <w:szCs w:val="20"/>
            </w:rPr>
          </w:pPr>
        </w:p>
      </w:tc>
      <w:tc>
        <w:tcPr>
          <w:tcW w:w="4230" w:type="dxa"/>
          <w:tcMar>
            <w:left w:w="0" w:type="dxa"/>
            <w:right w:w="0" w:type="dxa"/>
          </w:tcMar>
        </w:tcPr>
        <w:p w:rsidR="004B065E" w:rsidRPr="0044776A" w:rsidRDefault="004B065E" w:rsidP="0044776A">
          <w:pPr>
            <w:rPr>
              <w:sz w:val="20"/>
              <w:szCs w:val="20"/>
              <w:lang w:val="fr-CA"/>
            </w:rPr>
          </w:pPr>
          <w:r w:rsidRPr="0044776A">
            <w:rPr>
              <w:sz w:val="20"/>
              <w:szCs w:val="20"/>
              <w:lang w:val="fr-CA"/>
            </w:rPr>
            <w:t>AUDIENCE ORDONNÉE</w:t>
          </w:r>
        </w:p>
      </w:tc>
    </w:tr>
  </w:tbl>
  <w:p w:rsidR="004B065E" w:rsidRPr="002E2327" w:rsidRDefault="004B065E">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5E" w:rsidRDefault="004B0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59415"/>
  </w:hdrShapeDefaults>
  <w:footnotePr>
    <w:footnote w:id="-1"/>
    <w:footnote w:id="0"/>
  </w:footnotePr>
  <w:endnotePr>
    <w:endnote w:id="-1"/>
    <w:endnote w:id="0"/>
  </w:endnotePr>
  <w:compat/>
  <w:rsids>
    <w:rsidRoot w:val="00800F8F"/>
    <w:rsid w:val="0002384F"/>
    <w:rsid w:val="0003223B"/>
    <w:rsid w:val="000327B2"/>
    <w:rsid w:val="00065814"/>
    <w:rsid w:val="00067F5E"/>
    <w:rsid w:val="00081381"/>
    <w:rsid w:val="00091967"/>
    <w:rsid w:val="00096BD9"/>
    <w:rsid w:val="000B3C9A"/>
    <w:rsid w:val="000B40A2"/>
    <w:rsid w:val="000B4624"/>
    <w:rsid w:val="000C0ACD"/>
    <w:rsid w:val="000F7DC8"/>
    <w:rsid w:val="00102926"/>
    <w:rsid w:val="0010587F"/>
    <w:rsid w:val="00111C6B"/>
    <w:rsid w:val="0012102B"/>
    <w:rsid w:val="00122543"/>
    <w:rsid w:val="0013369E"/>
    <w:rsid w:val="00164E6D"/>
    <w:rsid w:val="001654B6"/>
    <w:rsid w:val="001823C0"/>
    <w:rsid w:val="00194482"/>
    <w:rsid w:val="001B157C"/>
    <w:rsid w:val="001B1DC4"/>
    <w:rsid w:val="001B5C23"/>
    <w:rsid w:val="001D0D5F"/>
    <w:rsid w:val="001D6B8C"/>
    <w:rsid w:val="001E5150"/>
    <w:rsid w:val="001F1F83"/>
    <w:rsid w:val="002021A9"/>
    <w:rsid w:val="002139A7"/>
    <w:rsid w:val="00215F7C"/>
    <w:rsid w:val="00221082"/>
    <w:rsid w:val="00222267"/>
    <w:rsid w:val="0022323B"/>
    <w:rsid w:val="002268A4"/>
    <w:rsid w:val="002410B8"/>
    <w:rsid w:val="00242AEE"/>
    <w:rsid w:val="00245129"/>
    <w:rsid w:val="00245879"/>
    <w:rsid w:val="0025477E"/>
    <w:rsid w:val="00254A3A"/>
    <w:rsid w:val="00257BE9"/>
    <w:rsid w:val="00267FD5"/>
    <w:rsid w:val="002700DA"/>
    <w:rsid w:val="002868D0"/>
    <w:rsid w:val="002A27D1"/>
    <w:rsid w:val="002A4AFA"/>
    <w:rsid w:val="002B516C"/>
    <w:rsid w:val="002C01AA"/>
    <w:rsid w:val="002D4646"/>
    <w:rsid w:val="002D72EB"/>
    <w:rsid w:val="002E2327"/>
    <w:rsid w:val="002E3583"/>
    <w:rsid w:val="002E5576"/>
    <w:rsid w:val="00310E27"/>
    <w:rsid w:val="0031110A"/>
    <w:rsid w:val="00331B52"/>
    <w:rsid w:val="003359D3"/>
    <w:rsid w:val="0034604D"/>
    <w:rsid w:val="00355967"/>
    <w:rsid w:val="00382C47"/>
    <w:rsid w:val="00384384"/>
    <w:rsid w:val="003866AE"/>
    <w:rsid w:val="003A0B72"/>
    <w:rsid w:val="003B3977"/>
    <w:rsid w:val="003D4316"/>
    <w:rsid w:val="003F0570"/>
    <w:rsid w:val="004008A0"/>
    <w:rsid w:val="004141A0"/>
    <w:rsid w:val="00430870"/>
    <w:rsid w:val="00432989"/>
    <w:rsid w:val="00440E24"/>
    <w:rsid w:val="0044776A"/>
    <w:rsid w:val="00460AFC"/>
    <w:rsid w:val="0047471F"/>
    <w:rsid w:val="004A5029"/>
    <w:rsid w:val="004B065E"/>
    <w:rsid w:val="004B195E"/>
    <w:rsid w:val="004B66B4"/>
    <w:rsid w:val="004B7F60"/>
    <w:rsid w:val="004C1AAC"/>
    <w:rsid w:val="004E0DBD"/>
    <w:rsid w:val="004F090E"/>
    <w:rsid w:val="004F4291"/>
    <w:rsid w:val="00511C61"/>
    <w:rsid w:val="00527CC7"/>
    <w:rsid w:val="00546032"/>
    <w:rsid w:val="005568D3"/>
    <w:rsid w:val="00571CA4"/>
    <w:rsid w:val="00582136"/>
    <w:rsid w:val="00586EAC"/>
    <w:rsid w:val="00590C7B"/>
    <w:rsid w:val="005B16EE"/>
    <w:rsid w:val="005B1BB8"/>
    <w:rsid w:val="005C6840"/>
    <w:rsid w:val="005D0679"/>
    <w:rsid w:val="005F263E"/>
    <w:rsid w:val="005F3B78"/>
    <w:rsid w:val="00600252"/>
    <w:rsid w:val="00612A40"/>
    <w:rsid w:val="00612A6D"/>
    <w:rsid w:val="006318B0"/>
    <w:rsid w:val="006338CA"/>
    <w:rsid w:val="00643FB8"/>
    <w:rsid w:val="00652917"/>
    <w:rsid w:val="00666C1E"/>
    <w:rsid w:val="00675479"/>
    <w:rsid w:val="00677611"/>
    <w:rsid w:val="00696BF9"/>
    <w:rsid w:val="00697C62"/>
    <w:rsid w:val="006A329B"/>
    <w:rsid w:val="006A7EB8"/>
    <w:rsid w:val="006B6926"/>
    <w:rsid w:val="006C3836"/>
    <w:rsid w:val="006C3F47"/>
    <w:rsid w:val="006C5F7A"/>
    <w:rsid w:val="006E06AF"/>
    <w:rsid w:val="006F350F"/>
    <w:rsid w:val="00715952"/>
    <w:rsid w:val="00732DB7"/>
    <w:rsid w:val="0073705C"/>
    <w:rsid w:val="0074238B"/>
    <w:rsid w:val="00745EF7"/>
    <w:rsid w:val="00755F22"/>
    <w:rsid w:val="00766E4A"/>
    <w:rsid w:val="00767263"/>
    <w:rsid w:val="007776CF"/>
    <w:rsid w:val="007820CE"/>
    <w:rsid w:val="00782AE4"/>
    <w:rsid w:val="0078410A"/>
    <w:rsid w:val="00793D0E"/>
    <w:rsid w:val="0079724F"/>
    <w:rsid w:val="007A3EAE"/>
    <w:rsid w:val="007B42BE"/>
    <w:rsid w:val="007B7278"/>
    <w:rsid w:val="007C04FC"/>
    <w:rsid w:val="007D2BB9"/>
    <w:rsid w:val="007D3E0F"/>
    <w:rsid w:val="007E16F7"/>
    <w:rsid w:val="007F387B"/>
    <w:rsid w:val="00800F8F"/>
    <w:rsid w:val="00802863"/>
    <w:rsid w:val="00812E29"/>
    <w:rsid w:val="00815B3C"/>
    <w:rsid w:val="00815B40"/>
    <w:rsid w:val="0082783A"/>
    <w:rsid w:val="00831CA9"/>
    <w:rsid w:val="00850E1F"/>
    <w:rsid w:val="0085476B"/>
    <w:rsid w:val="00874D5E"/>
    <w:rsid w:val="00890FEB"/>
    <w:rsid w:val="008A74CC"/>
    <w:rsid w:val="008B0270"/>
    <w:rsid w:val="008B3BEA"/>
    <w:rsid w:val="008D292F"/>
    <w:rsid w:val="008D6183"/>
    <w:rsid w:val="008E03DC"/>
    <w:rsid w:val="008F680D"/>
    <w:rsid w:val="00904E04"/>
    <w:rsid w:val="009134DA"/>
    <w:rsid w:val="00924065"/>
    <w:rsid w:val="00930D68"/>
    <w:rsid w:val="00932DB4"/>
    <w:rsid w:val="00936316"/>
    <w:rsid w:val="00941A4B"/>
    <w:rsid w:val="00946242"/>
    <w:rsid w:val="0095096B"/>
    <w:rsid w:val="00955FD5"/>
    <w:rsid w:val="00970CD3"/>
    <w:rsid w:val="009723FA"/>
    <w:rsid w:val="00984546"/>
    <w:rsid w:val="00996510"/>
    <w:rsid w:val="009A052B"/>
    <w:rsid w:val="009A7E26"/>
    <w:rsid w:val="009D1F15"/>
    <w:rsid w:val="009D555E"/>
    <w:rsid w:val="009D6A2F"/>
    <w:rsid w:val="009F03EB"/>
    <w:rsid w:val="009F3024"/>
    <w:rsid w:val="00A0355E"/>
    <w:rsid w:val="00A15951"/>
    <w:rsid w:val="00A375D1"/>
    <w:rsid w:val="00A51D10"/>
    <w:rsid w:val="00A52A83"/>
    <w:rsid w:val="00A54E99"/>
    <w:rsid w:val="00A6552C"/>
    <w:rsid w:val="00A73AC6"/>
    <w:rsid w:val="00A8540F"/>
    <w:rsid w:val="00A87207"/>
    <w:rsid w:val="00A935AA"/>
    <w:rsid w:val="00AB1A2A"/>
    <w:rsid w:val="00AB2201"/>
    <w:rsid w:val="00AB5E48"/>
    <w:rsid w:val="00AD3259"/>
    <w:rsid w:val="00AD4AE4"/>
    <w:rsid w:val="00AD6758"/>
    <w:rsid w:val="00AF1715"/>
    <w:rsid w:val="00AF2DBF"/>
    <w:rsid w:val="00AF3904"/>
    <w:rsid w:val="00B010C0"/>
    <w:rsid w:val="00B04A40"/>
    <w:rsid w:val="00B22361"/>
    <w:rsid w:val="00B34EC9"/>
    <w:rsid w:val="00B36F35"/>
    <w:rsid w:val="00B4740D"/>
    <w:rsid w:val="00B61629"/>
    <w:rsid w:val="00B72A60"/>
    <w:rsid w:val="00B7374B"/>
    <w:rsid w:val="00B7695F"/>
    <w:rsid w:val="00B7764C"/>
    <w:rsid w:val="00B90DC0"/>
    <w:rsid w:val="00BA116A"/>
    <w:rsid w:val="00BA5582"/>
    <w:rsid w:val="00BA6468"/>
    <w:rsid w:val="00BB21D2"/>
    <w:rsid w:val="00BD06DA"/>
    <w:rsid w:val="00BD4217"/>
    <w:rsid w:val="00BF25F3"/>
    <w:rsid w:val="00C06961"/>
    <w:rsid w:val="00C14F8B"/>
    <w:rsid w:val="00C1697B"/>
    <w:rsid w:val="00C21CB5"/>
    <w:rsid w:val="00C243AF"/>
    <w:rsid w:val="00C321F6"/>
    <w:rsid w:val="00C50A5C"/>
    <w:rsid w:val="00C50FDF"/>
    <w:rsid w:val="00C63381"/>
    <w:rsid w:val="00C73D06"/>
    <w:rsid w:val="00C73E1B"/>
    <w:rsid w:val="00C759B4"/>
    <w:rsid w:val="00C77713"/>
    <w:rsid w:val="00CB43D5"/>
    <w:rsid w:val="00CC4D84"/>
    <w:rsid w:val="00CE198A"/>
    <w:rsid w:val="00D15804"/>
    <w:rsid w:val="00D15F01"/>
    <w:rsid w:val="00D24813"/>
    <w:rsid w:val="00D40078"/>
    <w:rsid w:val="00D44597"/>
    <w:rsid w:val="00D64901"/>
    <w:rsid w:val="00D76BDF"/>
    <w:rsid w:val="00D81DBF"/>
    <w:rsid w:val="00D862C1"/>
    <w:rsid w:val="00D93B50"/>
    <w:rsid w:val="00D94670"/>
    <w:rsid w:val="00DA46F6"/>
    <w:rsid w:val="00DB093C"/>
    <w:rsid w:val="00DC665B"/>
    <w:rsid w:val="00DC7919"/>
    <w:rsid w:val="00DD0B49"/>
    <w:rsid w:val="00DF32D1"/>
    <w:rsid w:val="00E06DFA"/>
    <w:rsid w:val="00E1359A"/>
    <w:rsid w:val="00E20A0A"/>
    <w:rsid w:val="00E222DF"/>
    <w:rsid w:val="00E34E0F"/>
    <w:rsid w:val="00E356C7"/>
    <w:rsid w:val="00E45FE4"/>
    <w:rsid w:val="00E47916"/>
    <w:rsid w:val="00E56E42"/>
    <w:rsid w:val="00E6028E"/>
    <w:rsid w:val="00E64FA7"/>
    <w:rsid w:val="00E754E5"/>
    <w:rsid w:val="00E77067"/>
    <w:rsid w:val="00E770CB"/>
    <w:rsid w:val="00E86FF0"/>
    <w:rsid w:val="00E903A1"/>
    <w:rsid w:val="00E940EB"/>
    <w:rsid w:val="00EA23F9"/>
    <w:rsid w:val="00EB2881"/>
    <w:rsid w:val="00EB2B90"/>
    <w:rsid w:val="00ED4143"/>
    <w:rsid w:val="00ED7E83"/>
    <w:rsid w:val="00EE0244"/>
    <w:rsid w:val="00EF1E99"/>
    <w:rsid w:val="00EF4B63"/>
    <w:rsid w:val="00F0068D"/>
    <w:rsid w:val="00F008BF"/>
    <w:rsid w:val="00F01B65"/>
    <w:rsid w:val="00F053C2"/>
    <w:rsid w:val="00F0576D"/>
    <w:rsid w:val="00F14E6D"/>
    <w:rsid w:val="00F15EA8"/>
    <w:rsid w:val="00F16C8D"/>
    <w:rsid w:val="00F24063"/>
    <w:rsid w:val="00F26B6D"/>
    <w:rsid w:val="00F26C61"/>
    <w:rsid w:val="00F27D5F"/>
    <w:rsid w:val="00F33CCE"/>
    <w:rsid w:val="00F359A1"/>
    <w:rsid w:val="00F36F6F"/>
    <w:rsid w:val="00F40249"/>
    <w:rsid w:val="00F44698"/>
    <w:rsid w:val="00F526C8"/>
    <w:rsid w:val="00F66A1B"/>
    <w:rsid w:val="00F87D70"/>
    <w:rsid w:val="00F915D8"/>
    <w:rsid w:val="00F9272D"/>
    <w:rsid w:val="00F9518C"/>
    <w:rsid w:val="00FA316E"/>
    <w:rsid w:val="00FA59EF"/>
    <w:rsid w:val="00FB06D8"/>
    <w:rsid w:val="00FB19A2"/>
    <w:rsid w:val="00FD2DA3"/>
    <w:rsid w:val="00FF6EEC"/>
    <w:rsid w:val="00FF73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4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4008A0"/>
    <w:pPr>
      <w:jc w:val="center"/>
    </w:pPr>
    <w:rPr>
      <w:rFonts w:eastAsia="Calibri" w:cs="Times New Roman"/>
      <w:lang w:val="fr-CA"/>
    </w:rPr>
  </w:style>
  <w:style w:type="character" w:customStyle="1" w:styleId="SCCLsocPartyChar">
    <w:name w:val="SCC.Lsoc.Party Char"/>
    <w:basedOn w:val="DefaultParagraphFont"/>
    <w:link w:val="SCCLsocParty"/>
    <w:rsid w:val="004008A0"/>
    <w:rPr>
      <w:rFonts w:eastAsia="Calibri" w:cs="Times New Roman"/>
      <w:lang w:val="fr-CA"/>
    </w:rPr>
  </w:style>
  <w:style w:type="paragraph" w:customStyle="1" w:styleId="SCCSsoc">
    <w:name w:val="SCC.Ssoc"/>
    <w:basedOn w:val="Normal"/>
    <w:next w:val="Normal"/>
    <w:link w:val="SCCSsocChar"/>
    <w:rsid w:val="00936316"/>
    <w:rPr>
      <w:rFonts w:eastAsia="Calibri" w:cs="Times New Roman"/>
      <w:i/>
      <w:sz w:val="20"/>
      <w:szCs w:val="20"/>
    </w:rPr>
  </w:style>
  <w:style w:type="character" w:customStyle="1" w:styleId="SCCSsocChar">
    <w:name w:val="SCC.Ssoc Char"/>
    <w:basedOn w:val="DefaultParagraphFont"/>
    <w:link w:val="SCCSsoc"/>
    <w:rsid w:val="00936316"/>
    <w:rPr>
      <w:rFonts w:eastAsia="Calibri" w:cs="Times New Roman"/>
      <w:i/>
      <w:sz w:val="20"/>
      <w:szCs w:val="20"/>
      <w:lang w:val="en-CA"/>
    </w:rPr>
  </w:style>
  <w:style w:type="paragraph" w:customStyle="1" w:styleId="SCCBanSummary">
    <w:name w:val="SCC.BanSummary"/>
    <w:basedOn w:val="Normal"/>
    <w:next w:val="Normal"/>
    <w:link w:val="SCCBanSummaryChar"/>
    <w:uiPriority w:val="99"/>
    <w:rsid w:val="00C14F8B"/>
    <w:pPr>
      <w:jc w:val="both"/>
    </w:pPr>
    <w:rPr>
      <w:rFonts w:eastAsia="Calibri" w:cs="Times New Roman"/>
      <w:smallCaps/>
    </w:rPr>
  </w:style>
  <w:style w:type="character" w:customStyle="1" w:styleId="SCCBanSummaryChar">
    <w:name w:val="SCC.BanSummary Char"/>
    <w:basedOn w:val="DefaultParagraphFont"/>
    <w:link w:val="SCCBanSummary"/>
    <w:uiPriority w:val="99"/>
    <w:locked/>
    <w:rsid w:val="00C14F8B"/>
    <w:rPr>
      <w:rFonts w:eastAsia="Calibri" w:cs="Times New Roman"/>
      <w:smallCaps/>
      <w:lang w:val="en-CA"/>
    </w:rPr>
  </w:style>
  <w:style w:type="paragraph" w:customStyle="1" w:styleId="SCCLowerCourtNameLowercase">
    <w:name w:val="SCC.LowerCourtNameLowercase"/>
    <w:basedOn w:val="SCCNormalDoubleSpacing"/>
    <w:next w:val="SCCNormalDoubleSpacing"/>
    <w:rsid w:val="00A8540F"/>
    <w:pPr>
      <w:tabs>
        <w:tab w:val="left" w:pos="1168"/>
      </w:tabs>
    </w:pPr>
    <w:rPr>
      <w:smallCaps/>
    </w:rPr>
  </w:style>
  <w:style w:type="paragraph" w:styleId="Quote">
    <w:name w:val="Quote"/>
    <w:basedOn w:val="Normal"/>
    <w:next w:val="Normal"/>
    <w:link w:val="QuoteChar"/>
    <w:uiPriority w:val="29"/>
    <w:qFormat/>
    <w:rsid w:val="00715952"/>
    <w:rPr>
      <w:rFonts w:eastAsia="Times New Roman" w:cs="Times New Roman"/>
      <w:i/>
      <w:iCs/>
      <w:color w:val="000000" w:themeColor="text1"/>
      <w:szCs w:val="20"/>
      <w:lang w:val="fr-CA" w:eastAsia="en-CA"/>
    </w:rPr>
  </w:style>
  <w:style w:type="character" w:customStyle="1" w:styleId="QuoteChar">
    <w:name w:val="Quote Char"/>
    <w:basedOn w:val="DefaultParagraphFont"/>
    <w:link w:val="Quote"/>
    <w:uiPriority w:val="29"/>
    <w:rsid w:val="00715952"/>
    <w:rPr>
      <w:rFonts w:eastAsia="Times New Roman" w:cs="Times New Roman"/>
      <w:i/>
      <w:iCs/>
      <w:color w:val="000000" w:themeColor="text1"/>
      <w:szCs w:val="20"/>
      <w:lang w:val="fr-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footer" Target="footer3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theme" Target="theme/theme1.xml"/><Relationship Id="rId8" Type="http://schemas.openxmlformats.org/officeDocument/2006/relationships/hyperlink" Target="http://www.scc-csc.gc.ca" TargetMode="External"/><Relationship Id="rId51" Type="http://schemas.openxmlformats.org/officeDocument/2006/relationships/footer" Target="footer21.xml"/><Relationship Id="rId72"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31345</Words>
  <Characters>178671</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2012-04-27T19:42:00Z</dcterms:created>
  <dcterms:modified xsi:type="dcterms:W3CDTF">2012-05-08T14:08:00Z</dcterms:modified>
</cp:coreProperties>
</file>