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8361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8361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8361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28361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8361F" w:rsidTr="002E5576">
        <w:tc>
          <w:tcPr>
            <w:tcW w:w="4518" w:type="dxa"/>
          </w:tcPr>
          <w:p w:rsidR="00BF25F3" w:rsidRPr="002E2327" w:rsidRDefault="00414F7B"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414F7B"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8361F" w:rsidTr="002E5576">
        <w:tc>
          <w:tcPr>
            <w:tcW w:w="4518" w:type="dxa"/>
          </w:tcPr>
          <w:p w:rsidR="009F3024" w:rsidRPr="00FF13E8" w:rsidRDefault="009F3024" w:rsidP="009F3024">
            <w:pPr>
              <w:tabs>
                <w:tab w:val="left" w:pos="6075"/>
              </w:tabs>
              <w:rPr>
                <w:rFonts w:cs="Times New Roman"/>
                <w:szCs w:val="24"/>
                <w:lang w:val="fr-CA"/>
              </w:rPr>
            </w:pPr>
          </w:p>
          <w:p w:rsidR="009F3024" w:rsidRPr="00FF13E8" w:rsidRDefault="009F3024" w:rsidP="009F3024">
            <w:pPr>
              <w:tabs>
                <w:tab w:val="left" w:pos="6075"/>
              </w:tabs>
              <w:rPr>
                <w:rFonts w:cs="Times New Roman"/>
                <w:szCs w:val="24"/>
                <w:lang w:val="fr-CA"/>
              </w:rPr>
            </w:pPr>
          </w:p>
        </w:tc>
        <w:tc>
          <w:tcPr>
            <w:tcW w:w="630" w:type="dxa"/>
          </w:tcPr>
          <w:p w:rsidR="009F3024" w:rsidRPr="00FF13E8"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28361F"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FF13E8" w:rsidP="00F0068D">
      <w:pPr>
        <w:pBdr>
          <w:bottom w:val="single" w:sz="6" w:space="1" w:color="auto"/>
        </w:pBdr>
        <w:tabs>
          <w:tab w:val="center" w:pos="4680"/>
          <w:tab w:val="right" w:pos="9360"/>
        </w:tabs>
        <w:rPr>
          <w:lang w:val="fr-CA"/>
        </w:rPr>
      </w:pPr>
      <w:r>
        <w:rPr>
          <w:lang w:val="fr-CA"/>
        </w:rPr>
        <w:t>M</w:t>
      </w:r>
      <w:r w:rsidR="00C73D06">
        <w:rPr>
          <w:lang w:val="fr-CA"/>
        </w:rPr>
        <w:t>ay</w:t>
      </w:r>
      <w:r w:rsidR="00440E24" w:rsidRPr="00675479">
        <w:rPr>
          <w:lang w:val="fr-CA"/>
        </w:rPr>
        <w:t xml:space="preserve"> </w:t>
      </w:r>
      <w:r w:rsidR="003359D3">
        <w:rPr>
          <w:lang w:val="fr-CA"/>
        </w:rPr>
        <w:t>1</w:t>
      </w:r>
      <w:r>
        <w:rPr>
          <w:lang w:val="fr-CA"/>
        </w:rPr>
        <w:t>8</w:t>
      </w:r>
      <w:r w:rsidR="00440E24" w:rsidRPr="00675479">
        <w:rPr>
          <w:lang w:val="fr-CA"/>
        </w:rPr>
        <w:t>, 201</w:t>
      </w:r>
      <w:r w:rsidR="00C73D06">
        <w:rPr>
          <w:lang w:val="fr-CA"/>
        </w:rPr>
        <w:t>2</w:t>
      </w:r>
      <w:r w:rsidR="00F0068D" w:rsidRPr="00675479">
        <w:rPr>
          <w:lang w:val="fr-CA"/>
        </w:rPr>
        <w:tab/>
      </w:r>
      <w:r>
        <w:rPr>
          <w:lang w:val="fr-CA"/>
        </w:rPr>
        <w:t>753</w:t>
      </w:r>
      <w:r w:rsidR="00F0068D" w:rsidRPr="00675479">
        <w:rPr>
          <w:lang w:val="fr-CA"/>
        </w:rPr>
        <w:t xml:space="preserve"> - </w:t>
      </w:r>
      <w:r w:rsidR="001156A5">
        <w:rPr>
          <w:lang w:val="fr-CA"/>
        </w:rPr>
        <w:t>798</w:t>
      </w:r>
      <w:r w:rsidR="00440E24" w:rsidRPr="00675479">
        <w:rPr>
          <w:lang w:val="fr-CA"/>
        </w:rPr>
        <w:tab/>
      </w:r>
      <w:r w:rsidR="00440E24" w:rsidRPr="002E2327">
        <w:rPr>
          <w:lang w:val="fr-CA"/>
        </w:rPr>
        <w:t>Le</w:t>
      </w:r>
      <w:r w:rsidR="00C73D06">
        <w:rPr>
          <w:lang w:val="fr-CA"/>
        </w:rPr>
        <w:t xml:space="preserve"> </w:t>
      </w:r>
      <w:r w:rsidR="003359D3">
        <w:rPr>
          <w:lang w:val="fr-CA"/>
        </w:rPr>
        <w:t>1</w:t>
      </w:r>
      <w:r>
        <w:rPr>
          <w:lang w:val="fr-CA"/>
        </w:rPr>
        <w:t>8</w:t>
      </w:r>
      <w:r w:rsidR="00C73D06">
        <w:rPr>
          <w:lang w:val="fr-CA"/>
        </w:rPr>
        <w:t xml:space="preserve"> </w:t>
      </w:r>
      <w:r>
        <w:rPr>
          <w:lang w:val="fr-CA"/>
        </w:rPr>
        <w:t>ma</w:t>
      </w:r>
      <w:r w:rsidR="00440E24" w:rsidRPr="002E2327">
        <w:rPr>
          <w:lang w:val="fr-CA"/>
        </w:rPr>
        <w:t>i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8361F"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Oral hearing ordered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C32872">
            <w:pPr>
              <w:tabs>
                <w:tab w:val="right" w:pos="9360"/>
              </w:tabs>
              <w:rPr>
                <w:rFonts w:cs="Times New Roman"/>
                <w:sz w:val="20"/>
                <w:szCs w:val="20"/>
              </w:rPr>
            </w:pPr>
          </w:p>
        </w:tc>
        <w:tc>
          <w:tcPr>
            <w:tcW w:w="1980" w:type="dxa"/>
          </w:tcPr>
          <w:p w:rsidR="0095096B" w:rsidRPr="002E2327" w:rsidRDefault="00C32872" w:rsidP="0095096B">
            <w:pPr>
              <w:jc w:val="center"/>
              <w:rPr>
                <w:rFonts w:cs="Times New Roman"/>
                <w:sz w:val="20"/>
                <w:szCs w:val="20"/>
              </w:rPr>
            </w:pPr>
            <w:r>
              <w:rPr>
                <w:rFonts w:cs="Times New Roman"/>
                <w:sz w:val="20"/>
                <w:szCs w:val="20"/>
              </w:rPr>
              <w:t>753</w:t>
            </w:r>
            <w:r w:rsidR="00414F7B" w:rsidRPr="002E2327">
              <w:rPr>
                <w:rFonts w:cs="Times New Roman"/>
                <w:sz w:val="20"/>
                <w:szCs w:val="20"/>
              </w:rPr>
              <w:fldChar w:fldCharType="begin"/>
            </w:r>
            <w:r w:rsidR="0095096B" w:rsidRPr="002E2327">
              <w:rPr>
                <w:rFonts w:cs="Times New Roman"/>
                <w:sz w:val="20"/>
                <w:szCs w:val="20"/>
              </w:rPr>
              <w:instrText xml:space="preserve"> SEQ CHAPTER \h \r 1</w:instrText>
            </w:r>
            <w:r w:rsidR="00414F7B"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73CE8" w:rsidP="0095096B">
            <w:pPr>
              <w:jc w:val="center"/>
              <w:rPr>
                <w:rFonts w:cs="Times New Roman"/>
                <w:sz w:val="20"/>
                <w:szCs w:val="20"/>
              </w:rPr>
            </w:pPr>
            <w:r>
              <w:rPr>
                <w:rFonts w:cs="Times New Roman"/>
                <w:sz w:val="20"/>
                <w:szCs w:val="20"/>
              </w:rPr>
              <w:t>754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73CE8" w:rsidP="0095096B">
            <w:pPr>
              <w:jc w:val="center"/>
              <w:rPr>
                <w:rFonts w:cs="Times New Roman"/>
                <w:sz w:val="20"/>
                <w:szCs w:val="20"/>
              </w:rPr>
            </w:pPr>
            <w:r>
              <w:rPr>
                <w:rFonts w:cs="Times New Roman"/>
                <w:sz w:val="20"/>
                <w:szCs w:val="20"/>
              </w:rPr>
              <w:t xml:space="preserve">755 </w:t>
            </w:r>
            <w:r w:rsidR="0095096B" w:rsidRPr="002E2327">
              <w:rPr>
                <w:rFonts w:cs="Times New Roman"/>
                <w:sz w:val="20"/>
                <w:szCs w:val="20"/>
              </w:rPr>
              <w:t>-</w:t>
            </w:r>
            <w:r w:rsidR="0095513F">
              <w:rPr>
                <w:rFonts w:cs="Times New Roman"/>
                <w:sz w:val="20"/>
                <w:szCs w:val="20"/>
              </w:rPr>
              <w:t xml:space="preserve"> 756</w:t>
            </w:r>
          </w:p>
          <w:p w:rsidR="0095096B" w:rsidRPr="002E2327" w:rsidRDefault="0095096B" w:rsidP="0095096B">
            <w:pPr>
              <w:jc w:val="center"/>
              <w:rPr>
                <w:rFonts w:cs="Times New Roman"/>
                <w:sz w:val="20"/>
                <w:szCs w:val="20"/>
              </w:rPr>
            </w:pPr>
          </w:p>
          <w:p w:rsidR="0095096B" w:rsidRPr="002E2327" w:rsidRDefault="0095513F" w:rsidP="0095096B">
            <w:pPr>
              <w:jc w:val="center"/>
              <w:rPr>
                <w:rFonts w:cs="Times New Roman"/>
                <w:sz w:val="20"/>
                <w:szCs w:val="20"/>
              </w:rPr>
            </w:pPr>
            <w:r>
              <w:rPr>
                <w:rFonts w:cs="Times New Roman"/>
                <w:sz w:val="20"/>
                <w:szCs w:val="20"/>
              </w:rPr>
              <w:t xml:space="preserve">757 </w:t>
            </w:r>
            <w:r w:rsidR="0095096B" w:rsidRPr="002E2327">
              <w:rPr>
                <w:rFonts w:cs="Times New Roman"/>
                <w:sz w:val="20"/>
                <w:szCs w:val="20"/>
              </w:rPr>
              <w:t>-</w:t>
            </w:r>
            <w:r w:rsidR="00D039B9">
              <w:rPr>
                <w:rFonts w:cs="Times New Roman"/>
                <w:sz w:val="20"/>
                <w:szCs w:val="20"/>
              </w:rPr>
              <w:t xml:space="preserve"> 781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34149" w:rsidP="0095096B">
            <w:pPr>
              <w:jc w:val="center"/>
              <w:rPr>
                <w:rFonts w:cs="Times New Roman"/>
                <w:sz w:val="20"/>
                <w:szCs w:val="20"/>
              </w:rPr>
            </w:pPr>
            <w:r>
              <w:rPr>
                <w:rFonts w:cs="Times New Roman"/>
                <w:sz w:val="20"/>
                <w:szCs w:val="20"/>
              </w:rPr>
              <w:t xml:space="preserve">782 </w:t>
            </w:r>
            <w:r w:rsidR="0095096B" w:rsidRPr="002E2327">
              <w:rPr>
                <w:rFonts w:cs="Times New Roman"/>
                <w:sz w:val="20"/>
                <w:szCs w:val="20"/>
              </w:rPr>
              <w:t>-</w:t>
            </w:r>
            <w:r>
              <w:rPr>
                <w:rFonts w:cs="Times New Roman"/>
                <w:sz w:val="20"/>
                <w:szCs w:val="20"/>
              </w:rPr>
              <w:t xml:space="preserve"> 785</w:t>
            </w:r>
          </w:p>
          <w:p w:rsidR="0095096B" w:rsidRPr="002E2327" w:rsidRDefault="0095096B" w:rsidP="0095096B">
            <w:pPr>
              <w:jc w:val="center"/>
              <w:rPr>
                <w:rFonts w:cs="Times New Roman"/>
                <w:sz w:val="20"/>
                <w:szCs w:val="20"/>
              </w:rPr>
            </w:pPr>
          </w:p>
          <w:p w:rsidR="0095096B" w:rsidRPr="002E2327" w:rsidRDefault="00F34149" w:rsidP="0095096B">
            <w:pPr>
              <w:jc w:val="center"/>
              <w:rPr>
                <w:rFonts w:cs="Times New Roman"/>
                <w:sz w:val="20"/>
                <w:szCs w:val="20"/>
              </w:rPr>
            </w:pPr>
            <w:r>
              <w:rPr>
                <w:rFonts w:cs="Times New Roman"/>
                <w:sz w:val="20"/>
                <w:szCs w:val="20"/>
              </w:rPr>
              <w:t>786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34149" w:rsidP="0095096B">
            <w:pPr>
              <w:jc w:val="center"/>
              <w:rPr>
                <w:rFonts w:cs="Times New Roman"/>
                <w:sz w:val="20"/>
                <w:szCs w:val="20"/>
              </w:rPr>
            </w:pPr>
            <w:r>
              <w:rPr>
                <w:rFonts w:cs="Times New Roman"/>
                <w:sz w:val="20"/>
                <w:szCs w:val="20"/>
              </w:rPr>
              <w:t xml:space="preserve">787 </w:t>
            </w:r>
            <w:r w:rsidR="0095096B" w:rsidRPr="002E2327">
              <w:rPr>
                <w:rFonts w:cs="Times New Roman"/>
                <w:sz w:val="20"/>
                <w:szCs w:val="20"/>
              </w:rPr>
              <w:t>-</w:t>
            </w:r>
            <w:r>
              <w:rPr>
                <w:rFonts w:cs="Times New Roman"/>
                <w:sz w:val="20"/>
                <w:szCs w:val="20"/>
              </w:rPr>
              <w:t xml:space="preserve"> 78</w:t>
            </w:r>
            <w:r w:rsidR="00123B4C">
              <w:rPr>
                <w:rFonts w:cs="Times New Roman"/>
                <w:sz w:val="20"/>
                <w:szCs w:val="20"/>
              </w:rPr>
              <w:t>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34149" w:rsidP="0095096B">
            <w:pPr>
              <w:jc w:val="center"/>
              <w:rPr>
                <w:rFonts w:cs="Times New Roman"/>
                <w:sz w:val="20"/>
                <w:szCs w:val="20"/>
              </w:rPr>
            </w:pPr>
            <w:r>
              <w:rPr>
                <w:rFonts w:cs="Times New Roman"/>
                <w:sz w:val="20"/>
                <w:szCs w:val="20"/>
              </w:rPr>
              <w:t>789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34149" w:rsidP="0095096B">
            <w:pPr>
              <w:jc w:val="center"/>
              <w:rPr>
                <w:rFonts w:cs="Times New Roman"/>
                <w:sz w:val="20"/>
                <w:szCs w:val="20"/>
              </w:rPr>
            </w:pPr>
            <w:r>
              <w:rPr>
                <w:rFonts w:cs="Times New Roman"/>
                <w:sz w:val="20"/>
                <w:szCs w:val="20"/>
              </w:rPr>
              <w:t xml:space="preserve">790 </w:t>
            </w:r>
            <w:r w:rsidR="0095096B" w:rsidRPr="002E2327">
              <w:rPr>
                <w:rFonts w:cs="Times New Roman"/>
                <w:sz w:val="20"/>
                <w:szCs w:val="20"/>
              </w:rPr>
              <w:t>-</w:t>
            </w:r>
            <w:r w:rsidR="001156A5">
              <w:rPr>
                <w:rFonts w:cs="Times New Roman"/>
                <w:sz w:val="20"/>
                <w:szCs w:val="20"/>
              </w:rPr>
              <w:t xml:space="preserve"> 797</w:t>
            </w:r>
          </w:p>
          <w:p w:rsidR="0095096B" w:rsidRPr="002E2327" w:rsidRDefault="0095096B" w:rsidP="0095096B">
            <w:pPr>
              <w:jc w:val="center"/>
              <w:rPr>
                <w:rFonts w:cs="Times New Roman"/>
                <w:sz w:val="20"/>
                <w:szCs w:val="20"/>
              </w:rPr>
            </w:pPr>
          </w:p>
          <w:p w:rsidR="0095096B" w:rsidRPr="002E2327" w:rsidRDefault="001156A5" w:rsidP="0095096B">
            <w:pPr>
              <w:jc w:val="center"/>
              <w:rPr>
                <w:rFonts w:cs="Times New Roman"/>
                <w:sz w:val="20"/>
                <w:szCs w:val="20"/>
              </w:rPr>
            </w:pPr>
            <w:r>
              <w:rPr>
                <w:rFonts w:cs="Times New Roman"/>
                <w:sz w:val="20"/>
                <w:szCs w:val="20"/>
              </w:rPr>
              <w:t>798</w:t>
            </w:r>
          </w:p>
          <w:p w:rsidR="00A87207" w:rsidRPr="002E2327" w:rsidRDefault="00A87207" w:rsidP="00125F40">
            <w:pPr>
              <w:jc w:val="center"/>
              <w:rPr>
                <w:rFonts w:cs="Times New Roman"/>
                <w:sz w:val="20"/>
                <w:szCs w:val="20"/>
              </w:rPr>
            </w:pPr>
          </w:p>
        </w:tc>
        <w:tc>
          <w:tcPr>
            <w:tcW w:w="3888" w:type="dxa"/>
          </w:tcPr>
          <w:p w:rsidR="0095096B" w:rsidRPr="002E2327" w:rsidRDefault="00414F7B"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ordonnée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C32872">
            <w:pPr>
              <w:tabs>
                <w:tab w:val="right" w:pos="9360"/>
              </w:tabs>
              <w:rPr>
                <w:rFonts w:cs="Times New Roman"/>
                <w:sz w:val="20"/>
                <w:szCs w:val="20"/>
                <w:lang w:val="fr-CA"/>
              </w:rPr>
            </w:pPr>
          </w:p>
        </w:tc>
      </w:tr>
    </w:tbl>
    <w:p w:rsidR="0095096B" w:rsidRDefault="0095096B" w:rsidP="0095096B">
      <w:pPr>
        <w:tabs>
          <w:tab w:val="right" w:pos="9360"/>
        </w:tabs>
        <w:rPr>
          <w:lang w:val="fr-CA"/>
        </w:rPr>
      </w:pPr>
    </w:p>
    <w:p w:rsidR="009E1439" w:rsidRDefault="009E1439" w:rsidP="0095096B">
      <w:pPr>
        <w:tabs>
          <w:tab w:val="right" w:pos="9360"/>
        </w:tabs>
        <w:rPr>
          <w:lang w:val="fr-CA"/>
        </w:rPr>
      </w:pPr>
    </w:p>
    <w:p w:rsidR="009E1439" w:rsidRDefault="009E1439" w:rsidP="0095096B">
      <w:pPr>
        <w:tabs>
          <w:tab w:val="right" w:pos="9360"/>
        </w:tabs>
        <w:rPr>
          <w:lang w:val="fr-CA"/>
        </w:rPr>
      </w:pPr>
    </w:p>
    <w:p w:rsidR="009E1439" w:rsidRDefault="009E1439" w:rsidP="0095096B">
      <w:pPr>
        <w:tabs>
          <w:tab w:val="right" w:pos="9360"/>
        </w:tabs>
        <w:rPr>
          <w:lang w:val="fr-CA"/>
        </w:rPr>
      </w:pPr>
    </w:p>
    <w:p w:rsidR="009E1439" w:rsidRDefault="009E1439" w:rsidP="0095096B">
      <w:pPr>
        <w:tabs>
          <w:tab w:val="right" w:pos="9360"/>
        </w:tabs>
        <w:rPr>
          <w:lang w:val="fr-CA"/>
        </w:rPr>
      </w:pPr>
    </w:p>
    <w:p w:rsidR="009E1439" w:rsidRPr="00C32872" w:rsidRDefault="009E1439" w:rsidP="0095096B">
      <w:pPr>
        <w:tabs>
          <w:tab w:val="right" w:pos="9360"/>
        </w:tabs>
        <w:rPr>
          <w:lang w:val="fr-CA"/>
        </w:rPr>
      </w:pPr>
    </w:p>
    <w:tbl>
      <w:tblPr>
        <w:tblStyle w:val="TableGrid"/>
        <w:tblW w:w="0" w:type="auto"/>
        <w:tblLook w:val="04A0"/>
      </w:tblPr>
      <w:tblGrid>
        <w:gridCol w:w="9576"/>
      </w:tblGrid>
      <w:tr w:rsidR="0079724F" w:rsidRPr="0028361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CC1F8E" w:rsidTr="003B3977">
        <w:tc>
          <w:tcPr>
            <w:tcW w:w="4320" w:type="dxa"/>
            <w:shd w:val="clear" w:color="auto" w:fill="auto"/>
          </w:tcPr>
          <w:p w:rsidR="00242AEE" w:rsidRPr="00CC1F8E" w:rsidRDefault="00CC1F8E" w:rsidP="003B3977">
            <w:pPr>
              <w:rPr>
                <w:b/>
                <w:sz w:val="20"/>
                <w:szCs w:val="20"/>
                <w:lang w:val="fr-CA"/>
              </w:rPr>
            </w:pPr>
            <w:r w:rsidRPr="00CC1F8E">
              <w:rPr>
                <w:b/>
                <w:sz w:val="20"/>
                <w:szCs w:val="20"/>
                <w:lang w:val="fr-CA"/>
              </w:rPr>
              <w:t>Dennis Eugene Menezes</w:t>
            </w:r>
          </w:p>
          <w:p w:rsidR="00242AEE" w:rsidRPr="00CC1F8E" w:rsidRDefault="00242AEE" w:rsidP="003B3977">
            <w:pPr>
              <w:tabs>
                <w:tab w:val="left" w:pos="-1440"/>
                <w:tab w:val="left" w:pos="-720"/>
              </w:tabs>
              <w:rPr>
                <w:sz w:val="20"/>
                <w:szCs w:val="20"/>
                <w:lang w:val="fr-CA"/>
              </w:rPr>
            </w:pPr>
            <w:r w:rsidRPr="00CC1F8E">
              <w:rPr>
                <w:sz w:val="20"/>
                <w:szCs w:val="20"/>
                <w:lang w:val="fr-CA"/>
              </w:rPr>
              <w:tab/>
            </w:r>
            <w:r w:rsidR="00CC1F8E" w:rsidRPr="00CC1F8E">
              <w:rPr>
                <w:sz w:val="20"/>
                <w:szCs w:val="20"/>
                <w:lang w:val="fr-CA"/>
              </w:rPr>
              <w:t>Dennis Eugene Menezes</w:t>
            </w:r>
          </w:p>
          <w:p w:rsidR="00242AEE" w:rsidRPr="00CC1F8E" w:rsidRDefault="00242AEE" w:rsidP="003B3977">
            <w:pPr>
              <w:tabs>
                <w:tab w:val="left" w:pos="-1440"/>
                <w:tab w:val="left" w:pos="-720"/>
              </w:tabs>
              <w:rPr>
                <w:sz w:val="20"/>
                <w:szCs w:val="20"/>
                <w:lang w:val="fr-CA"/>
              </w:rPr>
            </w:pPr>
          </w:p>
          <w:p w:rsidR="00242AEE" w:rsidRPr="00A935AA" w:rsidRDefault="00242AEE" w:rsidP="003B3977">
            <w:pPr>
              <w:tabs>
                <w:tab w:val="left" w:pos="-1440"/>
                <w:tab w:val="left" w:pos="-720"/>
              </w:tabs>
              <w:rPr>
                <w:sz w:val="20"/>
                <w:szCs w:val="20"/>
              </w:rPr>
            </w:pPr>
            <w:r w:rsidRPr="00CC1F8E">
              <w:rPr>
                <w:sz w:val="20"/>
                <w:szCs w:val="20"/>
                <w:lang w:val="fr-CA"/>
              </w:rPr>
              <w:tab/>
            </w:r>
            <w:r w:rsidRPr="00A935AA">
              <w:rPr>
                <w:sz w:val="20"/>
                <w:szCs w:val="20"/>
              </w:rPr>
              <w:t>v. (3</w:t>
            </w:r>
            <w:r w:rsidR="00D518C6">
              <w:rPr>
                <w:sz w:val="20"/>
                <w:szCs w:val="20"/>
              </w:rPr>
              <w:t>4</w:t>
            </w:r>
            <w:r w:rsidRPr="00A935AA">
              <w:rPr>
                <w:sz w:val="20"/>
                <w:szCs w:val="20"/>
              </w:rPr>
              <w:t>7</w:t>
            </w:r>
            <w:r w:rsidR="00CC1F8E">
              <w:rPr>
                <w:sz w:val="20"/>
                <w:szCs w:val="20"/>
              </w:rPr>
              <w:t>30</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CC1F8E"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CC1F8E">
              <w:rPr>
                <w:sz w:val="20"/>
                <w:szCs w:val="20"/>
              </w:rPr>
              <w:t>Frank Au</w:t>
            </w:r>
          </w:p>
          <w:p w:rsidR="00242AEE" w:rsidRPr="00A935AA" w:rsidRDefault="00242AEE" w:rsidP="003B3977">
            <w:pPr>
              <w:tabs>
                <w:tab w:val="left" w:pos="-1440"/>
                <w:tab w:val="left" w:pos="-720"/>
              </w:tabs>
              <w:rPr>
                <w:sz w:val="20"/>
                <w:szCs w:val="20"/>
              </w:rPr>
            </w:pPr>
            <w:r w:rsidRPr="00A935AA">
              <w:rPr>
                <w:sz w:val="20"/>
                <w:szCs w:val="20"/>
              </w:rPr>
              <w:tab/>
            </w:r>
            <w:r w:rsidR="00CC1F8E">
              <w:rPr>
                <w:sz w:val="20"/>
                <w:szCs w:val="20"/>
              </w:rPr>
              <w:t>A.G. of Ontario</w:t>
            </w:r>
          </w:p>
          <w:p w:rsidR="00D518C6" w:rsidRDefault="00D518C6" w:rsidP="003B3977">
            <w:pPr>
              <w:rPr>
                <w:sz w:val="20"/>
                <w:szCs w:val="20"/>
              </w:rPr>
            </w:pPr>
          </w:p>
          <w:p w:rsidR="00242AEE" w:rsidRPr="00A935AA" w:rsidRDefault="00242AEE" w:rsidP="003B3977">
            <w:pPr>
              <w:rPr>
                <w:sz w:val="20"/>
                <w:szCs w:val="20"/>
              </w:rPr>
            </w:pPr>
            <w:r w:rsidRPr="00A935AA">
              <w:rPr>
                <w:sz w:val="20"/>
                <w:szCs w:val="20"/>
              </w:rPr>
              <w:t>FILING DATE: 2</w:t>
            </w:r>
            <w:r w:rsidR="00CC1F8E">
              <w:rPr>
                <w:sz w:val="20"/>
                <w:szCs w:val="20"/>
              </w:rPr>
              <w:t>4</w:t>
            </w:r>
            <w:r w:rsidRPr="00A935AA">
              <w:rPr>
                <w:sz w:val="20"/>
                <w:szCs w:val="20"/>
              </w:rPr>
              <w:t>.0</w:t>
            </w:r>
            <w:r w:rsidR="00CC1F8E">
              <w:rPr>
                <w:sz w:val="20"/>
                <w:szCs w:val="20"/>
              </w:rPr>
              <w:t>2</w:t>
            </w:r>
            <w:r w:rsidRPr="00A935AA">
              <w:rPr>
                <w:sz w:val="20"/>
                <w:szCs w:val="20"/>
              </w:rPr>
              <w:t>.201</w:t>
            </w:r>
            <w:r w:rsidR="00D518C6">
              <w:rPr>
                <w:sz w:val="20"/>
                <w:szCs w:val="20"/>
              </w:rPr>
              <w:t>2</w:t>
            </w:r>
          </w:p>
          <w:p w:rsidR="00242AEE" w:rsidRPr="00A935AA" w:rsidRDefault="00414F7B" w:rsidP="003B3977">
            <w:pPr>
              <w:rPr>
                <w:sz w:val="20"/>
                <w:szCs w:val="20"/>
              </w:rPr>
            </w:pPr>
            <w:r w:rsidRPr="00414F7B">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CC1F8E" w:rsidRDefault="00CC1F8E" w:rsidP="003B3977">
            <w:pPr>
              <w:keepNext/>
              <w:keepLines/>
              <w:tabs>
                <w:tab w:val="left" w:pos="-1440"/>
                <w:tab w:val="left" w:pos="-720"/>
              </w:tabs>
              <w:rPr>
                <w:b/>
                <w:sz w:val="20"/>
                <w:szCs w:val="20"/>
                <w:lang w:val="fr-CA"/>
              </w:rPr>
            </w:pPr>
            <w:r w:rsidRPr="00CC1F8E">
              <w:rPr>
                <w:b/>
                <w:sz w:val="20"/>
                <w:szCs w:val="20"/>
                <w:lang w:val="fr-CA"/>
              </w:rPr>
              <w:t>Sa Majesté la Reine</w:t>
            </w:r>
          </w:p>
          <w:p w:rsidR="00242AEE" w:rsidRPr="00CC1F8E" w:rsidRDefault="00242AEE" w:rsidP="003B3977">
            <w:pPr>
              <w:keepNext/>
              <w:keepLines/>
              <w:tabs>
                <w:tab w:val="left" w:pos="-1440"/>
                <w:tab w:val="left" w:pos="-720"/>
              </w:tabs>
              <w:rPr>
                <w:sz w:val="20"/>
                <w:szCs w:val="20"/>
                <w:lang w:val="fr-CA"/>
              </w:rPr>
            </w:pPr>
            <w:r w:rsidRPr="00CC1F8E">
              <w:rPr>
                <w:sz w:val="20"/>
                <w:szCs w:val="20"/>
                <w:lang w:val="fr-CA"/>
              </w:rPr>
              <w:tab/>
            </w:r>
            <w:r w:rsidR="00CC1F8E">
              <w:rPr>
                <w:sz w:val="20"/>
                <w:szCs w:val="20"/>
                <w:lang w:val="fr-CA"/>
              </w:rPr>
              <w:t>Sébastien Bergeron-Guyard</w:t>
            </w:r>
          </w:p>
          <w:p w:rsidR="00242AEE" w:rsidRPr="00CC1F8E" w:rsidRDefault="00242AEE" w:rsidP="003B3977">
            <w:pPr>
              <w:keepNext/>
              <w:keepLines/>
              <w:tabs>
                <w:tab w:val="left" w:pos="-1440"/>
                <w:tab w:val="left" w:pos="-720"/>
              </w:tabs>
              <w:rPr>
                <w:sz w:val="20"/>
                <w:szCs w:val="20"/>
                <w:lang w:val="fr-CA"/>
              </w:rPr>
            </w:pPr>
            <w:r w:rsidRPr="00CC1F8E">
              <w:rPr>
                <w:sz w:val="20"/>
                <w:szCs w:val="20"/>
                <w:lang w:val="fr-CA"/>
              </w:rPr>
              <w:tab/>
            </w:r>
            <w:r w:rsidR="00CC1F8E">
              <w:rPr>
                <w:sz w:val="20"/>
                <w:szCs w:val="20"/>
                <w:lang w:val="fr-CA"/>
              </w:rPr>
              <w:t xml:space="preserve">Poursuites criminelles et pénales du </w:t>
            </w:r>
            <w:r w:rsidR="00CC1F8E">
              <w:rPr>
                <w:sz w:val="20"/>
                <w:szCs w:val="20"/>
                <w:lang w:val="fr-CA"/>
              </w:rPr>
              <w:tab/>
              <w:t>Québec</w:t>
            </w:r>
          </w:p>
          <w:p w:rsidR="00242AEE" w:rsidRPr="00CC1F8E" w:rsidRDefault="00242AEE" w:rsidP="003B3977">
            <w:pPr>
              <w:keepNext/>
              <w:keepLines/>
              <w:tabs>
                <w:tab w:val="left" w:pos="-1440"/>
                <w:tab w:val="left" w:pos="-720"/>
              </w:tabs>
              <w:rPr>
                <w:sz w:val="20"/>
                <w:szCs w:val="20"/>
                <w:lang w:val="fr-CA"/>
              </w:rPr>
            </w:pPr>
          </w:p>
          <w:p w:rsidR="00242AEE" w:rsidRPr="00CC1F8E" w:rsidRDefault="00242AEE" w:rsidP="003B3977">
            <w:pPr>
              <w:keepNext/>
              <w:keepLines/>
              <w:tabs>
                <w:tab w:val="left" w:pos="-1440"/>
                <w:tab w:val="left" w:pos="-720"/>
              </w:tabs>
              <w:rPr>
                <w:sz w:val="20"/>
                <w:szCs w:val="20"/>
                <w:lang w:val="fr-CA"/>
              </w:rPr>
            </w:pPr>
            <w:r w:rsidRPr="00CC1F8E">
              <w:rPr>
                <w:sz w:val="20"/>
                <w:szCs w:val="20"/>
                <w:lang w:val="fr-CA"/>
              </w:rPr>
              <w:tab/>
            </w:r>
            <w:r w:rsidR="00CC1F8E" w:rsidRPr="00CC1F8E">
              <w:rPr>
                <w:sz w:val="20"/>
                <w:szCs w:val="20"/>
                <w:lang w:val="fr-CA"/>
              </w:rPr>
              <w:t>c</w:t>
            </w:r>
            <w:r w:rsidRPr="00CC1F8E">
              <w:rPr>
                <w:sz w:val="20"/>
                <w:szCs w:val="20"/>
                <w:lang w:val="fr-CA"/>
              </w:rPr>
              <w:t>. (3</w:t>
            </w:r>
            <w:r w:rsidR="00D518C6" w:rsidRPr="00CC1F8E">
              <w:rPr>
                <w:sz w:val="20"/>
                <w:szCs w:val="20"/>
                <w:lang w:val="fr-CA"/>
              </w:rPr>
              <w:t>47</w:t>
            </w:r>
            <w:r w:rsidR="00CC1F8E">
              <w:rPr>
                <w:sz w:val="20"/>
                <w:szCs w:val="20"/>
                <w:lang w:val="fr-CA"/>
              </w:rPr>
              <w:t>43</w:t>
            </w:r>
            <w:r w:rsidRPr="00CC1F8E">
              <w:rPr>
                <w:sz w:val="20"/>
                <w:szCs w:val="20"/>
                <w:lang w:val="fr-CA"/>
              </w:rPr>
              <w:t>)</w:t>
            </w:r>
          </w:p>
          <w:p w:rsidR="00242AEE" w:rsidRPr="00CC1F8E" w:rsidRDefault="00242AEE" w:rsidP="003B3977">
            <w:pPr>
              <w:keepNext/>
              <w:keepLines/>
              <w:tabs>
                <w:tab w:val="left" w:pos="-1440"/>
                <w:tab w:val="left" w:pos="-720"/>
              </w:tabs>
              <w:rPr>
                <w:sz w:val="20"/>
                <w:szCs w:val="20"/>
                <w:lang w:val="fr-CA"/>
              </w:rPr>
            </w:pPr>
          </w:p>
          <w:p w:rsidR="00242AEE" w:rsidRPr="00CC1F8E" w:rsidRDefault="00CC1F8E" w:rsidP="003B3977">
            <w:pPr>
              <w:keepNext/>
              <w:keepLines/>
              <w:tabs>
                <w:tab w:val="left" w:pos="-1440"/>
                <w:tab w:val="left" w:pos="-720"/>
              </w:tabs>
              <w:rPr>
                <w:b/>
                <w:sz w:val="20"/>
                <w:szCs w:val="20"/>
                <w:lang w:val="fr-CA"/>
              </w:rPr>
            </w:pPr>
            <w:r w:rsidRPr="00CC1F8E">
              <w:rPr>
                <w:b/>
                <w:sz w:val="20"/>
                <w:szCs w:val="20"/>
                <w:lang w:val="fr-CA"/>
              </w:rPr>
              <w:t xml:space="preserve">Stéphane McRae </w:t>
            </w:r>
            <w:r w:rsidR="00242AEE" w:rsidRPr="00CC1F8E">
              <w:rPr>
                <w:b/>
                <w:sz w:val="20"/>
                <w:szCs w:val="20"/>
                <w:lang w:val="fr-CA"/>
              </w:rPr>
              <w:t>(</w:t>
            </w:r>
            <w:r w:rsidRPr="00CC1F8E">
              <w:rPr>
                <w:b/>
                <w:sz w:val="20"/>
                <w:szCs w:val="20"/>
                <w:lang w:val="fr-CA"/>
              </w:rPr>
              <w:t>Qc</w:t>
            </w:r>
            <w:r w:rsidR="00242AEE" w:rsidRPr="00CC1F8E">
              <w:rPr>
                <w:b/>
                <w:sz w:val="20"/>
                <w:szCs w:val="20"/>
                <w:lang w:val="fr-CA"/>
              </w:rPr>
              <w:t>)</w:t>
            </w:r>
          </w:p>
          <w:p w:rsidR="00242AEE" w:rsidRPr="00CC1F8E" w:rsidRDefault="00242AEE" w:rsidP="003B3977">
            <w:pPr>
              <w:keepNext/>
              <w:keepLines/>
              <w:tabs>
                <w:tab w:val="left" w:pos="-1440"/>
                <w:tab w:val="left" w:pos="-720"/>
              </w:tabs>
              <w:rPr>
                <w:sz w:val="20"/>
                <w:szCs w:val="20"/>
                <w:lang w:val="fr-CA"/>
              </w:rPr>
            </w:pPr>
            <w:r w:rsidRPr="00CC1F8E">
              <w:rPr>
                <w:sz w:val="20"/>
                <w:szCs w:val="20"/>
                <w:lang w:val="fr-CA"/>
              </w:rPr>
              <w:tab/>
            </w:r>
            <w:r w:rsidR="00CC1F8E">
              <w:rPr>
                <w:sz w:val="20"/>
                <w:szCs w:val="20"/>
                <w:lang w:val="fr-CA"/>
              </w:rPr>
              <w:t>Stéphanie Carrier</w:t>
            </w:r>
          </w:p>
          <w:p w:rsidR="00242AEE" w:rsidRPr="00CC1F8E" w:rsidRDefault="00242AEE" w:rsidP="003B3977">
            <w:pPr>
              <w:keepNext/>
              <w:keepLines/>
              <w:tabs>
                <w:tab w:val="left" w:pos="-1440"/>
                <w:tab w:val="left" w:pos="-720"/>
              </w:tabs>
              <w:rPr>
                <w:sz w:val="20"/>
                <w:szCs w:val="20"/>
                <w:lang w:val="fr-CA"/>
              </w:rPr>
            </w:pPr>
          </w:p>
          <w:p w:rsidR="00242AEE" w:rsidRPr="00CC1F8E" w:rsidRDefault="00242AEE" w:rsidP="00CC1F8E">
            <w:pPr>
              <w:rPr>
                <w:sz w:val="20"/>
                <w:szCs w:val="20"/>
                <w:lang w:val="fr-CA"/>
              </w:rPr>
            </w:pPr>
            <w:r w:rsidRPr="00CC1F8E">
              <w:rPr>
                <w:sz w:val="20"/>
                <w:szCs w:val="20"/>
                <w:lang w:val="fr-CA"/>
              </w:rPr>
              <w:t>DATE</w:t>
            </w:r>
            <w:r w:rsidR="00CC1F8E">
              <w:rPr>
                <w:sz w:val="20"/>
                <w:szCs w:val="20"/>
                <w:lang w:val="fr-CA"/>
              </w:rPr>
              <w:t xml:space="preserve"> DE PRODUCTION </w:t>
            </w:r>
            <w:r w:rsidRPr="00CC1F8E">
              <w:rPr>
                <w:sz w:val="20"/>
                <w:szCs w:val="20"/>
                <w:lang w:val="fr-CA"/>
              </w:rPr>
              <w:t>:</w:t>
            </w:r>
            <w:r w:rsidR="00CC1F8E">
              <w:rPr>
                <w:sz w:val="20"/>
                <w:szCs w:val="20"/>
                <w:lang w:val="fr-CA"/>
              </w:rPr>
              <w:t xml:space="preserve"> 30</w:t>
            </w:r>
            <w:r w:rsidRPr="00CC1F8E">
              <w:rPr>
                <w:sz w:val="20"/>
                <w:szCs w:val="20"/>
                <w:lang w:val="fr-CA"/>
              </w:rPr>
              <w:t>.0</w:t>
            </w:r>
            <w:r w:rsidR="00CC1F8E">
              <w:rPr>
                <w:sz w:val="20"/>
                <w:szCs w:val="20"/>
                <w:lang w:val="fr-CA"/>
              </w:rPr>
              <w:t>3</w:t>
            </w:r>
            <w:r w:rsidRPr="00CC1F8E">
              <w:rPr>
                <w:sz w:val="20"/>
                <w:szCs w:val="20"/>
                <w:lang w:val="fr-CA"/>
              </w:rPr>
              <w:t>.201</w:t>
            </w:r>
            <w:r w:rsidR="00D518C6" w:rsidRPr="00CC1F8E">
              <w:rPr>
                <w:sz w:val="20"/>
                <w:szCs w:val="20"/>
                <w:lang w:val="fr-CA"/>
              </w:rPr>
              <w:t>2</w:t>
            </w:r>
            <w:r w:rsidR="00414F7B" w:rsidRPr="00414F7B">
              <w:rPr>
                <w:sz w:val="20"/>
                <w:szCs w:val="20"/>
                <w:lang w:val="fr-CA"/>
              </w:rPr>
              <w:pict>
                <v:rect id="_x0000_i1026" style="width:108pt;height:1pt" o:hrpct="0" o:hralign="center" o:hrstd="t" o:hrnoshade="t" o:hr="t" fillcolor="black [3213]" stroked="f"/>
              </w:pict>
            </w:r>
          </w:p>
        </w:tc>
      </w:tr>
      <w:tr w:rsidR="00D518C6" w:rsidRPr="00CC1F8E" w:rsidTr="003B3977">
        <w:tc>
          <w:tcPr>
            <w:tcW w:w="4320" w:type="dxa"/>
            <w:shd w:val="clear" w:color="auto" w:fill="auto"/>
          </w:tcPr>
          <w:p w:rsidR="00D518C6" w:rsidRPr="00CC1F8E" w:rsidRDefault="00CC1F8E" w:rsidP="008440EE">
            <w:pPr>
              <w:rPr>
                <w:b/>
                <w:sz w:val="20"/>
                <w:szCs w:val="20"/>
              </w:rPr>
            </w:pPr>
            <w:r w:rsidRPr="00CC1F8E">
              <w:rPr>
                <w:b/>
                <w:sz w:val="20"/>
                <w:szCs w:val="20"/>
              </w:rPr>
              <w:t>Attorney General of Canada on behalf of the Czech Republic and the Minister of Justice of Canada</w:t>
            </w:r>
          </w:p>
          <w:p w:rsidR="00D518C6" w:rsidRPr="00CC1F8E" w:rsidRDefault="00D518C6" w:rsidP="008440EE">
            <w:pPr>
              <w:tabs>
                <w:tab w:val="left" w:pos="-1440"/>
                <w:tab w:val="left" w:pos="-720"/>
              </w:tabs>
              <w:rPr>
                <w:sz w:val="20"/>
                <w:szCs w:val="20"/>
              </w:rPr>
            </w:pPr>
            <w:r w:rsidRPr="00CC1F8E">
              <w:rPr>
                <w:sz w:val="20"/>
                <w:szCs w:val="20"/>
              </w:rPr>
              <w:tab/>
            </w:r>
            <w:r w:rsidR="00CC1F8E">
              <w:rPr>
                <w:sz w:val="20"/>
                <w:szCs w:val="20"/>
              </w:rPr>
              <w:t>Jeffrey G. Johnston</w:t>
            </w:r>
          </w:p>
          <w:p w:rsidR="00D518C6" w:rsidRPr="00CC1F8E" w:rsidRDefault="00D518C6" w:rsidP="008440EE">
            <w:pPr>
              <w:tabs>
                <w:tab w:val="left" w:pos="-1440"/>
                <w:tab w:val="left" w:pos="-720"/>
              </w:tabs>
              <w:rPr>
                <w:sz w:val="20"/>
                <w:szCs w:val="20"/>
              </w:rPr>
            </w:pPr>
            <w:r w:rsidRPr="00CC1F8E">
              <w:rPr>
                <w:sz w:val="20"/>
                <w:szCs w:val="20"/>
              </w:rPr>
              <w:tab/>
            </w:r>
            <w:r w:rsidR="00CC1F8E">
              <w:rPr>
                <w:sz w:val="20"/>
                <w:szCs w:val="20"/>
              </w:rPr>
              <w:t>A.G. of Canada</w:t>
            </w:r>
          </w:p>
          <w:p w:rsidR="00D518C6" w:rsidRPr="00CC1F8E" w:rsidRDefault="00D518C6" w:rsidP="008440EE">
            <w:pPr>
              <w:tabs>
                <w:tab w:val="left" w:pos="-1440"/>
                <w:tab w:val="left" w:pos="-720"/>
              </w:tabs>
              <w:rPr>
                <w:sz w:val="20"/>
                <w:szCs w:val="20"/>
              </w:rPr>
            </w:pPr>
          </w:p>
          <w:p w:rsidR="00D518C6" w:rsidRPr="00CC1F8E" w:rsidRDefault="00D518C6" w:rsidP="008440EE">
            <w:pPr>
              <w:tabs>
                <w:tab w:val="left" w:pos="-1440"/>
                <w:tab w:val="left" w:pos="-720"/>
              </w:tabs>
              <w:rPr>
                <w:sz w:val="20"/>
                <w:szCs w:val="20"/>
              </w:rPr>
            </w:pPr>
            <w:r w:rsidRPr="00CC1F8E">
              <w:rPr>
                <w:sz w:val="20"/>
                <w:szCs w:val="20"/>
              </w:rPr>
              <w:tab/>
              <w:t>v. (347</w:t>
            </w:r>
            <w:r w:rsidR="00CC1F8E" w:rsidRPr="00CC1F8E">
              <w:rPr>
                <w:sz w:val="20"/>
                <w:szCs w:val="20"/>
              </w:rPr>
              <w:t>67</w:t>
            </w:r>
            <w:r w:rsidRPr="00CC1F8E">
              <w:rPr>
                <w:sz w:val="20"/>
                <w:szCs w:val="20"/>
              </w:rPr>
              <w:t>)</w:t>
            </w:r>
          </w:p>
          <w:p w:rsidR="00D518C6" w:rsidRPr="00CC1F8E" w:rsidRDefault="00D518C6" w:rsidP="008440EE">
            <w:pPr>
              <w:tabs>
                <w:tab w:val="left" w:pos="-1440"/>
                <w:tab w:val="left" w:pos="-720"/>
              </w:tabs>
              <w:rPr>
                <w:sz w:val="20"/>
                <w:szCs w:val="20"/>
              </w:rPr>
            </w:pPr>
          </w:p>
          <w:p w:rsidR="00D518C6" w:rsidRPr="00CC1F8E" w:rsidRDefault="00CC1F8E" w:rsidP="008440EE">
            <w:pPr>
              <w:tabs>
                <w:tab w:val="left" w:pos="-1440"/>
                <w:tab w:val="left" w:pos="-720"/>
              </w:tabs>
              <w:rPr>
                <w:b/>
                <w:sz w:val="20"/>
                <w:szCs w:val="20"/>
              </w:rPr>
            </w:pPr>
            <w:r w:rsidRPr="00CC1F8E">
              <w:rPr>
                <w:b/>
                <w:sz w:val="20"/>
                <w:szCs w:val="20"/>
              </w:rPr>
              <w:t xml:space="preserve">Bretislav Zajicek </w:t>
            </w:r>
            <w:r w:rsidR="00D518C6" w:rsidRPr="00CC1F8E">
              <w:rPr>
                <w:b/>
                <w:sz w:val="20"/>
                <w:szCs w:val="20"/>
              </w:rPr>
              <w:t>(</w:t>
            </w:r>
            <w:r w:rsidRPr="00CC1F8E">
              <w:rPr>
                <w:b/>
                <w:sz w:val="20"/>
                <w:szCs w:val="20"/>
              </w:rPr>
              <w:t>Ont</w:t>
            </w:r>
            <w:r w:rsidR="00D518C6" w:rsidRPr="00CC1F8E">
              <w:rPr>
                <w:b/>
                <w:sz w:val="20"/>
                <w:szCs w:val="20"/>
              </w:rPr>
              <w:t>.)</w:t>
            </w:r>
          </w:p>
          <w:p w:rsidR="00D518C6" w:rsidRPr="00CC1F8E" w:rsidRDefault="00D518C6" w:rsidP="008440EE">
            <w:pPr>
              <w:tabs>
                <w:tab w:val="left" w:pos="-1440"/>
                <w:tab w:val="left" w:pos="-720"/>
              </w:tabs>
              <w:rPr>
                <w:sz w:val="20"/>
                <w:szCs w:val="20"/>
              </w:rPr>
            </w:pPr>
            <w:r w:rsidRPr="00CC1F8E">
              <w:rPr>
                <w:sz w:val="20"/>
                <w:szCs w:val="20"/>
              </w:rPr>
              <w:tab/>
            </w:r>
            <w:r w:rsidR="00CC1F8E" w:rsidRPr="00CC1F8E">
              <w:rPr>
                <w:sz w:val="20"/>
                <w:szCs w:val="20"/>
              </w:rPr>
              <w:t xml:space="preserve">Julianna A. </w:t>
            </w:r>
            <w:r w:rsidR="00CC1F8E">
              <w:rPr>
                <w:sz w:val="20"/>
                <w:szCs w:val="20"/>
              </w:rPr>
              <w:t>Greenspan</w:t>
            </w:r>
          </w:p>
          <w:p w:rsidR="00D518C6" w:rsidRPr="00CC1F8E" w:rsidRDefault="00D518C6" w:rsidP="008440EE">
            <w:pPr>
              <w:tabs>
                <w:tab w:val="left" w:pos="-1440"/>
                <w:tab w:val="left" w:pos="-720"/>
              </w:tabs>
              <w:rPr>
                <w:sz w:val="20"/>
                <w:szCs w:val="20"/>
              </w:rPr>
            </w:pPr>
            <w:r w:rsidRPr="00CC1F8E">
              <w:rPr>
                <w:sz w:val="20"/>
                <w:szCs w:val="20"/>
              </w:rPr>
              <w:tab/>
            </w:r>
            <w:r w:rsidR="00CC1F8E">
              <w:rPr>
                <w:sz w:val="20"/>
                <w:szCs w:val="20"/>
              </w:rPr>
              <w:t>Greenspan Partners</w:t>
            </w:r>
          </w:p>
          <w:p w:rsidR="00D518C6" w:rsidRPr="00CC1F8E" w:rsidRDefault="00D518C6" w:rsidP="008440EE">
            <w:pPr>
              <w:rPr>
                <w:sz w:val="20"/>
                <w:szCs w:val="20"/>
              </w:rPr>
            </w:pPr>
          </w:p>
          <w:p w:rsidR="00D518C6" w:rsidRPr="00CC1F8E" w:rsidRDefault="00D518C6" w:rsidP="008440EE">
            <w:pPr>
              <w:rPr>
                <w:sz w:val="20"/>
                <w:szCs w:val="20"/>
              </w:rPr>
            </w:pPr>
            <w:r w:rsidRPr="00CC1F8E">
              <w:rPr>
                <w:sz w:val="20"/>
                <w:szCs w:val="20"/>
              </w:rPr>
              <w:t>FILING DATE:</w:t>
            </w:r>
            <w:r w:rsidR="00CC1F8E">
              <w:rPr>
                <w:sz w:val="20"/>
                <w:szCs w:val="20"/>
              </w:rPr>
              <w:t xml:space="preserve"> 16</w:t>
            </w:r>
            <w:r w:rsidRPr="00CC1F8E">
              <w:rPr>
                <w:sz w:val="20"/>
                <w:szCs w:val="20"/>
              </w:rPr>
              <w:t>.04.2012</w:t>
            </w:r>
          </w:p>
          <w:p w:rsidR="00D518C6" w:rsidRPr="00CC1F8E" w:rsidRDefault="00414F7B" w:rsidP="008440EE">
            <w:pPr>
              <w:rPr>
                <w:sz w:val="20"/>
                <w:szCs w:val="20"/>
              </w:rPr>
            </w:pPr>
            <w:r w:rsidRPr="00414F7B">
              <w:rPr>
                <w:sz w:val="20"/>
                <w:szCs w:val="20"/>
                <w:lang w:val="fr-CA"/>
              </w:rPr>
              <w:pict>
                <v:rect id="_x0000_i1027" style="width:108pt;height:1pt" o:hrpct="0" o:hralign="center" o:hrstd="t" o:hrnoshade="t" o:hr="t" fillcolor="black [3213]" stroked="f"/>
              </w:pict>
            </w:r>
          </w:p>
        </w:tc>
        <w:tc>
          <w:tcPr>
            <w:tcW w:w="1181" w:type="dxa"/>
            <w:shd w:val="clear" w:color="auto" w:fill="auto"/>
          </w:tcPr>
          <w:p w:rsidR="00D518C6" w:rsidRPr="00CC1F8E" w:rsidRDefault="00D518C6" w:rsidP="00242AEE">
            <w:pPr>
              <w:jc w:val="center"/>
              <w:rPr>
                <w:sz w:val="20"/>
                <w:szCs w:val="20"/>
              </w:rPr>
            </w:pPr>
          </w:p>
          <w:p w:rsidR="00D518C6" w:rsidRPr="00CC1F8E" w:rsidRDefault="00D518C6" w:rsidP="00242AEE">
            <w:pPr>
              <w:jc w:val="center"/>
              <w:rPr>
                <w:sz w:val="20"/>
                <w:szCs w:val="20"/>
              </w:rPr>
            </w:pPr>
          </w:p>
          <w:p w:rsidR="00D518C6" w:rsidRPr="00CC1F8E" w:rsidRDefault="00D518C6" w:rsidP="00242AEE">
            <w:pPr>
              <w:jc w:val="center"/>
              <w:rPr>
                <w:sz w:val="20"/>
                <w:szCs w:val="20"/>
              </w:rPr>
            </w:pPr>
          </w:p>
          <w:p w:rsidR="00D518C6" w:rsidRPr="00CC1F8E" w:rsidRDefault="00D518C6" w:rsidP="00242AEE">
            <w:pPr>
              <w:jc w:val="center"/>
              <w:rPr>
                <w:sz w:val="20"/>
                <w:szCs w:val="20"/>
              </w:rPr>
            </w:pPr>
          </w:p>
          <w:p w:rsidR="00D518C6" w:rsidRPr="00CC1F8E" w:rsidRDefault="00D518C6" w:rsidP="00242AEE">
            <w:pPr>
              <w:jc w:val="center"/>
              <w:rPr>
                <w:sz w:val="20"/>
                <w:szCs w:val="20"/>
              </w:rPr>
            </w:pPr>
          </w:p>
          <w:p w:rsidR="00D518C6" w:rsidRPr="00CC1F8E" w:rsidRDefault="00D518C6" w:rsidP="00242AEE">
            <w:pPr>
              <w:jc w:val="center"/>
              <w:rPr>
                <w:sz w:val="20"/>
                <w:szCs w:val="20"/>
              </w:rPr>
            </w:pPr>
          </w:p>
          <w:p w:rsidR="00D518C6" w:rsidRPr="00CC1F8E" w:rsidRDefault="00D518C6" w:rsidP="00242AEE">
            <w:pPr>
              <w:jc w:val="center"/>
              <w:rPr>
                <w:sz w:val="20"/>
                <w:szCs w:val="20"/>
              </w:rPr>
            </w:pPr>
          </w:p>
          <w:p w:rsidR="00D518C6" w:rsidRPr="00CC1F8E" w:rsidRDefault="00D518C6" w:rsidP="00242AEE">
            <w:pPr>
              <w:jc w:val="center"/>
              <w:rPr>
                <w:sz w:val="20"/>
                <w:szCs w:val="20"/>
              </w:rPr>
            </w:pPr>
          </w:p>
          <w:p w:rsidR="00D518C6" w:rsidRPr="00CC1F8E" w:rsidRDefault="00D518C6" w:rsidP="00242AEE">
            <w:pPr>
              <w:jc w:val="center"/>
              <w:rPr>
                <w:sz w:val="20"/>
                <w:szCs w:val="20"/>
              </w:rPr>
            </w:pPr>
          </w:p>
          <w:p w:rsidR="00D518C6" w:rsidRPr="00CC1F8E" w:rsidRDefault="00D518C6" w:rsidP="00242AEE">
            <w:pPr>
              <w:jc w:val="center"/>
              <w:rPr>
                <w:sz w:val="20"/>
                <w:szCs w:val="20"/>
              </w:rPr>
            </w:pPr>
          </w:p>
          <w:p w:rsidR="00D518C6" w:rsidRPr="00CC1F8E" w:rsidRDefault="00D518C6" w:rsidP="00242AEE">
            <w:pPr>
              <w:jc w:val="center"/>
              <w:rPr>
                <w:sz w:val="20"/>
                <w:szCs w:val="20"/>
              </w:rPr>
            </w:pPr>
          </w:p>
          <w:p w:rsidR="00D518C6" w:rsidRDefault="00D518C6" w:rsidP="00242AEE">
            <w:pPr>
              <w:jc w:val="center"/>
              <w:rPr>
                <w:sz w:val="20"/>
                <w:szCs w:val="20"/>
              </w:rPr>
            </w:pPr>
          </w:p>
          <w:p w:rsidR="00E91A76" w:rsidRPr="00CC1F8E" w:rsidRDefault="00E91A76" w:rsidP="00242AEE">
            <w:pPr>
              <w:jc w:val="center"/>
              <w:rPr>
                <w:sz w:val="20"/>
                <w:szCs w:val="20"/>
              </w:rPr>
            </w:pPr>
          </w:p>
          <w:p w:rsidR="00D518C6" w:rsidRPr="00CC1F8E" w:rsidRDefault="00D518C6" w:rsidP="00242AEE">
            <w:pPr>
              <w:jc w:val="center"/>
              <w:rPr>
                <w:sz w:val="20"/>
                <w:szCs w:val="20"/>
              </w:rPr>
            </w:pPr>
          </w:p>
        </w:tc>
        <w:tc>
          <w:tcPr>
            <w:tcW w:w="4320" w:type="dxa"/>
            <w:shd w:val="clear" w:color="auto" w:fill="auto"/>
          </w:tcPr>
          <w:p w:rsidR="00D518C6" w:rsidRDefault="00D518C6" w:rsidP="008440EE">
            <w:pPr>
              <w:keepNext/>
              <w:keepLines/>
              <w:tabs>
                <w:tab w:val="left" w:pos="-1440"/>
                <w:tab w:val="left" w:pos="-720"/>
              </w:tabs>
              <w:rPr>
                <w:b/>
                <w:sz w:val="20"/>
                <w:szCs w:val="20"/>
              </w:rPr>
            </w:pPr>
          </w:p>
          <w:p w:rsidR="00CC1F8E" w:rsidRPr="00CC1F8E" w:rsidRDefault="00CC1F8E" w:rsidP="008440EE">
            <w:pPr>
              <w:keepNext/>
              <w:keepLines/>
              <w:tabs>
                <w:tab w:val="left" w:pos="-1440"/>
                <w:tab w:val="left" w:pos="-720"/>
              </w:tabs>
              <w:rPr>
                <w:b/>
                <w:sz w:val="20"/>
                <w:szCs w:val="20"/>
              </w:rPr>
            </w:pPr>
            <w:r>
              <w:rPr>
                <w:b/>
                <w:sz w:val="20"/>
                <w:szCs w:val="20"/>
              </w:rPr>
              <w:t>Martin Tan Lee</w:t>
            </w:r>
          </w:p>
          <w:p w:rsidR="00D518C6" w:rsidRPr="00CC1F8E" w:rsidRDefault="00D518C6" w:rsidP="008440EE">
            <w:pPr>
              <w:keepNext/>
              <w:keepLines/>
              <w:tabs>
                <w:tab w:val="left" w:pos="-1440"/>
                <w:tab w:val="left" w:pos="-720"/>
              </w:tabs>
              <w:rPr>
                <w:sz w:val="20"/>
                <w:szCs w:val="20"/>
              </w:rPr>
            </w:pPr>
            <w:r w:rsidRPr="00CC1F8E">
              <w:rPr>
                <w:sz w:val="20"/>
                <w:szCs w:val="20"/>
              </w:rPr>
              <w:tab/>
            </w:r>
            <w:r w:rsidR="00CC1F8E">
              <w:rPr>
                <w:sz w:val="20"/>
                <w:szCs w:val="20"/>
              </w:rPr>
              <w:t>Timothy E. Leahy</w:t>
            </w:r>
          </w:p>
          <w:p w:rsidR="00D518C6" w:rsidRPr="00CC1F8E" w:rsidRDefault="00D518C6" w:rsidP="008440EE">
            <w:pPr>
              <w:keepNext/>
              <w:keepLines/>
              <w:tabs>
                <w:tab w:val="left" w:pos="-1440"/>
                <w:tab w:val="left" w:pos="-720"/>
              </w:tabs>
              <w:rPr>
                <w:sz w:val="20"/>
                <w:szCs w:val="20"/>
              </w:rPr>
            </w:pPr>
            <w:r w:rsidRPr="00CC1F8E">
              <w:rPr>
                <w:sz w:val="20"/>
                <w:szCs w:val="20"/>
              </w:rPr>
              <w:tab/>
            </w:r>
            <w:r w:rsidR="00CC1F8E">
              <w:rPr>
                <w:sz w:val="20"/>
                <w:szCs w:val="20"/>
              </w:rPr>
              <w:t>Forefront Migration Ltd.</w:t>
            </w:r>
          </w:p>
          <w:p w:rsidR="00D518C6" w:rsidRPr="00CC1F8E" w:rsidRDefault="00D518C6" w:rsidP="008440EE">
            <w:pPr>
              <w:keepNext/>
              <w:keepLines/>
              <w:tabs>
                <w:tab w:val="left" w:pos="-1440"/>
                <w:tab w:val="left" w:pos="-720"/>
              </w:tabs>
              <w:rPr>
                <w:sz w:val="20"/>
                <w:szCs w:val="20"/>
              </w:rPr>
            </w:pPr>
          </w:p>
          <w:p w:rsidR="00D518C6" w:rsidRPr="00CC1F8E" w:rsidRDefault="00D518C6" w:rsidP="008440EE">
            <w:pPr>
              <w:keepNext/>
              <w:keepLines/>
              <w:tabs>
                <w:tab w:val="left" w:pos="-1440"/>
                <w:tab w:val="left" w:pos="-720"/>
              </w:tabs>
              <w:rPr>
                <w:sz w:val="20"/>
                <w:szCs w:val="20"/>
              </w:rPr>
            </w:pPr>
            <w:r w:rsidRPr="00CC1F8E">
              <w:rPr>
                <w:sz w:val="20"/>
                <w:szCs w:val="20"/>
              </w:rPr>
              <w:tab/>
              <w:t>v. (347</w:t>
            </w:r>
            <w:r w:rsidR="00CC1F8E">
              <w:rPr>
                <w:sz w:val="20"/>
                <w:szCs w:val="20"/>
              </w:rPr>
              <w:t>71</w:t>
            </w:r>
            <w:r w:rsidRPr="00CC1F8E">
              <w:rPr>
                <w:sz w:val="20"/>
                <w:szCs w:val="20"/>
              </w:rPr>
              <w:t>)</w:t>
            </w:r>
          </w:p>
          <w:p w:rsidR="00D518C6" w:rsidRPr="00CC1F8E" w:rsidRDefault="00D518C6" w:rsidP="008440EE">
            <w:pPr>
              <w:keepNext/>
              <w:keepLines/>
              <w:tabs>
                <w:tab w:val="left" w:pos="-1440"/>
                <w:tab w:val="left" w:pos="-720"/>
              </w:tabs>
              <w:rPr>
                <w:sz w:val="20"/>
                <w:szCs w:val="20"/>
              </w:rPr>
            </w:pPr>
          </w:p>
          <w:p w:rsidR="00D518C6" w:rsidRPr="00CC1F8E" w:rsidRDefault="00CC1F8E" w:rsidP="008440EE">
            <w:pPr>
              <w:keepNext/>
              <w:keepLines/>
              <w:tabs>
                <w:tab w:val="left" w:pos="-1440"/>
                <w:tab w:val="left" w:pos="-720"/>
              </w:tabs>
              <w:rPr>
                <w:b/>
                <w:sz w:val="20"/>
                <w:szCs w:val="20"/>
              </w:rPr>
            </w:pPr>
            <w:r>
              <w:rPr>
                <w:b/>
                <w:sz w:val="20"/>
                <w:szCs w:val="20"/>
              </w:rPr>
              <w:t xml:space="preserve">Minister of Citizenship and Immigration </w:t>
            </w:r>
            <w:r w:rsidR="00D518C6" w:rsidRPr="00CC1F8E">
              <w:rPr>
                <w:b/>
                <w:sz w:val="20"/>
                <w:szCs w:val="20"/>
              </w:rPr>
              <w:t>(</w:t>
            </w:r>
            <w:r>
              <w:rPr>
                <w:b/>
                <w:sz w:val="20"/>
                <w:szCs w:val="20"/>
              </w:rPr>
              <w:t>F</w:t>
            </w:r>
            <w:r w:rsidR="00D518C6" w:rsidRPr="00CC1F8E">
              <w:rPr>
                <w:b/>
                <w:sz w:val="20"/>
                <w:szCs w:val="20"/>
              </w:rPr>
              <w:t>.</w:t>
            </w:r>
            <w:r>
              <w:rPr>
                <w:b/>
                <w:sz w:val="20"/>
                <w:szCs w:val="20"/>
              </w:rPr>
              <w:t>C.</w:t>
            </w:r>
            <w:r w:rsidR="00D518C6" w:rsidRPr="00CC1F8E">
              <w:rPr>
                <w:b/>
                <w:sz w:val="20"/>
                <w:szCs w:val="20"/>
              </w:rPr>
              <w:t>)</w:t>
            </w:r>
          </w:p>
          <w:p w:rsidR="00D518C6" w:rsidRPr="00CC1F8E" w:rsidRDefault="00D518C6" w:rsidP="008440EE">
            <w:pPr>
              <w:keepNext/>
              <w:keepLines/>
              <w:tabs>
                <w:tab w:val="left" w:pos="-1440"/>
                <w:tab w:val="left" w:pos="-720"/>
              </w:tabs>
              <w:rPr>
                <w:sz w:val="20"/>
                <w:szCs w:val="20"/>
              </w:rPr>
            </w:pPr>
            <w:r w:rsidRPr="00CC1F8E">
              <w:rPr>
                <w:sz w:val="20"/>
                <w:szCs w:val="20"/>
              </w:rPr>
              <w:tab/>
            </w:r>
            <w:r w:rsidR="00CC1F8E">
              <w:rPr>
                <w:sz w:val="20"/>
                <w:szCs w:val="20"/>
              </w:rPr>
              <w:t>Jamie R.D. Todd</w:t>
            </w:r>
          </w:p>
          <w:p w:rsidR="00D518C6" w:rsidRPr="00CC1F8E" w:rsidRDefault="00D518C6" w:rsidP="008440EE">
            <w:pPr>
              <w:keepNext/>
              <w:keepLines/>
              <w:tabs>
                <w:tab w:val="left" w:pos="-1440"/>
                <w:tab w:val="left" w:pos="-720"/>
              </w:tabs>
              <w:rPr>
                <w:sz w:val="20"/>
                <w:szCs w:val="20"/>
              </w:rPr>
            </w:pPr>
            <w:r w:rsidRPr="00CC1F8E">
              <w:rPr>
                <w:sz w:val="20"/>
                <w:szCs w:val="20"/>
              </w:rPr>
              <w:tab/>
            </w:r>
            <w:r w:rsidR="00CC1F8E">
              <w:rPr>
                <w:sz w:val="20"/>
                <w:szCs w:val="20"/>
              </w:rPr>
              <w:t>A.G. of Canada</w:t>
            </w:r>
          </w:p>
          <w:p w:rsidR="00D518C6" w:rsidRPr="00CC1F8E" w:rsidRDefault="00D518C6" w:rsidP="008440EE">
            <w:pPr>
              <w:keepNext/>
              <w:keepLines/>
              <w:tabs>
                <w:tab w:val="left" w:pos="-1440"/>
                <w:tab w:val="left" w:pos="-720"/>
              </w:tabs>
              <w:rPr>
                <w:sz w:val="20"/>
                <w:szCs w:val="20"/>
              </w:rPr>
            </w:pPr>
          </w:p>
          <w:p w:rsidR="00D518C6" w:rsidRPr="00CC1F8E" w:rsidRDefault="00D518C6" w:rsidP="00CC1F8E">
            <w:pPr>
              <w:rPr>
                <w:sz w:val="20"/>
                <w:szCs w:val="20"/>
              </w:rPr>
            </w:pPr>
            <w:r w:rsidRPr="00CC1F8E">
              <w:rPr>
                <w:sz w:val="20"/>
                <w:szCs w:val="20"/>
              </w:rPr>
              <w:t xml:space="preserve">FILING DATE: </w:t>
            </w:r>
            <w:r w:rsidR="00CC1F8E">
              <w:rPr>
                <w:sz w:val="20"/>
                <w:szCs w:val="20"/>
              </w:rPr>
              <w:t>16</w:t>
            </w:r>
            <w:r w:rsidRPr="00CC1F8E">
              <w:rPr>
                <w:sz w:val="20"/>
                <w:szCs w:val="20"/>
              </w:rPr>
              <w:t>.04.2012</w:t>
            </w:r>
            <w:r w:rsidR="00414F7B" w:rsidRPr="00414F7B">
              <w:rPr>
                <w:sz w:val="20"/>
                <w:szCs w:val="20"/>
                <w:lang w:val="fr-CA"/>
              </w:rPr>
              <w:pict>
                <v:rect id="_x0000_i1028" style="width:108pt;height:1pt" o:hrpct="0" o:hralign="center" o:hrstd="t" o:hrnoshade="t" o:hr="t" fillcolor="black [3213]" stroked="f"/>
              </w:pict>
            </w:r>
          </w:p>
        </w:tc>
      </w:tr>
      <w:tr w:rsidR="00D518C6" w:rsidRPr="00A935AA" w:rsidTr="003B3977">
        <w:tc>
          <w:tcPr>
            <w:tcW w:w="4320" w:type="dxa"/>
            <w:shd w:val="clear" w:color="auto" w:fill="auto"/>
          </w:tcPr>
          <w:p w:rsidR="00D518C6" w:rsidRDefault="00D518C6" w:rsidP="008440EE">
            <w:pPr>
              <w:rPr>
                <w:b/>
                <w:sz w:val="20"/>
                <w:szCs w:val="20"/>
              </w:rPr>
            </w:pPr>
          </w:p>
          <w:p w:rsidR="00E91A76" w:rsidRPr="00CC1F8E" w:rsidRDefault="00E91A76" w:rsidP="008440EE">
            <w:pPr>
              <w:rPr>
                <w:b/>
                <w:sz w:val="20"/>
                <w:szCs w:val="20"/>
              </w:rPr>
            </w:pPr>
            <w:r>
              <w:rPr>
                <w:b/>
                <w:sz w:val="20"/>
                <w:szCs w:val="20"/>
              </w:rPr>
              <w:t>Ivanco Keremelevski</w:t>
            </w:r>
          </w:p>
          <w:p w:rsidR="00D518C6" w:rsidRPr="00CC1F8E" w:rsidRDefault="00D518C6" w:rsidP="008440EE">
            <w:pPr>
              <w:tabs>
                <w:tab w:val="left" w:pos="-1440"/>
                <w:tab w:val="left" w:pos="-720"/>
              </w:tabs>
              <w:rPr>
                <w:sz w:val="20"/>
                <w:szCs w:val="20"/>
              </w:rPr>
            </w:pPr>
            <w:r w:rsidRPr="00CC1F8E">
              <w:rPr>
                <w:sz w:val="20"/>
                <w:szCs w:val="20"/>
              </w:rPr>
              <w:tab/>
            </w:r>
            <w:r w:rsidR="00E91A76">
              <w:rPr>
                <w:sz w:val="20"/>
                <w:szCs w:val="20"/>
              </w:rPr>
              <w:t>Ivanco Keremelevski</w:t>
            </w:r>
          </w:p>
          <w:p w:rsidR="00D518C6" w:rsidRPr="00CC1F8E" w:rsidRDefault="00D518C6" w:rsidP="008440EE">
            <w:pPr>
              <w:tabs>
                <w:tab w:val="left" w:pos="-1440"/>
                <w:tab w:val="left" w:pos="-720"/>
              </w:tabs>
              <w:rPr>
                <w:sz w:val="20"/>
                <w:szCs w:val="20"/>
              </w:rPr>
            </w:pPr>
          </w:p>
          <w:p w:rsidR="00D518C6" w:rsidRPr="00A935AA" w:rsidRDefault="00D518C6" w:rsidP="008440EE">
            <w:pPr>
              <w:tabs>
                <w:tab w:val="left" w:pos="-1440"/>
                <w:tab w:val="left" w:pos="-720"/>
              </w:tabs>
              <w:rPr>
                <w:sz w:val="20"/>
                <w:szCs w:val="20"/>
              </w:rPr>
            </w:pPr>
            <w:r w:rsidRPr="00CC1F8E">
              <w:rPr>
                <w:sz w:val="20"/>
                <w:szCs w:val="20"/>
              </w:rPr>
              <w:tab/>
            </w:r>
            <w:r w:rsidRPr="00A935AA">
              <w:rPr>
                <w:sz w:val="20"/>
                <w:szCs w:val="20"/>
              </w:rPr>
              <w:t>v. (3</w:t>
            </w:r>
            <w:r>
              <w:rPr>
                <w:sz w:val="20"/>
                <w:szCs w:val="20"/>
              </w:rPr>
              <w:t>4</w:t>
            </w:r>
            <w:r w:rsidRPr="00A935AA">
              <w:rPr>
                <w:sz w:val="20"/>
                <w:szCs w:val="20"/>
              </w:rPr>
              <w:t>7</w:t>
            </w:r>
            <w:r w:rsidR="00E91A76">
              <w:rPr>
                <w:sz w:val="20"/>
                <w:szCs w:val="20"/>
              </w:rPr>
              <w:t>89</w:t>
            </w:r>
            <w:r w:rsidRPr="00A935AA">
              <w:rPr>
                <w:sz w:val="20"/>
                <w:szCs w:val="20"/>
              </w:rPr>
              <w:t>)</w:t>
            </w:r>
          </w:p>
          <w:p w:rsidR="00D518C6" w:rsidRPr="00A935AA" w:rsidRDefault="00D518C6" w:rsidP="008440EE">
            <w:pPr>
              <w:tabs>
                <w:tab w:val="left" w:pos="-1440"/>
                <w:tab w:val="left" w:pos="-720"/>
              </w:tabs>
              <w:rPr>
                <w:sz w:val="20"/>
                <w:szCs w:val="20"/>
              </w:rPr>
            </w:pPr>
          </w:p>
          <w:p w:rsidR="00D518C6" w:rsidRPr="00A935AA" w:rsidRDefault="00E91A76" w:rsidP="008440EE">
            <w:pPr>
              <w:tabs>
                <w:tab w:val="left" w:pos="-1440"/>
                <w:tab w:val="left" w:pos="-720"/>
              </w:tabs>
              <w:rPr>
                <w:b/>
                <w:sz w:val="20"/>
                <w:szCs w:val="20"/>
              </w:rPr>
            </w:pPr>
            <w:r>
              <w:rPr>
                <w:b/>
                <w:sz w:val="20"/>
                <w:szCs w:val="20"/>
              </w:rPr>
              <w:t xml:space="preserve">Insurance Corporation of British Columbia, Habib Neaime and Najwa Neaime </w:t>
            </w:r>
            <w:r w:rsidR="00D518C6" w:rsidRPr="00A935AA">
              <w:rPr>
                <w:b/>
                <w:sz w:val="20"/>
                <w:szCs w:val="20"/>
              </w:rPr>
              <w:t>(B.C.)</w:t>
            </w:r>
          </w:p>
          <w:p w:rsidR="00D518C6" w:rsidRPr="00A935AA" w:rsidRDefault="00D518C6" w:rsidP="008440EE">
            <w:pPr>
              <w:tabs>
                <w:tab w:val="left" w:pos="-1440"/>
                <w:tab w:val="left" w:pos="-720"/>
              </w:tabs>
              <w:rPr>
                <w:sz w:val="20"/>
                <w:szCs w:val="20"/>
              </w:rPr>
            </w:pPr>
            <w:r w:rsidRPr="00A935AA">
              <w:rPr>
                <w:sz w:val="20"/>
                <w:szCs w:val="20"/>
              </w:rPr>
              <w:tab/>
            </w:r>
            <w:r w:rsidR="00E91A76">
              <w:rPr>
                <w:sz w:val="20"/>
                <w:szCs w:val="20"/>
              </w:rPr>
              <w:t>William R. Chalcraft</w:t>
            </w:r>
          </w:p>
          <w:p w:rsidR="00D518C6" w:rsidRPr="00A935AA" w:rsidRDefault="00D518C6" w:rsidP="008440EE">
            <w:pPr>
              <w:tabs>
                <w:tab w:val="left" w:pos="-1440"/>
                <w:tab w:val="left" w:pos="-720"/>
              </w:tabs>
              <w:rPr>
                <w:sz w:val="20"/>
                <w:szCs w:val="20"/>
              </w:rPr>
            </w:pPr>
            <w:r w:rsidRPr="00A935AA">
              <w:rPr>
                <w:sz w:val="20"/>
                <w:szCs w:val="20"/>
              </w:rPr>
              <w:tab/>
            </w:r>
            <w:r w:rsidR="00E91A76">
              <w:rPr>
                <w:sz w:val="20"/>
                <w:szCs w:val="20"/>
              </w:rPr>
              <w:t>DuMoulin, Boskovich</w:t>
            </w:r>
          </w:p>
          <w:p w:rsidR="00D518C6" w:rsidRDefault="00D518C6" w:rsidP="008440EE">
            <w:pPr>
              <w:rPr>
                <w:sz w:val="20"/>
                <w:szCs w:val="20"/>
              </w:rPr>
            </w:pPr>
          </w:p>
          <w:p w:rsidR="00D518C6" w:rsidRPr="00A935AA" w:rsidRDefault="00D518C6" w:rsidP="008440EE">
            <w:pPr>
              <w:rPr>
                <w:sz w:val="20"/>
                <w:szCs w:val="20"/>
              </w:rPr>
            </w:pPr>
            <w:r w:rsidRPr="00A935AA">
              <w:rPr>
                <w:sz w:val="20"/>
                <w:szCs w:val="20"/>
              </w:rPr>
              <w:t xml:space="preserve">FILING DATE: </w:t>
            </w:r>
            <w:r w:rsidR="00E91A76">
              <w:rPr>
                <w:sz w:val="20"/>
                <w:szCs w:val="20"/>
              </w:rPr>
              <w:t>1</w:t>
            </w:r>
            <w:r w:rsidRPr="00A935AA">
              <w:rPr>
                <w:sz w:val="20"/>
                <w:szCs w:val="20"/>
              </w:rPr>
              <w:t>7.0</w:t>
            </w:r>
            <w:r>
              <w:rPr>
                <w:sz w:val="20"/>
                <w:szCs w:val="20"/>
              </w:rPr>
              <w:t>4</w:t>
            </w:r>
            <w:r w:rsidRPr="00A935AA">
              <w:rPr>
                <w:sz w:val="20"/>
                <w:szCs w:val="20"/>
              </w:rPr>
              <w:t>.201</w:t>
            </w:r>
            <w:r>
              <w:rPr>
                <w:sz w:val="20"/>
                <w:szCs w:val="20"/>
              </w:rPr>
              <w:t>2</w:t>
            </w:r>
          </w:p>
          <w:p w:rsidR="00D518C6" w:rsidRPr="00A935AA" w:rsidRDefault="00414F7B" w:rsidP="008440EE">
            <w:pPr>
              <w:rPr>
                <w:sz w:val="20"/>
                <w:szCs w:val="20"/>
              </w:rPr>
            </w:pPr>
            <w:r w:rsidRPr="00414F7B">
              <w:rPr>
                <w:sz w:val="20"/>
                <w:szCs w:val="20"/>
                <w:lang w:val="fr-CA"/>
              </w:rPr>
              <w:pict>
                <v:rect id="_x0000_i1029" style="width:108pt;height:1pt" o:hrpct="0" o:hralign="center" o:hrstd="t" o:hrnoshade="t" o:hr="t" fillcolor="black [3213]" stroked="f"/>
              </w:pict>
            </w:r>
          </w:p>
        </w:tc>
        <w:tc>
          <w:tcPr>
            <w:tcW w:w="1181" w:type="dxa"/>
            <w:shd w:val="clear" w:color="auto" w:fill="auto"/>
          </w:tcPr>
          <w:p w:rsidR="00D518C6" w:rsidRPr="00A935AA" w:rsidRDefault="00D518C6" w:rsidP="00242AEE">
            <w:pPr>
              <w:jc w:val="center"/>
              <w:rPr>
                <w:sz w:val="20"/>
                <w:szCs w:val="20"/>
              </w:rPr>
            </w:pPr>
          </w:p>
          <w:p w:rsidR="00D518C6" w:rsidRPr="00A935AA" w:rsidRDefault="00D518C6" w:rsidP="00242AEE">
            <w:pPr>
              <w:jc w:val="center"/>
              <w:rPr>
                <w:sz w:val="20"/>
                <w:szCs w:val="20"/>
              </w:rPr>
            </w:pPr>
          </w:p>
          <w:p w:rsidR="00D518C6" w:rsidRPr="00A935AA" w:rsidRDefault="00D518C6" w:rsidP="00242AEE">
            <w:pPr>
              <w:jc w:val="center"/>
              <w:rPr>
                <w:sz w:val="20"/>
                <w:szCs w:val="20"/>
              </w:rPr>
            </w:pPr>
          </w:p>
          <w:p w:rsidR="00D518C6" w:rsidRPr="00A935AA" w:rsidRDefault="00D518C6" w:rsidP="00242AEE">
            <w:pPr>
              <w:jc w:val="center"/>
              <w:rPr>
                <w:sz w:val="20"/>
                <w:szCs w:val="20"/>
              </w:rPr>
            </w:pPr>
          </w:p>
          <w:p w:rsidR="00D518C6" w:rsidRPr="00A935AA" w:rsidRDefault="00D518C6" w:rsidP="00242AEE">
            <w:pPr>
              <w:jc w:val="center"/>
              <w:rPr>
                <w:sz w:val="20"/>
                <w:szCs w:val="20"/>
              </w:rPr>
            </w:pPr>
          </w:p>
          <w:p w:rsidR="00D518C6" w:rsidRPr="00A935AA" w:rsidRDefault="00D518C6" w:rsidP="00242AEE">
            <w:pPr>
              <w:jc w:val="center"/>
              <w:rPr>
                <w:sz w:val="20"/>
                <w:szCs w:val="20"/>
              </w:rPr>
            </w:pPr>
          </w:p>
          <w:p w:rsidR="00D518C6" w:rsidRPr="00A935AA" w:rsidRDefault="00D518C6" w:rsidP="00242AEE">
            <w:pPr>
              <w:jc w:val="center"/>
              <w:rPr>
                <w:sz w:val="20"/>
                <w:szCs w:val="20"/>
              </w:rPr>
            </w:pPr>
          </w:p>
          <w:p w:rsidR="00D518C6" w:rsidRPr="00A935AA" w:rsidRDefault="00D518C6" w:rsidP="00242AEE">
            <w:pPr>
              <w:jc w:val="center"/>
              <w:rPr>
                <w:sz w:val="20"/>
                <w:szCs w:val="20"/>
              </w:rPr>
            </w:pPr>
          </w:p>
          <w:p w:rsidR="00D518C6" w:rsidRPr="00A935AA" w:rsidRDefault="00D518C6" w:rsidP="00242AEE">
            <w:pPr>
              <w:jc w:val="center"/>
              <w:rPr>
                <w:sz w:val="20"/>
                <w:szCs w:val="20"/>
              </w:rPr>
            </w:pPr>
          </w:p>
          <w:p w:rsidR="00D518C6" w:rsidRPr="00A935AA" w:rsidRDefault="00D518C6" w:rsidP="00242AEE">
            <w:pPr>
              <w:jc w:val="center"/>
              <w:rPr>
                <w:sz w:val="20"/>
                <w:szCs w:val="20"/>
              </w:rPr>
            </w:pPr>
          </w:p>
          <w:p w:rsidR="00D518C6" w:rsidRDefault="00D518C6" w:rsidP="00242AEE">
            <w:pPr>
              <w:jc w:val="center"/>
              <w:rPr>
                <w:sz w:val="20"/>
                <w:szCs w:val="20"/>
              </w:rPr>
            </w:pPr>
          </w:p>
          <w:p w:rsidR="00D518C6" w:rsidRDefault="00D518C6" w:rsidP="00242AEE">
            <w:pPr>
              <w:jc w:val="center"/>
              <w:rPr>
                <w:sz w:val="20"/>
                <w:szCs w:val="20"/>
              </w:rPr>
            </w:pPr>
          </w:p>
          <w:p w:rsidR="00D518C6" w:rsidRPr="00A935AA" w:rsidRDefault="00D518C6" w:rsidP="00242AEE">
            <w:pPr>
              <w:jc w:val="center"/>
              <w:rPr>
                <w:sz w:val="20"/>
                <w:szCs w:val="20"/>
              </w:rPr>
            </w:pPr>
          </w:p>
        </w:tc>
        <w:tc>
          <w:tcPr>
            <w:tcW w:w="4320" w:type="dxa"/>
            <w:shd w:val="clear" w:color="auto" w:fill="auto"/>
          </w:tcPr>
          <w:p w:rsidR="00D518C6" w:rsidRPr="00A935AA" w:rsidRDefault="00E91A76" w:rsidP="008440EE">
            <w:pPr>
              <w:keepNext/>
              <w:keepLines/>
              <w:tabs>
                <w:tab w:val="left" w:pos="-1440"/>
                <w:tab w:val="left" w:pos="-720"/>
              </w:tabs>
              <w:rPr>
                <w:b/>
                <w:sz w:val="20"/>
                <w:szCs w:val="20"/>
              </w:rPr>
            </w:pPr>
            <w:r>
              <w:rPr>
                <w:b/>
                <w:sz w:val="20"/>
                <w:szCs w:val="20"/>
              </w:rPr>
              <w:t>Minister of Social Development</w:t>
            </w:r>
          </w:p>
          <w:p w:rsidR="00D518C6" w:rsidRPr="00A935AA" w:rsidRDefault="00D518C6" w:rsidP="008440EE">
            <w:pPr>
              <w:keepNext/>
              <w:keepLines/>
              <w:tabs>
                <w:tab w:val="left" w:pos="-1440"/>
                <w:tab w:val="left" w:pos="-720"/>
              </w:tabs>
              <w:rPr>
                <w:sz w:val="20"/>
                <w:szCs w:val="20"/>
              </w:rPr>
            </w:pPr>
            <w:r w:rsidRPr="00A935AA">
              <w:rPr>
                <w:sz w:val="20"/>
                <w:szCs w:val="20"/>
              </w:rPr>
              <w:tab/>
            </w:r>
            <w:r w:rsidR="00E91A76">
              <w:rPr>
                <w:sz w:val="20"/>
                <w:szCs w:val="20"/>
              </w:rPr>
              <w:t>Maurice C. Richard</w:t>
            </w:r>
          </w:p>
          <w:p w:rsidR="00D518C6" w:rsidRPr="00A935AA" w:rsidRDefault="00D518C6" w:rsidP="008440EE">
            <w:pPr>
              <w:keepNext/>
              <w:keepLines/>
              <w:tabs>
                <w:tab w:val="left" w:pos="-1440"/>
                <w:tab w:val="left" w:pos="-720"/>
              </w:tabs>
              <w:rPr>
                <w:sz w:val="20"/>
                <w:szCs w:val="20"/>
              </w:rPr>
            </w:pPr>
            <w:r w:rsidRPr="00A935AA">
              <w:rPr>
                <w:sz w:val="20"/>
                <w:szCs w:val="20"/>
              </w:rPr>
              <w:tab/>
            </w:r>
            <w:r w:rsidR="00E91A76">
              <w:rPr>
                <w:sz w:val="20"/>
                <w:szCs w:val="20"/>
              </w:rPr>
              <w:t>A.G. of New Brunswick</w:t>
            </w:r>
          </w:p>
          <w:p w:rsidR="00D518C6" w:rsidRPr="00A935AA" w:rsidRDefault="00D518C6" w:rsidP="008440EE">
            <w:pPr>
              <w:keepNext/>
              <w:keepLines/>
              <w:tabs>
                <w:tab w:val="left" w:pos="-1440"/>
                <w:tab w:val="left" w:pos="-720"/>
              </w:tabs>
              <w:rPr>
                <w:sz w:val="20"/>
                <w:szCs w:val="20"/>
              </w:rPr>
            </w:pPr>
          </w:p>
          <w:p w:rsidR="00D518C6" w:rsidRPr="00CC1F8E" w:rsidRDefault="00D518C6" w:rsidP="008440EE">
            <w:pPr>
              <w:keepNext/>
              <w:keepLines/>
              <w:tabs>
                <w:tab w:val="left" w:pos="-1440"/>
                <w:tab w:val="left" w:pos="-720"/>
              </w:tabs>
              <w:rPr>
                <w:sz w:val="20"/>
                <w:szCs w:val="20"/>
              </w:rPr>
            </w:pPr>
            <w:r w:rsidRPr="00A935AA">
              <w:rPr>
                <w:sz w:val="20"/>
                <w:szCs w:val="20"/>
              </w:rPr>
              <w:tab/>
            </w:r>
            <w:r w:rsidRPr="00CC1F8E">
              <w:rPr>
                <w:sz w:val="20"/>
                <w:szCs w:val="20"/>
              </w:rPr>
              <w:t>v. (347</w:t>
            </w:r>
            <w:r w:rsidR="00E91A76">
              <w:rPr>
                <w:sz w:val="20"/>
                <w:szCs w:val="20"/>
              </w:rPr>
              <w:t>79</w:t>
            </w:r>
            <w:r w:rsidRPr="00CC1F8E">
              <w:rPr>
                <w:sz w:val="20"/>
                <w:szCs w:val="20"/>
              </w:rPr>
              <w:t>)</w:t>
            </w:r>
          </w:p>
          <w:p w:rsidR="00D518C6" w:rsidRPr="00CC1F8E" w:rsidRDefault="00D518C6" w:rsidP="008440EE">
            <w:pPr>
              <w:keepNext/>
              <w:keepLines/>
              <w:tabs>
                <w:tab w:val="left" w:pos="-1440"/>
                <w:tab w:val="left" w:pos="-720"/>
              </w:tabs>
              <w:rPr>
                <w:sz w:val="20"/>
                <w:szCs w:val="20"/>
              </w:rPr>
            </w:pPr>
          </w:p>
          <w:p w:rsidR="00D518C6" w:rsidRPr="00CA10EB" w:rsidRDefault="00E91A76" w:rsidP="008440EE">
            <w:pPr>
              <w:keepNext/>
              <w:keepLines/>
              <w:tabs>
                <w:tab w:val="left" w:pos="-1440"/>
                <w:tab w:val="left" w:pos="-720"/>
              </w:tabs>
              <w:rPr>
                <w:b/>
                <w:sz w:val="20"/>
                <w:szCs w:val="20"/>
                <w:lang w:val="fr-CA"/>
              </w:rPr>
            </w:pPr>
            <w:r w:rsidRPr="00CA10EB">
              <w:rPr>
                <w:b/>
                <w:sz w:val="20"/>
                <w:szCs w:val="20"/>
                <w:lang w:val="fr-CA"/>
              </w:rPr>
              <w:t xml:space="preserve">M.G. et al. </w:t>
            </w:r>
            <w:r w:rsidR="00D518C6" w:rsidRPr="00CA10EB">
              <w:rPr>
                <w:b/>
                <w:sz w:val="20"/>
                <w:szCs w:val="20"/>
                <w:lang w:val="fr-CA"/>
              </w:rPr>
              <w:t>(</w:t>
            </w:r>
            <w:r w:rsidRPr="00CA10EB">
              <w:rPr>
                <w:b/>
                <w:sz w:val="20"/>
                <w:szCs w:val="20"/>
                <w:lang w:val="fr-CA"/>
              </w:rPr>
              <w:t>N.B</w:t>
            </w:r>
            <w:r w:rsidR="00D518C6" w:rsidRPr="00CA10EB">
              <w:rPr>
                <w:b/>
                <w:sz w:val="20"/>
                <w:szCs w:val="20"/>
                <w:lang w:val="fr-CA"/>
              </w:rPr>
              <w:t>.)</w:t>
            </w:r>
          </w:p>
          <w:p w:rsidR="00D518C6" w:rsidRPr="00CA10EB" w:rsidRDefault="00D518C6" w:rsidP="008440EE">
            <w:pPr>
              <w:keepNext/>
              <w:keepLines/>
              <w:tabs>
                <w:tab w:val="left" w:pos="-1440"/>
                <w:tab w:val="left" w:pos="-720"/>
              </w:tabs>
              <w:rPr>
                <w:sz w:val="20"/>
                <w:szCs w:val="20"/>
                <w:lang w:val="fr-CA"/>
              </w:rPr>
            </w:pPr>
            <w:r w:rsidRPr="00CA10EB">
              <w:rPr>
                <w:sz w:val="20"/>
                <w:szCs w:val="20"/>
                <w:lang w:val="fr-CA"/>
              </w:rPr>
              <w:tab/>
            </w:r>
            <w:r w:rsidR="00E91A76" w:rsidRPr="00CA10EB">
              <w:rPr>
                <w:sz w:val="20"/>
                <w:szCs w:val="20"/>
                <w:lang w:val="fr-CA"/>
              </w:rPr>
              <w:t>Yves J. Robichaud</w:t>
            </w:r>
          </w:p>
          <w:p w:rsidR="00D518C6" w:rsidRPr="00E91A76" w:rsidRDefault="00D518C6" w:rsidP="008440EE">
            <w:pPr>
              <w:keepNext/>
              <w:keepLines/>
              <w:tabs>
                <w:tab w:val="left" w:pos="-1440"/>
                <w:tab w:val="left" w:pos="-720"/>
              </w:tabs>
              <w:rPr>
                <w:sz w:val="20"/>
                <w:szCs w:val="20"/>
                <w:lang w:val="fr-CA"/>
              </w:rPr>
            </w:pPr>
            <w:r w:rsidRPr="00CA10EB">
              <w:rPr>
                <w:sz w:val="20"/>
                <w:szCs w:val="20"/>
                <w:lang w:val="fr-CA"/>
              </w:rPr>
              <w:tab/>
            </w:r>
            <w:r w:rsidR="00E91A76" w:rsidRPr="00E91A76">
              <w:rPr>
                <w:sz w:val="20"/>
                <w:szCs w:val="20"/>
                <w:lang w:val="fr-CA"/>
              </w:rPr>
              <w:t>Yves Robichaud c.p. Inc.</w:t>
            </w:r>
          </w:p>
          <w:p w:rsidR="00D518C6" w:rsidRPr="00E91A76" w:rsidRDefault="00D518C6" w:rsidP="008440EE">
            <w:pPr>
              <w:keepNext/>
              <w:keepLines/>
              <w:tabs>
                <w:tab w:val="left" w:pos="-1440"/>
                <w:tab w:val="left" w:pos="-720"/>
              </w:tabs>
              <w:rPr>
                <w:sz w:val="20"/>
                <w:szCs w:val="20"/>
                <w:lang w:val="fr-CA"/>
              </w:rPr>
            </w:pPr>
          </w:p>
          <w:p w:rsidR="00D518C6" w:rsidRPr="00A935AA" w:rsidRDefault="00D518C6" w:rsidP="00E91A76">
            <w:pPr>
              <w:rPr>
                <w:sz w:val="20"/>
                <w:szCs w:val="20"/>
              </w:rPr>
            </w:pPr>
            <w:r w:rsidRPr="00A935AA">
              <w:rPr>
                <w:sz w:val="20"/>
                <w:szCs w:val="20"/>
              </w:rPr>
              <w:t xml:space="preserve">FILING DATE: </w:t>
            </w:r>
            <w:r w:rsidR="00E91A76">
              <w:rPr>
                <w:sz w:val="20"/>
                <w:szCs w:val="20"/>
              </w:rPr>
              <w:t>1</w:t>
            </w:r>
            <w:r w:rsidRPr="00A935AA">
              <w:rPr>
                <w:sz w:val="20"/>
                <w:szCs w:val="20"/>
              </w:rPr>
              <w:t>8.0</w:t>
            </w:r>
            <w:r>
              <w:rPr>
                <w:sz w:val="20"/>
                <w:szCs w:val="20"/>
              </w:rPr>
              <w:t>4</w:t>
            </w:r>
            <w:r w:rsidRPr="00A935AA">
              <w:rPr>
                <w:sz w:val="20"/>
                <w:szCs w:val="20"/>
              </w:rPr>
              <w:t>.201</w:t>
            </w:r>
            <w:r>
              <w:rPr>
                <w:sz w:val="20"/>
                <w:szCs w:val="20"/>
              </w:rPr>
              <w:t>2</w:t>
            </w:r>
            <w:r w:rsidR="00414F7B" w:rsidRPr="00414F7B">
              <w:rPr>
                <w:sz w:val="20"/>
                <w:szCs w:val="20"/>
                <w:lang w:val="fr-CA"/>
              </w:rPr>
              <w:pict>
                <v:rect id="_x0000_i1030"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FF13E8">
          <w:headerReference w:type="default" r:id="rId17"/>
          <w:footerReference w:type="default" r:id="rId18"/>
          <w:headerReference w:type="first" r:id="rId19"/>
          <w:footerReference w:type="first" r:id="rId20"/>
          <w:pgSz w:w="12240" w:h="15840"/>
          <w:pgMar w:top="720" w:right="965" w:bottom="1080" w:left="1656" w:header="706" w:footer="706" w:gutter="0"/>
          <w:pgNumType w:start="753"/>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28361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4B7F60" w:rsidP="004B7F60">
      <w:pPr>
        <w:widowControl w:val="0"/>
        <w:rPr>
          <w:b/>
          <w:sz w:val="20"/>
          <w:szCs w:val="20"/>
        </w:rPr>
      </w:pPr>
      <w:r>
        <w:rPr>
          <w:b/>
          <w:sz w:val="20"/>
          <w:szCs w:val="20"/>
        </w:rPr>
        <w:t>M</w:t>
      </w:r>
      <w:r w:rsidR="006010BE">
        <w:rPr>
          <w:b/>
          <w:sz w:val="20"/>
          <w:szCs w:val="20"/>
        </w:rPr>
        <w:t>AY</w:t>
      </w:r>
      <w:r w:rsidRPr="00C50A5C">
        <w:rPr>
          <w:b/>
          <w:sz w:val="20"/>
          <w:szCs w:val="20"/>
        </w:rPr>
        <w:t xml:space="preserve"> </w:t>
      </w:r>
      <w:r w:rsidR="006010BE">
        <w:rPr>
          <w:b/>
          <w:sz w:val="20"/>
          <w:szCs w:val="20"/>
        </w:rPr>
        <w:t>14</w:t>
      </w:r>
      <w:r w:rsidRPr="00C50A5C">
        <w:rPr>
          <w:b/>
          <w:sz w:val="20"/>
          <w:szCs w:val="20"/>
        </w:rPr>
        <w:t>, 201</w:t>
      </w:r>
      <w:r w:rsidR="006010BE">
        <w:rPr>
          <w:b/>
          <w:sz w:val="20"/>
          <w:szCs w:val="20"/>
        </w:rPr>
        <w:t>2</w:t>
      </w:r>
      <w:r w:rsidRPr="00C50A5C">
        <w:rPr>
          <w:b/>
          <w:sz w:val="20"/>
          <w:szCs w:val="20"/>
        </w:rPr>
        <w:t xml:space="preserve"> / LE </w:t>
      </w:r>
      <w:r w:rsidR="006010BE">
        <w:rPr>
          <w:b/>
          <w:sz w:val="20"/>
          <w:szCs w:val="20"/>
        </w:rPr>
        <w:t>14</w:t>
      </w:r>
      <w:r>
        <w:rPr>
          <w:b/>
          <w:sz w:val="20"/>
          <w:szCs w:val="20"/>
        </w:rPr>
        <w:t xml:space="preserve"> M</w:t>
      </w:r>
      <w:r w:rsidR="006010BE">
        <w:rPr>
          <w:b/>
          <w:sz w:val="20"/>
          <w:szCs w:val="20"/>
        </w:rPr>
        <w:t>AI</w:t>
      </w:r>
      <w:r w:rsidRPr="00C50A5C">
        <w:rPr>
          <w:b/>
          <w:sz w:val="20"/>
          <w:szCs w:val="20"/>
        </w:rPr>
        <w:t xml:space="preserve"> 201</w:t>
      </w:r>
      <w:r w:rsidR="006010BE">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A54292" w:rsidP="004B7F60">
      <w:pPr>
        <w:pStyle w:val="ListParagraph"/>
        <w:widowControl w:val="0"/>
        <w:numPr>
          <w:ilvl w:val="0"/>
          <w:numId w:val="1"/>
        </w:numPr>
        <w:ind w:hanging="720"/>
        <w:jc w:val="both"/>
        <w:rPr>
          <w:sz w:val="20"/>
          <w:szCs w:val="20"/>
        </w:rPr>
      </w:pPr>
      <w:r w:rsidRPr="00A54292">
        <w:rPr>
          <w:i/>
          <w:sz w:val="20"/>
          <w:szCs w:val="20"/>
        </w:rPr>
        <w:t>William Shawn Davitt v. Minister of National Revenue</w:t>
      </w:r>
      <w:r w:rsidRPr="00A54292">
        <w:rPr>
          <w:sz w:val="20"/>
          <w:szCs w:val="20"/>
        </w:rPr>
        <w:t xml:space="preserve"> (F</w:t>
      </w:r>
      <w:r>
        <w:rPr>
          <w:sz w:val="20"/>
          <w:szCs w:val="20"/>
        </w:rPr>
        <w:t>.</w:t>
      </w:r>
      <w:r w:rsidRPr="00A54292">
        <w:rPr>
          <w:sz w:val="20"/>
          <w:szCs w:val="20"/>
        </w:rPr>
        <w:t>C</w:t>
      </w:r>
      <w:r>
        <w:rPr>
          <w:sz w:val="20"/>
          <w:szCs w:val="20"/>
        </w:rPr>
        <w:t>.</w:t>
      </w:r>
      <w:r w:rsidRPr="00A54292">
        <w:rPr>
          <w:sz w:val="20"/>
          <w:szCs w:val="20"/>
        </w:rPr>
        <w:t>) (Civil) (By Leave)</w:t>
      </w:r>
      <w:r w:rsidRPr="00C50A5C">
        <w:rPr>
          <w:sz w:val="20"/>
          <w:szCs w:val="20"/>
        </w:rPr>
        <w:t xml:space="preserve"> </w:t>
      </w:r>
      <w:r w:rsidR="004B7F60" w:rsidRPr="00C50A5C">
        <w:rPr>
          <w:sz w:val="20"/>
          <w:szCs w:val="20"/>
        </w:rPr>
        <w:t>(3</w:t>
      </w:r>
      <w:r w:rsidR="004B7F60">
        <w:rPr>
          <w:sz w:val="20"/>
          <w:szCs w:val="20"/>
        </w:rPr>
        <w:t>4</w:t>
      </w:r>
      <w:r>
        <w:rPr>
          <w:sz w:val="20"/>
          <w:szCs w:val="20"/>
        </w:rPr>
        <w:t>7</w:t>
      </w:r>
      <w:r w:rsidR="004B7F60">
        <w:rPr>
          <w:sz w:val="20"/>
          <w:szCs w:val="20"/>
        </w:rPr>
        <w:t>2</w:t>
      </w:r>
      <w:r>
        <w:rPr>
          <w:sz w:val="20"/>
          <w:szCs w:val="20"/>
        </w:rPr>
        <w:t>9</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890A27" w:rsidP="004B7F60">
      <w:pPr>
        <w:pStyle w:val="ListParagraph"/>
        <w:widowControl w:val="0"/>
        <w:numPr>
          <w:ilvl w:val="0"/>
          <w:numId w:val="1"/>
        </w:numPr>
        <w:ind w:hanging="720"/>
        <w:jc w:val="both"/>
        <w:rPr>
          <w:sz w:val="20"/>
          <w:szCs w:val="20"/>
        </w:rPr>
      </w:pPr>
      <w:r w:rsidRPr="00890A27">
        <w:rPr>
          <w:i/>
          <w:sz w:val="20"/>
          <w:szCs w:val="20"/>
        </w:rPr>
        <w:t>Regional Municipality of Halton et al. v. Patrizia Giuliani et al.</w:t>
      </w:r>
      <w:r w:rsidRPr="00A54292">
        <w:rPr>
          <w:sz w:val="20"/>
          <w:szCs w:val="20"/>
        </w:rPr>
        <w:t xml:space="preserve"> (Ont.) (Civil) (By Leave)</w:t>
      </w:r>
      <w:r w:rsidRPr="00C612D0">
        <w:rPr>
          <w:sz w:val="20"/>
          <w:szCs w:val="20"/>
        </w:rPr>
        <w:t xml:space="preserve"> </w:t>
      </w:r>
      <w:r w:rsidR="004B7F60" w:rsidRPr="00C612D0">
        <w:rPr>
          <w:sz w:val="20"/>
          <w:szCs w:val="20"/>
        </w:rPr>
        <w:t>(34</w:t>
      </w:r>
      <w:r>
        <w:rPr>
          <w:sz w:val="20"/>
          <w:szCs w:val="20"/>
        </w:rPr>
        <w:t>680</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890A27" w:rsidP="004B7F60">
      <w:pPr>
        <w:pStyle w:val="ListParagraph"/>
        <w:widowControl w:val="0"/>
        <w:numPr>
          <w:ilvl w:val="0"/>
          <w:numId w:val="1"/>
        </w:numPr>
        <w:ind w:hanging="720"/>
        <w:jc w:val="both"/>
        <w:rPr>
          <w:sz w:val="20"/>
          <w:szCs w:val="20"/>
        </w:rPr>
      </w:pPr>
      <w:r w:rsidRPr="00890A27">
        <w:rPr>
          <w:i/>
          <w:sz w:val="20"/>
          <w:szCs w:val="20"/>
        </w:rPr>
        <w:t>Robert Hryniak v. Fred Mauldin et al.</w:t>
      </w:r>
      <w:r w:rsidRPr="00A54292">
        <w:rPr>
          <w:sz w:val="20"/>
          <w:szCs w:val="20"/>
        </w:rPr>
        <w:t xml:space="preserve"> (Ont.) (Civil) (By Leave)</w:t>
      </w:r>
      <w:r w:rsidRPr="00940CAD">
        <w:rPr>
          <w:sz w:val="20"/>
          <w:szCs w:val="20"/>
        </w:rPr>
        <w:t xml:space="preserve"> </w:t>
      </w:r>
      <w:r w:rsidR="004B7F60" w:rsidRPr="00940CAD">
        <w:rPr>
          <w:sz w:val="20"/>
          <w:szCs w:val="20"/>
        </w:rPr>
        <w:t>(346</w:t>
      </w:r>
      <w:r>
        <w:rPr>
          <w:sz w:val="20"/>
          <w:szCs w:val="20"/>
        </w:rPr>
        <w:t>41</w:t>
      </w:r>
      <w:r w:rsidR="004B7F60" w:rsidRPr="00940CAD">
        <w:rPr>
          <w:sz w:val="20"/>
          <w:szCs w:val="20"/>
        </w:rPr>
        <w:t>)</w:t>
      </w:r>
    </w:p>
    <w:p w:rsidR="004B7F60" w:rsidRPr="00C50A5C" w:rsidRDefault="004B7F60" w:rsidP="004B7F60">
      <w:pPr>
        <w:widowControl w:val="0"/>
        <w:rPr>
          <w:sz w:val="20"/>
          <w:szCs w:val="20"/>
        </w:rPr>
      </w:pPr>
    </w:p>
    <w:p w:rsidR="004B7F60" w:rsidRPr="00C50A5C" w:rsidRDefault="00890A27" w:rsidP="004B7F60">
      <w:pPr>
        <w:pStyle w:val="ListParagraph"/>
        <w:widowControl w:val="0"/>
        <w:numPr>
          <w:ilvl w:val="0"/>
          <w:numId w:val="1"/>
        </w:numPr>
        <w:ind w:hanging="720"/>
        <w:jc w:val="both"/>
        <w:rPr>
          <w:sz w:val="20"/>
          <w:szCs w:val="20"/>
        </w:rPr>
      </w:pPr>
      <w:r w:rsidRPr="00890A27">
        <w:rPr>
          <w:i/>
          <w:sz w:val="20"/>
          <w:szCs w:val="20"/>
        </w:rPr>
        <w:t>Bruno Appliance and Furniture, Inc. v. Robert Hryniak</w:t>
      </w:r>
      <w:r w:rsidRPr="00A54292">
        <w:rPr>
          <w:sz w:val="20"/>
          <w:szCs w:val="20"/>
        </w:rPr>
        <w:t xml:space="preserve"> (Ont.) (Civil) (By Leave)</w:t>
      </w:r>
      <w:r w:rsidRPr="00C50A5C">
        <w:rPr>
          <w:sz w:val="20"/>
          <w:szCs w:val="20"/>
        </w:rPr>
        <w:t xml:space="preserve"> </w:t>
      </w:r>
      <w:r w:rsidR="004B7F60" w:rsidRPr="00C50A5C">
        <w:rPr>
          <w:sz w:val="20"/>
          <w:szCs w:val="20"/>
        </w:rPr>
        <w:t>(3</w:t>
      </w:r>
      <w:r w:rsidR="004B7F60">
        <w:rPr>
          <w:sz w:val="20"/>
          <w:szCs w:val="20"/>
        </w:rPr>
        <w:t>46</w:t>
      </w:r>
      <w:r>
        <w:rPr>
          <w:sz w:val="20"/>
          <w:szCs w:val="20"/>
        </w:rPr>
        <w:t>45</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4B7F60" w:rsidRPr="00C16CB3" w:rsidRDefault="004B7F60" w:rsidP="004B7F60">
      <w:pPr>
        <w:widowControl w:val="0"/>
        <w:jc w:val="both"/>
        <w:rPr>
          <w:sz w:val="20"/>
          <w:szCs w:val="20"/>
          <w:lang w:val="fr-CA"/>
        </w:rPr>
      </w:pPr>
    </w:p>
    <w:p w:rsidR="004B7F60" w:rsidRPr="00C612D0" w:rsidRDefault="00890A27" w:rsidP="004B7F60">
      <w:pPr>
        <w:pStyle w:val="ListParagraph"/>
        <w:widowControl w:val="0"/>
        <w:numPr>
          <w:ilvl w:val="0"/>
          <w:numId w:val="1"/>
        </w:numPr>
        <w:ind w:hanging="720"/>
        <w:jc w:val="both"/>
        <w:rPr>
          <w:sz w:val="20"/>
          <w:szCs w:val="20"/>
          <w:lang w:val="fr-CA"/>
        </w:rPr>
      </w:pPr>
      <w:r w:rsidRPr="00890A27">
        <w:rPr>
          <w:i/>
          <w:sz w:val="20"/>
          <w:szCs w:val="20"/>
          <w:lang w:val="fr-CA"/>
        </w:rPr>
        <w:t>Munger Pontiac Buick Inc. c. Syndicat démocratique des employés de garage Saguenay-Lac-Saint-Jean (Csd)</w:t>
      </w:r>
      <w:r w:rsidRPr="00A54292">
        <w:rPr>
          <w:sz w:val="20"/>
          <w:szCs w:val="20"/>
          <w:lang w:val="fr-CA"/>
        </w:rPr>
        <w:t xml:space="preserve"> (Qc) (Civile) (Autorisation)</w:t>
      </w:r>
      <w:r w:rsidRPr="00C612D0">
        <w:rPr>
          <w:sz w:val="20"/>
          <w:szCs w:val="20"/>
          <w:lang w:val="fr-CA"/>
        </w:rPr>
        <w:t xml:space="preserve"> </w:t>
      </w:r>
      <w:r w:rsidR="004B7F60" w:rsidRPr="00C612D0">
        <w:rPr>
          <w:sz w:val="20"/>
          <w:szCs w:val="20"/>
          <w:lang w:val="fr-CA"/>
        </w:rPr>
        <w:t>(34</w:t>
      </w:r>
      <w:r>
        <w:rPr>
          <w:sz w:val="20"/>
          <w:szCs w:val="20"/>
          <w:lang w:val="fr-CA"/>
        </w:rPr>
        <w:t>707</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890A27" w:rsidRDefault="00890A27" w:rsidP="004B7F60">
      <w:pPr>
        <w:pStyle w:val="ListParagraph"/>
        <w:widowControl w:val="0"/>
        <w:numPr>
          <w:ilvl w:val="0"/>
          <w:numId w:val="1"/>
        </w:numPr>
        <w:ind w:hanging="720"/>
        <w:jc w:val="both"/>
        <w:rPr>
          <w:sz w:val="20"/>
          <w:szCs w:val="20"/>
        </w:rPr>
      </w:pPr>
      <w:r w:rsidRPr="00890A27">
        <w:rPr>
          <w:i/>
          <w:sz w:val="20"/>
          <w:szCs w:val="20"/>
        </w:rPr>
        <w:t>Darwin Frederick Makarchuk v. Joan Bernice Makarchuk</w:t>
      </w:r>
      <w:r w:rsidRPr="00A54292">
        <w:rPr>
          <w:sz w:val="20"/>
          <w:szCs w:val="20"/>
        </w:rPr>
        <w:t xml:space="preserve"> (Ont.) (Civil) (By Leave)</w:t>
      </w:r>
      <w:r w:rsidRPr="00890A27">
        <w:rPr>
          <w:sz w:val="20"/>
          <w:szCs w:val="20"/>
        </w:rPr>
        <w:t xml:space="preserve"> </w:t>
      </w:r>
      <w:r w:rsidR="004B7F60" w:rsidRPr="00890A27">
        <w:rPr>
          <w:sz w:val="20"/>
          <w:szCs w:val="20"/>
        </w:rPr>
        <w:t>(34</w:t>
      </w:r>
      <w:r w:rsidRPr="00890A27">
        <w:rPr>
          <w:sz w:val="20"/>
          <w:szCs w:val="20"/>
        </w:rPr>
        <w:t>727</w:t>
      </w:r>
      <w:r w:rsidR="004B7F60" w:rsidRPr="00890A27">
        <w:rPr>
          <w:sz w:val="20"/>
          <w:szCs w:val="20"/>
        </w:rPr>
        <w:t>)</w:t>
      </w:r>
    </w:p>
    <w:p w:rsidR="004B7F60" w:rsidRPr="00890A27" w:rsidRDefault="004B7F60" w:rsidP="004B7F60">
      <w:pPr>
        <w:widowControl w:val="0"/>
        <w:jc w:val="both"/>
        <w:rPr>
          <w:sz w:val="20"/>
          <w:szCs w:val="20"/>
        </w:rPr>
      </w:pPr>
    </w:p>
    <w:p w:rsidR="004B7F60" w:rsidRPr="00115C9E" w:rsidRDefault="00890A27" w:rsidP="004B7F60">
      <w:pPr>
        <w:pStyle w:val="ListParagraph"/>
        <w:widowControl w:val="0"/>
        <w:numPr>
          <w:ilvl w:val="0"/>
          <w:numId w:val="1"/>
        </w:numPr>
        <w:ind w:hanging="720"/>
        <w:jc w:val="both"/>
        <w:rPr>
          <w:sz w:val="20"/>
          <w:szCs w:val="20"/>
          <w:lang w:val="fr-CA"/>
        </w:rPr>
      </w:pPr>
      <w:r w:rsidRPr="00890A27">
        <w:rPr>
          <w:i/>
          <w:sz w:val="20"/>
          <w:szCs w:val="20"/>
          <w:lang w:val="fr-CA"/>
        </w:rPr>
        <w:t>Madeleine Grandchamp c. Transamerica Vie Canada</w:t>
      </w:r>
      <w:r w:rsidRPr="00A54292">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(34</w:t>
      </w:r>
      <w:r>
        <w:rPr>
          <w:sz w:val="20"/>
          <w:szCs w:val="20"/>
          <w:lang w:val="fr-CA"/>
        </w:rPr>
        <w:t>674</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50A5C" w:rsidRDefault="00890A27" w:rsidP="004B7F60">
      <w:pPr>
        <w:pStyle w:val="ListParagraph"/>
        <w:widowControl w:val="0"/>
        <w:numPr>
          <w:ilvl w:val="0"/>
          <w:numId w:val="1"/>
        </w:numPr>
        <w:ind w:hanging="720"/>
        <w:jc w:val="both"/>
        <w:rPr>
          <w:sz w:val="20"/>
          <w:szCs w:val="20"/>
          <w:lang w:val="fr-CA"/>
        </w:rPr>
      </w:pPr>
      <w:r w:rsidRPr="00890A27">
        <w:rPr>
          <w:i/>
          <w:sz w:val="20"/>
          <w:szCs w:val="20"/>
          <w:lang w:val="fr-CA"/>
        </w:rPr>
        <w:t>Association démocratique des ressources à l'enfance du Québec (CSD) - Mauricie-Centre-du-Québec et autre c. Union des employées et employés de service, section locale 800 et autre</w:t>
      </w:r>
      <w:r w:rsidRPr="00A54292">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sidR="004B7F60">
        <w:rPr>
          <w:sz w:val="20"/>
          <w:szCs w:val="20"/>
          <w:lang w:val="fr-CA"/>
        </w:rPr>
        <w:t>4</w:t>
      </w:r>
      <w:r>
        <w:rPr>
          <w:sz w:val="20"/>
          <w:szCs w:val="20"/>
          <w:lang w:val="fr-CA"/>
        </w:rPr>
        <w:t>667</w:t>
      </w:r>
      <w:r w:rsidR="004B7F60" w:rsidRPr="00C50A5C">
        <w:rPr>
          <w:sz w:val="20"/>
          <w:szCs w:val="20"/>
          <w:lang w:val="fr-CA"/>
        </w:rPr>
        <w:t>)</w:t>
      </w:r>
    </w:p>
    <w:p w:rsidR="004B7F60" w:rsidRDefault="004B7F60" w:rsidP="004B7F60">
      <w:pPr>
        <w:widowControl w:val="0"/>
        <w:rPr>
          <w:sz w:val="20"/>
          <w:szCs w:val="20"/>
          <w:lang w:val="fr-CA"/>
        </w:rPr>
      </w:pPr>
    </w:p>
    <w:p w:rsidR="004B7F60" w:rsidRDefault="004B7F60" w:rsidP="004B7F60">
      <w:pPr>
        <w:widowControl w:val="0"/>
        <w:rPr>
          <w:sz w:val="20"/>
          <w:szCs w:val="20"/>
          <w:lang w:val="fr-CA"/>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4B7F60" w:rsidRPr="00C50A5C" w:rsidRDefault="004B7F60" w:rsidP="004B7F60">
      <w:pPr>
        <w:widowControl w:val="0"/>
        <w:rPr>
          <w:sz w:val="20"/>
          <w:szCs w:val="20"/>
          <w:lang w:val="fr-CA"/>
        </w:rPr>
      </w:pPr>
    </w:p>
    <w:p w:rsidR="004B7F60" w:rsidRPr="00890A27" w:rsidRDefault="00890A27" w:rsidP="004B7F60">
      <w:pPr>
        <w:pStyle w:val="ListParagraph"/>
        <w:widowControl w:val="0"/>
        <w:numPr>
          <w:ilvl w:val="0"/>
          <w:numId w:val="1"/>
        </w:numPr>
        <w:ind w:hanging="720"/>
        <w:jc w:val="both"/>
        <w:rPr>
          <w:sz w:val="20"/>
          <w:szCs w:val="20"/>
        </w:rPr>
      </w:pPr>
      <w:r w:rsidRPr="00890A27">
        <w:rPr>
          <w:i/>
          <w:sz w:val="20"/>
          <w:szCs w:val="20"/>
        </w:rPr>
        <w:t>Crane Canada Inc. v. Economical Insurance Company</w:t>
      </w:r>
      <w:r w:rsidRPr="00A54292">
        <w:rPr>
          <w:sz w:val="20"/>
          <w:szCs w:val="20"/>
        </w:rPr>
        <w:t xml:space="preserve"> (Que.) (Civil) (By Leave)</w:t>
      </w:r>
      <w:r w:rsidRPr="00890A27">
        <w:rPr>
          <w:sz w:val="20"/>
          <w:szCs w:val="20"/>
        </w:rPr>
        <w:t xml:space="preserve"> </w:t>
      </w:r>
      <w:r w:rsidR="004B7F60" w:rsidRPr="00890A27">
        <w:rPr>
          <w:sz w:val="20"/>
          <w:szCs w:val="20"/>
        </w:rPr>
        <w:t>(34</w:t>
      </w:r>
      <w:r w:rsidRPr="00890A27">
        <w:rPr>
          <w:sz w:val="20"/>
          <w:szCs w:val="20"/>
        </w:rPr>
        <w:t>665</w:t>
      </w:r>
      <w:r w:rsidR="004B7F60" w:rsidRPr="00890A27">
        <w:rPr>
          <w:sz w:val="20"/>
          <w:szCs w:val="20"/>
        </w:rPr>
        <w:t>)</w:t>
      </w:r>
    </w:p>
    <w:p w:rsidR="004B7F60" w:rsidRPr="00890A27" w:rsidRDefault="004B7F60" w:rsidP="004B7F60">
      <w:pPr>
        <w:widowControl w:val="0"/>
        <w:jc w:val="both"/>
        <w:rPr>
          <w:sz w:val="20"/>
          <w:szCs w:val="20"/>
        </w:rPr>
      </w:pPr>
    </w:p>
    <w:p w:rsidR="004B7F60" w:rsidRPr="00115C9E" w:rsidRDefault="00890A27" w:rsidP="004B7F60">
      <w:pPr>
        <w:pStyle w:val="ListParagraph"/>
        <w:widowControl w:val="0"/>
        <w:numPr>
          <w:ilvl w:val="0"/>
          <w:numId w:val="1"/>
        </w:numPr>
        <w:ind w:hanging="720"/>
        <w:jc w:val="both"/>
        <w:rPr>
          <w:sz w:val="20"/>
          <w:szCs w:val="20"/>
        </w:rPr>
      </w:pPr>
      <w:r w:rsidRPr="00890A27">
        <w:rPr>
          <w:i/>
          <w:sz w:val="20"/>
          <w:szCs w:val="20"/>
        </w:rPr>
        <w:t>Rakel Elbilia v. National Automobile, Aerospace, Transportation and General Workers Union of Canada (CAW Canada), Local 2002 et al.</w:t>
      </w:r>
      <w:r w:rsidRPr="00A54292">
        <w:rPr>
          <w:sz w:val="20"/>
          <w:szCs w:val="20"/>
        </w:rPr>
        <w:t xml:space="preserve"> (F</w:t>
      </w:r>
      <w:r>
        <w:rPr>
          <w:sz w:val="20"/>
          <w:szCs w:val="20"/>
        </w:rPr>
        <w:t>.</w:t>
      </w:r>
      <w:r w:rsidRPr="00A54292">
        <w:rPr>
          <w:sz w:val="20"/>
          <w:szCs w:val="20"/>
        </w:rPr>
        <w:t>C</w:t>
      </w:r>
      <w:r>
        <w:rPr>
          <w:sz w:val="20"/>
          <w:szCs w:val="20"/>
        </w:rPr>
        <w:t>.</w:t>
      </w:r>
      <w:r w:rsidRPr="00A54292">
        <w:rPr>
          <w:sz w:val="20"/>
          <w:szCs w:val="20"/>
        </w:rPr>
        <w:t>) (Civil) (By Leave)</w:t>
      </w:r>
      <w:r w:rsidRPr="00115C9E">
        <w:rPr>
          <w:sz w:val="20"/>
          <w:szCs w:val="20"/>
        </w:rPr>
        <w:t xml:space="preserve"> </w:t>
      </w:r>
      <w:r w:rsidR="004B7F60" w:rsidRPr="00115C9E">
        <w:rPr>
          <w:sz w:val="20"/>
          <w:szCs w:val="20"/>
        </w:rPr>
        <w:t>(34</w:t>
      </w:r>
      <w:r>
        <w:rPr>
          <w:sz w:val="20"/>
          <w:szCs w:val="20"/>
        </w:rPr>
        <w:t>683</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890A27" w:rsidP="004B7F60">
      <w:pPr>
        <w:pStyle w:val="ListParagraph"/>
        <w:widowControl w:val="0"/>
        <w:numPr>
          <w:ilvl w:val="0"/>
          <w:numId w:val="1"/>
        </w:numPr>
        <w:ind w:hanging="720"/>
        <w:jc w:val="both"/>
        <w:rPr>
          <w:sz w:val="20"/>
          <w:szCs w:val="20"/>
        </w:rPr>
      </w:pPr>
      <w:r w:rsidRPr="00890A27">
        <w:rPr>
          <w:i/>
          <w:sz w:val="20"/>
          <w:szCs w:val="20"/>
        </w:rPr>
        <w:t>Hugh Doig v. Her Majesty the Queen in Right of Canada (Minister of National Revenue)</w:t>
      </w:r>
      <w:r w:rsidRPr="00A54292">
        <w:rPr>
          <w:sz w:val="20"/>
          <w:szCs w:val="20"/>
        </w:rPr>
        <w:t xml:space="preserve"> (F</w:t>
      </w:r>
      <w:r>
        <w:rPr>
          <w:sz w:val="20"/>
          <w:szCs w:val="20"/>
        </w:rPr>
        <w:t>.</w:t>
      </w:r>
      <w:r w:rsidRPr="00A54292">
        <w:rPr>
          <w:sz w:val="20"/>
          <w:szCs w:val="20"/>
        </w:rPr>
        <w:t>C</w:t>
      </w:r>
      <w:r>
        <w:rPr>
          <w:sz w:val="20"/>
          <w:szCs w:val="20"/>
        </w:rPr>
        <w:t>.</w:t>
      </w:r>
      <w:r w:rsidRPr="00A54292">
        <w:rPr>
          <w:sz w:val="20"/>
          <w:szCs w:val="20"/>
        </w:rPr>
        <w:t>) (Civil) (By</w:t>
      </w:r>
      <w:r>
        <w:rPr>
          <w:sz w:val="20"/>
          <w:szCs w:val="20"/>
        </w:rPr>
        <w:t> </w:t>
      </w:r>
      <w:r w:rsidRPr="00A54292">
        <w:rPr>
          <w:sz w:val="20"/>
          <w:szCs w:val="20"/>
        </w:rPr>
        <w:t>Leave)</w:t>
      </w:r>
      <w:r>
        <w:rPr>
          <w:sz w:val="20"/>
          <w:szCs w:val="20"/>
        </w:rPr>
        <w:t xml:space="preserve"> </w:t>
      </w:r>
      <w:r w:rsidR="004B7F60" w:rsidRPr="00115C9E">
        <w:rPr>
          <w:sz w:val="20"/>
          <w:szCs w:val="20"/>
        </w:rPr>
        <w:t>(347</w:t>
      </w:r>
      <w:r>
        <w:rPr>
          <w:sz w:val="20"/>
          <w:szCs w:val="20"/>
        </w:rPr>
        <w:t>26</w:t>
      </w:r>
      <w:r w:rsidR="004B7F60" w:rsidRPr="00115C9E">
        <w:rPr>
          <w:sz w:val="20"/>
          <w:szCs w:val="20"/>
        </w:rPr>
        <w:t>)</w:t>
      </w:r>
    </w:p>
    <w:p w:rsidR="004B7F60" w:rsidRPr="00115C9E" w:rsidRDefault="004B7F60" w:rsidP="004B7F60">
      <w:pPr>
        <w:widowControl w:val="0"/>
        <w:jc w:val="both"/>
        <w:rPr>
          <w:sz w:val="20"/>
          <w:szCs w:val="20"/>
        </w:rPr>
      </w:pPr>
    </w:p>
    <w:p w:rsidR="004B7F60" w:rsidRDefault="00890A27" w:rsidP="004B7F60">
      <w:pPr>
        <w:pStyle w:val="ListParagraph"/>
        <w:widowControl w:val="0"/>
        <w:numPr>
          <w:ilvl w:val="0"/>
          <w:numId w:val="1"/>
        </w:numPr>
        <w:ind w:hanging="720"/>
        <w:jc w:val="both"/>
        <w:rPr>
          <w:sz w:val="20"/>
          <w:szCs w:val="20"/>
        </w:rPr>
      </w:pPr>
      <w:r w:rsidRPr="00890A27">
        <w:rPr>
          <w:i/>
          <w:sz w:val="20"/>
          <w:szCs w:val="20"/>
        </w:rPr>
        <w:t>Commissionaires Nova Scotia v. David Crouse</w:t>
      </w:r>
      <w:r w:rsidRPr="00890A27">
        <w:rPr>
          <w:sz w:val="20"/>
          <w:szCs w:val="20"/>
        </w:rPr>
        <w:t xml:space="preserve"> (F.C.) </w:t>
      </w:r>
      <w:r w:rsidRPr="00A54292">
        <w:rPr>
          <w:sz w:val="20"/>
          <w:szCs w:val="20"/>
        </w:rPr>
        <w:t>(Civil) (By Leave)</w:t>
      </w:r>
      <w:r w:rsidRPr="00C50A5C">
        <w:rPr>
          <w:sz w:val="20"/>
          <w:szCs w:val="20"/>
        </w:rPr>
        <w:t xml:space="preserve"> </w:t>
      </w:r>
      <w:r w:rsidR="004B7F60" w:rsidRPr="00C50A5C">
        <w:rPr>
          <w:sz w:val="20"/>
          <w:szCs w:val="20"/>
        </w:rPr>
        <w:t>(3</w:t>
      </w:r>
      <w:r w:rsidR="004B7F60">
        <w:rPr>
          <w:sz w:val="20"/>
          <w:szCs w:val="20"/>
        </w:rPr>
        <w:t>4</w:t>
      </w:r>
      <w:r>
        <w:rPr>
          <w:sz w:val="20"/>
          <w:szCs w:val="20"/>
        </w:rPr>
        <w:t>711</w:t>
      </w:r>
      <w:r w:rsidR="004B7F60" w:rsidRPr="00C50A5C">
        <w:rPr>
          <w:sz w:val="20"/>
          <w:szCs w:val="20"/>
        </w:rPr>
        <w:t>)</w:t>
      </w:r>
    </w:p>
    <w:p w:rsidR="004B7F60" w:rsidRDefault="004B7F60" w:rsidP="004B7F60">
      <w:pPr>
        <w:widowControl w:val="0"/>
        <w:rPr>
          <w:sz w:val="20"/>
          <w:szCs w:val="20"/>
        </w:rPr>
      </w:pPr>
    </w:p>
    <w:p w:rsidR="002E2327" w:rsidRPr="00C50A5C" w:rsidRDefault="00414F7B" w:rsidP="002E2327">
      <w:pPr>
        <w:widowControl w:val="0"/>
        <w:rPr>
          <w:sz w:val="20"/>
          <w:szCs w:val="20"/>
        </w:rPr>
      </w:pPr>
      <w:r w:rsidRPr="00414F7B">
        <w:rPr>
          <w:sz w:val="20"/>
          <w:szCs w:val="20"/>
        </w:rPr>
        <w:pict>
          <v:rect id="_x0000_i1033"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44776A" w:rsidRPr="001D0D5F" w:rsidTr="00BA6468">
        <w:tc>
          <w:tcPr>
            <w:tcW w:w="4200" w:type="dxa"/>
            <w:shd w:val="clear" w:color="auto" w:fill="auto"/>
            <w:tcMar>
              <w:left w:w="0" w:type="dxa"/>
              <w:right w:w="0" w:type="dxa"/>
            </w:tcMar>
          </w:tcPr>
          <w:p w:rsidR="0044776A" w:rsidRPr="001D0D5F" w:rsidRDefault="0044776A" w:rsidP="0044776A">
            <w:pPr>
              <w:keepNext/>
              <w:keepLines/>
              <w:jc w:val="both"/>
              <w:rPr>
                <w:b/>
                <w:szCs w:val="24"/>
              </w:rPr>
            </w:pPr>
            <w:bookmarkStart w:id="0" w:name="QuickMark_1"/>
            <w:bookmarkEnd w:id="0"/>
            <w:r w:rsidRPr="001D0D5F">
              <w:rPr>
                <w:b/>
                <w:szCs w:val="24"/>
              </w:rPr>
              <w:lastRenderedPageBreak/>
              <w:t>ORAL HEARING ORDERED</w:t>
            </w:r>
          </w:p>
        </w:tc>
        <w:tc>
          <w:tcPr>
            <w:tcW w:w="1200" w:type="dxa"/>
            <w:shd w:val="clear" w:color="auto" w:fill="auto"/>
            <w:tcMar>
              <w:left w:w="0" w:type="dxa"/>
              <w:right w:w="0" w:type="dxa"/>
            </w:tcMar>
          </w:tcPr>
          <w:p w:rsidR="0044776A" w:rsidRPr="001D0D5F" w:rsidRDefault="0044776A" w:rsidP="0044776A">
            <w:pPr>
              <w:keepNext/>
              <w:keepLines/>
              <w:jc w:val="center"/>
              <w:rPr>
                <w:b/>
                <w:szCs w:val="24"/>
              </w:rPr>
            </w:pPr>
          </w:p>
          <w:p w:rsidR="0044776A" w:rsidRPr="001D0D5F" w:rsidRDefault="0044776A" w:rsidP="0044776A">
            <w:pPr>
              <w:keepNext/>
              <w:keepLines/>
              <w:jc w:val="center"/>
              <w:rPr>
                <w:b/>
                <w:szCs w:val="24"/>
              </w:rPr>
            </w:pPr>
          </w:p>
        </w:tc>
        <w:tc>
          <w:tcPr>
            <w:tcW w:w="4230" w:type="dxa"/>
            <w:shd w:val="clear" w:color="auto" w:fill="auto"/>
            <w:tcMar>
              <w:left w:w="0" w:type="dxa"/>
              <w:right w:w="0" w:type="dxa"/>
            </w:tcMar>
          </w:tcPr>
          <w:p w:rsidR="0044776A" w:rsidRPr="00A54292" w:rsidRDefault="0044776A" w:rsidP="0044776A">
            <w:pPr>
              <w:keepLines/>
              <w:rPr>
                <w:szCs w:val="24"/>
              </w:rPr>
            </w:pPr>
            <w:r w:rsidRPr="00A54292">
              <w:rPr>
                <w:b/>
                <w:szCs w:val="24"/>
              </w:rPr>
              <w:t>AUDIENCE ORDONNÉE</w:t>
            </w:r>
            <w:r w:rsidRPr="00A54292">
              <w:rPr>
                <w:szCs w:val="24"/>
              </w:rPr>
              <w:t xml:space="preserve"> </w:t>
            </w:r>
          </w:p>
        </w:tc>
      </w:tr>
    </w:tbl>
    <w:p w:rsidR="00A935AA" w:rsidRDefault="00A935AA" w:rsidP="0044776A">
      <w:pPr>
        <w:rPr>
          <w:b/>
          <w:sz w:val="20"/>
          <w:szCs w:val="20"/>
        </w:rPr>
      </w:pPr>
    </w:p>
    <w:p w:rsidR="001B157C" w:rsidRPr="005F2D90" w:rsidRDefault="001B157C" w:rsidP="001B157C">
      <w:pPr>
        <w:rPr>
          <w:b/>
          <w:sz w:val="20"/>
          <w:szCs w:val="20"/>
          <w:lang w:val="fr-CA"/>
        </w:rPr>
      </w:pPr>
      <w:r w:rsidRPr="005F2D90">
        <w:rPr>
          <w:b/>
          <w:sz w:val="20"/>
          <w:szCs w:val="20"/>
          <w:lang w:val="fr-CA"/>
        </w:rPr>
        <w:t>M</w:t>
      </w:r>
      <w:r w:rsidR="00B73CE8">
        <w:rPr>
          <w:b/>
          <w:sz w:val="20"/>
          <w:szCs w:val="20"/>
          <w:lang w:val="fr-CA"/>
        </w:rPr>
        <w:t>AY 17</w:t>
      </w:r>
      <w:r w:rsidRPr="005F2D90">
        <w:rPr>
          <w:b/>
          <w:sz w:val="20"/>
          <w:szCs w:val="20"/>
          <w:lang w:val="fr-CA"/>
        </w:rPr>
        <w:t>, 201</w:t>
      </w:r>
      <w:r w:rsidR="00B73CE8">
        <w:rPr>
          <w:b/>
          <w:sz w:val="20"/>
          <w:szCs w:val="20"/>
          <w:lang w:val="fr-CA"/>
        </w:rPr>
        <w:t>2</w:t>
      </w:r>
      <w:r w:rsidRPr="005F2D90">
        <w:rPr>
          <w:b/>
          <w:sz w:val="20"/>
          <w:szCs w:val="20"/>
          <w:lang w:val="fr-CA"/>
        </w:rPr>
        <w:t xml:space="preserve"> / LE </w:t>
      </w:r>
      <w:r w:rsidR="00B73CE8">
        <w:rPr>
          <w:b/>
          <w:sz w:val="20"/>
          <w:szCs w:val="20"/>
          <w:lang w:val="fr-CA"/>
        </w:rPr>
        <w:t>17</w:t>
      </w:r>
      <w:r w:rsidRPr="005F2D90">
        <w:rPr>
          <w:b/>
          <w:sz w:val="20"/>
          <w:szCs w:val="20"/>
          <w:lang w:val="fr-CA"/>
        </w:rPr>
        <w:t xml:space="preserve"> </w:t>
      </w:r>
      <w:r w:rsidR="00B73CE8">
        <w:rPr>
          <w:b/>
          <w:sz w:val="20"/>
          <w:szCs w:val="20"/>
          <w:lang w:val="fr-CA"/>
        </w:rPr>
        <w:t>MAI</w:t>
      </w:r>
      <w:r>
        <w:rPr>
          <w:b/>
          <w:sz w:val="20"/>
          <w:szCs w:val="20"/>
          <w:lang w:val="fr-CA"/>
        </w:rPr>
        <w:t xml:space="preserve"> 201</w:t>
      </w:r>
      <w:r w:rsidR="00B73CE8">
        <w:rPr>
          <w:b/>
          <w:sz w:val="20"/>
          <w:szCs w:val="20"/>
          <w:lang w:val="fr-CA"/>
        </w:rPr>
        <w:t>2</w:t>
      </w:r>
    </w:p>
    <w:p w:rsidR="001B157C" w:rsidRPr="005F2D90" w:rsidRDefault="001B157C" w:rsidP="001B157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B157C" w:rsidRPr="00DD16F6" w:rsidTr="002A4AFA">
        <w:trPr>
          <w:cantSplit/>
        </w:trPr>
        <w:tc>
          <w:tcPr>
            <w:tcW w:w="1458" w:type="dxa"/>
          </w:tcPr>
          <w:p w:rsidR="001B157C" w:rsidRPr="00DD16F6" w:rsidRDefault="001B157C" w:rsidP="002A4AFA">
            <w:pPr>
              <w:rPr>
                <w:rFonts w:cs="Times New Roman"/>
                <w:sz w:val="20"/>
                <w:szCs w:val="20"/>
              </w:rPr>
            </w:pPr>
            <w:r>
              <w:rPr>
                <w:rStyle w:val="SCCFileNumberChar"/>
                <w:sz w:val="20"/>
                <w:szCs w:val="20"/>
              </w:rPr>
              <w:t>34</w:t>
            </w:r>
            <w:r w:rsidR="00B73CE8">
              <w:rPr>
                <w:rStyle w:val="SCCFileNumberChar"/>
                <w:sz w:val="20"/>
                <w:szCs w:val="20"/>
              </w:rPr>
              <w:t>687</w:t>
            </w:r>
          </w:p>
          <w:p w:rsidR="001B157C" w:rsidRPr="00DD16F6" w:rsidRDefault="001B157C" w:rsidP="002A4AFA">
            <w:pPr>
              <w:rPr>
                <w:rFonts w:cs="Times New Roman"/>
                <w:b/>
                <w:sz w:val="20"/>
                <w:szCs w:val="20"/>
                <w:lang w:val="fr-CA"/>
              </w:rPr>
            </w:pPr>
          </w:p>
        </w:tc>
        <w:tc>
          <w:tcPr>
            <w:tcW w:w="8118" w:type="dxa"/>
          </w:tcPr>
          <w:p w:rsidR="001B157C" w:rsidRPr="00B73CE8" w:rsidRDefault="00B73CE8" w:rsidP="00B73CE8">
            <w:pPr>
              <w:pStyle w:val="SCCLsocParty"/>
              <w:jc w:val="both"/>
              <w:rPr>
                <w:rStyle w:val="SCCLsocChar"/>
                <w:sz w:val="20"/>
                <w:szCs w:val="20"/>
                <w:lang w:val="en-CA"/>
              </w:rPr>
            </w:pPr>
            <w:r w:rsidRPr="00B73CE8">
              <w:rPr>
                <w:b/>
                <w:sz w:val="20"/>
                <w:szCs w:val="20"/>
                <w:u w:val="single"/>
                <w:lang w:val="en-CA"/>
              </w:rPr>
              <w:t xml:space="preserve">Thanh Long Vu v. Her Majesty the Queen </w:t>
            </w:r>
            <w:r w:rsidR="001B157C" w:rsidRPr="00B73CE8">
              <w:rPr>
                <w:sz w:val="20"/>
                <w:lang w:val="en-CA"/>
              </w:rPr>
              <w:t>(</w:t>
            </w:r>
            <w:r w:rsidRPr="00B73CE8">
              <w:rPr>
                <w:sz w:val="20"/>
                <w:lang w:val="en-CA"/>
              </w:rPr>
              <w:t>B.C</w:t>
            </w:r>
            <w:r w:rsidR="001B157C" w:rsidRPr="00B73CE8">
              <w:rPr>
                <w:sz w:val="20"/>
                <w:lang w:val="en-CA"/>
              </w:rPr>
              <w:t xml:space="preserve">.) </w:t>
            </w:r>
            <w:r w:rsidR="001B157C" w:rsidRPr="00EA4785">
              <w:rPr>
                <w:sz w:val="20"/>
              </w:rPr>
              <w:t>(Criminal) (By Leave)</w:t>
            </w:r>
          </w:p>
          <w:p w:rsidR="001B157C" w:rsidRPr="00DD16F6" w:rsidRDefault="001B157C" w:rsidP="002A4AFA">
            <w:pPr>
              <w:rPr>
                <w:rFonts w:cs="Times New Roman"/>
                <w:sz w:val="20"/>
                <w:szCs w:val="20"/>
              </w:rPr>
            </w:pPr>
          </w:p>
        </w:tc>
      </w:tr>
      <w:tr w:rsidR="001B157C" w:rsidRPr="00DD16F6" w:rsidTr="002A4AFA">
        <w:trPr>
          <w:cantSplit/>
        </w:trPr>
        <w:tc>
          <w:tcPr>
            <w:tcW w:w="1458" w:type="dxa"/>
          </w:tcPr>
          <w:p w:rsidR="001B157C" w:rsidRPr="00DD16F6" w:rsidRDefault="001B157C" w:rsidP="002A4AFA">
            <w:pPr>
              <w:rPr>
                <w:rFonts w:cs="Times New Roman"/>
                <w:sz w:val="20"/>
                <w:szCs w:val="20"/>
              </w:rPr>
            </w:pPr>
            <w:r w:rsidRPr="00DD16F6">
              <w:rPr>
                <w:rFonts w:cs="Times New Roman"/>
                <w:sz w:val="20"/>
                <w:szCs w:val="20"/>
              </w:rPr>
              <w:t>Coram :</w:t>
            </w:r>
          </w:p>
        </w:tc>
        <w:tc>
          <w:tcPr>
            <w:tcW w:w="8118" w:type="dxa"/>
          </w:tcPr>
          <w:p w:rsidR="001B157C" w:rsidRPr="00DD16F6" w:rsidRDefault="001B157C" w:rsidP="002A4AFA">
            <w:pPr>
              <w:rPr>
                <w:rFonts w:cs="Times New Roman"/>
                <w:sz w:val="20"/>
                <w:szCs w:val="20"/>
              </w:rPr>
            </w:pPr>
            <w:r w:rsidRPr="001B157C">
              <w:rPr>
                <w:rStyle w:val="SCCCoramChar"/>
                <w:rFonts w:cs="Times New Roman"/>
                <w:sz w:val="20"/>
                <w:szCs w:val="20"/>
                <w:lang w:val="en-CA"/>
              </w:rPr>
              <w:t>L</w:t>
            </w:r>
            <w:r w:rsidR="00B73CE8">
              <w:rPr>
                <w:rStyle w:val="SCCCoramChar"/>
                <w:rFonts w:cs="Times New Roman"/>
                <w:sz w:val="20"/>
                <w:szCs w:val="20"/>
                <w:lang w:val="en-CA"/>
              </w:rPr>
              <w:t xml:space="preserve">eBel, Abella </w:t>
            </w:r>
            <w:r w:rsidRPr="001B157C">
              <w:rPr>
                <w:rStyle w:val="SCCCoramChar"/>
                <w:rFonts w:cs="Times New Roman"/>
                <w:sz w:val="20"/>
                <w:szCs w:val="20"/>
                <w:lang w:val="en-CA"/>
              </w:rPr>
              <w:t xml:space="preserve">and </w:t>
            </w:r>
            <w:r w:rsidR="00B73CE8">
              <w:rPr>
                <w:rStyle w:val="SCCCoramChar"/>
                <w:rFonts w:cs="Times New Roman"/>
                <w:sz w:val="20"/>
                <w:szCs w:val="20"/>
                <w:lang w:val="en-CA"/>
              </w:rPr>
              <w:t>Cromw</w:t>
            </w:r>
            <w:r w:rsidRPr="001B157C">
              <w:rPr>
                <w:rStyle w:val="SCCCoramChar"/>
                <w:rFonts w:cs="Times New Roman"/>
                <w:sz w:val="20"/>
                <w:szCs w:val="20"/>
                <w:lang w:val="en-CA"/>
              </w:rPr>
              <w:t>e</w:t>
            </w:r>
            <w:r w:rsidR="00B73CE8">
              <w:rPr>
                <w:rStyle w:val="SCCCoramChar"/>
                <w:rFonts w:cs="Times New Roman"/>
                <w:sz w:val="20"/>
                <w:szCs w:val="20"/>
                <w:lang w:val="en-CA"/>
              </w:rPr>
              <w:t>ll</w:t>
            </w:r>
            <w:r w:rsidRPr="001B157C">
              <w:rPr>
                <w:rStyle w:val="SCCCoramChar"/>
                <w:rFonts w:cs="Times New Roman"/>
                <w:sz w:val="20"/>
                <w:szCs w:val="20"/>
                <w:lang w:val="en-CA"/>
              </w:rPr>
              <w:t> JJ.</w:t>
            </w:r>
          </w:p>
          <w:p w:rsidR="001B157C" w:rsidRPr="00DD16F6" w:rsidRDefault="001B157C" w:rsidP="002A4AFA">
            <w:pPr>
              <w:rPr>
                <w:rFonts w:cs="Times New Roman"/>
                <w:sz w:val="20"/>
                <w:szCs w:val="20"/>
                <w:u w:val="single"/>
              </w:rPr>
            </w:pPr>
          </w:p>
        </w:tc>
      </w:tr>
      <w:tr w:rsidR="001B157C" w:rsidRPr="00B73CE8" w:rsidTr="002A4AFA">
        <w:trPr>
          <w:cantSplit/>
        </w:trPr>
        <w:tc>
          <w:tcPr>
            <w:tcW w:w="9576" w:type="dxa"/>
            <w:gridSpan w:val="2"/>
          </w:tcPr>
          <w:p w:rsidR="001B157C" w:rsidRPr="003E019A" w:rsidRDefault="00B73CE8" w:rsidP="00B73CE8">
            <w:pPr>
              <w:pStyle w:val="SCCShortJudgment"/>
              <w:rPr>
                <w:rFonts w:cs="Times New Roman"/>
                <w:szCs w:val="20"/>
                <w:lang w:val="fr-CA"/>
              </w:rPr>
            </w:pPr>
            <w:r w:rsidRPr="00D415BB">
              <w:rPr>
                <w:szCs w:val="20"/>
              </w:rPr>
              <w:t xml:space="preserve">The request for an oral hearing of the application for leave to appeal from the judgment of the Court of Appeal for British Columbia (Vancouver), Number CA038644, 2011 BCCA 536, dated December 28, 2011, is granted. </w:t>
            </w:r>
            <w:r w:rsidRPr="0025557F">
              <w:rPr>
                <w:szCs w:val="20"/>
                <w:lang w:val="fr-CA"/>
              </w:rPr>
              <w:t>The hearing is scheduled for June 4, 2012.</w:t>
            </w:r>
          </w:p>
          <w:p w:rsidR="001B157C" w:rsidRPr="003E019A" w:rsidRDefault="001B157C" w:rsidP="002A4AFA">
            <w:pPr>
              <w:pStyle w:val="SCCShortJudgment"/>
              <w:ind w:firstLine="0"/>
              <w:rPr>
                <w:rFonts w:cs="Times New Roman"/>
                <w:szCs w:val="20"/>
                <w:lang w:val="fr-CA"/>
              </w:rPr>
            </w:pPr>
          </w:p>
          <w:p w:rsidR="001B157C" w:rsidRPr="00DD16F6" w:rsidRDefault="00B73CE8" w:rsidP="00B73CE8">
            <w:pPr>
              <w:pStyle w:val="SCCShortJudgment"/>
              <w:rPr>
                <w:rFonts w:cs="Times New Roman"/>
                <w:szCs w:val="20"/>
                <w:lang w:val="fr-CA"/>
              </w:rPr>
            </w:pPr>
            <w:r w:rsidRPr="00D415BB">
              <w:rPr>
                <w:szCs w:val="20"/>
                <w:lang w:val="fr-CA"/>
              </w:rPr>
              <w:t>La demande pour la tenue d’une audience de la demande d’autorisation d’appel de l’arrêt de la Cour d’appel de la Colombie-Britannique (Vancouver), numéro CA038644, 2011 BCCA 536, daté du 28 décembre 2011, est accueillie. L’audition est prévue pour le 4 juin 2012.</w:t>
            </w:r>
          </w:p>
        </w:tc>
      </w:tr>
    </w:tbl>
    <w:p w:rsidR="001B157C" w:rsidRPr="00191431" w:rsidRDefault="001B157C" w:rsidP="001B157C">
      <w:pPr>
        <w:rPr>
          <w:sz w:val="20"/>
          <w:szCs w:val="20"/>
          <w:lang w:val="fr-CA"/>
        </w:rPr>
      </w:pPr>
    </w:p>
    <w:p w:rsidR="001B157C" w:rsidRPr="000D61DC" w:rsidRDefault="001B157C" w:rsidP="001B157C">
      <w:pPr>
        <w:rPr>
          <w:sz w:val="20"/>
          <w:szCs w:val="20"/>
          <w:u w:val="single"/>
        </w:rPr>
      </w:pPr>
      <w:r w:rsidRPr="000D61DC">
        <w:rPr>
          <w:sz w:val="20"/>
          <w:szCs w:val="20"/>
          <w:u w:val="single"/>
        </w:rPr>
        <w:t>CASE SUMMARY</w:t>
      </w:r>
    </w:p>
    <w:p w:rsidR="001B157C" w:rsidRDefault="001B157C" w:rsidP="001B157C">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660A9F" w:rsidRPr="00A87CDE" w:rsidTr="00FE7429">
        <w:tc>
          <w:tcPr>
            <w:tcW w:w="5000" w:type="pct"/>
            <w:gridSpan w:val="3"/>
          </w:tcPr>
          <w:p w:rsidR="00660A9F" w:rsidRPr="00A87CDE" w:rsidRDefault="00660A9F" w:rsidP="00AE3150">
            <w:pPr>
              <w:jc w:val="both"/>
              <w:rPr>
                <w:sz w:val="20"/>
                <w:szCs w:val="20"/>
              </w:rPr>
            </w:pPr>
            <w:r w:rsidRPr="00A87CDE">
              <w:rPr>
                <w:i/>
                <w:sz w:val="20"/>
                <w:szCs w:val="20"/>
              </w:rPr>
              <w:t>Charter of Rights</w:t>
            </w:r>
            <w:r w:rsidRPr="00A87CDE">
              <w:rPr>
                <w:sz w:val="20"/>
                <w:szCs w:val="20"/>
              </w:rPr>
              <w:t xml:space="preserve"> – Constitutional law – Search and seizure – Exclusion of evidence – Validity and scope of search warrant – Police obtaining warrant to search location and finding marijuana grow operation – Search of two laptop computers and cellular telephone found on premises leading to arrest of accused – What is the scope of police authority to search personal electronic devices found within a place for which a warrant to search has been issued – Did the Court of Appeal err by concluding that the learned Trial Judge had failed to correctly apply the legal test for reviewing the issuance of a search warrant</w:t>
            </w:r>
          </w:p>
        </w:tc>
      </w:tr>
      <w:tr w:rsidR="00660A9F" w:rsidRPr="00A87CDE" w:rsidTr="00FE7429">
        <w:tc>
          <w:tcPr>
            <w:tcW w:w="5000" w:type="pct"/>
            <w:gridSpan w:val="3"/>
          </w:tcPr>
          <w:p w:rsidR="00660A9F" w:rsidRPr="00A87CDE" w:rsidRDefault="00660A9F" w:rsidP="00FE7429">
            <w:pPr>
              <w:rPr>
                <w:sz w:val="20"/>
                <w:szCs w:val="20"/>
              </w:rPr>
            </w:pPr>
          </w:p>
        </w:tc>
      </w:tr>
      <w:tr w:rsidR="00660A9F" w:rsidRPr="00A87CDE" w:rsidTr="00FE7429">
        <w:tc>
          <w:tcPr>
            <w:tcW w:w="5000" w:type="pct"/>
            <w:gridSpan w:val="3"/>
          </w:tcPr>
          <w:p w:rsidR="00660A9F" w:rsidRPr="00A87CDE" w:rsidRDefault="00660A9F" w:rsidP="00AE3150">
            <w:pPr>
              <w:jc w:val="both"/>
              <w:rPr>
                <w:sz w:val="20"/>
                <w:szCs w:val="20"/>
              </w:rPr>
            </w:pPr>
            <w:r w:rsidRPr="00A87CDE">
              <w:rPr>
                <w:sz w:val="20"/>
                <w:szCs w:val="20"/>
              </w:rPr>
              <w:t xml:space="preserve">The police obtained a search warrant to enter a location in connection with a suspected theft of hydro.  Upon entry, the police discovered marijuana growing in the basement of the property, as well as two laptop computers and a cellular telephone in the living room; examination of these electronic devices yielded information on the accused, leading to his subsequent arrest on charges of production of marijuana and possession of marijuana for the purpose of trafficking.  The trial judge held a </w:t>
            </w:r>
            <w:r w:rsidRPr="00A87CDE">
              <w:rPr>
                <w:i/>
                <w:sz w:val="20"/>
                <w:szCs w:val="20"/>
              </w:rPr>
              <w:t>voir dire</w:t>
            </w:r>
            <w:r w:rsidRPr="00A87CDE">
              <w:rPr>
                <w:sz w:val="20"/>
                <w:szCs w:val="20"/>
              </w:rPr>
              <w:t xml:space="preserve"> and determined that evidence obtained from the search of one of the laptops and from the search of the cell phone was inadmissible as it resulted from an unreasonable search and seizure in violation of s. 8 of the </w:t>
            </w:r>
            <w:r w:rsidRPr="00A87CDE">
              <w:rPr>
                <w:i/>
                <w:sz w:val="20"/>
                <w:szCs w:val="20"/>
              </w:rPr>
              <w:t>Charter</w:t>
            </w:r>
            <w:r w:rsidRPr="00A87CDE">
              <w:rPr>
                <w:sz w:val="20"/>
                <w:szCs w:val="20"/>
              </w:rPr>
              <w:t xml:space="preserve">, and should be excluded pursuant to s. 24(2) of the </w:t>
            </w:r>
            <w:r w:rsidRPr="00A87CDE">
              <w:rPr>
                <w:i/>
                <w:sz w:val="20"/>
                <w:szCs w:val="20"/>
              </w:rPr>
              <w:t>Charter</w:t>
            </w:r>
            <w:r w:rsidRPr="00A87CDE">
              <w:rPr>
                <w:sz w:val="20"/>
                <w:szCs w:val="20"/>
              </w:rPr>
              <w:t>; on the remaining evidence, the trial judge acquitted the accused on all counts.  The Court of Appeal allowed the Crown’s appeal, finding that none of the evidence should have been excluded; it set aside the acquittal, and ordered a new trial.</w:t>
            </w:r>
          </w:p>
          <w:p w:rsidR="00660A9F" w:rsidRPr="00A87CDE" w:rsidRDefault="00660A9F" w:rsidP="00FE7429">
            <w:pPr>
              <w:rPr>
                <w:sz w:val="20"/>
                <w:szCs w:val="20"/>
              </w:rPr>
            </w:pPr>
          </w:p>
        </w:tc>
      </w:tr>
      <w:tr w:rsidR="00660A9F" w:rsidRPr="00A87CDE" w:rsidTr="00FE7429">
        <w:tc>
          <w:tcPr>
            <w:tcW w:w="2427" w:type="pct"/>
          </w:tcPr>
          <w:p w:rsidR="00660A9F" w:rsidRPr="00A87CDE" w:rsidRDefault="00660A9F" w:rsidP="00FE7429">
            <w:pPr>
              <w:rPr>
                <w:sz w:val="20"/>
                <w:szCs w:val="20"/>
              </w:rPr>
            </w:pPr>
            <w:r w:rsidRPr="00A87CDE">
              <w:rPr>
                <w:sz w:val="20"/>
                <w:szCs w:val="20"/>
              </w:rPr>
              <w:t>September 7, 2010</w:t>
            </w:r>
          </w:p>
          <w:p w:rsidR="00660A9F" w:rsidRPr="00A87CDE" w:rsidRDefault="00660A9F" w:rsidP="00FE7429">
            <w:pPr>
              <w:rPr>
                <w:sz w:val="20"/>
                <w:szCs w:val="20"/>
              </w:rPr>
            </w:pPr>
            <w:r w:rsidRPr="00A87CDE">
              <w:rPr>
                <w:sz w:val="20"/>
                <w:szCs w:val="20"/>
              </w:rPr>
              <w:t>Supreme Court of British Columbia</w:t>
            </w:r>
          </w:p>
          <w:p w:rsidR="00660A9F" w:rsidRPr="00A87CDE" w:rsidRDefault="00660A9F" w:rsidP="00FE7429">
            <w:pPr>
              <w:rPr>
                <w:sz w:val="20"/>
                <w:szCs w:val="20"/>
              </w:rPr>
            </w:pPr>
            <w:r w:rsidRPr="00A87CDE">
              <w:rPr>
                <w:sz w:val="20"/>
                <w:szCs w:val="20"/>
              </w:rPr>
              <w:t>(Bruce J.)</w:t>
            </w:r>
          </w:p>
          <w:p w:rsidR="00660A9F" w:rsidRPr="00A87CDE" w:rsidRDefault="00660A9F" w:rsidP="00FE7429">
            <w:pPr>
              <w:rPr>
                <w:sz w:val="20"/>
                <w:szCs w:val="20"/>
              </w:rPr>
            </w:pPr>
            <w:r w:rsidRPr="00A87CDE">
              <w:rPr>
                <w:sz w:val="20"/>
                <w:szCs w:val="20"/>
              </w:rPr>
              <w:t>2010 BCSC 1260</w:t>
            </w:r>
          </w:p>
          <w:p w:rsidR="00660A9F" w:rsidRPr="00A87CDE" w:rsidRDefault="00660A9F" w:rsidP="00FE7429">
            <w:pPr>
              <w:rPr>
                <w:sz w:val="20"/>
                <w:szCs w:val="20"/>
              </w:rPr>
            </w:pPr>
          </w:p>
        </w:tc>
        <w:tc>
          <w:tcPr>
            <w:tcW w:w="243" w:type="pct"/>
          </w:tcPr>
          <w:p w:rsidR="00660A9F" w:rsidRPr="00A87CDE" w:rsidRDefault="00660A9F" w:rsidP="00FE7429">
            <w:pPr>
              <w:rPr>
                <w:sz w:val="20"/>
                <w:szCs w:val="20"/>
              </w:rPr>
            </w:pPr>
          </w:p>
        </w:tc>
        <w:tc>
          <w:tcPr>
            <w:tcW w:w="2330" w:type="pct"/>
          </w:tcPr>
          <w:p w:rsidR="00660A9F" w:rsidRPr="00A87CDE" w:rsidRDefault="00660A9F" w:rsidP="00AE3150">
            <w:pPr>
              <w:jc w:val="both"/>
              <w:rPr>
                <w:sz w:val="20"/>
                <w:szCs w:val="20"/>
              </w:rPr>
            </w:pPr>
            <w:r w:rsidRPr="00A87CDE">
              <w:rPr>
                <w:i/>
                <w:sz w:val="20"/>
                <w:szCs w:val="20"/>
              </w:rPr>
              <w:t>Voir dire</w:t>
            </w:r>
            <w:r w:rsidRPr="00A87CDE">
              <w:rPr>
                <w:sz w:val="20"/>
                <w:szCs w:val="20"/>
              </w:rPr>
              <w:t xml:space="preserve">: application for exclusion of evidence pursuant to s. 24(2) of the </w:t>
            </w:r>
            <w:r w:rsidRPr="00A87CDE">
              <w:rPr>
                <w:i/>
                <w:sz w:val="20"/>
                <w:szCs w:val="20"/>
              </w:rPr>
              <w:t>Charter</w:t>
            </w:r>
            <w:r w:rsidRPr="00A87CDE">
              <w:rPr>
                <w:sz w:val="20"/>
                <w:szCs w:val="20"/>
              </w:rPr>
              <w:t>, granted in part</w:t>
            </w:r>
          </w:p>
          <w:p w:rsidR="00660A9F" w:rsidRPr="00A87CDE" w:rsidRDefault="00660A9F" w:rsidP="00FE7429">
            <w:pPr>
              <w:rPr>
                <w:sz w:val="20"/>
                <w:szCs w:val="20"/>
              </w:rPr>
            </w:pPr>
          </w:p>
        </w:tc>
      </w:tr>
      <w:tr w:rsidR="00660A9F" w:rsidRPr="00A87CDE" w:rsidTr="00FE7429">
        <w:tc>
          <w:tcPr>
            <w:tcW w:w="2427" w:type="pct"/>
          </w:tcPr>
          <w:p w:rsidR="00660A9F" w:rsidRPr="00A87CDE" w:rsidRDefault="00660A9F" w:rsidP="00FE7429">
            <w:pPr>
              <w:rPr>
                <w:sz w:val="20"/>
                <w:szCs w:val="20"/>
              </w:rPr>
            </w:pPr>
            <w:r w:rsidRPr="00A87CDE">
              <w:rPr>
                <w:sz w:val="20"/>
                <w:szCs w:val="20"/>
              </w:rPr>
              <w:t>November 12, 2010</w:t>
            </w:r>
          </w:p>
          <w:p w:rsidR="00660A9F" w:rsidRPr="00A87CDE" w:rsidRDefault="00660A9F" w:rsidP="00FE7429">
            <w:pPr>
              <w:rPr>
                <w:sz w:val="20"/>
                <w:szCs w:val="20"/>
              </w:rPr>
            </w:pPr>
            <w:r w:rsidRPr="00A87CDE">
              <w:rPr>
                <w:sz w:val="20"/>
                <w:szCs w:val="20"/>
              </w:rPr>
              <w:t>Supreme Court of British Columbia</w:t>
            </w:r>
          </w:p>
          <w:p w:rsidR="00660A9F" w:rsidRPr="00A87CDE" w:rsidRDefault="00660A9F" w:rsidP="00FE7429">
            <w:pPr>
              <w:rPr>
                <w:sz w:val="20"/>
                <w:szCs w:val="20"/>
              </w:rPr>
            </w:pPr>
            <w:r w:rsidRPr="00A87CDE">
              <w:rPr>
                <w:sz w:val="20"/>
                <w:szCs w:val="20"/>
              </w:rPr>
              <w:t>(Bruce J.)</w:t>
            </w:r>
          </w:p>
          <w:p w:rsidR="00660A9F" w:rsidRPr="00A87CDE" w:rsidRDefault="00660A9F" w:rsidP="00FE7429">
            <w:pPr>
              <w:rPr>
                <w:sz w:val="20"/>
                <w:szCs w:val="20"/>
              </w:rPr>
            </w:pPr>
            <w:r w:rsidRPr="00A87CDE">
              <w:rPr>
                <w:sz w:val="20"/>
                <w:szCs w:val="20"/>
              </w:rPr>
              <w:t>Docket:  X072788</w:t>
            </w:r>
          </w:p>
          <w:p w:rsidR="00660A9F" w:rsidRPr="00A87CDE" w:rsidRDefault="00660A9F" w:rsidP="00FE7429">
            <w:pPr>
              <w:rPr>
                <w:sz w:val="20"/>
                <w:szCs w:val="20"/>
              </w:rPr>
            </w:pPr>
          </w:p>
        </w:tc>
        <w:tc>
          <w:tcPr>
            <w:tcW w:w="243" w:type="pct"/>
          </w:tcPr>
          <w:p w:rsidR="00660A9F" w:rsidRPr="00A87CDE" w:rsidRDefault="00660A9F" w:rsidP="00FE7429">
            <w:pPr>
              <w:rPr>
                <w:sz w:val="20"/>
                <w:szCs w:val="20"/>
              </w:rPr>
            </w:pPr>
          </w:p>
        </w:tc>
        <w:tc>
          <w:tcPr>
            <w:tcW w:w="2330" w:type="pct"/>
          </w:tcPr>
          <w:p w:rsidR="00660A9F" w:rsidRPr="00A87CDE" w:rsidRDefault="00660A9F" w:rsidP="00FE7429">
            <w:pPr>
              <w:rPr>
                <w:i/>
                <w:sz w:val="20"/>
                <w:szCs w:val="20"/>
              </w:rPr>
            </w:pPr>
            <w:r w:rsidRPr="00A87CDE">
              <w:rPr>
                <w:sz w:val="20"/>
                <w:szCs w:val="20"/>
              </w:rPr>
              <w:t>Trial: accused/applicant acquitted on all counts</w:t>
            </w:r>
          </w:p>
        </w:tc>
      </w:tr>
      <w:tr w:rsidR="00660A9F" w:rsidRPr="00A87CDE" w:rsidTr="00FE7429">
        <w:tc>
          <w:tcPr>
            <w:tcW w:w="2427" w:type="pct"/>
          </w:tcPr>
          <w:p w:rsidR="00660A9F" w:rsidRPr="00A87CDE" w:rsidRDefault="00660A9F" w:rsidP="00FE7429">
            <w:pPr>
              <w:rPr>
                <w:sz w:val="20"/>
                <w:szCs w:val="20"/>
              </w:rPr>
            </w:pPr>
            <w:r w:rsidRPr="00A87CDE">
              <w:rPr>
                <w:sz w:val="20"/>
                <w:szCs w:val="20"/>
              </w:rPr>
              <w:t>December 28, 2011</w:t>
            </w:r>
          </w:p>
          <w:p w:rsidR="00660A9F" w:rsidRPr="00A87CDE" w:rsidRDefault="00660A9F" w:rsidP="00FE7429">
            <w:pPr>
              <w:rPr>
                <w:sz w:val="20"/>
                <w:szCs w:val="20"/>
              </w:rPr>
            </w:pPr>
            <w:r w:rsidRPr="00A87CDE">
              <w:rPr>
                <w:sz w:val="20"/>
                <w:szCs w:val="20"/>
              </w:rPr>
              <w:t>Court of Appeal for British Columbia (Vancouver)</w:t>
            </w:r>
          </w:p>
          <w:p w:rsidR="00660A9F" w:rsidRPr="00A87CDE" w:rsidRDefault="00660A9F" w:rsidP="00FE7429">
            <w:pPr>
              <w:rPr>
                <w:sz w:val="20"/>
                <w:szCs w:val="20"/>
              </w:rPr>
            </w:pPr>
            <w:r w:rsidRPr="00A87CDE">
              <w:rPr>
                <w:sz w:val="20"/>
                <w:szCs w:val="20"/>
              </w:rPr>
              <w:t>(Low, Levine, and Frankel JJ.A.)</w:t>
            </w:r>
          </w:p>
          <w:p w:rsidR="00660A9F" w:rsidRPr="00A87CDE" w:rsidRDefault="00660A9F" w:rsidP="00FE7429">
            <w:pPr>
              <w:rPr>
                <w:sz w:val="20"/>
                <w:szCs w:val="20"/>
              </w:rPr>
            </w:pPr>
            <w:r w:rsidRPr="00A87CDE">
              <w:rPr>
                <w:sz w:val="20"/>
                <w:szCs w:val="20"/>
              </w:rPr>
              <w:t>2011 BCCA 536</w:t>
            </w:r>
          </w:p>
          <w:p w:rsidR="00660A9F" w:rsidRPr="00A87CDE" w:rsidRDefault="00660A9F" w:rsidP="00660A9F">
            <w:pPr>
              <w:rPr>
                <w:sz w:val="20"/>
                <w:szCs w:val="20"/>
              </w:rPr>
            </w:pPr>
            <w:r w:rsidRPr="00A87CDE">
              <w:rPr>
                <w:sz w:val="20"/>
                <w:szCs w:val="20"/>
              </w:rPr>
              <w:t>Docket:  CA038644</w:t>
            </w:r>
          </w:p>
        </w:tc>
        <w:tc>
          <w:tcPr>
            <w:tcW w:w="243" w:type="pct"/>
          </w:tcPr>
          <w:p w:rsidR="00660A9F" w:rsidRPr="00A87CDE" w:rsidRDefault="00660A9F" w:rsidP="00FE7429">
            <w:pPr>
              <w:rPr>
                <w:sz w:val="20"/>
                <w:szCs w:val="20"/>
              </w:rPr>
            </w:pPr>
          </w:p>
        </w:tc>
        <w:tc>
          <w:tcPr>
            <w:tcW w:w="2330" w:type="pct"/>
          </w:tcPr>
          <w:p w:rsidR="00660A9F" w:rsidRPr="00A87CDE" w:rsidRDefault="00660A9F" w:rsidP="00AE3150">
            <w:pPr>
              <w:jc w:val="both"/>
              <w:rPr>
                <w:sz w:val="20"/>
                <w:szCs w:val="20"/>
              </w:rPr>
            </w:pPr>
            <w:r w:rsidRPr="00A87CDE">
              <w:rPr>
                <w:sz w:val="20"/>
                <w:szCs w:val="20"/>
              </w:rPr>
              <w:t>Appeal:  Crown/respondent’s appeal allowed; acquittal set aside; new trial ordered without exclusion of any evidence</w:t>
            </w:r>
          </w:p>
          <w:p w:rsidR="00660A9F" w:rsidRPr="00A87CDE" w:rsidRDefault="00660A9F" w:rsidP="00FE7429">
            <w:pPr>
              <w:rPr>
                <w:sz w:val="20"/>
                <w:szCs w:val="20"/>
              </w:rPr>
            </w:pPr>
          </w:p>
        </w:tc>
      </w:tr>
    </w:tbl>
    <w:p w:rsidR="00660A9F" w:rsidRDefault="00660A9F"/>
    <w:p w:rsidR="00660A9F" w:rsidRDefault="00660A9F">
      <w:r>
        <w:br w:type="page"/>
      </w:r>
    </w:p>
    <w:tbl>
      <w:tblPr>
        <w:tblW w:w="4952" w:type="pct"/>
        <w:tblLayout w:type="fixed"/>
        <w:tblCellMar>
          <w:left w:w="0" w:type="dxa"/>
          <w:bottom w:w="99" w:type="dxa"/>
          <w:right w:w="0" w:type="dxa"/>
        </w:tblCellMar>
        <w:tblLook w:val="04A0"/>
      </w:tblPr>
      <w:tblGrid>
        <w:gridCol w:w="4624"/>
        <w:gridCol w:w="463"/>
        <w:gridCol w:w="4440"/>
      </w:tblGrid>
      <w:tr w:rsidR="00660A9F" w:rsidRPr="00A87CDE" w:rsidTr="00660A9F">
        <w:trPr>
          <w:cantSplit/>
        </w:trPr>
        <w:tc>
          <w:tcPr>
            <w:tcW w:w="2427" w:type="pct"/>
          </w:tcPr>
          <w:p w:rsidR="00660A9F" w:rsidRPr="00A87CDE" w:rsidRDefault="00660A9F" w:rsidP="00FE7429">
            <w:pPr>
              <w:rPr>
                <w:sz w:val="20"/>
                <w:szCs w:val="20"/>
              </w:rPr>
            </w:pPr>
            <w:r w:rsidRPr="00A87CDE">
              <w:rPr>
                <w:sz w:val="20"/>
                <w:szCs w:val="20"/>
              </w:rPr>
              <w:lastRenderedPageBreak/>
              <w:t>February 27, 2012</w:t>
            </w:r>
          </w:p>
          <w:p w:rsidR="00660A9F" w:rsidRPr="00A87CDE" w:rsidRDefault="00660A9F" w:rsidP="00FE7429">
            <w:pPr>
              <w:rPr>
                <w:sz w:val="20"/>
                <w:szCs w:val="20"/>
              </w:rPr>
            </w:pPr>
            <w:r w:rsidRPr="00A87CDE">
              <w:rPr>
                <w:sz w:val="20"/>
                <w:szCs w:val="20"/>
              </w:rPr>
              <w:t>Supreme Court of Canada</w:t>
            </w:r>
          </w:p>
        </w:tc>
        <w:tc>
          <w:tcPr>
            <w:tcW w:w="243" w:type="pct"/>
          </w:tcPr>
          <w:p w:rsidR="00660A9F" w:rsidRPr="00A87CDE" w:rsidRDefault="00660A9F" w:rsidP="00FE7429">
            <w:pPr>
              <w:rPr>
                <w:sz w:val="20"/>
                <w:szCs w:val="20"/>
              </w:rPr>
            </w:pPr>
          </w:p>
        </w:tc>
        <w:tc>
          <w:tcPr>
            <w:tcW w:w="2330" w:type="pct"/>
          </w:tcPr>
          <w:p w:rsidR="00660A9F" w:rsidRPr="00A87CDE" w:rsidRDefault="00660A9F" w:rsidP="00AE3150">
            <w:pPr>
              <w:jc w:val="both"/>
              <w:rPr>
                <w:sz w:val="20"/>
                <w:szCs w:val="20"/>
              </w:rPr>
            </w:pPr>
            <w:r w:rsidRPr="00A87CDE">
              <w:rPr>
                <w:sz w:val="20"/>
                <w:szCs w:val="20"/>
              </w:rPr>
              <w:t>Application for leave to appeal and request for oral hearing filed by accused/applicant</w:t>
            </w:r>
          </w:p>
        </w:tc>
      </w:tr>
    </w:tbl>
    <w:p w:rsidR="00B73CE8" w:rsidRPr="00660A9F" w:rsidRDefault="00B73CE8" w:rsidP="001B157C">
      <w:pPr>
        <w:rPr>
          <w:sz w:val="20"/>
          <w:szCs w:val="20"/>
        </w:rPr>
      </w:pPr>
    </w:p>
    <w:p w:rsidR="001B157C" w:rsidRPr="00C50A5C" w:rsidRDefault="00414F7B" w:rsidP="001B157C">
      <w:pPr>
        <w:rPr>
          <w:sz w:val="20"/>
          <w:szCs w:val="20"/>
        </w:rPr>
      </w:pPr>
      <w:r w:rsidRPr="00414F7B">
        <w:rPr>
          <w:sz w:val="20"/>
          <w:szCs w:val="20"/>
          <w:lang w:val="fr-CA"/>
        </w:rPr>
        <w:pict>
          <v:rect id="_x0000_i1036" style="width:2in;height:1pt" o:hrpct="0" o:hralign="center" o:hrstd="t" o:hrnoshade="t" o:hr="t" fillcolor="black [3213]" stroked="f"/>
        </w:pict>
      </w:r>
    </w:p>
    <w:p w:rsidR="001B157C" w:rsidRDefault="001B157C" w:rsidP="001B157C">
      <w:pPr>
        <w:rPr>
          <w:sz w:val="20"/>
          <w:szCs w:val="20"/>
        </w:rPr>
      </w:pPr>
    </w:p>
    <w:p w:rsidR="001B157C" w:rsidRDefault="001B157C" w:rsidP="001B157C">
      <w:pPr>
        <w:rPr>
          <w:sz w:val="20"/>
          <w:szCs w:val="20"/>
          <w:lang w:val="fr-CA"/>
        </w:rPr>
      </w:pPr>
      <w:r w:rsidRPr="000D61DC">
        <w:rPr>
          <w:sz w:val="20"/>
          <w:szCs w:val="20"/>
          <w:u w:val="single"/>
          <w:lang w:val="fr-CA"/>
        </w:rPr>
        <w:t>RÉSUMÉ DE L’AFFAIRE</w:t>
      </w:r>
    </w:p>
    <w:p w:rsidR="001B157C" w:rsidRDefault="001B157C" w:rsidP="001B157C">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660A9F" w:rsidRPr="0028361F" w:rsidTr="00FE7429">
        <w:tc>
          <w:tcPr>
            <w:tcW w:w="5000" w:type="pct"/>
            <w:gridSpan w:val="3"/>
          </w:tcPr>
          <w:p w:rsidR="00660A9F" w:rsidRPr="007140B9" w:rsidRDefault="00660A9F" w:rsidP="00AE3150">
            <w:pPr>
              <w:jc w:val="both"/>
              <w:rPr>
                <w:sz w:val="20"/>
                <w:szCs w:val="20"/>
                <w:lang w:val="fr-CA"/>
              </w:rPr>
            </w:pPr>
            <w:r w:rsidRPr="007140B9">
              <w:rPr>
                <w:i/>
                <w:sz w:val="20"/>
                <w:szCs w:val="20"/>
                <w:lang w:val="fr-CA"/>
              </w:rPr>
              <w:t xml:space="preserve">Charte des droits </w:t>
            </w:r>
            <w:r w:rsidRPr="007140B9">
              <w:rPr>
                <w:sz w:val="20"/>
                <w:szCs w:val="20"/>
                <w:lang w:val="fr-CA"/>
              </w:rPr>
              <w:t>– Droit constitutionnel – Fouilles et perquisitions – Exclusion de la preuve – Validité et portée d'un mandat de perquisition – La police a obtenu un mandat pour perquisitionner un lieu et a trouvé une installation de culture de la marijuana – La fouille de deux ordinateurs portables et d'un téléphone cellulaire trouvés sur les lieux a mené à l'arrestation de l'accusé – Quelle est la portée du pouvoir de la police de fouiller des dispositifs électroniques personnels trouvés dans un endroit pour lequel un mandat de perquisition a été émis? – La Cour d'appel a-t-elle eu tort de conclure que le juge du procès n'avait pas correctement appliqué le critère juridique pour contrôler l'émission d'un mandat de perquisition?</w:t>
            </w:r>
          </w:p>
        </w:tc>
      </w:tr>
      <w:tr w:rsidR="00660A9F" w:rsidRPr="0028361F" w:rsidTr="00FE7429">
        <w:tc>
          <w:tcPr>
            <w:tcW w:w="5000" w:type="pct"/>
            <w:gridSpan w:val="3"/>
          </w:tcPr>
          <w:p w:rsidR="00660A9F" w:rsidRPr="007140B9" w:rsidRDefault="00660A9F" w:rsidP="00FE7429">
            <w:pPr>
              <w:rPr>
                <w:sz w:val="20"/>
                <w:szCs w:val="20"/>
                <w:lang w:val="fr-CA"/>
              </w:rPr>
            </w:pPr>
          </w:p>
        </w:tc>
      </w:tr>
      <w:tr w:rsidR="00660A9F" w:rsidRPr="0028361F" w:rsidTr="00FE7429">
        <w:tc>
          <w:tcPr>
            <w:tcW w:w="5000" w:type="pct"/>
            <w:gridSpan w:val="3"/>
          </w:tcPr>
          <w:p w:rsidR="00660A9F" w:rsidRPr="007140B9" w:rsidRDefault="00660A9F" w:rsidP="00AE3150">
            <w:pPr>
              <w:jc w:val="both"/>
              <w:rPr>
                <w:sz w:val="20"/>
                <w:szCs w:val="20"/>
                <w:lang w:val="fr-CA"/>
              </w:rPr>
            </w:pPr>
            <w:r w:rsidRPr="007140B9">
              <w:rPr>
                <w:sz w:val="20"/>
                <w:szCs w:val="20"/>
                <w:lang w:val="fr-CA"/>
              </w:rPr>
              <w:t xml:space="preserve">La police a obtenu un mandat de perquisition pour entrer dans un endroit en lien avec un vol soupçonné d'électricité. Lorsqu'ils sont entrés, les policiers ont découvert une culture de marijuana au sous-sol de l'immeuble, ainsi que deux ordinateurs portables et un téléphone cellulaire dans la salle de séjour; l'examen de ces dispositifs électroniques a permis d'obtenir des renseignements sur l'accusé, ce qui a mené à son arrestation subséquente sur des accusations de production de marijuana et de possession de marijuana en vue d’en faire le trafic. Le juge du procès a tenu un voir-dire et a conclu que la preuve obtenue de la fouille d'un des ordinateurs portables et de la fouille du téléphone cellulaire était inadmissible, puisqu'elle résultait d'une fouille et d'une perquisition déraisonnables en violation de l'art. 8 de la </w:t>
            </w:r>
            <w:r w:rsidRPr="007140B9">
              <w:rPr>
                <w:i/>
                <w:sz w:val="20"/>
                <w:szCs w:val="20"/>
                <w:lang w:val="fr-CA"/>
              </w:rPr>
              <w:t>Charte</w:t>
            </w:r>
            <w:r w:rsidRPr="007140B9">
              <w:rPr>
                <w:sz w:val="20"/>
                <w:szCs w:val="20"/>
                <w:lang w:val="fr-CA"/>
              </w:rPr>
              <w:t xml:space="preserve">, et qu'elle devait être exclue en application du par. 24(2) de la </w:t>
            </w:r>
            <w:r w:rsidRPr="007140B9">
              <w:rPr>
                <w:i/>
                <w:sz w:val="20"/>
                <w:szCs w:val="20"/>
                <w:lang w:val="fr-CA"/>
              </w:rPr>
              <w:t>Charte</w:t>
            </w:r>
            <w:r w:rsidRPr="007140B9">
              <w:rPr>
                <w:sz w:val="20"/>
                <w:szCs w:val="20"/>
                <w:lang w:val="fr-CA"/>
              </w:rPr>
              <w:t>; sur les autres éléments de preuve, le juge du procès a acquitté l'accusé sous tous les chefs. La Cour d'appel a accueilli l'appel du ministère public, concluant qu'aucun élément de preuve n'aurait dû être exclu; elle a annulé l'acquittement et ordonné la tenue d'un nouveau procès.</w:t>
            </w:r>
          </w:p>
          <w:p w:rsidR="00660A9F" w:rsidRPr="007140B9" w:rsidRDefault="00660A9F" w:rsidP="00FE7429">
            <w:pPr>
              <w:rPr>
                <w:sz w:val="20"/>
                <w:szCs w:val="20"/>
                <w:lang w:val="fr-CA"/>
              </w:rPr>
            </w:pPr>
          </w:p>
        </w:tc>
      </w:tr>
      <w:tr w:rsidR="00660A9F" w:rsidRPr="0028361F" w:rsidTr="00FE7429">
        <w:tc>
          <w:tcPr>
            <w:tcW w:w="2427" w:type="pct"/>
          </w:tcPr>
          <w:p w:rsidR="00660A9F" w:rsidRPr="007140B9" w:rsidRDefault="00660A9F" w:rsidP="00FE7429">
            <w:pPr>
              <w:rPr>
                <w:sz w:val="20"/>
                <w:szCs w:val="20"/>
                <w:lang w:val="fr-CA"/>
              </w:rPr>
            </w:pPr>
            <w:r w:rsidRPr="007140B9">
              <w:rPr>
                <w:sz w:val="20"/>
                <w:szCs w:val="20"/>
                <w:lang w:val="fr-CA"/>
              </w:rPr>
              <w:t>7 septembre 2010</w:t>
            </w:r>
          </w:p>
          <w:p w:rsidR="00660A9F" w:rsidRPr="007140B9" w:rsidRDefault="00660A9F" w:rsidP="00FE7429">
            <w:pPr>
              <w:rPr>
                <w:sz w:val="20"/>
                <w:szCs w:val="20"/>
                <w:lang w:val="fr-CA"/>
              </w:rPr>
            </w:pPr>
            <w:r w:rsidRPr="007140B9">
              <w:rPr>
                <w:sz w:val="20"/>
                <w:szCs w:val="20"/>
                <w:lang w:val="fr-CA"/>
              </w:rPr>
              <w:t xml:space="preserve">Cour suprême de la Colombie-Britannique </w:t>
            </w:r>
          </w:p>
          <w:p w:rsidR="00660A9F" w:rsidRPr="007140B9" w:rsidRDefault="00660A9F" w:rsidP="00FE7429">
            <w:pPr>
              <w:rPr>
                <w:sz w:val="20"/>
                <w:szCs w:val="20"/>
                <w:lang w:val="fr-CA"/>
              </w:rPr>
            </w:pPr>
            <w:r w:rsidRPr="007140B9">
              <w:rPr>
                <w:sz w:val="20"/>
                <w:szCs w:val="20"/>
                <w:lang w:val="fr-CA"/>
              </w:rPr>
              <w:t>(Juge Bruce)</w:t>
            </w:r>
          </w:p>
          <w:p w:rsidR="00660A9F" w:rsidRPr="007140B9" w:rsidRDefault="00660A9F" w:rsidP="00FE7429">
            <w:pPr>
              <w:rPr>
                <w:sz w:val="20"/>
                <w:szCs w:val="20"/>
                <w:lang w:val="fr-CA"/>
              </w:rPr>
            </w:pPr>
            <w:r w:rsidRPr="007140B9">
              <w:rPr>
                <w:sz w:val="20"/>
                <w:szCs w:val="20"/>
                <w:lang w:val="fr-CA"/>
              </w:rPr>
              <w:t>2010 BCSC 1260</w:t>
            </w:r>
          </w:p>
          <w:p w:rsidR="00660A9F" w:rsidRPr="007140B9" w:rsidRDefault="00660A9F" w:rsidP="00FE7429">
            <w:pPr>
              <w:rPr>
                <w:sz w:val="20"/>
                <w:szCs w:val="20"/>
                <w:lang w:val="fr-CA"/>
              </w:rPr>
            </w:pPr>
          </w:p>
        </w:tc>
        <w:tc>
          <w:tcPr>
            <w:tcW w:w="243" w:type="pct"/>
          </w:tcPr>
          <w:p w:rsidR="00660A9F" w:rsidRPr="007140B9" w:rsidRDefault="00660A9F" w:rsidP="00FE7429">
            <w:pPr>
              <w:rPr>
                <w:sz w:val="20"/>
                <w:szCs w:val="20"/>
                <w:lang w:val="fr-CA"/>
              </w:rPr>
            </w:pPr>
          </w:p>
        </w:tc>
        <w:tc>
          <w:tcPr>
            <w:tcW w:w="2330" w:type="pct"/>
          </w:tcPr>
          <w:p w:rsidR="00660A9F" w:rsidRPr="007140B9" w:rsidRDefault="00660A9F" w:rsidP="00AE3150">
            <w:pPr>
              <w:jc w:val="both"/>
              <w:rPr>
                <w:sz w:val="20"/>
                <w:szCs w:val="20"/>
                <w:lang w:val="fr-CA"/>
              </w:rPr>
            </w:pPr>
            <w:r w:rsidRPr="007140B9">
              <w:rPr>
                <w:sz w:val="20"/>
                <w:szCs w:val="20"/>
                <w:lang w:val="fr-CA"/>
              </w:rPr>
              <w:t xml:space="preserve">Voir-dire : demande d'exclusion de la preuve en application du par. 24(2) de la </w:t>
            </w:r>
            <w:r w:rsidRPr="007140B9">
              <w:rPr>
                <w:i/>
                <w:sz w:val="20"/>
                <w:szCs w:val="20"/>
                <w:lang w:val="fr-CA"/>
              </w:rPr>
              <w:t>Charte</w:t>
            </w:r>
            <w:r w:rsidRPr="007140B9">
              <w:rPr>
                <w:sz w:val="20"/>
                <w:szCs w:val="20"/>
                <w:lang w:val="fr-CA"/>
              </w:rPr>
              <w:t>, accueillie en partie</w:t>
            </w:r>
          </w:p>
          <w:p w:rsidR="00660A9F" w:rsidRPr="007140B9" w:rsidRDefault="00660A9F" w:rsidP="00FE7429">
            <w:pPr>
              <w:rPr>
                <w:sz w:val="20"/>
                <w:szCs w:val="20"/>
                <w:lang w:val="fr-CA"/>
              </w:rPr>
            </w:pPr>
          </w:p>
        </w:tc>
      </w:tr>
      <w:tr w:rsidR="00660A9F" w:rsidRPr="0028361F" w:rsidTr="00FE7429">
        <w:tc>
          <w:tcPr>
            <w:tcW w:w="2427" w:type="pct"/>
          </w:tcPr>
          <w:p w:rsidR="00660A9F" w:rsidRPr="007140B9" w:rsidRDefault="00660A9F" w:rsidP="00FE7429">
            <w:pPr>
              <w:rPr>
                <w:sz w:val="20"/>
                <w:szCs w:val="20"/>
                <w:lang w:val="fr-CA"/>
              </w:rPr>
            </w:pPr>
            <w:r w:rsidRPr="007140B9">
              <w:rPr>
                <w:sz w:val="20"/>
                <w:szCs w:val="20"/>
                <w:lang w:val="fr-CA"/>
              </w:rPr>
              <w:t>12 novembre 2010</w:t>
            </w:r>
          </w:p>
          <w:p w:rsidR="00660A9F" w:rsidRPr="007140B9" w:rsidRDefault="00660A9F" w:rsidP="00FE7429">
            <w:pPr>
              <w:rPr>
                <w:sz w:val="20"/>
                <w:szCs w:val="20"/>
                <w:lang w:val="fr-CA"/>
              </w:rPr>
            </w:pPr>
            <w:r w:rsidRPr="007140B9">
              <w:rPr>
                <w:sz w:val="20"/>
                <w:szCs w:val="20"/>
                <w:lang w:val="fr-CA"/>
              </w:rPr>
              <w:t xml:space="preserve">Cour suprême de la Colombie-Britannique </w:t>
            </w:r>
          </w:p>
          <w:p w:rsidR="00660A9F" w:rsidRPr="007140B9" w:rsidRDefault="00660A9F" w:rsidP="00FE7429">
            <w:pPr>
              <w:rPr>
                <w:sz w:val="20"/>
                <w:szCs w:val="20"/>
                <w:lang w:val="fr-CA"/>
              </w:rPr>
            </w:pPr>
            <w:r w:rsidRPr="007140B9">
              <w:rPr>
                <w:sz w:val="20"/>
                <w:szCs w:val="20"/>
                <w:lang w:val="fr-CA"/>
              </w:rPr>
              <w:t>(Juge Bruce)</w:t>
            </w:r>
          </w:p>
          <w:p w:rsidR="00660A9F" w:rsidRPr="007140B9" w:rsidRDefault="00660A9F" w:rsidP="00FE7429">
            <w:pPr>
              <w:rPr>
                <w:sz w:val="20"/>
                <w:szCs w:val="20"/>
                <w:lang w:val="fr-CA"/>
              </w:rPr>
            </w:pPr>
            <w:r w:rsidRPr="007140B9">
              <w:rPr>
                <w:sz w:val="20"/>
                <w:szCs w:val="20"/>
                <w:lang w:val="fr-CA"/>
              </w:rPr>
              <w:t>N</w:t>
            </w:r>
            <w:r w:rsidRPr="007140B9">
              <w:rPr>
                <w:sz w:val="20"/>
                <w:szCs w:val="20"/>
                <w:vertAlign w:val="superscript"/>
                <w:lang w:val="fr-CA"/>
              </w:rPr>
              <w:t>o</w:t>
            </w:r>
            <w:r w:rsidRPr="007140B9">
              <w:rPr>
                <w:sz w:val="20"/>
                <w:szCs w:val="20"/>
                <w:lang w:val="fr-CA"/>
              </w:rPr>
              <w:t xml:space="preserve"> du greffe :  X072788</w:t>
            </w:r>
          </w:p>
          <w:p w:rsidR="00660A9F" w:rsidRPr="007140B9" w:rsidRDefault="00660A9F" w:rsidP="00FE7429">
            <w:pPr>
              <w:rPr>
                <w:sz w:val="20"/>
                <w:szCs w:val="20"/>
                <w:lang w:val="fr-CA"/>
              </w:rPr>
            </w:pPr>
          </w:p>
        </w:tc>
        <w:tc>
          <w:tcPr>
            <w:tcW w:w="243" w:type="pct"/>
          </w:tcPr>
          <w:p w:rsidR="00660A9F" w:rsidRPr="007140B9" w:rsidRDefault="00660A9F" w:rsidP="00FE7429">
            <w:pPr>
              <w:rPr>
                <w:sz w:val="20"/>
                <w:szCs w:val="20"/>
                <w:lang w:val="fr-CA"/>
              </w:rPr>
            </w:pPr>
          </w:p>
        </w:tc>
        <w:tc>
          <w:tcPr>
            <w:tcW w:w="2330" w:type="pct"/>
          </w:tcPr>
          <w:p w:rsidR="00660A9F" w:rsidRPr="007140B9" w:rsidRDefault="00660A9F" w:rsidP="00AE3150">
            <w:pPr>
              <w:jc w:val="both"/>
              <w:rPr>
                <w:sz w:val="20"/>
                <w:szCs w:val="20"/>
                <w:lang w:val="fr-CA"/>
              </w:rPr>
            </w:pPr>
            <w:r w:rsidRPr="007140B9">
              <w:rPr>
                <w:sz w:val="20"/>
                <w:szCs w:val="20"/>
                <w:lang w:val="fr-CA"/>
              </w:rPr>
              <w:t>Procès : accusé/demandeur acquitté sous tous les chefs</w:t>
            </w:r>
          </w:p>
        </w:tc>
      </w:tr>
      <w:tr w:rsidR="00660A9F" w:rsidRPr="0028361F" w:rsidTr="00FE7429">
        <w:tc>
          <w:tcPr>
            <w:tcW w:w="2427" w:type="pct"/>
          </w:tcPr>
          <w:p w:rsidR="00660A9F" w:rsidRPr="007140B9" w:rsidRDefault="00660A9F" w:rsidP="00FE7429">
            <w:pPr>
              <w:rPr>
                <w:sz w:val="20"/>
                <w:szCs w:val="20"/>
                <w:lang w:val="fr-CA"/>
              </w:rPr>
            </w:pPr>
            <w:r w:rsidRPr="007140B9">
              <w:rPr>
                <w:sz w:val="20"/>
                <w:szCs w:val="20"/>
                <w:lang w:val="fr-CA"/>
              </w:rPr>
              <w:t>28 décembre 2011</w:t>
            </w:r>
          </w:p>
          <w:p w:rsidR="00660A9F" w:rsidRPr="007140B9" w:rsidRDefault="00660A9F" w:rsidP="00FE7429">
            <w:pPr>
              <w:rPr>
                <w:sz w:val="20"/>
                <w:szCs w:val="20"/>
                <w:lang w:val="fr-CA"/>
              </w:rPr>
            </w:pPr>
            <w:r w:rsidRPr="007140B9">
              <w:rPr>
                <w:sz w:val="20"/>
                <w:szCs w:val="20"/>
                <w:lang w:val="fr-CA"/>
              </w:rPr>
              <w:t>Cour d'appel de la Colombie-Britannique (Vancouver)</w:t>
            </w:r>
          </w:p>
          <w:p w:rsidR="00660A9F" w:rsidRPr="007140B9" w:rsidRDefault="00660A9F" w:rsidP="00FE7429">
            <w:pPr>
              <w:rPr>
                <w:sz w:val="20"/>
                <w:szCs w:val="20"/>
                <w:lang w:val="fr-CA"/>
              </w:rPr>
            </w:pPr>
            <w:r w:rsidRPr="007140B9">
              <w:rPr>
                <w:sz w:val="20"/>
                <w:szCs w:val="20"/>
                <w:lang w:val="fr-CA"/>
              </w:rPr>
              <w:t>(Juges Low, Levine et Frankel)</w:t>
            </w:r>
          </w:p>
          <w:p w:rsidR="00660A9F" w:rsidRPr="007140B9" w:rsidRDefault="00660A9F" w:rsidP="00FE7429">
            <w:pPr>
              <w:rPr>
                <w:sz w:val="20"/>
                <w:szCs w:val="20"/>
                <w:lang w:val="fr-CA"/>
              </w:rPr>
            </w:pPr>
            <w:r w:rsidRPr="007140B9">
              <w:rPr>
                <w:sz w:val="20"/>
                <w:szCs w:val="20"/>
                <w:lang w:val="fr-CA"/>
              </w:rPr>
              <w:t>2011 BCCA 536</w:t>
            </w:r>
          </w:p>
          <w:p w:rsidR="00660A9F" w:rsidRPr="007140B9" w:rsidRDefault="00660A9F" w:rsidP="00FE7429">
            <w:pPr>
              <w:rPr>
                <w:sz w:val="20"/>
                <w:szCs w:val="20"/>
                <w:lang w:val="fr-CA"/>
              </w:rPr>
            </w:pPr>
            <w:r w:rsidRPr="007140B9">
              <w:rPr>
                <w:sz w:val="20"/>
                <w:szCs w:val="20"/>
                <w:lang w:val="fr-CA"/>
              </w:rPr>
              <w:t>N</w:t>
            </w:r>
            <w:r w:rsidRPr="007140B9">
              <w:rPr>
                <w:sz w:val="20"/>
                <w:szCs w:val="20"/>
                <w:vertAlign w:val="superscript"/>
                <w:lang w:val="fr-CA"/>
              </w:rPr>
              <w:t>o</w:t>
            </w:r>
            <w:r w:rsidRPr="007140B9">
              <w:rPr>
                <w:sz w:val="20"/>
                <w:szCs w:val="20"/>
                <w:lang w:val="fr-CA"/>
              </w:rPr>
              <w:t xml:space="preserve"> du greffe:  CA038644</w:t>
            </w:r>
          </w:p>
          <w:p w:rsidR="00660A9F" w:rsidRPr="007140B9" w:rsidRDefault="00660A9F" w:rsidP="00FE7429">
            <w:pPr>
              <w:rPr>
                <w:sz w:val="20"/>
                <w:szCs w:val="20"/>
                <w:lang w:val="fr-CA"/>
              </w:rPr>
            </w:pPr>
          </w:p>
        </w:tc>
        <w:tc>
          <w:tcPr>
            <w:tcW w:w="243" w:type="pct"/>
          </w:tcPr>
          <w:p w:rsidR="00660A9F" w:rsidRPr="007140B9" w:rsidRDefault="00660A9F" w:rsidP="00FE7429">
            <w:pPr>
              <w:rPr>
                <w:sz w:val="20"/>
                <w:szCs w:val="20"/>
                <w:lang w:val="fr-CA"/>
              </w:rPr>
            </w:pPr>
          </w:p>
        </w:tc>
        <w:tc>
          <w:tcPr>
            <w:tcW w:w="2330" w:type="pct"/>
          </w:tcPr>
          <w:p w:rsidR="00660A9F" w:rsidRPr="007140B9" w:rsidRDefault="00660A9F" w:rsidP="00AE3150">
            <w:pPr>
              <w:jc w:val="both"/>
              <w:rPr>
                <w:sz w:val="20"/>
                <w:szCs w:val="20"/>
                <w:lang w:val="fr-CA"/>
              </w:rPr>
            </w:pPr>
            <w:r w:rsidRPr="007140B9">
              <w:rPr>
                <w:sz w:val="20"/>
                <w:szCs w:val="20"/>
                <w:lang w:val="fr-CA"/>
              </w:rPr>
              <w:t>Appel : appel du ministère public/intimé, accueilli; acquittement annulé; nouveau procès ordonné sans exclusion de preuve</w:t>
            </w:r>
          </w:p>
          <w:p w:rsidR="00660A9F" w:rsidRPr="007140B9" w:rsidRDefault="00660A9F" w:rsidP="00FE7429">
            <w:pPr>
              <w:rPr>
                <w:sz w:val="20"/>
                <w:szCs w:val="20"/>
                <w:lang w:val="fr-CA"/>
              </w:rPr>
            </w:pPr>
          </w:p>
        </w:tc>
      </w:tr>
      <w:tr w:rsidR="00660A9F" w:rsidRPr="0028361F" w:rsidTr="00FE7429">
        <w:tc>
          <w:tcPr>
            <w:tcW w:w="2427" w:type="pct"/>
          </w:tcPr>
          <w:p w:rsidR="00660A9F" w:rsidRPr="007140B9" w:rsidRDefault="00660A9F" w:rsidP="00FE7429">
            <w:pPr>
              <w:rPr>
                <w:sz w:val="20"/>
                <w:szCs w:val="20"/>
                <w:lang w:val="fr-CA"/>
              </w:rPr>
            </w:pPr>
            <w:r w:rsidRPr="007140B9">
              <w:rPr>
                <w:sz w:val="20"/>
                <w:szCs w:val="20"/>
                <w:lang w:val="fr-CA"/>
              </w:rPr>
              <w:t>27 février 2012</w:t>
            </w:r>
          </w:p>
          <w:p w:rsidR="00660A9F" w:rsidRPr="007140B9" w:rsidRDefault="00660A9F" w:rsidP="00FE7429">
            <w:pPr>
              <w:rPr>
                <w:sz w:val="20"/>
                <w:szCs w:val="20"/>
                <w:lang w:val="fr-CA"/>
              </w:rPr>
            </w:pPr>
            <w:r w:rsidRPr="007140B9">
              <w:rPr>
                <w:sz w:val="20"/>
                <w:szCs w:val="20"/>
                <w:lang w:val="fr-CA"/>
              </w:rPr>
              <w:t>Cour suprême du Canada</w:t>
            </w:r>
          </w:p>
        </w:tc>
        <w:tc>
          <w:tcPr>
            <w:tcW w:w="243" w:type="pct"/>
          </w:tcPr>
          <w:p w:rsidR="00660A9F" w:rsidRPr="007140B9" w:rsidRDefault="00660A9F" w:rsidP="00FE7429">
            <w:pPr>
              <w:rPr>
                <w:sz w:val="20"/>
                <w:szCs w:val="20"/>
                <w:lang w:val="fr-CA"/>
              </w:rPr>
            </w:pPr>
          </w:p>
        </w:tc>
        <w:tc>
          <w:tcPr>
            <w:tcW w:w="2330" w:type="pct"/>
          </w:tcPr>
          <w:p w:rsidR="00660A9F" w:rsidRPr="007140B9" w:rsidRDefault="00660A9F" w:rsidP="00AE3150">
            <w:pPr>
              <w:jc w:val="both"/>
              <w:rPr>
                <w:sz w:val="20"/>
                <w:szCs w:val="20"/>
                <w:lang w:val="fr-CA"/>
              </w:rPr>
            </w:pPr>
            <w:r w:rsidRPr="007140B9">
              <w:rPr>
                <w:sz w:val="20"/>
                <w:szCs w:val="20"/>
                <w:lang w:val="fr-CA"/>
              </w:rPr>
              <w:t>Demande d'autorisation d'appel et requête en vue de présenter une plaidoirie orale, déposées par l'accusé/demandeur</w:t>
            </w:r>
          </w:p>
        </w:tc>
      </w:tr>
    </w:tbl>
    <w:p w:rsidR="00660A9F" w:rsidRDefault="00660A9F" w:rsidP="001B157C">
      <w:pPr>
        <w:rPr>
          <w:sz w:val="20"/>
          <w:szCs w:val="20"/>
          <w:lang w:val="fr-CA"/>
        </w:rPr>
      </w:pPr>
    </w:p>
    <w:p w:rsidR="001B157C" w:rsidRDefault="00414F7B" w:rsidP="001B157C">
      <w:pPr>
        <w:rPr>
          <w:sz w:val="20"/>
          <w:szCs w:val="20"/>
          <w:lang w:val="fr-CA"/>
        </w:rPr>
      </w:pPr>
      <w:r w:rsidRPr="00414F7B">
        <w:rPr>
          <w:sz w:val="20"/>
          <w:szCs w:val="20"/>
          <w:lang w:val="fr-CA"/>
        </w:rPr>
        <w:pict>
          <v:rect id="_x0000_i1037" style="width:2in;height:1pt" o:hrpct="0" o:hralign="center" o:hrstd="t" o:hrnoshade="t" o:hr="t" fillcolor="black [3213]" stroked="f"/>
        </w:pict>
      </w:r>
    </w:p>
    <w:p w:rsidR="001B157C" w:rsidRPr="005F2D90" w:rsidRDefault="001B157C" w:rsidP="001B157C">
      <w:pPr>
        <w:rPr>
          <w:sz w:val="20"/>
          <w:szCs w:val="20"/>
          <w:lang w:val="fr-CA"/>
        </w:rPr>
      </w:pPr>
    </w:p>
    <w:p w:rsidR="00675479" w:rsidRPr="00C50A5C" w:rsidRDefault="00675479" w:rsidP="002E2327">
      <w:pPr>
        <w:widowControl w:val="0"/>
        <w:spacing w:line="0" w:lineRule="atLeast"/>
        <w:rPr>
          <w:sz w:val="20"/>
          <w:szCs w:val="20"/>
          <w:lang w:val="fr-CA"/>
        </w:rPr>
      </w:pPr>
    </w:p>
    <w:p w:rsidR="00432989" w:rsidRPr="00C50A5C" w:rsidRDefault="00432989" w:rsidP="002E2327">
      <w:pPr>
        <w:widowControl w:val="0"/>
        <w:spacing w:line="0" w:lineRule="atLeast"/>
        <w:rPr>
          <w:sz w:val="20"/>
          <w:szCs w:val="20"/>
          <w:lang w:val="fr-CA"/>
        </w:rPr>
        <w:sectPr w:rsidR="00432989" w:rsidRPr="00C50A5C" w:rsidSect="0044776A">
          <w:headerReference w:type="default" r:id="rId25"/>
          <w:footerReference w:type="default" r:id="rId26"/>
          <w:headerReference w:type="first" r:id="rId27"/>
          <w:footerReference w:type="first" r:id="rId2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28361F"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FD4A4B" w:rsidP="008D292F">
      <w:pPr>
        <w:rPr>
          <w:b/>
          <w:sz w:val="20"/>
          <w:szCs w:val="20"/>
        </w:rPr>
      </w:pPr>
      <w:r>
        <w:rPr>
          <w:b/>
          <w:sz w:val="20"/>
          <w:szCs w:val="20"/>
        </w:rPr>
        <w:t>M</w:t>
      </w:r>
      <w:r w:rsidR="008D292F" w:rsidRPr="00C50A5C">
        <w:rPr>
          <w:b/>
          <w:sz w:val="20"/>
          <w:szCs w:val="20"/>
        </w:rPr>
        <w:t>A</w:t>
      </w:r>
      <w:r>
        <w:rPr>
          <w:b/>
          <w:sz w:val="20"/>
          <w:szCs w:val="20"/>
        </w:rPr>
        <w:t>Y</w:t>
      </w:r>
      <w:r w:rsidR="008D292F" w:rsidRPr="00C50A5C">
        <w:rPr>
          <w:b/>
          <w:sz w:val="20"/>
          <w:szCs w:val="20"/>
        </w:rPr>
        <w:t xml:space="preserve"> </w:t>
      </w:r>
      <w:r>
        <w:rPr>
          <w:b/>
          <w:sz w:val="20"/>
          <w:szCs w:val="20"/>
        </w:rPr>
        <w:t>17</w:t>
      </w:r>
      <w:r w:rsidR="008D292F" w:rsidRPr="00C50A5C">
        <w:rPr>
          <w:b/>
          <w:sz w:val="20"/>
          <w:szCs w:val="20"/>
        </w:rPr>
        <w:t>, 201</w:t>
      </w:r>
      <w:r>
        <w:rPr>
          <w:b/>
          <w:sz w:val="20"/>
          <w:szCs w:val="20"/>
        </w:rPr>
        <w:t>2</w:t>
      </w:r>
      <w:r w:rsidR="008D292F" w:rsidRPr="00C50A5C">
        <w:rPr>
          <w:b/>
          <w:sz w:val="20"/>
          <w:szCs w:val="20"/>
        </w:rPr>
        <w:t xml:space="preserve"> / LE </w:t>
      </w:r>
      <w:r>
        <w:rPr>
          <w:b/>
          <w:sz w:val="20"/>
          <w:szCs w:val="20"/>
        </w:rPr>
        <w:t>17</w:t>
      </w:r>
      <w:r w:rsidR="008D292F" w:rsidRPr="00C50A5C">
        <w:rPr>
          <w:b/>
          <w:sz w:val="20"/>
          <w:szCs w:val="20"/>
        </w:rPr>
        <w:t xml:space="preserve"> </w:t>
      </w:r>
      <w:r>
        <w:rPr>
          <w:b/>
          <w:sz w:val="20"/>
          <w:szCs w:val="20"/>
        </w:rPr>
        <w:t>M</w:t>
      </w:r>
      <w:r w:rsidR="008D292F" w:rsidRPr="00C50A5C">
        <w:rPr>
          <w:b/>
          <w:sz w:val="20"/>
          <w:szCs w:val="20"/>
        </w:rPr>
        <w:t>AI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E3150" w:rsidRPr="00AE3150" w:rsidTr="0086493F">
        <w:trPr>
          <w:cantSplit/>
        </w:trPr>
        <w:tc>
          <w:tcPr>
            <w:tcW w:w="1458" w:type="dxa"/>
          </w:tcPr>
          <w:p w:rsidR="00AE3150" w:rsidRPr="00AE3150" w:rsidRDefault="00AE3150" w:rsidP="0086493F">
            <w:pPr>
              <w:rPr>
                <w:sz w:val="20"/>
                <w:szCs w:val="20"/>
              </w:rPr>
            </w:pPr>
            <w:r w:rsidRPr="00AE3150">
              <w:rPr>
                <w:rStyle w:val="SCCFileNumberChar"/>
                <w:sz w:val="20"/>
                <w:szCs w:val="20"/>
              </w:rPr>
              <w:t>33522</w:t>
            </w:r>
          </w:p>
          <w:p w:rsidR="00AE3150" w:rsidRPr="00AE3150" w:rsidRDefault="00AE3150" w:rsidP="0086493F">
            <w:pPr>
              <w:rPr>
                <w:b/>
                <w:sz w:val="20"/>
                <w:szCs w:val="20"/>
                <w:lang w:val="fr-CA"/>
              </w:rPr>
            </w:pPr>
          </w:p>
        </w:tc>
        <w:tc>
          <w:tcPr>
            <w:tcW w:w="8118" w:type="dxa"/>
          </w:tcPr>
          <w:p w:rsidR="00AE3150" w:rsidRPr="00AE3150" w:rsidRDefault="00AE3150" w:rsidP="0086493F">
            <w:pPr>
              <w:jc w:val="both"/>
              <w:rPr>
                <w:sz w:val="20"/>
                <w:szCs w:val="20"/>
              </w:rPr>
            </w:pPr>
            <w:r w:rsidRPr="00AE3150">
              <w:rPr>
                <w:rStyle w:val="SCCLsocChar"/>
                <w:sz w:val="20"/>
                <w:szCs w:val="20"/>
                <w:lang w:val="en-CA"/>
              </w:rPr>
              <w:t>Infineon Technologies AG and Infineon Technologies North America Corp. v. Pro-Sys Consultants Ltd. AND BETWEEN Hynix Semiconductor Inc., Hynix Semiconductor America Inc. and Hynix Semiconductor Manufacturing America, Inc. v. Pro-Sys Consultants Ltd. AND BETWEEN Samsung Electronics Co., Ltd., Samsung Semiconductor, Inc., Samsung Electronics America, Inc. and Samsung Electronics Canada, Inc. v. Pro-Sys Consultants Ltd. AND BETWEEN Micron Technology, Inc. and Micron Semiconductor Products, Inc., doing business as Crucial Technologies v. Pro-Sys Consultants Ltd. AND BETWEEN Elpida Memory, Inc. and Elpida Memory (USA) Inc. v. Pro-Sys Consultants Ltd.</w:t>
            </w:r>
            <w:r w:rsidRPr="00AE3150">
              <w:rPr>
                <w:sz w:val="20"/>
                <w:szCs w:val="20"/>
              </w:rPr>
              <w:t xml:space="preserve"> (B.C.) (Civil) (By Leave)</w:t>
            </w:r>
          </w:p>
          <w:p w:rsidR="00AE3150" w:rsidRPr="00AE3150" w:rsidRDefault="00AE3150" w:rsidP="0086493F">
            <w:pPr>
              <w:rPr>
                <w:sz w:val="20"/>
                <w:szCs w:val="20"/>
              </w:rPr>
            </w:pPr>
          </w:p>
        </w:tc>
      </w:tr>
      <w:tr w:rsidR="00AE3150" w:rsidRPr="00AE3150" w:rsidTr="0086493F">
        <w:trPr>
          <w:cantSplit/>
        </w:trPr>
        <w:tc>
          <w:tcPr>
            <w:tcW w:w="1458" w:type="dxa"/>
          </w:tcPr>
          <w:p w:rsidR="00AE3150" w:rsidRPr="00AE3150" w:rsidRDefault="00AE3150" w:rsidP="0086493F">
            <w:pPr>
              <w:rPr>
                <w:sz w:val="20"/>
                <w:szCs w:val="20"/>
              </w:rPr>
            </w:pPr>
            <w:r w:rsidRPr="00AE3150">
              <w:rPr>
                <w:sz w:val="20"/>
                <w:szCs w:val="20"/>
              </w:rPr>
              <w:t>Coram :</w:t>
            </w:r>
          </w:p>
        </w:tc>
        <w:tc>
          <w:tcPr>
            <w:tcW w:w="8118" w:type="dxa"/>
          </w:tcPr>
          <w:p w:rsidR="00AE3150" w:rsidRPr="00AE3150" w:rsidRDefault="00AE3150" w:rsidP="0086493F">
            <w:pPr>
              <w:rPr>
                <w:sz w:val="20"/>
                <w:szCs w:val="20"/>
              </w:rPr>
            </w:pPr>
            <w:r w:rsidRPr="00AE3150">
              <w:rPr>
                <w:rStyle w:val="SCCCoramChar"/>
                <w:sz w:val="20"/>
                <w:szCs w:val="20"/>
                <w:lang w:val="en-CA"/>
              </w:rPr>
              <w:t>McLachlin C.J. and Abella and Cromwell JJ.</w:t>
            </w:r>
          </w:p>
          <w:p w:rsidR="00AE3150" w:rsidRPr="00AE3150" w:rsidRDefault="00AE3150" w:rsidP="0086493F">
            <w:pPr>
              <w:rPr>
                <w:sz w:val="20"/>
                <w:szCs w:val="20"/>
                <w:u w:val="single"/>
              </w:rPr>
            </w:pPr>
          </w:p>
        </w:tc>
      </w:tr>
      <w:tr w:rsidR="00AE3150" w:rsidRPr="0028361F" w:rsidTr="0086493F">
        <w:trPr>
          <w:cantSplit/>
        </w:trPr>
        <w:tc>
          <w:tcPr>
            <w:tcW w:w="9576" w:type="dxa"/>
            <w:gridSpan w:val="2"/>
          </w:tcPr>
          <w:p w:rsidR="00AE3150" w:rsidRPr="00AE3150" w:rsidRDefault="00AE3150" w:rsidP="0086493F">
            <w:pPr>
              <w:pStyle w:val="SCCShortJudgment"/>
              <w:rPr>
                <w:szCs w:val="20"/>
              </w:rPr>
            </w:pPr>
            <w:r w:rsidRPr="00AE3150">
              <w:rPr>
                <w:szCs w:val="20"/>
              </w:rPr>
              <w:t>The motion for an extension of time to serve and file the motions for reconsideration of the applications for leave to appeal is granted.  The motions for reconsideration of the applications for leave to appeal dismissed June 3, 2010, were this day dismissed with costs.</w:t>
            </w:r>
          </w:p>
          <w:p w:rsidR="00AE3150" w:rsidRPr="00AE3150" w:rsidRDefault="00AE3150" w:rsidP="0086493F">
            <w:pPr>
              <w:pStyle w:val="SCCShortJudgment"/>
              <w:ind w:firstLine="0"/>
              <w:rPr>
                <w:szCs w:val="20"/>
              </w:rPr>
            </w:pPr>
          </w:p>
          <w:p w:rsidR="00AE3150" w:rsidRPr="00AE3150" w:rsidRDefault="00AE3150" w:rsidP="0086493F">
            <w:pPr>
              <w:pStyle w:val="SCCShortJudgment"/>
              <w:rPr>
                <w:szCs w:val="20"/>
                <w:lang w:val="fr-CA"/>
              </w:rPr>
            </w:pPr>
            <w:r w:rsidRPr="00AE3150">
              <w:rPr>
                <w:szCs w:val="20"/>
                <w:lang w:val="fr-CA"/>
              </w:rPr>
              <w:t>La requête en prorogation du délai de signification et de dépôt des demandes de réexamen des demandes d’autorisation d’appel est accueillie.  Les demandes de réexamen des demandes d’autorisation d’appel rejetées le 3 juin 2010, ont aujourd’hui été rejetées avec dépens.</w:t>
            </w:r>
          </w:p>
        </w:tc>
      </w:tr>
    </w:tbl>
    <w:p w:rsidR="00FD4A4B" w:rsidRPr="00AE3150" w:rsidRDefault="00FD4A4B" w:rsidP="00FD4A4B">
      <w:pPr>
        <w:rPr>
          <w:sz w:val="20"/>
          <w:szCs w:val="20"/>
          <w:lang w:val="fr-CA"/>
        </w:rPr>
      </w:pPr>
    </w:p>
    <w:p w:rsidR="00FD4A4B" w:rsidRPr="001B157C" w:rsidRDefault="00FD4A4B" w:rsidP="00FD4A4B">
      <w:pPr>
        <w:rPr>
          <w:sz w:val="20"/>
          <w:szCs w:val="20"/>
          <w:u w:val="single"/>
        </w:rPr>
      </w:pPr>
      <w:r w:rsidRPr="001B157C">
        <w:rPr>
          <w:sz w:val="20"/>
          <w:szCs w:val="20"/>
          <w:u w:val="single"/>
        </w:rPr>
        <w:t>CASE SUMMARY</w:t>
      </w:r>
    </w:p>
    <w:p w:rsidR="00FD4A4B" w:rsidRDefault="00FD4A4B" w:rsidP="008D292F">
      <w:pPr>
        <w:rPr>
          <w:sz w:val="20"/>
          <w:szCs w:val="2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540"/>
      </w:tblGrid>
      <w:tr w:rsidR="00891726" w:rsidRPr="00BF0708" w:rsidTr="00AE3150">
        <w:tc>
          <w:tcPr>
            <w:tcW w:w="9540" w:type="dxa"/>
            <w:tcBorders>
              <w:top w:val="nil"/>
              <w:left w:val="nil"/>
              <w:bottom w:val="nil"/>
              <w:right w:val="nil"/>
            </w:tcBorders>
          </w:tcPr>
          <w:p w:rsidR="00891726" w:rsidRPr="00BF0708" w:rsidRDefault="00891726" w:rsidP="00E42F15">
            <w:pPr>
              <w:jc w:val="both"/>
              <w:rPr>
                <w:rFonts w:eastAsia="Calibri"/>
                <w:sz w:val="20"/>
                <w:szCs w:val="20"/>
              </w:rPr>
            </w:pPr>
            <w:r w:rsidRPr="00BF0708">
              <w:rPr>
                <w:rFonts w:eastAsia="Calibri"/>
                <w:sz w:val="20"/>
                <w:szCs w:val="20"/>
              </w:rPr>
              <w:t>Procedural law - Courts - Pleadings - Class action proceeding - Damages - Certification - Elements - Aggregate restitutionary claims - Weight to be given evidence with respect to certification criteria - Whether proof of injury necessary for each class member - Role and scope of private enforcement under the Competition Act, R.S.C. 1985, c. C-34 - Availability of restitutionary remedies such as waiver of tort as a path to certification - Nature of certification test.</w:t>
            </w:r>
          </w:p>
          <w:p w:rsidR="00891726" w:rsidRPr="00BF0708" w:rsidRDefault="00891726" w:rsidP="00E42F15">
            <w:pPr>
              <w:jc w:val="both"/>
              <w:rPr>
                <w:b/>
                <w:sz w:val="20"/>
                <w:szCs w:val="20"/>
              </w:rPr>
            </w:pPr>
          </w:p>
        </w:tc>
      </w:tr>
      <w:tr w:rsidR="00891726" w:rsidRPr="00BF0708" w:rsidTr="00AE3150">
        <w:trPr>
          <w:trHeight w:val="103"/>
        </w:trPr>
        <w:tc>
          <w:tcPr>
            <w:tcW w:w="9540" w:type="dxa"/>
            <w:tcBorders>
              <w:top w:val="nil"/>
              <w:left w:val="nil"/>
              <w:bottom w:val="nil"/>
              <w:right w:val="nil"/>
            </w:tcBorders>
          </w:tcPr>
          <w:p w:rsidR="00891726" w:rsidRPr="00BF0708" w:rsidRDefault="00891726" w:rsidP="00AE3150">
            <w:pPr>
              <w:widowControl w:val="0"/>
              <w:jc w:val="both"/>
              <w:rPr>
                <w:sz w:val="20"/>
                <w:szCs w:val="20"/>
              </w:rPr>
            </w:pPr>
            <w:r w:rsidRPr="00BF0708">
              <w:rPr>
                <w:sz w:val="20"/>
                <w:szCs w:val="20"/>
              </w:rPr>
              <w:t>The applicants manufacture semiconductor memory chips (DRAM--“dynamic random access memory”.  All except Micron, which was granted amnesty for its cooperation, pleaded guilty in the United States to criminal charges arising out of an international conspiracy to fix DRAM prices from April 1, 1999 to June 30, 2002 (the class period).  None, however, was charged with criminal activity in Canada, paid any fines or penalties to Canadian regulators or compensated Canadian purchasers of DRAM other than those Canadians party to the U.S. direct-purchase class actions settlement.  The respondent Pro-Sys bought a laptop computer in British Columbia during the class period and claimed to have paid more for it because it contained DRAM, because of  the manufacturers control of the B.C. DRAM market and because of their alleged price fixing during the class period.  Pro-Sys brought an action on behalf of “... all persons resident in British Columbia...who purchased dynamic random access memory (“DRAM”) or products which contained DRAM in, into or from British Columbia between from April 1, 1999 to June 30, 2002....”  The dominant issue of liability for price fixing was common to all applications.</w:t>
            </w:r>
          </w:p>
        </w:tc>
      </w:tr>
    </w:tbl>
    <w:p w:rsidR="00AE3150" w:rsidRDefault="00AE3150"/>
    <w:tbl>
      <w:tblPr>
        <w:tblW w:w="9540" w:type="dxa"/>
        <w:tblLayout w:type="fixed"/>
        <w:tblCellMar>
          <w:left w:w="0" w:type="dxa"/>
          <w:right w:w="0" w:type="dxa"/>
        </w:tblCellMar>
        <w:tblLook w:val="0000"/>
      </w:tblPr>
      <w:tblGrid>
        <w:gridCol w:w="4554"/>
        <w:gridCol w:w="288"/>
        <w:gridCol w:w="4698"/>
      </w:tblGrid>
      <w:tr w:rsidR="00891726" w:rsidRPr="00BF0708" w:rsidTr="00AE3150">
        <w:trPr>
          <w:cantSplit/>
        </w:trPr>
        <w:tc>
          <w:tcPr>
            <w:tcW w:w="4554" w:type="dxa"/>
            <w:tcMar>
              <w:left w:w="0" w:type="dxa"/>
              <w:right w:w="0" w:type="dxa"/>
            </w:tcMar>
          </w:tcPr>
          <w:p w:rsidR="00891726" w:rsidRPr="00BF0708" w:rsidRDefault="00891726" w:rsidP="00E42F15">
            <w:pPr>
              <w:keepNext/>
              <w:keepLines/>
              <w:widowControl w:val="0"/>
              <w:jc w:val="both"/>
              <w:rPr>
                <w:sz w:val="20"/>
                <w:szCs w:val="20"/>
              </w:rPr>
            </w:pPr>
            <w:r w:rsidRPr="00BF0708">
              <w:rPr>
                <w:sz w:val="20"/>
                <w:szCs w:val="20"/>
              </w:rPr>
              <w:t>May 6, 2008</w:t>
            </w:r>
          </w:p>
          <w:p w:rsidR="00891726" w:rsidRPr="00BF0708" w:rsidRDefault="00891726" w:rsidP="00E42F15">
            <w:pPr>
              <w:keepNext/>
              <w:keepLines/>
              <w:widowControl w:val="0"/>
              <w:jc w:val="both"/>
              <w:rPr>
                <w:sz w:val="20"/>
                <w:szCs w:val="20"/>
              </w:rPr>
            </w:pPr>
            <w:r w:rsidRPr="00BF0708">
              <w:rPr>
                <w:sz w:val="20"/>
                <w:szCs w:val="20"/>
              </w:rPr>
              <w:t>Supreme Court of British Columbia</w:t>
            </w:r>
          </w:p>
          <w:p w:rsidR="00891726" w:rsidRPr="00BF0708" w:rsidRDefault="00891726" w:rsidP="00AE3150">
            <w:pPr>
              <w:keepNext/>
              <w:keepLines/>
              <w:widowControl w:val="0"/>
              <w:jc w:val="both"/>
              <w:rPr>
                <w:sz w:val="20"/>
                <w:szCs w:val="20"/>
              </w:rPr>
            </w:pPr>
            <w:r w:rsidRPr="00BF0708">
              <w:rPr>
                <w:sz w:val="20"/>
                <w:szCs w:val="20"/>
              </w:rPr>
              <w:t>(Masuhara J.)</w:t>
            </w:r>
          </w:p>
        </w:tc>
        <w:tc>
          <w:tcPr>
            <w:tcW w:w="288" w:type="dxa"/>
            <w:tcMar>
              <w:left w:w="0" w:type="dxa"/>
              <w:right w:w="0" w:type="dxa"/>
            </w:tcMar>
          </w:tcPr>
          <w:p w:rsidR="00891726" w:rsidRPr="00BF0708" w:rsidRDefault="00891726" w:rsidP="00E42F15">
            <w:pPr>
              <w:keepLines/>
              <w:widowControl w:val="0"/>
              <w:jc w:val="both"/>
              <w:rPr>
                <w:sz w:val="20"/>
                <w:szCs w:val="20"/>
              </w:rPr>
            </w:pPr>
          </w:p>
        </w:tc>
        <w:tc>
          <w:tcPr>
            <w:tcW w:w="4698" w:type="dxa"/>
            <w:tcMar>
              <w:left w:w="0" w:type="dxa"/>
              <w:right w:w="0" w:type="dxa"/>
            </w:tcMar>
          </w:tcPr>
          <w:p w:rsidR="00891726" w:rsidRPr="00BF0708" w:rsidRDefault="00891726" w:rsidP="00E42F15">
            <w:pPr>
              <w:keepLines/>
              <w:widowControl w:val="0"/>
              <w:jc w:val="both"/>
              <w:rPr>
                <w:sz w:val="20"/>
                <w:szCs w:val="20"/>
              </w:rPr>
            </w:pPr>
            <w:r w:rsidRPr="00BF0708">
              <w:rPr>
                <w:sz w:val="20"/>
                <w:szCs w:val="20"/>
              </w:rPr>
              <w:t>Application denied</w:t>
            </w:r>
          </w:p>
        </w:tc>
      </w:tr>
    </w:tbl>
    <w:p w:rsidR="005337C9" w:rsidRDefault="005337C9"/>
    <w:p w:rsidR="005337C9" w:rsidRDefault="005337C9">
      <w:r>
        <w:br w:type="page"/>
      </w:r>
    </w:p>
    <w:tbl>
      <w:tblPr>
        <w:tblW w:w="9540" w:type="dxa"/>
        <w:tblLayout w:type="fixed"/>
        <w:tblCellMar>
          <w:left w:w="0" w:type="dxa"/>
          <w:right w:w="0" w:type="dxa"/>
        </w:tblCellMar>
        <w:tblLook w:val="0000"/>
      </w:tblPr>
      <w:tblGrid>
        <w:gridCol w:w="4536"/>
        <w:gridCol w:w="18"/>
        <w:gridCol w:w="270"/>
        <w:gridCol w:w="18"/>
        <w:gridCol w:w="4698"/>
      </w:tblGrid>
      <w:tr w:rsidR="00891726" w:rsidRPr="00BF0708" w:rsidTr="00AE3150">
        <w:trPr>
          <w:cantSplit/>
        </w:trPr>
        <w:tc>
          <w:tcPr>
            <w:tcW w:w="4554" w:type="dxa"/>
            <w:gridSpan w:val="2"/>
            <w:tcMar>
              <w:left w:w="0" w:type="dxa"/>
              <w:right w:w="0" w:type="dxa"/>
            </w:tcMar>
          </w:tcPr>
          <w:p w:rsidR="00891726" w:rsidRPr="00BF0708" w:rsidRDefault="00891726" w:rsidP="00E42F15">
            <w:pPr>
              <w:keepNext/>
              <w:keepLines/>
              <w:widowControl w:val="0"/>
              <w:jc w:val="both"/>
              <w:rPr>
                <w:sz w:val="20"/>
                <w:szCs w:val="20"/>
              </w:rPr>
            </w:pPr>
            <w:r w:rsidRPr="00BF0708">
              <w:rPr>
                <w:sz w:val="20"/>
                <w:szCs w:val="20"/>
              </w:rPr>
              <w:lastRenderedPageBreak/>
              <w:t>November 12, 2009</w:t>
            </w:r>
          </w:p>
          <w:p w:rsidR="00891726" w:rsidRPr="00BF0708" w:rsidRDefault="00891726" w:rsidP="00E42F15">
            <w:pPr>
              <w:keepNext/>
              <w:keepLines/>
              <w:widowControl w:val="0"/>
              <w:jc w:val="both"/>
              <w:rPr>
                <w:sz w:val="20"/>
                <w:szCs w:val="20"/>
              </w:rPr>
            </w:pPr>
            <w:r w:rsidRPr="00BF0708">
              <w:rPr>
                <w:sz w:val="20"/>
                <w:szCs w:val="20"/>
              </w:rPr>
              <w:t>Court of Appeal for British Columbia (Vancouver)</w:t>
            </w:r>
          </w:p>
          <w:p w:rsidR="00891726" w:rsidRPr="00BF0708" w:rsidRDefault="00891726" w:rsidP="00E42F15">
            <w:pPr>
              <w:keepNext/>
              <w:keepLines/>
              <w:widowControl w:val="0"/>
              <w:jc w:val="both"/>
              <w:rPr>
                <w:sz w:val="20"/>
                <w:szCs w:val="20"/>
              </w:rPr>
            </w:pPr>
            <w:r w:rsidRPr="00BF0708">
              <w:rPr>
                <w:sz w:val="20"/>
                <w:szCs w:val="20"/>
              </w:rPr>
              <w:t>(Ryan, Smith and Bauman JJ.A.)</w:t>
            </w:r>
          </w:p>
        </w:tc>
        <w:tc>
          <w:tcPr>
            <w:tcW w:w="288" w:type="dxa"/>
            <w:gridSpan w:val="2"/>
            <w:tcMar>
              <w:left w:w="0" w:type="dxa"/>
              <w:right w:w="0" w:type="dxa"/>
            </w:tcMar>
          </w:tcPr>
          <w:p w:rsidR="00891726" w:rsidRPr="00BF0708" w:rsidRDefault="00891726" w:rsidP="00E42F15">
            <w:pPr>
              <w:keepLines/>
              <w:widowControl w:val="0"/>
              <w:jc w:val="both"/>
              <w:rPr>
                <w:sz w:val="20"/>
                <w:szCs w:val="20"/>
              </w:rPr>
            </w:pPr>
          </w:p>
        </w:tc>
        <w:tc>
          <w:tcPr>
            <w:tcW w:w="4698" w:type="dxa"/>
            <w:tcMar>
              <w:left w:w="0" w:type="dxa"/>
              <w:right w:w="0" w:type="dxa"/>
            </w:tcMar>
          </w:tcPr>
          <w:p w:rsidR="00891726" w:rsidRPr="00BF0708" w:rsidRDefault="00891726" w:rsidP="00E42F15">
            <w:pPr>
              <w:keepLines/>
              <w:widowControl w:val="0"/>
              <w:jc w:val="both"/>
              <w:rPr>
                <w:sz w:val="20"/>
                <w:szCs w:val="20"/>
              </w:rPr>
            </w:pPr>
            <w:r w:rsidRPr="00BF0708">
              <w:rPr>
                <w:sz w:val="20"/>
                <w:szCs w:val="20"/>
              </w:rPr>
              <w:t>Appeal allowed, order refusing certification is set aside, and the application to certify the action as a class proceeding is granted on terms consistent with the reasons given in the judgment.</w:t>
            </w:r>
          </w:p>
          <w:p w:rsidR="00891726" w:rsidRPr="00BF0708" w:rsidRDefault="00891726" w:rsidP="00E42F15">
            <w:pPr>
              <w:keepLines/>
              <w:widowControl w:val="0"/>
              <w:jc w:val="both"/>
              <w:rPr>
                <w:sz w:val="20"/>
                <w:szCs w:val="20"/>
              </w:rPr>
            </w:pPr>
          </w:p>
        </w:tc>
      </w:tr>
      <w:tr w:rsidR="00891726" w:rsidRPr="00BF0708" w:rsidTr="00AE3150">
        <w:trPr>
          <w:cantSplit/>
        </w:trPr>
        <w:tc>
          <w:tcPr>
            <w:tcW w:w="4554" w:type="dxa"/>
            <w:gridSpan w:val="2"/>
            <w:tcMar>
              <w:left w:w="0" w:type="dxa"/>
              <w:right w:w="0" w:type="dxa"/>
            </w:tcMar>
          </w:tcPr>
          <w:p w:rsidR="00891726" w:rsidRPr="00BF0708" w:rsidRDefault="00891726" w:rsidP="00E42F15">
            <w:pPr>
              <w:keepNext/>
              <w:keepLines/>
              <w:widowControl w:val="0"/>
              <w:jc w:val="both"/>
              <w:rPr>
                <w:sz w:val="20"/>
                <w:szCs w:val="20"/>
              </w:rPr>
            </w:pPr>
            <w:r w:rsidRPr="00BF0708">
              <w:rPr>
                <w:sz w:val="20"/>
                <w:szCs w:val="20"/>
              </w:rPr>
              <w:t>January 11, 2010</w:t>
            </w:r>
          </w:p>
          <w:p w:rsidR="00891726" w:rsidRPr="00BF0708" w:rsidRDefault="00891726" w:rsidP="00E42F15">
            <w:pPr>
              <w:keepNext/>
              <w:keepLines/>
              <w:widowControl w:val="0"/>
              <w:jc w:val="both"/>
              <w:rPr>
                <w:sz w:val="20"/>
                <w:szCs w:val="20"/>
              </w:rPr>
            </w:pPr>
            <w:r w:rsidRPr="00BF0708">
              <w:rPr>
                <w:sz w:val="20"/>
                <w:szCs w:val="20"/>
              </w:rPr>
              <w:t>Supreme Court of Canada</w:t>
            </w:r>
          </w:p>
          <w:p w:rsidR="00891726" w:rsidRPr="00BF0708" w:rsidRDefault="00891726" w:rsidP="00E42F15">
            <w:pPr>
              <w:keepNext/>
              <w:keepLines/>
              <w:widowControl w:val="0"/>
              <w:jc w:val="both"/>
              <w:rPr>
                <w:sz w:val="20"/>
                <w:szCs w:val="20"/>
              </w:rPr>
            </w:pPr>
          </w:p>
        </w:tc>
        <w:tc>
          <w:tcPr>
            <w:tcW w:w="288" w:type="dxa"/>
            <w:gridSpan w:val="2"/>
            <w:tcMar>
              <w:left w:w="0" w:type="dxa"/>
              <w:right w:w="0" w:type="dxa"/>
            </w:tcMar>
          </w:tcPr>
          <w:p w:rsidR="00891726" w:rsidRPr="00BF0708" w:rsidRDefault="00891726" w:rsidP="00E42F15">
            <w:pPr>
              <w:keepLines/>
              <w:widowControl w:val="0"/>
              <w:jc w:val="both"/>
              <w:rPr>
                <w:sz w:val="20"/>
                <w:szCs w:val="20"/>
              </w:rPr>
            </w:pPr>
          </w:p>
        </w:tc>
        <w:tc>
          <w:tcPr>
            <w:tcW w:w="4698" w:type="dxa"/>
            <w:tcMar>
              <w:left w:w="0" w:type="dxa"/>
              <w:right w:w="0" w:type="dxa"/>
            </w:tcMar>
          </w:tcPr>
          <w:p w:rsidR="00891726" w:rsidRPr="00BF0708" w:rsidRDefault="00891726" w:rsidP="00E42F15">
            <w:pPr>
              <w:keepLines/>
              <w:widowControl w:val="0"/>
              <w:jc w:val="both"/>
              <w:rPr>
                <w:sz w:val="20"/>
                <w:szCs w:val="20"/>
              </w:rPr>
            </w:pPr>
            <w:r w:rsidRPr="00BF0708">
              <w:rPr>
                <w:sz w:val="20"/>
                <w:szCs w:val="20"/>
              </w:rPr>
              <w:t>First application for leave to appeal filed by Infineon Technologies AG et al. v. Pro-Sys Consultants Ltd.)</w:t>
            </w:r>
          </w:p>
          <w:p w:rsidR="00891726" w:rsidRPr="00BF0708" w:rsidRDefault="00891726" w:rsidP="00E42F15">
            <w:pPr>
              <w:keepLines/>
              <w:widowControl w:val="0"/>
              <w:jc w:val="both"/>
              <w:rPr>
                <w:sz w:val="20"/>
                <w:szCs w:val="20"/>
              </w:rPr>
            </w:pPr>
          </w:p>
        </w:tc>
      </w:tr>
      <w:tr w:rsidR="00891726" w:rsidRPr="00BF0708" w:rsidTr="00AE3150">
        <w:trPr>
          <w:cantSplit/>
        </w:trPr>
        <w:tc>
          <w:tcPr>
            <w:tcW w:w="4554" w:type="dxa"/>
            <w:gridSpan w:val="2"/>
            <w:tcMar>
              <w:left w:w="0" w:type="dxa"/>
              <w:right w:w="0" w:type="dxa"/>
            </w:tcMar>
          </w:tcPr>
          <w:p w:rsidR="00891726" w:rsidRPr="00BF0708" w:rsidRDefault="00891726" w:rsidP="00E42F15">
            <w:pPr>
              <w:keepNext/>
              <w:keepLines/>
              <w:widowControl w:val="0"/>
              <w:jc w:val="both"/>
              <w:rPr>
                <w:sz w:val="20"/>
                <w:szCs w:val="20"/>
              </w:rPr>
            </w:pPr>
            <w:r w:rsidRPr="00BF0708">
              <w:rPr>
                <w:sz w:val="20"/>
                <w:szCs w:val="20"/>
              </w:rPr>
              <w:t>January 11, 2010</w:t>
            </w:r>
          </w:p>
          <w:p w:rsidR="00891726" w:rsidRPr="00BF0708" w:rsidRDefault="00891726" w:rsidP="00E42F15">
            <w:pPr>
              <w:keepNext/>
              <w:keepLines/>
              <w:widowControl w:val="0"/>
              <w:jc w:val="both"/>
              <w:rPr>
                <w:sz w:val="20"/>
                <w:szCs w:val="20"/>
              </w:rPr>
            </w:pPr>
            <w:r w:rsidRPr="00BF0708">
              <w:rPr>
                <w:sz w:val="20"/>
                <w:szCs w:val="20"/>
              </w:rPr>
              <w:t>Supreme Court of Canada</w:t>
            </w:r>
          </w:p>
          <w:p w:rsidR="00891726" w:rsidRPr="00BF0708" w:rsidRDefault="00891726" w:rsidP="00E42F15">
            <w:pPr>
              <w:keepNext/>
              <w:keepLines/>
              <w:widowControl w:val="0"/>
              <w:jc w:val="both"/>
              <w:rPr>
                <w:sz w:val="20"/>
                <w:szCs w:val="20"/>
              </w:rPr>
            </w:pPr>
          </w:p>
        </w:tc>
        <w:tc>
          <w:tcPr>
            <w:tcW w:w="288" w:type="dxa"/>
            <w:gridSpan w:val="2"/>
            <w:tcMar>
              <w:left w:w="0" w:type="dxa"/>
              <w:right w:w="0" w:type="dxa"/>
            </w:tcMar>
          </w:tcPr>
          <w:p w:rsidR="00891726" w:rsidRPr="00BF0708" w:rsidRDefault="00891726" w:rsidP="00E42F15">
            <w:pPr>
              <w:keepLines/>
              <w:widowControl w:val="0"/>
              <w:jc w:val="both"/>
              <w:rPr>
                <w:sz w:val="20"/>
                <w:szCs w:val="20"/>
              </w:rPr>
            </w:pPr>
          </w:p>
        </w:tc>
        <w:tc>
          <w:tcPr>
            <w:tcW w:w="4698" w:type="dxa"/>
            <w:tcMar>
              <w:left w:w="0" w:type="dxa"/>
              <w:right w:w="0" w:type="dxa"/>
            </w:tcMar>
          </w:tcPr>
          <w:p w:rsidR="00891726" w:rsidRPr="00BF0708" w:rsidRDefault="00891726" w:rsidP="00E42F15">
            <w:pPr>
              <w:keepLines/>
              <w:widowControl w:val="0"/>
              <w:jc w:val="both"/>
              <w:rPr>
                <w:sz w:val="20"/>
                <w:szCs w:val="20"/>
              </w:rPr>
            </w:pPr>
            <w:r w:rsidRPr="00BF0708">
              <w:rPr>
                <w:sz w:val="20"/>
                <w:szCs w:val="20"/>
              </w:rPr>
              <w:t>Second application for leave to appeal filed by Hynix Semiconductor Inc. et al. v. Pro-Sys Consultants Ltd.</w:t>
            </w:r>
          </w:p>
          <w:p w:rsidR="00891726" w:rsidRPr="00BF0708" w:rsidRDefault="00891726" w:rsidP="00E42F15">
            <w:pPr>
              <w:keepLines/>
              <w:widowControl w:val="0"/>
              <w:jc w:val="both"/>
              <w:rPr>
                <w:sz w:val="20"/>
                <w:szCs w:val="20"/>
              </w:rPr>
            </w:pPr>
          </w:p>
        </w:tc>
      </w:tr>
      <w:tr w:rsidR="00891726" w:rsidRPr="00BF0708" w:rsidTr="00AE3150">
        <w:trPr>
          <w:cantSplit/>
        </w:trPr>
        <w:tc>
          <w:tcPr>
            <w:tcW w:w="4554" w:type="dxa"/>
            <w:gridSpan w:val="2"/>
            <w:tcMar>
              <w:left w:w="0" w:type="dxa"/>
              <w:right w:w="0" w:type="dxa"/>
            </w:tcMar>
          </w:tcPr>
          <w:p w:rsidR="00891726" w:rsidRPr="00BF0708" w:rsidRDefault="00891726" w:rsidP="00E42F15">
            <w:pPr>
              <w:keepNext/>
              <w:keepLines/>
              <w:widowControl w:val="0"/>
              <w:jc w:val="both"/>
              <w:rPr>
                <w:sz w:val="20"/>
                <w:szCs w:val="20"/>
              </w:rPr>
            </w:pPr>
            <w:r w:rsidRPr="00BF0708">
              <w:rPr>
                <w:sz w:val="20"/>
                <w:szCs w:val="20"/>
              </w:rPr>
              <w:t>January 11, 2010</w:t>
            </w:r>
          </w:p>
          <w:p w:rsidR="00891726" w:rsidRPr="00BF0708" w:rsidRDefault="00891726" w:rsidP="00E42F15">
            <w:pPr>
              <w:keepNext/>
              <w:keepLines/>
              <w:widowControl w:val="0"/>
              <w:jc w:val="both"/>
              <w:rPr>
                <w:sz w:val="20"/>
                <w:szCs w:val="20"/>
              </w:rPr>
            </w:pPr>
            <w:r w:rsidRPr="00BF0708">
              <w:rPr>
                <w:sz w:val="20"/>
                <w:szCs w:val="20"/>
              </w:rPr>
              <w:t>Supreme Court of Canada</w:t>
            </w:r>
          </w:p>
          <w:p w:rsidR="00891726" w:rsidRPr="00BF0708" w:rsidRDefault="00891726" w:rsidP="00E42F15">
            <w:pPr>
              <w:keepNext/>
              <w:keepLines/>
              <w:widowControl w:val="0"/>
              <w:jc w:val="both"/>
              <w:rPr>
                <w:sz w:val="20"/>
                <w:szCs w:val="20"/>
              </w:rPr>
            </w:pPr>
          </w:p>
        </w:tc>
        <w:tc>
          <w:tcPr>
            <w:tcW w:w="288" w:type="dxa"/>
            <w:gridSpan w:val="2"/>
            <w:tcMar>
              <w:left w:w="0" w:type="dxa"/>
              <w:right w:w="0" w:type="dxa"/>
            </w:tcMar>
          </w:tcPr>
          <w:p w:rsidR="00891726" w:rsidRPr="00BF0708" w:rsidRDefault="00891726" w:rsidP="00E42F15">
            <w:pPr>
              <w:keepLines/>
              <w:widowControl w:val="0"/>
              <w:jc w:val="both"/>
              <w:rPr>
                <w:sz w:val="20"/>
                <w:szCs w:val="20"/>
              </w:rPr>
            </w:pPr>
          </w:p>
        </w:tc>
        <w:tc>
          <w:tcPr>
            <w:tcW w:w="4698" w:type="dxa"/>
            <w:tcMar>
              <w:left w:w="0" w:type="dxa"/>
              <w:right w:w="0" w:type="dxa"/>
            </w:tcMar>
          </w:tcPr>
          <w:p w:rsidR="00891726" w:rsidRPr="00BF0708" w:rsidRDefault="00891726" w:rsidP="00E42F15">
            <w:pPr>
              <w:keepLines/>
              <w:widowControl w:val="0"/>
              <w:jc w:val="both"/>
              <w:rPr>
                <w:sz w:val="20"/>
                <w:szCs w:val="20"/>
              </w:rPr>
            </w:pPr>
            <w:r w:rsidRPr="00BF0708">
              <w:rPr>
                <w:sz w:val="20"/>
                <w:szCs w:val="20"/>
              </w:rPr>
              <w:t>Third application for leave to appeal filed by Samsung electronics Co., Ltd. et al. v. Pro-Sys Consultants Ltd.</w:t>
            </w:r>
          </w:p>
          <w:p w:rsidR="00891726" w:rsidRPr="00BF0708" w:rsidRDefault="00891726" w:rsidP="00E42F15">
            <w:pPr>
              <w:keepLines/>
              <w:widowControl w:val="0"/>
              <w:jc w:val="both"/>
              <w:rPr>
                <w:sz w:val="20"/>
                <w:szCs w:val="20"/>
              </w:rPr>
            </w:pPr>
          </w:p>
        </w:tc>
      </w:tr>
      <w:tr w:rsidR="00891726" w:rsidRPr="00BF0708" w:rsidTr="00AE3150">
        <w:trPr>
          <w:cantSplit/>
        </w:trPr>
        <w:tc>
          <w:tcPr>
            <w:tcW w:w="4554" w:type="dxa"/>
            <w:gridSpan w:val="2"/>
            <w:tcMar>
              <w:left w:w="0" w:type="dxa"/>
              <w:right w:w="0" w:type="dxa"/>
            </w:tcMar>
          </w:tcPr>
          <w:p w:rsidR="00891726" w:rsidRPr="00BF0708" w:rsidRDefault="00891726" w:rsidP="00E42F15">
            <w:pPr>
              <w:keepNext/>
              <w:keepLines/>
              <w:widowControl w:val="0"/>
              <w:jc w:val="both"/>
              <w:rPr>
                <w:sz w:val="20"/>
                <w:szCs w:val="20"/>
              </w:rPr>
            </w:pPr>
            <w:r w:rsidRPr="00BF0708">
              <w:rPr>
                <w:sz w:val="20"/>
                <w:szCs w:val="20"/>
              </w:rPr>
              <w:t>January 11, 2010</w:t>
            </w:r>
          </w:p>
          <w:p w:rsidR="00891726" w:rsidRPr="00BF0708" w:rsidRDefault="00891726" w:rsidP="00E42F15">
            <w:pPr>
              <w:keepNext/>
              <w:keepLines/>
              <w:widowControl w:val="0"/>
              <w:jc w:val="both"/>
              <w:rPr>
                <w:sz w:val="20"/>
                <w:szCs w:val="20"/>
              </w:rPr>
            </w:pPr>
            <w:r w:rsidRPr="00BF0708">
              <w:rPr>
                <w:sz w:val="20"/>
                <w:szCs w:val="20"/>
              </w:rPr>
              <w:t>Supreme Court of Canada</w:t>
            </w:r>
          </w:p>
          <w:p w:rsidR="00891726" w:rsidRPr="00BF0708" w:rsidRDefault="00891726" w:rsidP="00E42F15">
            <w:pPr>
              <w:keepNext/>
              <w:keepLines/>
              <w:widowControl w:val="0"/>
              <w:jc w:val="both"/>
              <w:rPr>
                <w:sz w:val="20"/>
                <w:szCs w:val="20"/>
              </w:rPr>
            </w:pPr>
          </w:p>
        </w:tc>
        <w:tc>
          <w:tcPr>
            <w:tcW w:w="288" w:type="dxa"/>
            <w:gridSpan w:val="2"/>
            <w:tcMar>
              <w:left w:w="0" w:type="dxa"/>
              <w:right w:w="0" w:type="dxa"/>
            </w:tcMar>
          </w:tcPr>
          <w:p w:rsidR="00891726" w:rsidRPr="00BF0708" w:rsidRDefault="00891726" w:rsidP="00E42F15">
            <w:pPr>
              <w:keepLines/>
              <w:widowControl w:val="0"/>
              <w:jc w:val="both"/>
              <w:rPr>
                <w:sz w:val="20"/>
                <w:szCs w:val="20"/>
              </w:rPr>
            </w:pPr>
          </w:p>
        </w:tc>
        <w:tc>
          <w:tcPr>
            <w:tcW w:w="4698" w:type="dxa"/>
            <w:tcMar>
              <w:left w:w="0" w:type="dxa"/>
              <w:right w:w="0" w:type="dxa"/>
            </w:tcMar>
          </w:tcPr>
          <w:p w:rsidR="00891726" w:rsidRPr="00BF0708" w:rsidRDefault="00891726" w:rsidP="00E42F15">
            <w:pPr>
              <w:keepLines/>
              <w:widowControl w:val="0"/>
              <w:jc w:val="both"/>
              <w:rPr>
                <w:sz w:val="20"/>
                <w:szCs w:val="20"/>
              </w:rPr>
            </w:pPr>
            <w:r w:rsidRPr="00BF0708">
              <w:rPr>
                <w:sz w:val="20"/>
                <w:szCs w:val="20"/>
              </w:rPr>
              <w:t>Fourth application for leave to appeal filed by Micron Technology Inc. et al. v. Pro-Sys Consultants Ltd.</w:t>
            </w:r>
          </w:p>
          <w:p w:rsidR="00891726" w:rsidRPr="00BF0708" w:rsidRDefault="00891726" w:rsidP="00E42F15">
            <w:pPr>
              <w:keepLines/>
              <w:widowControl w:val="0"/>
              <w:jc w:val="both"/>
              <w:rPr>
                <w:sz w:val="20"/>
                <w:szCs w:val="20"/>
              </w:rPr>
            </w:pPr>
          </w:p>
        </w:tc>
      </w:tr>
      <w:tr w:rsidR="00891726" w:rsidRPr="00BF0708" w:rsidTr="00AE3150">
        <w:trPr>
          <w:cantSplit/>
        </w:trPr>
        <w:tc>
          <w:tcPr>
            <w:tcW w:w="4536" w:type="dxa"/>
            <w:tcMar>
              <w:left w:w="0" w:type="dxa"/>
              <w:right w:w="0" w:type="dxa"/>
            </w:tcMar>
          </w:tcPr>
          <w:p w:rsidR="00891726" w:rsidRPr="00BF0708" w:rsidRDefault="00891726" w:rsidP="00E42F15">
            <w:pPr>
              <w:keepNext/>
              <w:keepLines/>
              <w:widowControl w:val="0"/>
              <w:jc w:val="both"/>
              <w:rPr>
                <w:sz w:val="20"/>
                <w:szCs w:val="20"/>
              </w:rPr>
            </w:pPr>
            <w:r w:rsidRPr="00BF0708">
              <w:rPr>
                <w:sz w:val="20"/>
                <w:szCs w:val="20"/>
              </w:rPr>
              <w:t>January 11, 2010</w:t>
            </w:r>
          </w:p>
          <w:p w:rsidR="00891726" w:rsidRPr="00BF0708" w:rsidRDefault="00891726" w:rsidP="00E42F15">
            <w:pPr>
              <w:keepNext/>
              <w:keepLines/>
              <w:widowControl w:val="0"/>
              <w:jc w:val="both"/>
              <w:rPr>
                <w:sz w:val="20"/>
                <w:szCs w:val="20"/>
              </w:rPr>
            </w:pPr>
            <w:r w:rsidRPr="00BF0708">
              <w:rPr>
                <w:sz w:val="20"/>
                <w:szCs w:val="20"/>
              </w:rPr>
              <w:t>Supreme Court of Canada</w:t>
            </w:r>
          </w:p>
        </w:tc>
        <w:tc>
          <w:tcPr>
            <w:tcW w:w="288" w:type="dxa"/>
            <w:gridSpan w:val="2"/>
            <w:tcMar>
              <w:left w:w="0" w:type="dxa"/>
              <w:right w:w="0" w:type="dxa"/>
            </w:tcMar>
          </w:tcPr>
          <w:p w:rsidR="00891726" w:rsidRPr="00BF0708" w:rsidRDefault="00891726" w:rsidP="00E42F15">
            <w:pPr>
              <w:keepNext/>
              <w:keepLines/>
              <w:widowControl w:val="0"/>
              <w:jc w:val="both"/>
              <w:rPr>
                <w:sz w:val="20"/>
                <w:szCs w:val="20"/>
              </w:rPr>
            </w:pPr>
          </w:p>
        </w:tc>
        <w:tc>
          <w:tcPr>
            <w:tcW w:w="4716" w:type="dxa"/>
            <w:gridSpan w:val="2"/>
            <w:tcMar>
              <w:left w:w="0" w:type="dxa"/>
              <w:right w:w="0" w:type="dxa"/>
            </w:tcMar>
          </w:tcPr>
          <w:p w:rsidR="00891726" w:rsidRPr="00BF0708" w:rsidRDefault="00891726" w:rsidP="00E42F15">
            <w:pPr>
              <w:keepLines/>
              <w:widowControl w:val="0"/>
              <w:jc w:val="both"/>
              <w:rPr>
                <w:sz w:val="20"/>
                <w:szCs w:val="20"/>
              </w:rPr>
            </w:pPr>
            <w:r w:rsidRPr="00BF0708">
              <w:rPr>
                <w:sz w:val="20"/>
                <w:szCs w:val="20"/>
              </w:rPr>
              <w:t>Fifth application for leave to appeal filed by Elpida Memory Inc. et al. v. Pro-Sys Consultants Ltd.</w:t>
            </w:r>
          </w:p>
        </w:tc>
      </w:tr>
    </w:tbl>
    <w:p w:rsidR="00FD4A4B" w:rsidRDefault="00FD4A4B" w:rsidP="008D292F">
      <w:pPr>
        <w:rPr>
          <w:sz w:val="20"/>
          <w:szCs w:val="20"/>
        </w:rPr>
      </w:pPr>
    </w:p>
    <w:p w:rsidR="00FD4A4B" w:rsidRPr="00C50A5C" w:rsidRDefault="00414F7B" w:rsidP="00FD4A4B">
      <w:pPr>
        <w:rPr>
          <w:sz w:val="20"/>
          <w:szCs w:val="20"/>
        </w:rPr>
      </w:pPr>
      <w:r w:rsidRPr="00414F7B">
        <w:rPr>
          <w:sz w:val="20"/>
          <w:szCs w:val="20"/>
          <w:lang w:val="fr-CA"/>
        </w:rPr>
        <w:pict>
          <v:rect id="_x0000_i1040" style="width:2in;height:1pt" o:hrpct="0" o:hralign="center" o:hrstd="t" o:hrnoshade="t" o:hr="t" fillcolor="black [3213]" stroked="f"/>
        </w:pict>
      </w:r>
    </w:p>
    <w:p w:rsidR="00FD4A4B" w:rsidRDefault="00FD4A4B" w:rsidP="00FD4A4B">
      <w:pPr>
        <w:rPr>
          <w:sz w:val="20"/>
          <w:szCs w:val="20"/>
        </w:rPr>
      </w:pPr>
    </w:p>
    <w:p w:rsidR="00FD4A4B" w:rsidRPr="001B157C" w:rsidRDefault="00FD4A4B" w:rsidP="00FD4A4B">
      <w:pPr>
        <w:rPr>
          <w:sz w:val="20"/>
          <w:szCs w:val="20"/>
          <w:u w:val="single"/>
          <w:lang w:val="fr-CA"/>
        </w:rPr>
      </w:pPr>
      <w:r w:rsidRPr="001B157C">
        <w:rPr>
          <w:sz w:val="20"/>
          <w:szCs w:val="20"/>
          <w:u w:val="single"/>
          <w:lang w:val="fr-CA"/>
        </w:rPr>
        <w:t>RÉSUMÉ DE L’AFFAIRE</w:t>
      </w:r>
    </w:p>
    <w:p w:rsidR="00FD4A4B" w:rsidRDefault="00FD4A4B" w:rsidP="008D292F">
      <w:pPr>
        <w:rPr>
          <w:sz w:val="20"/>
          <w:szCs w:val="20"/>
        </w:rPr>
      </w:pPr>
    </w:p>
    <w:tbl>
      <w:tblPr>
        <w:tblW w:w="9540" w:type="dxa"/>
        <w:tblBorders>
          <w:top w:val="nil"/>
          <w:left w:val="nil"/>
          <w:bottom w:val="nil"/>
          <w:right w:val="nil"/>
          <w:insideH w:val="nil"/>
          <w:insideV w:val="nil"/>
        </w:tblBorders>
        <w:tblLayout w:type="fixed"/>
        <w:tblCellMar>
          <w:left w:w="0" w:type="dxa"/>
          <w:right w:w="0" w:type="dxa"/>
        </w:tblCellMar>
        <w:tblLook w:val="0000"/>
      </w:tblPr>
      <w:tblGrid>
        <w:gridCol w:w="4536"/>
        <w:gridCol w:w="288"/>
        <w:gridCol w:w="4716"/>
      </w:tblGrid>
      <w:tr w:rsidR="00891726" w:rsidRPr="0028361F" w:rsidTr="00AE3150">
        <w:trPr>
          <w:cantSplit/>
          <w:trHeight w:val="20"/>
        </w:trPr>
        <w:tc>
          <w:tcPr>
            <w:tcW w:w="9540" w:type="dxa"/>
            <w:gridSpan w:val="3"/>
            <w:tcMar>
              <w:left w:w="0" w:type="dxa"/>
              <w:bottom w:w="100" w:type="dxa"/>
              <w:right w:w="0" w:type="dxa"/>
            </w:tcMar>
            <w:vAlign w:val="center"/>
          </w:tcPr>
          <w:p w:rsidR="00891726" w:rsidRPr="00BF0708" w:rsidRDefault="00891726" w:rsidP="00E42F15">
            <w:pPr>
              <w:widowControl w:val="0"/>
              <w:jc w:val="both"/>
              <w:rPr>
                <w:sz w:val="20"/>
                <w:szCs w:val="20"/>
                <w:lang w:val="fr-CA"/>
              </w:rPr>
            </w:pPr>
            <w:r w:rsidRPr="00BF0708">
              <w:rPr>
                <w:sz w:val="20"/>
                <w:szCs w:val="20"/>
                <w:lang w:val="fr-CA"/>
              </w:rPr>
              <w:t xml:space="preserve">Procédure civile - Tribunaux - Actes de procédure - Recours collectif - Dommages-intérêts - Certification - Élements - Demandes globales de restitution - Valeur probante de la preuve relative aux critères de la certification - Une preuve de préjudice est-elle nécessaire pour chaque personne inscrite au recours collectif? - Rôle et portée de la poursuite privée sous le régime de la </w:t>
            </w:r>
            <w:r w:rsidRPr="00BF0708">
              <w:rPr>
                <w:i/>
                <w:sz w:val="20"/>
                <w:szCs w:val="20"/>
                <w:lang w:val="fr-CA"/>
              </w:rPr>
              <w:t>Loi sur la concurrence</w:t>
            </w:r>
            <w:r w:rsidRPr="00BF0708">
              <w:rPr>
                <w:sz w:val="20"/>
                <w:szCs w:val="20"/>
                <w:lang w:val="fr-CA"/>
              </w:rPr>
              <w:t>, L.R.C. 1985, ch. C-34 - Disponibilité de réparations par restitution comme la renonciation au recours fondé sur la responsabilité délictuelle comme voie à la certification - Nature du critère de la certification.</w:t>
            </w:r>
          </w:p>
          <w:p w:rsidR="00891726" w:rsidRPr="00BF0708" w:rsidRDefault="00891726" w:rsidP="00E42F15">
            <w:pPr>
              <w:widowControl w:val="0"/>
              <w:jc w:val="both"/>
              <w:rPr>
                <w:sz w:val="20"/>
                <w:szCs w:val="20"/>
                <w:lang w:val="fr-CA"/>
              </w:rPr>
            </w:pPr>
          </w:p>
        </w:tc>
      </w:tr>
      <w:tr w:rsidR="00891726" w:rsidRPr="0028361F" w:rsidTr="00AE3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0" w:type="dxa"/>
            <w:gridSpan w:val="3"/>
            <w:tcMar>
              <w:left w:w="0" w:type="dxa"/>
              <w:right w:w="0" w:type="dxa"/>
            </w:tcMar>
          </w:tcPr>
          <w:p w:rsidR="00891726" w:rsidRPr="00BF0708" w:rsidRDefault="00891726" w:rsidP="00E42F15">
            <w:pPr>
              <w:widowControl w:val="0"/>
              <w:jc w:val="both"/>
              <w:rPr>
                <w:sz w:val="20"/>
                <w:szCs w:val="20"/>
                <w:lang w:val="fr-CA"/>
              </w:rPr>
            </w:pPr>
            <w:r w:rsidRPr="00BF0708">
              <w:rPr>
                <w:sz w:val="20"/>
                <w:szCs w:val="20"/>
                <w:lang w:val="fr-CA"/>
              </w:rPr>
              <w:t>Les demanderesses fabriquent des puces mémoire semi-conductrices (DRAM – « mémoire vive dynamique »).  Toutes, à l’exception de Micron qui s’est vu offrir l’amnistie en échange de sa collaboration, ont plaidé coupable aux États-Unis à des accusations au criminel découlant d’un complot international en vue de fixer les prix du 1</w:t>
            </w:r>
            <w:r w:rsidRPr="00BF0708">
              <w:rPr>
                <w:sz w:val="20"/>
                <w:szCs w:val="20"/>
                <w:vertAlign w:val="superscript"/>
                <w:lang w:val="fr-CA"/>
              </w:rPr>
              <w:t>er</w:t>
            </w:r>
            <w:r w:rsidRPr="00BF0708">
              <w:rPr>
                <w:sz w:val="20"/>
                <w:szCs w:val="20"/>
                <w:lang w:val="fr-CA"/>
              </w:rPr>
              <w:t xml:space="preserve"> avril 1999 au 30 juin 2002 (la période visée par le recours collectif).  Toutefois, aucune d’elles n’a été accusée d’activité criminelle au Canada et aucune n’a payé d’amende ou de pénalités aux autorités canadiennes de réglementation ou n’a indemnisé les acheteurs canadiens de DRAM autres que les Canadiens qui étaient parties au règlement des recours collectifs fondés sur les achats directs aux États-Unis. L’intimée Pro-Sys a acheté un ordinateur portable en Colombie-Britannique pendant la période visée par le recours collectif et elle allègue l’avoir payé plus cher parce qu’il était muni de DRAM, parce que les fabricants contrôlent le marché de la DRAM en Colombie-Britannique et parce qu’ils auraient fixé les prix pendant la période en question.  Pro-Sys a intenté un recours au nom [</w:t>
            </w:r>
            <w:r w:rsidRPr="00BF0708">
              <w:rPr>
                <w:smallCaps/>
                <w:sz w:val="20"/>
                <w:szCs w:val="20"/>
                <w:lang w:val="fr-CA"/>
              </w:rPr>
              <w:t>traduction</w:t>
            </w:r>
            <w:r w:rsidRPr="00BF0708">
              <w:rPr>
                <w:sz w:val="20"/>
                <w:szCs w:val="20"/>
                <w:lang w:val="fr-CA"/>
              </w:rPr>
              <w:t>] « [. . .] toutes les personnes résidentes de la Colombie-Britannique [. . .] qui ont acheté de la mémoire vive dynamique (« DRAM ») ou des produits munis de DRAM en Colombie-Britannique ou à partir de cette province entre le 1</w:t>
            </w:r>
            <w:r w:rsidRPr="00BF0708">
              <w:rPr>
                <w:sz w:val="20"/>
                <w:szCs w:val="20"/>
                <w:vertAlign w:val="superscript"/>
                <w:lang w:val="fr-CA"/>
              </w:rPr>
              <w:t>er</w:t>
            </w:r>
            <w:r w:rsidRPr="00BF0708">
              <w:rPr>
                <w:sz w:val="20"/>
                <w:szCs w:val="20"/>
                <w:lang w:val="fr-CA"/>
              </w:rPr>
              <w:t xml:space="preserve"> avril 1999 et le 30 juin 2002 [. . .]. » La question principale, c’est-à-dire la responsabilité à l’égard de la fixation des prix, était commune à toutes les demandes. </w:t>
            </w:r>
          </w:p>
          <w:p w:rsidR="00891726" w:rsidRPr="00BF0708" w:rsidRDefault="00891726" w:rsidP="00E42F15">
            <w:pPr>
              <w:keepLines/>
              <w:widowControl w:val="0"/>
              <w:rPr>
                <w:sz w:val="20"/>
                <w:szCs w:val="20"/>
                <w:lang w:val="fr-CA"/>
              </w:rPr>
            </w:pPr>
          </w:p>
        </w:tc>
      </w:tr>
      <w:tr w:rsidR="00891726" w:rsidRPr="00BF0708" w:rsidTr="00AE3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tcMar>
              <w:left w:w="0" w:type="dxa"/>
              <w:right w:w="0" w:type="dxa"/>
            </w:tcMar>
          </w:tcPr>
          <w:p w:rsidR="00891726" w:rsidRPr="00BF0708" w:rsidRDefault="00891726" w:rsidP="00E42F15">
            <w:pPr>
              <w:keepNext/>
              <w:keepLines/>
              <w:widowControl w:val="0"/>
              <w:rPr>
                <w:sz w:val="20"/>
                <w:szCs w:val="20"/>
                <w:lang w:val="fr-CA"/>
              </w:rPr>
            </w:pPr>
            <w:r w:rsidRPr="00BF0708">
              <w:rPr>
                <w:sz w:val="20"/>
                <w:szCs w:val="20"/>
                <w:lang w:val="fr-CA"/>
              </w:rPr>
              <w:t>6 mai 2008</w:t>
            </w:r>
          </w:p>
          <w:p w:rsidR="00891726" w:rsidRPr="00BF0708" w:rsidRDefault="00891726" w:rsidP="00E42F15">
            <w:pPr>
              <w:keepNext/>
              <w:keepLines/>
              <w:widowControl w:val="0"/>
              <w:rPr>
                <w:sz w:val="20"/>
                <w:szCs w:val="20"/>
                <w:lang w:val="fr-CA"/>
              </w:rPr>
            </w:pPr>
            <w:r w:rsidRPr="00BF0708">
              <w:rPr>
                <w:sz w:val="20"/>
                <w:szCs w:val="20"/>
                <w:lang w:val="fr-CA"/>
              </w:rPr>
              <w:t>Cour suprême de la Colombie-Britannique</w:t>
            </w:r>
          </w:p>
          <w:p w:rsidR="00891726" w:rsidRPr="00BF0708" w:rsidRDefault="00891726" w:rsidP="005337C9">
            <w:pPr>
              <w:keepNext/>
              <w:keepLines/>
              <w:widowControl w:val="0"/>
              <w:rPr>
                <w:sz w:val="20"/>
                <w:szCs w:val="20"/>
              </w:rPr>
            </w:pPr>
            <w:r w:rsidRPr="00BF0708">
              <w:rPr>
                <w:sz w:val="20"/>
                <w:szCs w:val="20"/>
              </w:rPr>
              <w:t>(Juge Masuhara)</w:t>
            </w:r>
          </w:p>
        </w:tc>
        <w:tc>
          <w:tcPr>
            <w:tcW w:w="288" w:type="dxa"/>
            <w:tcMar>
              <w:left w:w="0" w:type="dxa"/>
              <w:right w:w="0" w:type="dxa"/>
            </w:tcMar>
          </w:tcPr>
          <w:p w:rsidR="00891726" w:rsidRPr="00BF0708" w:rsidRDefault="00891726" w:rsidP="00E42F15">
            <w:pPr>
              <w:keepLines/>
              <w:widowControl w:val="0"/>
              <w:rPr>
                <w:sz w:val="20"/>
                <w:szCs w:val="20"/>
              </w:rPr>
            </w:pPr>
          </w:p>
        </w:tc>
        <w:tc>
          <w:tcPr>
            <w:tcW w:w="4716" w:type="dxa"/>
            <w:tcMar>
              <w:left w:w="0" w:type="dxa"/>
              <w:right w:w="0" w:type="dxa"/>
            </w:tcMar>
          </w:tcPr>
          <w:p w:rsidR="00891726" w:rsidRPr="00BF0708" w:rsidRDefault="00891726" w:rsidP="00E42F15">
            <w:pPr>
              <w:keepLines/>
              <w:widowControl w:val="0"/>
              <w:rPr>
                <w:sz w:val="20"/>
                <w:szCs w:val="20"/>
              </w:rPr>
            </w:pPr>
            <w:r w:rsidRPr="00BF0708">
              <w:rPr>
                <w:sz w:val="20"/>
                <w:szCs w:val="20"/>
              </w:rPr>
              <w:t>Demande rejetée</w:t>
            </w:r>
          </w:p>
        </w:tc>
      </w:tr>
    </w:tbl>
    <w:p w:rsidR="005337C9" w:rsidRDefault="005337C9"/>
    <w:p w:rsidR="005337C9" w:rsidRDefault="005337C9">
      <w:r>
        <w:br w:type="page"/>
      </w:r>
    </w:p>
    <w:tbl>
      <w:tblPr>
        <w:tblW w:w="9540" w:type="dxa"/>
        <w:tblLayout w:type="fixed"/>
        <w:tblCellMar>
          <w:left w:w="0" w:type="dxa"/>
          <w:right w:w="0" w:type="dxa"/>
        </w:tblCellMar>
        <w:tblLook w:val="0000"/>
      </w:tblPr>
      <w:tblGrid>
        <w:gridCol w:w="4536"/>
        <w:gridCol w:w="288"/>
        <w:gridCol w:w="4716"/>
      </w:tblGrid>
      <w:tr w:rsidR="00891726" w:rsidRPr="0028361F" w:rsidTr="00AE3150">
        <w:trPr>
          <w:cantSplit/>
        </w:trPr>
        <w:tc>
          <w:tcPr>
            <w:tcW w:w="4536" w:type="dxa"/>
            <w:tcMar>
              <w:left w:w="0" w:type="dxa"/>
              <w:right w:w="0" w:type="dxa"/>
            </w:tcMar>
          </w:tcPr>
          <w:p w:rsidR="00891726" w:rsidRPr="00BF0708" w:rsidRDefault="00891726" w:rsidP="00E42F15">
            <w:pPr>
              <w:keepNext/>
              <w:keepLines/>
              <w:widowControl w:val="0"/>
              <w:rPr>
                <w:sz w:val="20"/>
                <w:szCs w:val="20"/>
                <w:lang w:val="fr-CA"/>
              </w:rPr>
            </w:pPr>
            <w:r w:rsidRPr="00BF0708">
              <w:rPr>
                <w:sz w:val="20"/>
                <w:szCs w:val="20"/>
                <w:lang w:val="fr-CA"/>
              </w:rPr>
              <w:lastRenderedPageBreak/>
              <w:t>12 novembre 2009</w:t>
            </w:r>
          </w:p>
          <w:p w:rsidR="00891726" w:rsidRPr="00BF0708" w:rsidRDefault="00891726" w:rsidP="00E42F15">
            <w:pPr>
              <w:keepNext/>
              <w:keepLines/>
              <w:widowControl w:val="0"/>
              <w:rPr>
                <w:sz w:val="20"/>
                <w:szCs w:val="20"/>
                <w:lang w:val="fr-CA"/>
              </w:rPr>
            </w:pPr>
            <w:r w:rsidRPr="00BF0708">
              <w:rPr>
                <w:sz w:val="20"/>
                <w:szCs w:val="20"/>
                <w:lang w:val="fr-CA"/>
              </w:rPr>
              <w:t>Cour d’appel de la Colombie-Britannique (Vancouver)</w:t>
            </w:r>
          </w:p>
          <w:p w:rsidR="00891726" w:rsidRPr="00BF0708" w:rsidRDefault="00891726" w:rsidP="00E42F15">
            <w:pPr>
              <w:keepNext/>
              <w:keepLines/>
              <w:widowControl w:val="0"/>
              <w:rPr>
                <w:sz w:val="20"/>
                <w:szCs w:val="20"/>
                <w:lang w:val="fr-CA"/>
              </w:rPr>
            </w:pPr>
            <w:r w:rsidRPr="00BF0708">
              <w:rPr>
                <w:sz w:val="20"/>
                <w:szCs w:val="20"/>
                <w:lang w:val="fr-CA"/>
              </w:rPr>
              <w:t>(Juges Ryan, Smith et Bauman)</w:t>
            </w:r>
          </w:p>
        </w:tc>
        <w:tc>
          <w:tcPr>
            <w:tcW w:w="288" w:type="dxa"/>
            <w:tcMar>
              <w:left w:w="0" w:type="dxa"/>
              <w:right w:w="0" w:type="dxa"/>
            </w:tcMar>
          </w:tcPr>
          <w:p w:rsidR="00891726" w:rsidRPr="00BF0708" w:rsidRDefault="00891726" w:rsidP="00E42F15">
            <w:pPr>
              <w:keepLines/>
              <w:widowControl w:val="0"/>
              <w:rPr>
                <w:sz w:val="20"/>
                <w:szCs w:val="20"/>
                <w:lang w:val="fr-CA"/>
              </w:rPr>
            </w:pPr>
          </w:p>
        </w:tc>
        <w:tc>
          <w:tcPr>
            <w:tcW w:w="4716" w:type="dxa"/>
            <w:tcMar>
              <w:left w:w="0" w:type="dxa"/>
              <w:right w:w="0" w:type="dxa"/>
            </w:tcMar>
          </w:tcPr>
          <w:p w:rsidR="00891726" w:rsidRPr="00BF0708" w:rsidRDefault="00891726" w:rsidP="005337C9">
            <w:pPr>
              <w:keepLines/>
              <w:widowControl w:val="0"/>
              <w:jc w:val="both"/>
              <w:rPr>
                <w:sz w:val="20"/>
                <w:szCs w:val="20"/>
                <w:lang w:val="fr-CA"/>
              </w:rPr>
            </w:pPr>
            <w:r w:rsidRPr="00BF0708">
              <w:rPr>
                <w:sz w:val="20"/>
                <w:szCs w:val="20"/>
                <w:lang w:val="fr-CA"/>
              </w:rPr>
              <w:t>Appel accueilli, l’ordonnance refusant la certification est annulée et la demande d’ordonnance certifiant que l’instance est un recours collectif est accueillie aux conditions prévues dans les motifs du jugement.</w:t>
            </w:r>
          </w:p>
          <w:p w:rsidR="00891726" w:rsidRPr="00BF0708" w:rsidRDefault="00891726" w:rsidP="00E42F15">
            <w:pPr>
              <w:keepLines/>
              <w:widowControl w:val="0"/>
              <w:rPr>
                <w:sz w:val="20"/>
                <w:szCs w:val="20"/>
                <w:lang w:val="fr-CA"/>
              </w:rPr>
            </w:pPr>
          </w:p>
        </w:tc>
      </w:tr>
      <w:tr w:rsidR="00891726" w:rsidRPr="0028361F" w:rsidTr="00AE3150">
        <w:trPr>
          <w:cantSplit/>
        </w:trPr>
        <w:tc>
          <w:tcPr>
            <w:tcW w:w="4536" w:type="dxa"/>
            <w:tcMar>
              <w:left w:w="0" w:type="dxa"/>
              <w:right w:w="0" w:type="dxa"/>
            </w:tcMar>
          </w:tcPr>
          <w:p w:rsidR="00891726" w:rsidRPr="00BF0708" w:rsidRDefault="00891726" w:rsidP="00E42F15">
            <w:pPr>
              <w:keepNext/>
              <w:keepLines/>
              <w:widowControl w:val="0"/>
              <w:rPr>
                <w:sz w:val="20"/>
                <w:szCs w:val="20"/>
                <w:lang w:val="fr-CA"/>
              </w:rPr>
            </w:pPr>
            <w:r w:rsidRPr="00BF0708">
              <w:rPr>
                <w:sz w:val="20"/>
                <w:szCs w:val="20"/>
                <w:lang w:val="fr-CA"/>
              </w:rPr>
              <w:t>11 janvier 2010</w:t>
            </w:r>
          </w:p>
          <w:p w:rsidR="00891726" w:rsidRPr="00BF0708" w:rsidRDefault="00891726" w:rsidP="00E42F15">
            <w:pPr>
              <w:keepNext/>
              <w:keepLines/>
              <w:widowControl w:val="0"/>
              <w:rPr>
                <w:sz w:val="20"/>
                <w:szCs w:val="20"/>
                <w:lang w:val="fr-CA"/>
              </w:rPr>
            </w:pPr>
            <w:r w:rsidRPr="00BF0708">
              <w:rPr>
                <w:sz w:val="20"/>
                <w:szCs w:val="20"/>
                <w:lang w:val="fr-CA"/>
              </w:rPr>
              <w:t>Cour suprême du Canada</w:t>
            </w:r>
          </w:p>
          <w:p w:rsidR="00891726" w:rsidRPr="00BF0708" w:rsidRDefault="00891726" w:rsidP="00E42F15">
            <w:pPr>
              <w:keepNext/>
              <w:keepLines/>
              <w:widowControl w:val="0"/>
              <w:rPr>
                <w:sz w:val="20"/>
                <w:szCs w:val="20"/>
                <w:lang w:val="fr-CA"/>
              </w:rPr>
            </w:pPr>
          </w:p>
        </w:tc>
        <w:tc>
          <w:tcPr>
            <w:tcW w:w="288" w:type="dxa"/>
            <w:tcMar>
              <w:left w:w="0" w:type="dxa"/>
              <w:right w:w="0" w:type="dxa"/>
            </w:tcMar>
          </w:tcPr>
          <w:p w:rsidR="00891726" w:rsidRPr="00BF0708" w:rsidRDefault="00891726" w:rsidP="00E42F15">
            <w:pPr>
              <w:keepLines/>
              <w:widowControl w:val="0"/>
              <w:rPr>
                <w:sz w:val="20"/>
                <w:szCs w:val="20"/>
                <w:lang w:val="fr-CA"/>
              </w:rPr>
            </w:pPr>
          </w:p>
        </w:tc>
        <w:tc>
          <w:tcPr>
            <w:tcW w:w="4716" w:type="dxa"/>
            <w:tcMar>
              <w:left w:w="0" w:type="dxa"/>
              <w:right w:w="0" w:type="dxa"/>
            </w:tcMar>
          </w:tcPr>
          <w:p w:rsidR="00891726" w:rsidRPr="00BF0708" w:rsidRDefault="00891726" w:rsidP="005337C9">
            <w:pPr>
              <w:keepLines/>
              <w:widowControl w:val="0"/>
              <w:jc w:val="both"/>
              <w:rPr>
                <w:sz w:val="20"/>
                <w:szCs w:val="20"/>
                <w:lang w:val="fr-CA"/>
              </w:rPr>
            </w:pPr>
            <w:r w:rsidRPr="00BF0708">
              <w:rPr>
                <w:sz w:val="20"/>
                <w:szCs w:val="20"/>
                <w:lang w:val="fr-CA"/>
              </w:rPr>
              <w:t>Première demande d’autorisation d’appel déposée par Infineon Technologies AG et al. c. Pro-Sys Consultants Ltd.</w:t>
            </w:r>
          </w:p>
          <w:p w:rsidR="00891726" w:rsidRPr="00BF0708" w:rsidRDefault="00891726" w:rsidP="00E42F15">
            <w:pPr>
              <w:keepLines/>
              <w:widowControl w:val="0"/>
              <w:rPr>
                <w:sz w:val="20"/>
                <w:szCs w:val="20"/>
                <w:lang w:val="fr-CA"/>
              </w:rPr>
            </w:pPr>
          </w:p>
        </w:tc>
      </w:tr>
      <w:tr w:rsidR="00891726" w:rsidRPr="0028361F" w:rsidTr="00AE3150">
        <w:trPr>
          <w:cantSplit/>
        </w:trPr>
        <w:tc>
          <w:tcPr>
            <w:tcW w:w="4536" w:type="dxa"/>
            <w:tcMar>
              <w:left w:w="0" w:type="dxa"/>
              <w:right w:w="0" w:type="dxa"/>
            </w:tcMar>
          </w:tcPr>
          <w:p w:rsidR="00891726" w:rsidRPr="00BF0708" w:rsidRDefault="00891726" w:rsidP="00E42F15">
            <w:pPr>
              <w:keepNext/>
              <w:keepLines/>
              <w:widowControl w:val="0"/>
              <w:rPr>
                <w:sz w:val="20"/>
                <w:szCs w:val="20"/>
                <w:lang w:val="fr-CA"/>
              </w:rPr>
            </w:pPr>
            <w:r w:rsidRPr="00BF0708">
              <w:rPr>
                <w:sz w:val="20"/>
                <w:szCs w:val="20"/>
                <w:lang w:val="fr-CA"/>
              </w:rPr>
              <w:t>11 janvier 2010</w:t>
            </w:r>
          </w:p>
          <w:p w:rsidR="00891726" w:rsidRPr="00BF0708" w:rsidRDefault="00891726" w:rsidP="00E42F15">
            <w:pPr>
              <w:keepNext/>
              <w:keepLines/>
              <w:widowControl w:val="0"/>
              <w:rPr>
                <w:sz w:val="20"/>
                <w:szCs w:val="20"/>
                <w:lang w:val="fr-CA"/>
              </w:rPr>
            </w:pPr>
            <w:r w:rsidRPr="00BF0708">
              <w:rPr>
                <w:sz w:val="20"/>
                <w:szCs w:val="20"/>
                <w:lang w:val="fr-CA"/>
              </w:rPr>
              <w:t>Cour suprême du Canada</w:t>
            </w:r>
          </w:p>
          <w:p w:rsidR="00891726" w:rsidRPr="00BF0708" w:rsidRDefault="00891726" w:rsidP="00E42F15">
            <w:pPr>
              <w:keepNext/>
              <w:keepLines/>
              <w:widowControl w:val="0"/>
              <w:rPr>
                <w:sz w:val="20"/>
                <w:szCs w:val="20"/>
                <w:lang w:val="fr-CA"/>
              </w:rPr>
            </w:pPr>
          </w:p>
        </w:tc>
        <w:tc>
          <w:tcPr>
            <w:tcW w:w="288" w:type="dxa"/>
            <w:tcMar>
              <w:left w:w="0" w:type="dxa"/>
              <w:right w:w="0" w:type="dxa"/>
            </w:tcMar>
          </w:tcPr>
          <w:p w:rsidR="00891726" w:rsidRPr="00BF0708" w:rsidRDefault="00891726" w:rsidP="00E42F15">
            <w:pPr>
              <w:keepLines/>
              <w:widowControl w:val="0"/>
              <w:rPr>
                <w:sz w:val="20"/>
                <w:szCs w:val="20"/>
                <w:lang w:val="fr-CA"/>
              </w:rPr>
            </w:pPr>
          </w:p>
        </w:tc>
        <w:tc>
          <w:tcPr>
            <w:tcW w:w="4716" w:type="dxa"/>
            <w:tcMar>
              <w:left w:w="0" w:type="dxa"/>
              <w:right w:w="0" w:type="dxa"/>
            </w:tcMar>
          </w:tcPr>
          <w:p w:rsidR="00891726" w:rsidRPr="00BF0708" w:rsidRDefault="00891726" w:rsidP="005337C9">
            <w:pPr>
              <w:keepLines/>
              <w:widowControl w:val="0"/>
              <w:jc w:val="both"/>
              <w:rPr>
                <w:sz w:val="20"/>
                <w:szCs w:val="20"/>
                <w:lang w:val="fr-CA"/>
              </w:rPr>
            </w:pPr>
            <w:r w:rsidRPr="00BF0708">
              <w:rPr>
                <w:sz w:val="20"/>
                <w:szCs w:val="20"/>
                <w:lang w:val="fr-CA"/>
              </w:rPr>
              <w:t>Deuxième demande d’autorisation d’appel déposée par Hynix Semiconductor Inc. et al. c. Pro-Sys Consultants Ltd. c. Pro-Sys Consultants Ltd.</w:t>
            </w:r>
          </w:p>
          <w:p w:rsidR="00891726" w:rsidRPr="00BF0708" w:rsidRDefault="00891726" w:rsidP="00E42F15">
            <w:pPr>
              <w:keepLines/>
              <w:widowControl w:val="0"/>
              <w:rPr>
                <w:sz w:val="20"/>
                <w:szCs w:val="20"/>
                <w:lang w:val="fr-CA"/>
              </w:rPr>
            </w:pPr>
          </w:p>
        </w:tc>
      </w:tr>
      <w:tr w:rsidR="00891726" w:rsidRPr="0028361F" w:rsidTr="00AE3150">
        <w:trPr>
          <w:cantSplit/>
        </w:trPr>
        <w:tc>
          <w:tcPr>
            <w:tcW w:w="4536" w:type="dxa"/>
            <w:tcMar>
              <w:left w:w="0" w:type="dxa"/>
              <w:right w:w="0" w:type="dxa"/>
            </w:tcMar>
          </w:tcPr>
          <w:p w:rsidR="00891726" w:rsidRPr="00BF0708" w:rsidRDefault="00891726" w:rsidP="00E42F15">
            <w:pPr>
              <w:keepNext/>
              <w:keepLines/>
              <w:widowControl w:val="0"/>
              <w:rPr>
                <w:sz w:val="20"/>
                <w:szCs w:val="20"/>
                <w:lang w:val="fr-CA"/>
              </w:rPr>
            </w:pPr>
            <w:r w:rsidRPr="00BF0708">
              <w:rPr>
                <w:sz w:val="20"/>
                <w:szCs w:val="20"/>
                <w:lang w:val="fr-CA"/>
              </w:rPr>
              <w:t>11 janvier 2010</w:t>
            </w:r>
          </w:p>
          <w:p w:rsidR="00891726" w:rsidRPr="00BF0708" w:rsidRDefault="00891726" w:rsidP="00E42F15">
            <w:pPr>
              <w:keepNext/>
              <w:keepLines/>
              <w:widowControl w:val="0"/>
              <w:rPr>
                <w:sz w:val="20"/>
                <w:szCs w:val="20"/>
                <w:lang w:val="fr-CA"/>
              </w:rPr>
            </w:pPr>
            <w:r w:rsidRPr="00BF0708">
              <w:rPr>
                <w:sz w:val="20"/>
                <w:szCs w:val="20"/>
                <w:lang w:val="fr-CA"/>
              </w:rPr>
              <w:t>Cour suprême du Canada</w:t>
            </w:r>
          </w:p>
          <w:p w:rsidR="00891726" w:rsidRPr="00BF0708" w:rsidRDefault="00891726" w:rsidP="00E42F15">
            <w:pPr>
              <w:keepNext/>
              <w:keepLines/>
              <w:widowControl w:val="0"/>
              <w:rPr>
                <w:sz w:val="20"/>
                <w:szCs w:val="20"/>
                <w:lang w:val="fr-CA"/>
              </w:rPr>
            </w:pPr>
          </w:p>
        </w:tc>
        <w:tc>
          <w:tcPr>
            <w:tcW w:w="288" w:type="dxa"/>
            <w:tcMar>
              <w:left w:w="0" w:type="dxa"/>
              <w:right w:w="0" w:type="dxa"/>
            </w:tcMar>
          </w:tcPr>
          <w:p w:rsidR="00891726" w:rsidRPr="00BF0708" w:rsidRDefault="00891726" w:rsidP="00E42F15">
            <w:pPr>
              <w:keepLines/>
              <w:widowControl w:val="0"/>
              <w:rPr>
                <w:sz w:val="20"/>
                <w:szCs w:val="20"/>
                <w:lang w:val="fr-CA"/>
              </w:rPr>
            </w:pPr>
          </w:p>
        </w:tc>
        <w:tc>
          <w:tcPr>
            <w:tcW w:w="4716" w:type="dxa"/>
            <w:tcMar>
              <w:left w:w="0" w:type="dxa"/>
              <w:right w:w="0" w:type="dxa"/>
            </w:tcMar>
          </w:tcPr>
          <w:p w:rsidR="00891726" w:rsidRPr="00BF0708" w:rsidRDefault="00891726" w:rsidP="005337C9">
            <w:pPr>
              <w:keepLines/>
              <w:widowControl w:val="0"/>
              <w:jc w:val="both"/>
              <w:rPr>
                <w:sz w:val="20"/>
                <w:szCs w:val="20"/>
                <w:lang w:val="fr-CA"/>
              </w:rPr>
            </w:pPr>
            <w:r w:rsidRPr="00BF0708">
              <w:rPr>
                <w:sz w:val="20"/>
                <w:szCs w:val="20"/>
                <w:lang w:val="fr-CA"/>
              </w:rPr>
              <w:t>Troisième demande d’autorisation d’appel déposée par Samsung electronics Co., Ltd. et al. c. Pro-Sys Consultants Ltd.</w:t>
            </w:r>
          </w:p>
          <w:p w:rsidR="00891726" w:rsidRPr="00BF0708" w:rsidRDefault="00891726" w:rsidP="00E42F15">
            <w:pPr>
              <w:keepLines/>
              <w:widowControl w:val="0"/>
              <w:rPr>
                <w:sz w:val="20"/>
                <w:szCs w:val="20"/>
                <w:lang w:val="fr-CA"/>
              </w:rPr>
            </w:pPr>
          </w:p>
        </w:tc>
      </w:tr>
      <w:tr w:rsidR="00891726" w:rsidRPr="0028361F" w:rsidTr="00AE3150">
        <w:trPr>
          <w:cantSplit/>
        </w:trPr>
        <w:tc>
          <w:tcPr>
            <w:tcW w:w="4536" w:type="dxa"/>
            <w:tcMar>
              <w:left w:w="0" w:type="dxa"/>
              <w:right w:w="0" w:type="dxa"/>
            </w:tcMar>
          </w:tcPr>
          <w:p w:rsidR="00891726" w:rsidRPr="00BF0708" w:rsidRDefault="00891726" w:rsidP="00E42F15">
            <w:pPr>
              <w:widowControl w:val="0"/>
              <w:rPr>
                <w:sz w:val="20"/>
                <w:szCs w:val="20"/>
                <w:lang w:val="fr-CA"/>
              </w:rPr>
            </w:pPr>
            <w:r w:rsidRPr="00BF0708">
              <w:rPr>
                <w:sz w:val="20"/>
                <w:szCs w:val="20"/>
                <w:lang w:val="fr-CA"/>
              </w:rPr>
              <w:t>11 janvier 2010</w:t>
            </w:r>
          </w:p>
          <w:p w:rsidR="00891726" w:rsidRPr="00BF0708" w:rsidRDefault="00891726" w:rsidP="00E42F15">
            <w:pPr>
              <w:widowControl w:val="0"/>
              <w:rPr>
                <w:sz w:val="20"/>
                <w:szCs w:val="20"/>
                <w:lang w:val="fr-CA"/>
              </w:rPr>
            </w:pPr>
            <w:r w:rsidRPr="00BF0708">
              <w:rPr>
                <w:sz w:val="20"/>
                <w:szCs w:val="20"/>
                <w:lang w:val="fr-CA"/>
              </w:rPr>
              <w:t>Cour suprême du Canada</w:t>
            </w:r>
          </w:p>
          <w:p w:rsidR="00891726" w:rsidRPr="00BF0708" w:rsidRDefault="00891726" w:rsidP="00E42F15">
            <w:pPr>
              <w:widowControl w:val="0"/>
              <w:rPr>
                <w:sz w:val="20"/>
                <w:szCs w:val="20"/>
                <w:lang w:val="fr-CA"/>
              </w:rPr>
            </w:pPr>
          </w:p>
        </w:tc>
        <w:tc>
          <w:tcPr>
            <w:tcW w:w="288" w:type="dxa"/>
            <w:tcMar>
              <w:left w:w="0" w:type="dxa"/>
              <w:right w:w="0" w:type="dxa"/>
            </w:tcMar>
          </w:tcPr>
          <w:p w:rsidR="00891726" w:rsidRPr="00BF0708" w:rsidRDefault="00891726" w:rsidP="00E42F15">
            <w:pPr>
              <w:widowControl w:val="0"/>
              <w:rPr>
                <w:sz w:val="20"/>
                <w:szCs w:val="20"/>
                <w:lang w:val="fr-CA"/>
              </w:rPr>
            </w:pPr>
          </w:p>
        </w:tc>
        <w:tc>
          <w:tcPr>
            <w:tcW w:w="4716" w:type="dxa"/>
            <w:tcMar>
              <w:left w:w="0" w:type="dxa"/>
              <w:right w:w="0" w:type="dxa"/>
            </w:tcMar>
          </w:tcPr>
          <w:p w:rsidR="00891726" w:rsidRPr="00BF0708" w:rsidRDefault="00891726" w:rsidP="005337C9">
            <w:pPr>
              <w:widowControl w:val="0"/>
              <w:jc w:val="both"/>
              <w:rPr>
                <w:sz w:val="20"/>
                <w:szCs w:val="20"/>
                <w:lang w:val="fr-CA"/>
              </w:rPr>
            </w:pPr>
            <w:r w:rsidRPr="00BF0708">
              <w:rPr>
                <w:sz w:val="20"/>
                <w:szCs w:val="20"/>
                <w:lang w:val="fr-CA"/>
              </w:rPr>
              <w:t>Quatrième demande d’autorisation d’appel déposée par Micron Technology Inc. et al. c. Pro-Sys Consultants Ltd.</w:t>
            </w:r>
          </w:p>
          <w:p w:rsidR="00891726" w:rsidRPr="00BF0708" w:rsidRDefault="00891726" w:rsidP="00E42F15">
            <w:pPr>
              <w:widowControl w:val="0"/>
              <w:rPr>
                <w:sz w:val="20"/>
                <w:szCs w:val="20"/>
                <w:lang w:val="fr-CA"/>
              </w:rPr>
            </w:pPr>
          </w:p>
        </w:tc>
      </w:tr>
      <w:tr w:rsidR="00891726" w:rsidRPr="0028361F" w:rsidTr="00AE3150">
        <w:trPr>
          <w:cantSplit/>
        </w:trPr>
        <w:tc>
          <w:tcPr>
            <w:tcW w:w="4536" w:type="dxa"/>
            <w:tcMar>
              <w:left w:w="0" w:type="dxa"/>
              <w:right w:w="0" w:type="dxa"/>
            </w:tcMar>
          </w:tcPr>
          <w:p w:rsidR="00891726" w:rsidRPr="00BF0708" w:rsidRDefault="00891726" w:rsidP="00E42F15">
            <w:pPr>
              <w:widowControl w:val="0"/>
              <w:rPr>
                <w:sz w:val="20"/>
                <w:szCs w:val="20"/>
                <w:lang w:val="fr-CA"/>
              </w:rPr>
            </w:pPr>
            <w:r w:rsidRPr="00BF0708">
              <w:rPr>
                <w:sz w:val="20"/>
                <w:szCs w:val="20"/>
                <w:lang w:val="fr-CA"/>
              </w:rPr>
              <w:t>11 janvier 2010</w:t>
            </w:r>
          </w:p>
          <w:p w:rsidR="00891726" w:rsidRPr="00BF0708" w:rsidRDefault="00891726" w:rsidP="005337C9">
            <w:pPr>
              <w:widowControl w:val="0"/>
              <w:rPr>
                <w:sz w:val="20"/>
                <w:szCs w:val="20"/>
                <w:lang w:val="fr-CA"/>
              </w:rPr>
            </w:pPr>
            <w:r w:rsidRPr="00BF0708">
              <w:rPr>
                <w:sz w:val="20"/>
                <w:szCs w:val="20"/>
                <w:lang w:val="fr-CA"/>
              </w:rPr>
              <w:t>Cour suprême du Canada</w:t>
            </w:r>
          </w:p>
        </w:tc>
        <w:tc>
          <w:tcPr>
            <w:tcW w:w="288" w:type="dxa"/>
            <w:tcMar>
              <w:left w:w="0" w:type="dxa"/>
              <w:right w:w="0" w:type="dxa"/>
            </w:tcMar>
          </w:tcPr>
          <w:p w:rsidR="00891726" w:rsidRPr="00BF0708" w:rsidRDefault="00891726" w:rsidP="00E42F15">
            <w:pPr>
              <w:widowControl w:val="0"/>
              <w:rPr>
                <w:sz w:val="20"/>
                <w:szCs w:val="20"/>
                <w:lang w:val="fr-CA"/>
              </w:rPr>
            </w:pPr>
          </w:p>
        </w:tc>
        <w:tc>
          <w:tcPr>
            <w:tcW w:w="4716" w:type="dxa"/>
            <w:tcMar>
              <w:left w:w="0" w:type="dxa"/>
              <w:right w:w="0" w:type="dxa"/>
            </w:tcMar>
          </w:tcPr>
          <w:p w:rsidR="00891726" w:rsidRPr="00BF0708" w:rsidRDefault="00891726" w:rsidP="005337C9">
            <w:pPr>
              <w:widowControl w:val="0"/>
              <w:jc w:val="both"/>
              <w:rPr>
                <w:sz w:val="20"/>
                <w:szCs w:val="20"/>
                <w:lang w:val="fr-CA"/>
              </w:rPr>
            </w:pPr>
            <w:r w:rsidRPr="00BF0708">
              <w:rPr>
                <w:sz w:val="20"/>
                <w:szCs w:val="20"/>
                <w:lang w:val="fr-CA"/>
              </w:rPr>
              <w:t>Cinquième demande d’autorisation d’appel déposée par Elpida Memory Inc. et al. c. Pro-Sys Consultants Ltd.</w:t>
            </w:r>
          </w:p>
        </w:tc>
      </w:tr>
    </w:tbl>
    <w:p w:rsidR="00FD4A4B" w:rsidRPr="00891726" w:rsidRDefault="00FD4A4B" w:rsidP="008D292F">
      <w:pPr>
        <w:rPr>
          <w:sz w:val="20"/>
          <w:szCs w:val="20"/>
          <w:lang w:val="fr-CA"/>
        </w:rPr>
      </w:pPr>
    </w:p>
    <w:p w:rsidR="00FD4A4B" w:rsidRPr="00C50A5C" w:rsidRDefault="00414F7B" w:rsidP="00FD4A4B">
      <w:pPr>
        <w:rPr>
          <w:sz w:val="20"/>
          <w:szCs w:val="20"/>
        </w:rPr>
      </w:pPr>
      <w:r w:rsidRPr="00414F7B">
        <w:rPr>
          <w:sz w:val="20"/>
          <w:szCs w:val="20"/>
          <w:lang w:val="fr-CA"/>
        </w:rPr>
        <w:pict>
          <v:rect id="_x0000_i1041" style="width:2in;height:1pt" o:hrpct="0" o:hralign="center" o:hrstd="t" o:hrnoshade="t" o:hr="t" fillcolor="black [3213]" stroked="f"/>
        </w:pict>
      </w:r>
    </w:p>
    <w:p w:rsidR="00FD4A4B" w:rsidRDefault="00FD4A4B" w:rsidP="00FD4A4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6493F" w:rsidRPr="0086493F" w:rsidTr="0086493F">
        <w:trPr>
          <w:cantSplit/>
        </w:trPr>
        <w:tc>
          <w:tcPr>
            <w:tcW w:w="1458" w:type="dxa"/>
          </w:tcPr>
          <w:p w:rsidR="0086493F" w:rsidRPr="0086493F" w:rsidRDefault="0086493F" w:rsidP="0086493F">
            <w:pPr>
              <w:rPr>
                <w:sz w:val="20"/>
                <w:szCs w:val="20"/>
              </w:rPr>
            </w:pPr>
            <w:r w:rsidRPr="0086493F">
              <w:rPr>
                <w:rStyle w:val="SCCFileNumberChar"/>
                <w:sz w:val="20"/>
                <w:szCs w:val="20"/>
              </w:rPr>
              <w:t>34532</w:t>
            </w:r>
          </w:p>
          <w:p w:rsidR="0086493F" w:rsidRPr="0086493F" w:rsidRDefault="0086493F" w:rsidP="0086493F">
            <w:pPr>
              <w:rPr>
                <w:b/>
                <w:sz w:val="20"/>
                <w:szCs w:val="20"/>
                <w:lang w:val="fr-CA"/>
              </w:rPr>
            </w:pPr>
          </w:p>
        </w:tc>
        <w:tc>
          <w:tcPr>
            <w:tcW w:w="8118" w:type="dxa"/>
          </w:tcPr>
          <w:p w:rsidR="0086493F" w:rsidRPr="0086493F" w:rsidRDefault="0086493F" w:rsidP="0086493F">
            <w:pPr>
              <w:jc w:val="both"/>
              <w:rPr>
                <w:sz w:val="20"/>
                <w:szCs w:val="20"/>
              </w:rPr>
            </w:pPr>
            <w:r w:rsidRPr="0086493F">
              <w:rPr>
                <w:rStyle w:val="SCCLsocChar"/>
                <w:sz w:val="20"/>
                <w:szCs w:val="20"/>
                <w:lang w:val="en-CA"/>
              </w:rPr>
              <w:t>Hudson's Bay Company v. Ronald Sutherland and John Scott on their own behalf and on behalf of the current members, retirees and other beneficiaries of the defined benefit component of the Dumai Pension Plan, CCRA Registration Number 0358572 (formerly, the Simpsons, Limited Supplementary Pension Plan) who were members of the Simpsons, Limited Supplementary Pension Plan as of January 1, 1988, Pamela Bhikhari, John English, Gerald V. Garossino, Edward E. Shier and Gale Ritchie</w:t>
            </w:r>
            <w:r w:rsidRPr="0086493F">
              <w:rPr>
                <w:sz w:val="20"/>
                <w:szCs w:val="20"/>
              </w:rPr>
              <w:t xml:space="preserve"> (Ont.) (Civil) (By Leave)</w:t>
            </w:r>
          </w:p>
          <w:p w:rsidR="0086493F" w:rsidRPr="0086493F" w:rsidRDefault="0086493F" w:rsidP="0086493F">
            <w:pPr>
              <w:rPr>
                <w:sz w:val="20"/>
                <w:szCs w:val="20"/>
              </w:rPr>
            </w:pPr>
          </w:p>
        </w:tc>
      </w:tr>
      <w:tr w:rsidR="0086493F" w:rsidRPr="0086493F" w:rsidTr="0086493F">
        <w:trPr>
          <w:cantSplit/>
        </w:trPr>
        <w:tc>
          <w:tcPr>
            <w:tcW w:w="1458" w:type="dxa"/>
          </w:tcPr>
          <w:p w:rsidR="0086493F" w:rsidRPr="0086493F" w:rsidRDefault="0086493F" w:rsidP="0086493F">
            <w:pPr>
              <w:rPr>
                <w:sz w:val="20"/>
                <w:szCs w:val="20"/>
              </w:rPr>
            </w:pPr>
            <w:r w:rsidRPr="0086493F">
              <w:rPr>
                <w:sz w:val="20"/>
                <w:szCs w:val="20"/>
              </w:rPr>
              <w:t>Coram :</w:t>
            </w:r>
          </w:p>
        </w:tc>
        <w:tc>
          <w:tcPr>
            <w:tcW w:w="8118" w:type="dxa"/>
          </w:tcPr>
          <w:p w:rsidR="0086493F" w:rsidRPr="0086493F" w:rsidRDefault="0086493F" w:rsidP="0086493F">
            <w:pPr>
              <w:rPr>
                <w:sz w:val="20"/>
                <w:szCs w:val="20"/>
              </w:rPr>
            </w:pPr>
            <w:r w:rsidRPr="0086493F">
              <w:rPr>
                <w:rStyle w:val="SCCCoramChar"/>
                <w:sz w:val="20"/>
                <w:szCs w:val="20"/>
                <w:lang w:val="en-CA"/>
              </w:rPr>
              <w:t>McLachlin C.J. and Rothstein and Moldaver JJ.</w:t>
            </w:r>
          </w:p>
          <w:p w:rsidR="0086493F" w:rsidRPr="0086493F" w:rsidRDefault="0086493F" w:rsidP="0086493F">
            <w:pPr>
              <w:rPr>
                <w:sz w:val="20"/>
                <w:szCs w:val="20"/>
                <w:u w:val="single"/>
              </w:rPr>
            </w:pPr>
          </w:p>
        </w:tc>
      </w:tr>
      <w:tr w:rsidR="0086493F" w:rsidRPr="0028361F" w:rsidTr="0086493F">
        <w:trPr>
          <w:cantSplit/>
        </w:trPr>
        <w:tc>
          <w:tcPr>
            <w:tcW w:w="9576" w:type="dxa"/>
            <w:gridSpan w:val="2"/>
          </w:tcPr>
          <w:p w:rsidR="0086493F" w:rsidRPr="0086493F" w:rsidRDefault="0086493F" w:rsidP="0086493F">
            <w:pPr>
              <w:pStyle w:val="SCCShortJudgment"/>
              <w:rPr>
                <w:szCs w:val="20"/>
              </w:rPr>
            </w:pPr>
            <w:r w:rsidRPr="0086493F">
              <w:rPr>
                <w:szCs w:val="20"/>
              </w:rPr>
              <w:t>The application for leave to appeal from the judgment of the Court of Appeal for Ontario, Number C47636, 2011 ONCA 606, dated September 22, 2011, is dismissed with no order as to costs.</w:t>
            </w:r>
          </w:p>
          <w:p w:rsidR="0086493F" w:rsidRPr="0086493F" w:rsidRDefault="0086493F" w:rsidP="0086493F">
            <w:pPr>
              <w:pStyle w:val="SCCShortJudgment"/>
              <w:ind w:firstLine="0"/>
              <w:rPr>
                <w:szCs w:val="20"/>
              </w:rPr>
            </w:pPr>
          </w:p>
          <w:p w:rsidR="0086493F" w:rsidRPr="0086493F" w:rsidRDefault="0086493F" w:rsidP="0086493F">
            <w:pPr>
              <w:pStyle w:val="SCCShortJudgment"/>
              <w:rPr>
                <w:szCs w:val="20"/>
                <w:lang w:val="fr-CA"/>
              </w:rPr>
            </w:pPr>
            <w:r w:rsidRPr="0086493F">
              <w:rPr>
                <w:szCs w:val="20"/>
                <w:lang w:val="fr-CA"/>
              </w:rPr>
              <w:t>La demande d’autorisation d’appel de l’arrêt de la Cour d’appel de l’Ontario, numéro C47636, 2011 ONCA 606, daté du 22 septembre 2011, est rejetée sans ordonnance quant aux dépens.</w:t>
            </w:r>
          </w:p>
        </w:tc>
      </w:tr>
    </w:tbl>
    <w:p w:rsidR="00FD4A4B" w:rsidRPr="00FD4A4B" w:rsidRDefault="00FD4A4B" w:rsidP="00FD4A4B">
      <w:pPr>
        <w:rPr>
          <w:sz w:val="20"/>
          <w:szCs w:val="20"/>
          <w:lang w:val="fr-CA"/>
        </w:rPr>
      </w:pPr>
    </w:p>
    <w:p w:rsidR="00FD4A4B" w:rsidRPr="001B157C" w:rsidRDefault="00FD4A4B" w:rsidP="00FD4A4B">
      <w:pPr>
        <w:rPr>
          <w:sz w:val="20"/>
          <w:szCs w:val="20"/>
          <w:u w:val="single"/>
        </w:rPr>
      </w:pPr>
      <w:r w:rsidRPr="001B157C">
        <w:rPr>
          <w:sz w:val="20"/>
          <w:szCs w:val="20"/>
          <w:u w:val="single"/>
        </w:rPr>
        <w:t>CASE SUMMARY</w:t>
      </w:r>
    </w:p>
    <w:p w:rsidR="00FD4A4B" w:rsidRDefault="00FD4A4B" w:rsidP="00FD4A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3708E" w:rsidRPr="00BF0708" w:rsidTr="00E42F15">
        <w:tc>
          <w:tcPr>
            <w:tcW w:w="5000" w:type="pct"/>
            <w:gridSpan w:val="3"/>
          </w:tcPr>
          <w:p w:rsidR="00E3708E" w:rsidRPr="00BF0708" w:rsidRDefault="00E3708E" w:rsidP="00E42F15">
            <w:pPr>
              <w:jc w:val="both"/>
              <w:rPr>
                <w:rFonts w:eastAsia="Calibri"/>
                <w:sz w:val="20"/>
              </w:rPr>
            </w:pPr>
            <w:r w:rsidRPr="00BF0708">
              <w:rPr>
                <w:rFonts w:eastAsia="Calibri"/>
                <w:sz w:val="20"/>
              </w:rPr>
              <w:t>Pensions – Pension plan – Trust – Termination – Surplus – Class action by original pension plan members, beneficiaries and retired employees, alleging employer improperly used surplus assets in pension plan trust fund for employer contributions to defined benefit component of pensions for employees from subsidiary companies – Courts below ruling that employer is not a beneficiary under the trust fund, and not entitled to any surplus assets in trust fund upon termination of pension plan – What is the proper approach to be taken in determining rights under a pension arrangement where there exists both a pension plan document and a trust agreement.</w:t>
            </w:r>
          </w:p>
          <w:p w:rsidR="00E3708E" w:rsidRPr="00BF0708" w:rsidRDefault="00E3708E" w:rsidP="00E42F15">
            <w:pPr>
              <w:jc w:val="both"/>
              <w:rPr>
                <w:rFonts w:eastAsia="Calibri"/>
                <w:sz w:val="20"/>
              </w:rPr>
            </w:pPr>
          </w:p>
        </w:tc>
      </w:tr>
      <w:tr w:rsidR="00E3708E" w:rsidRPr="00BF0708" w:rsidTr="00E42F15">
        <w:tc>
          <w:tcPr>
            <w:tcW w:w="5000" w:type="pct"/>
            <w:gridSpan w:val="3"/>
          </w:tcPr>
          <w:p w:rsidR="00E3708E" w:rsidRPr="00BF0708" w:rsidRDefault="00E3708E" w:rsidP="00E42F15">
            <w:pPr>
              <w:jc w:val="both"/>
              <w:rPr>
                <w:rFonts w:eastAsia="Calibri"/>
                <w:sz w:val="20"/>
              </w:rPr>
            </w:pPr>
            <w:r w:rsidRPr="00BF0708">
              <w:rPr>
                <w:rFonts w:eastAsia="Calibri"/>
                <w:sz w:val="20"/>
              </w:rPr>
              <w:t xml:space="preserve">The applicant Hudson’s Bay Company (“HBC”) acquired Simpsons Limited in 1979 and took over administration of a pension plan for employees, the assets of which were held in a trust fund.  HBC re-opened the plan in 1994 and 1998 to allow employees from two subsidiary companies to become members on a defined contribution basis.  The </w:t>
            </w:r>
            <w:r w:rsidRPr="00BF0708">
              <w:rPr>
                <w:rFonts w:eastAsia="Calibri"/>
                <w:sz w:val="20"/>
              </w:rPr>
              <w:lastRenderedPageBreak/>
              <w:t>respondents (original plan members, retired employees, and plan beneficiaries as of January 1, 1988) brought a class action alleging that HBC improperly used surplus assets in the trust fund to fund employer contributions to the pensions of employees of the subsidiary companies.  Following a trial on the common issues in the class action, the Ontario Superior Court of Justice issued various declarations, including the fact that HBC was not a beneficiary of the trust, and that upon termination of the pension plan, only plan members (and not HBC) are entitled to any surplus assets in the trust fund.  The respondents appealed other portions of the decision, but the appeal was abandoned following a court-approved settlement; HBC cross-appealed on the issue of whether it was a beneficiary of the trust, and whether it was entitled to any surplus assets upon termination.  A majority of the Court of Appeal for Ontario dismissed HBC’s cross-appeal.</w:t>
            </w:r>
          </w:p>
        </w:tc>
      </w:tr>
      <w:tr w:rsidR="00E3708E" w:rsidRPr="00BF0708" w:rsidTr="00E42F15">
        <w:tc>
          <w:tcPr>
            <w:tcW w:w="5000" w:type="pct"/>
            <w:gridSpan w:val="3"/>
          </w:tcPr>
          <w:p w:rsidR="00E3708E" w:rsidRPr="00BF0708" w:rsidRDefault="00E3708E" w:rsidP="00E42F15">
            <w:pPr>
              <w:jc w:val="both"/>
              <w:rPr>
                <w:rFonts w:eastAsia="Calibri"/>
                <w:sz w:val="20"/>
              </w:rPr>
            </w:pPr>
          </w:p>
        </w:tc>
      </w:tr>
      <w:tr w:rsidR="00E3708E" w:rsidRPr="00BF0708" w:rsidTr="00E42F15">
        <w:tc>
          <w:tcPr>
            <w:tcW w:w="2427" w:type="pct"/>
          </w:tcPr>
          <w:p w:rsidR="00E3708E" w:rsidRPr="00BF0708" w:rsidRDefault="00E3708E" w:rsidP="00E42F15">
            <w:pPr>
              <w:jc w:val="both"/>
              <w:rPr>
                <w:rFonts w:eastAsia="Calibri"/>
                <w:sz w:val="20"/>
              </w:rPr>
            </w:pPr>
            <w:r w:rsidRPr="00BF0708">
              <w:rPr>
                <w:rFonts w:eastAsia="Calibri"/>
                <w:sz w:val="20"/>
              </w:rPr>
              <w:t>July 31, 2007</w:t>
            </w:r>
          </w:p>
          <w:p w:rsidR="00E3708E" w:rsidRPr="00BF0708" w:rsidRDefault="00E3708E" w:rsidP="00E42F15">
            <w:pPr>
              <w:jc w:val="both"/>
              <w:rPr>
                <w:rFonts w:eastAsia="Calibri"/>
                <w:sz w:val="20"/>
              </w:rPr>
            </w:pPr>
            <w:r w:rsidRPr="00BF0708">
              <w:rPr>
                <w:rFonts w:eastAsia="Calibri"/>
                <w:sz w:val="20"/>
              </w:rPr>
              <w:t>Ontario Superior Court of Justice</w:t>
            </w:r>
          </w:p>
          <w:p w:rsidR="00E3708E" w:rsidRPr="00BF0708" w:rsidRDefault="00E3708E" w:rsidP="00E42F15">
            <w:pPr>
              <w:jc w:val="both"/>
              <w:rPr>
                <w:rFonts w:eastAsia="Calibri"/>
                <w:sz w:val="20"/>
                <w:lang w:val="fr-CA"/>
              </w:rPr>
            </w:pPr>
            <w:r w:rsidRPr="00BF0708">
              <w:rPr>
                <w:rFonts w:eastAsia="Calibri"/>
                <w:sz w:val="20"/>
                <w:lang w:val="fr-CA"/>
              </w:rPr>
              <w:t>(Siegel J.)</w:t>
            </w:r>
          </w:p>
          <w:p w:rsidR="00E3708E" w:rsidRPr="00BF0708" w:rsidRDefault="00E3708E" w:rsidP="00E42F15">
            <w:pPr>
              <w:jc w:val="both"/>
              <w:rPr>
                <w:rFonts w:eastAsia="Calibri"/>
                <w:sz w:val="20"/>
                <w:lang w:val="fr-CA"/>
              </w:rPr>
            </w:pPr>
            <w:r w:rsidRPr="00BF0708">
              <w:rPr>
                <w:rFonts w:eastAsia="Calibri"/>
                <w:sz w:val="20"/>
                <w:lang w:val="fr-CA"/>
              </w:rPr>
              <w:t>2007 CanLII 30293 (ON SC)</w:t>
            </w:r>
          </w:p>
          <w:p w:rsidR="00E3708E" w:rsidRPr="00BF0708" w:rsidRDefault="00E3708E" w:rsidP="00E42F15">
            <w:pPr>
              <w:jc w:val="both"/>
              <w:rPr>
                <w:rFonts w:eastAsia="Calibri"/>
                <w:sz w:val="20"/>
                <w:lang w:val="fr-CA"/>
              </w:rPr>
            </w:pPr>
          </w:p>
        </w:tc>
        <w:tc>
          <w:tcPr>
            <w:tcW w:w="243" w:type="pct"/>
          </w:tcPr>
          <w:p w:rsidR="00E3708E" w:rsidRPr="00BF0708" w:rsidRDefault="00E3708E" w:rsidP="00E42F15">
            <w:pPr>
              <w:jc w:val="both"/>
              <w:rPr>
                <w:rFonts w:eastAsia="Calibri"/>
                <w:sz w:val="20"/>
                <w:lang w:val="fr-CA"/>
              </w:rPr>
            </w:pPr>
          </w:p>
        </w:tc>
        <w:tc>
          <w:tcPr>
            <w:tcW w:w="2330" w:type="pct"/>
          </w:tcPr>
          <w:p w:rsidR="00E3708E" w:rsidRPr="00BF0708" w:rsidRDefault="00E3708E" w:rsidP="00E42F15">
            <w:pPr>
              <w:jc w:val="both"/>
              <w:rPr>
                <w:rFonts w:eastAsia="Calibri"/>
                <w:sz w:val="20"/>
              </w:rPr>
            </w:pPr>
            <w:r w:rsidRPr="00BF0708">
              <w:rPr>
                <w:rFonts w:eastAsia="Calibri"/>
                <w:sz w:val="20"/>
              </w:rPr>
              <w:t>Various declarations that:  Hudson’s Bay Company made valid amendments to the Simpsons pension plan to allow employees from subsidiary companies to become members on a defined contribution basis; Hudson’s Bay Company was entitled to apply the assets of the trust fund to meet funding obligations in respect of employees from subsidiary companies, and committed no breach of trust or fiduciary duty in so doing; the pension plan assets are impressed with a trust in favour of plan members; Hudson’s Bay Company is not a beneficiary of the trust; and on termination of the plan, plan members (and not Hudson’s Bay Company) are entitled to any surplus.</w:t>
            </w:r>
          </w:p>
          <w:p w:rsidR="00E3708E" w:rsidRPr="00BF0708" w:rsidRDefault="00E3708E" w:rsidP="00E42F15">
            <w:pPr>
              <w:jc w:val="both"/>
              <w:rPr>
                <w:rFonts w:eastAsia="Calibri"/>
                <w:sz w:val="20"/>
              </w:rPr>
            </w:pPr>
          </w:p>
        </w:tc>
      </w:tr>
      <w:tr w:rsidR="00E3708E" w:rsidRPr="00BF0708" w:rsidTr="00E42F15">
        <w:tc>
          <w:tcPr>
            <w:tcW w:w="2427" w:type="pct"/>
          </w:tcPr>
          <w:p w:rsidR="00E3708E" w:rsidRPr="00BF0708" w:rsidRDefault="00E3708E" w:rsidP="00E42F15">
            <w:pPr>
              <w:jc w:val="both"/>
              <w:rPr>
                <w:rFonts w:eastAsia="Calibri"/>
                <w:sz w:val="20"/>
              </w:rPr>
            </w:pPr>
            <w:r w:rsidRPr="00BF0708">
              <w:rPr>
                <w:rFonts w:eastAsia="Calibri"/>
                <w:sz w:val="20"/>
              </w:rPr>
              <w:t>September 22, 2011</w:t>
            </w:r>
          </w:p>
          <w:p w:rsidR="00E3708E" w:rsidRPr="00BF0708" w:rsidRDefault="00E3708E" w:rsidP="00E42F15">
            <w:pPr>
              <w:jc w:val="both"/>
              <w:rPr>
                <w:rFonts w:eastAsia="Calibri"/>
                <w:sz w:val="20"/>
              </w:rPr>
            </w:pPr>
            <w:r w:rsidRPr="00BF0708">
              <w:rPr>
                <w:rFonts w:eastAsia="Calibri"/>
                <w:sz w:val="20"/>
              </w:rPr>
              <w:t>Court of Appeal for Ontario</w:t>
            </w:r>
          </w:p>
          <w:p w:rsidR="00E3708E" w:rsidRPr="00BF0708" w:rsidRDefault="00E3708E" w:rsidP="00E42F15">
            <w:pPr>
              <w:jc w:val="both"/>
              <w:rPr>
                <w:rFonts w:eastAsia="Calibri"/>
                <w:sz w:val="20"/>
              </w:rPr>
            </w:pPr>
            <w:r w:rsidRPr="00BF0708">
              <w:rPr>
                <w:rFonts w:eastAsia="Calibri"/>
                <w:sz w:val="20"/>
              </w:rPr>
              <w:t>(Gillese and MacFarland JJ.A., and Rouleau J.A. dissenting)</w:t>
            </w:r>
          </w:p>
          <w:p w:rsidR="00E3708E" w:rsidRPr="00BF0708" w:rsidRDefault="00E3708E" w:rsidP="00E42F15">
            <w:pPr>
              <w:jc w:val="both"/>
              <w:rPr>
                <w:rFonts w:eastAsia="Calibri"/>
                <w:sz w:val="20"/>
              </w:rPr>
            </w:pPr>
            <w:r w:rsidRPr="00BF0708">
              <w:rPr>
                <w:rFonts w:eastAsia="Calibri"/>
                <w:sz w:val="20"/>
              </w:rPr>
              <w:t>2011 ONCA 606</w:t>
            </w:r>
          </w:p>
          <w:p w:rsidR="00E3708E" w:rsidRPr="00BF0708" w:rsidRDefault="00E3708E" w:rsidP="00E42F15">
            <w:pPr>
              <w:jc w:val="both"/>
              <w:rPr>
                <w:rFonts w:eastAsia="Calibri"/>
                <w:sz w:val="20"/>
              </w:rPr>
            </w:pPr>
            <w:r w:rsidRPr="00BF0708">
              <w:rPr>
                <w:rFonts w:eastAsia="Calibri"/>
                <w:sz w:val="20"/>
              </w:rPr>
              <w:t>Docket:  C47636</w:t>
            </w:r>
          </w:p>
          <w:p w:rsidR="00E3708E" w:rsidRPr="00BF0708" w:rsidRDefault="00E3708E" w:rsidP="00E42F15">
            <w:pPr>
              <w:jc w:val="both"/>
              <w:rPr>
                <w:rFonts w:eastAsia="Calibri"/>
                <w:sz w:val="20"/>
              </w:rPr>
            </w:pPr>
          </w:p>
        </w:tc>
        <w:tc>
          <w:tcPr>
            <w:tcW w:w="243" w:type="pct"/>
          </w:tcPr>
          <w:p w:rsidR="00E3708E" w:rsidRPr="00BF0708" w:rsidRDefault="00E3708E" w:rsidP="00E42F15">
            <w:pPr>
              <w:jc w:val="both"/>
              <w:rPr>
                <w:rFonts w:eastAsia="Calibri"/>
                <w:sz w:val="20"/>
              </w:rPr>
            </w:pPr>
          </w:p>
        </w:tc>
        <w:tc>
          <w:tcPr>
            <w:tcW w:w="2330" w:type="pct"/>
          </w:tcPr>
          <w:p w:rsidR="00E3708E" w:rsidRPr="00BF0708" w:rsidRDefault="00E3708E" w:rsidP="00E42F15">
            <w:pPr>
              <w:jc w:val="both"/>
              <w:rPr>
                <w:rFonts w:eastAsia="Calibri"/>
                <w:sz w:val="20"/>
              </w:rPr>
            </w:pPr>
            <w:r w:rsidRPr="00BF0708">
              <w:rPr>
                <w:rFonts w:eastAsia="Calibri"/>
                <w:sz w:val="20"/>
              </w:rPr>
              <w:t>Appeal by plan members and beneficiaries abandoned; cross-appeal by Hudson’s Bay Company, dismissed.</w:t>
            </w:r>
          </w:p>
          <w:p w:rsidR="00E3708E" w:rsidRPr="00BF0708" w:rsidRDefault="00E3708E" w:rsidP="00E42F15">
            <w:pPr>
              <w:jc w:val="both"/>
              <w:rPr>
                <w:rFonts w:eastAsia="Calibri"/>
                <w:sz w:val="20"/>
              </w:rPr>
            </w:pPr>
          </w:p>
        </w:tc>
      </w:tr>
      <w:tr w:rsidR="00E3708E" w:rsidRPr="00BF0708" w:rsidTr="00E42F15">
        <w:tc>
          <w:tcPr>
            <w:tcW w:w="2427" w:type="pct"/>
          </w:tcPr>
          <w:p w:rsidR="00E3708E" w:rsidRPr="00BF0708" w:rsidRDefault="00E3708E" w:rsidP="00E42F15">
            <w:pPr>
              <w:jc w:val="both"/>
              <w:rPr>
                <w:rFonts w:eastAsia="Calibri"/>
                <w:sz w:val="20"/>
              </w:rPr>
            </w:pPr>
            <w:r w:rsidRPr="00BF0708">
              <w:rPr>
                <w:rFonts w:eastAsia="Calibri"/>
                <w:sz w:val="20"/>
              </w:rPr>
              <w:t>November 17, 2011</w:t>
            </w:r>
          </w:p>
          <w:p w:rsidR="00E3708E" w:rsidRPr="00BF0708" w:rsidRDefault="00E3708E" w:rsidP="00E42F15">
            <w:pPr>
              <w:jc w:val="both"/>
              <w:rPr>
                <w:rFonts w:eastAsia="Calibri"/>
                <w:sz w:val="20"/>
              </w:rPr>
            </w:pPr>
            <w:r w:rsidRPr="00BF0708">
              <w:rPr>
                <w:rFonts w:eastAsia="Calibri"/>
                <w:sz w:val="20"/>
              </w:rPr>
              <w:t>Supreme Court of Canada</w:t>
            </w:r>
          </w:p>
        </w:tc>
        <w:tc>
          <w:tcPr>
            <w:tcW w:w="243" w:type="pct"/>
          </w:tcPr>
          <w:p w:rsidR="00E3708E" w:rsidRPr="00BF0708" w:rsidRDefault="00E3708E" w:rsidP="00E42F15">
            <w:pPr>
              <w:jc w:val="both"/>
              <w:rPr>
                <w:rFonts w:eastAsia="Calibri"/>
                <w:sz w:val="20"/>
              </w:rPr>
            </w:pPr>
          </w:p>
        </w:tc>
        <w:tc>
          <w:tcPr>
            <w:tcW w:w="2330" w:type="pct"/>
          </w:tcPr>
          <w:p w:rsidR="00E3708E" w:rsidRPr="00BF0708" w:rsidRDefault="00E3708E" w:rsidP="00E42F15">
            <w:pPr>
              <w:jc w:val="both"/>
              <w:rPr>
                <w:rFonts w:eastAsia="Calibri"/>
                <w:sz w:val="20"/>
              </w:rPr>
            </w:pPr>
            <w:r w:rsidRPr="00BF0708">
              <w:rPr>
                <w:rFonts w:eastAsia="Calibri"/>
                <w:sz w:val="20"/>
              </w:rPr>
              <w:t>Application for leave to appeal filed by the applicant Hudson’s Bay Company.</w:t>
            </w: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42" style="width:2in;height:1pt" o:hrpct="0" o:hralign="center" o:hrstd="t" o:hrnoshade="t" o:hr="t" fillcolor="black [3213]" stroked="f"/>
        </w:pict>
      </w:r>
    </w:p>
    <w:p w:rsidR="00FD4A4B" w:rsidRDefault="00FD4A4B" w:rsidP="00FD4A4B">
      <w:pPr>
        <w:rPr>
          <w:sz w:val="20"/>
          <w:szCs w:val="20"/>
        </w:rPr>
      </w:pPr>
    </w:p>
    <w:p w:rsidR="00FD4A4B" w:rsidRPr="001B157C" w:rsidRDefault="00FD4A4B" w:rsidP="00FD4A4B">
      <w:pPr>
        <w:rPr>
          <w:sz w:val="20"/>
          <w:szCs w:val="20"/>
          <w:u w:val="single"/>
          <w:lang w:val="fr-CA"/>
        </w:rPr>
      </w:pPr>
      <w:r w:rsidRPr="001B157C">
        <w:rPr>
          <w:sz w:val="20"/>
          <w:szCs w:val="20"/>
          <w:u w:val="single"/>
          <w:lang w:val="fr-CA"/>
        </w:rPr>
        <w:t>RÉSUMÉ DE L’AFFAIRE</w:t>
      </w:r>
    </w:p>
    <w:p w:rsidR="00FD4A4B" w:rsidRDefault="00FD4A4B" w:rsidP="00FD4A4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3708E" w:rsidRPr="0028361F" w:rsidTr="00E42F15">
        <w:tc>
          <w:tcPr>
            <w:tcW w:w="5000" w:type="pct"/>
            <w:gridSpan w:val="3"/>
          </w:tcPr>
          <w:p w:rsidR="00E3708E" w:rsidRPr="00BF0708" w:rsidRDefault="00E3708E" w:rsidP="00E42F15">
            <w:pPr>
              <w:jc w:val="both"/>
              <w:rPr>
                <w:rFonts w:eastAsia="Calibri"/>
                <w:sz w:val="20"/>
                <w:lang w:val="fr-CA"/>
              </w:rPr>
            </w:pPr>
            <w:r w:rsidRPr="00BF0708">
              <w:rPr>
                <w:rFonts w:eastAsia="Calibri"/>
                <w:sz w:val="20"/>
                <w:lang w:val="fr-CA"/>
              </w:rPr>
              <w:t>Pensions – Régimes de retraite – Fiducie – Cessation – Excédent – Recours collectif intenté par les participants, les bénéficiaires et les employés à la retraite sous le premier régime de retraite, alléguant que l'employeur avait indûment utilisé l’excédent d’actif d'un fonds en fiducie d'un régime de retraite pour acquitter les cotisations d'employeur  du volet à prestations déterminées des régimes de retraite des employés de filiales – Les juridictions inférieures ont statué que l'employeur n'était pas un bénéficiaire du fonds en fiducie et qu'il n'avait pas droit à l’excédent d’actif du fonds en fiducie à la cessation du régime de retraite – Quelle est la bonne façon de déterminer les droits aux termes d'un régime de retraite lorsqu'il existe à la fois un document relatif au régime de retraite et une convention de fiducie?</w:t>
            </w:r>
          </w:p>
          <w:p w:rsidR="00E3708E" w:rsidRPr="00BF0708" w:rsidRDefault="00E3708E" w:rsidP="00E42F15">
            <w:pPr>
              <w:jc w:val="both"/>
              <w:rPr>
                <w:rFonts w:eastAsia="Calibri"/>
                <w:sz w:val="20"/>
                <w:lang w:val="fr-CA"/>
              </w:rPr>
            </w:pPr>
          </w:p>
        </w:tc>
      </w:tr>
      <w:tr w:rsidR="00E3708E" w:rsidRPr="0028361F" w:rsidTr="00E42F15">
        <w:tc>
          <w:tcPr>
            <w:tcW w:w="5000" w:type="pct"/>
            <w:gridSpan w:val="3"/>
          </w:tcPr>
          <w:p w:rsidR="00E3708E" w:rsidRPr="00BF0708" w:rsidRDefault="00E3708E" w:rsidP="00E42F15">
            <w:pPr>
              <w:jc w:val="both"/>
              <w:rPr>
                <w:rFonts w:eastAsia="Calibri"/>
                <w:sz w:val="20"/>
                <w:lang w:val="fr-CA"/>
              </w:rPr>
            </w:pPr>
            <w:r w:rsidRPr="00BF0708">
              <w:rPr>
                <w:rFonts w:eastAsia="Calibri"/>
                <w:sz w:val="20"/>
                <w:lang w:val="fr-CA"/>
              </w:rPr>
              <w:t>La Compagnie de la Baie d'Hudson demanderesse (« HBC ») a fait l'acquisition de Simpsons Limited en 1979 et a pris en charge l'administration d'un régime de retraite des employés dont l'actif était détenu dans un fonds en fiducie.  HBC a rouvert le régime en 1994 et en 1998 pour permettre aux employés de deux filiales d’adhérer au régime selon une formule de cotisations déterminées. Les intimés (les participants, les employés à la retraite et les bénéficiaires du premier régime au 1</w:t>
            </w:r>
            <w:r w:rsidRPr="00BF0708">
              <w:rPr>
                <w:rFonts w:eastAsia="Calibri"/>
                <w:sz w:val="20"/>
                <w:vertAlign w:val="superscript"/>
                <w:lang w:val="fr-CA"/>
              </w:rPr>
              <w:t>er</w:t>
            </w:r>
            <w:r w:rsidRPr="00BF0708">
              <w:rPr>
                <w:rFonts w:eastAsia="Calibri"/>
                <w:sz w:val="20"/>
                <w:lang w:val="fr-CA"/>
              </w:rPr>
              <w:t xml:space="preserve"> janvier 1988) ont intenté un recours collectif alléguant que HBC avait indûment utilisé </w:t>
            </w:r>
            <w:r w:rsidRPr="00BF0708">
              <w:rPr>
                <w:rFonts w:eastAsia="Calibri"/>
                <w:sz w:val="20"/>
                <w:lang w:val="fr-CA"/>
              </w:rPr>
              <w:lastRenderedPageBreak/>
              <w:t>l’excédent d’actif du fonds en fiducie pour acquitter les cotisations d'employeur aux régimes de retraite des employés des filiales. Au terme d'un procès portant sur les questions communes du recours collectif, la Cour supérieure de justice a statué sur un certain nombre de points, déclarant notamment que HBC n'était pas bénéficiaire de la fiducie et qu'à la cessation du régime de retraite, seul les participants au régime (et non HBC) avaient droit à l’excédent d’actif du fonds en fiducie. Les intimés ont interjeté appel d'autres parties de la décision, mais l'appel a été abandonné à la suite d'un règlement amiable homologué par le tribunal; HBC a interjeté un appel incident sur la question de savoir si elle était bénéficiaire de la fiducie et si elle avait droit à l’excédent d’actif à la cessation du régime. Les juges majoritaires de la Cour d'appel de l'Ontario ont rejeté l'appel incident de HBC.</w:t>
            </w:r>
          </w:p>
        </w:tc>
      </w:tr>
      <w:tr w:rsidR="00E3708E" w:rsidRPr="0028361F" w:rsidTr="00E42F15">
        <w:tc>
          <w:tcPr>
            <w:tcW w:w="5000" w:type="pct"/>
            <w:gridSpan w:val="3"/>
          </w:tcPr>
          <w:p w:rsidR="00E3708E" w:rsidRPr="00BF0708" w:rsidRDefault="00E3708E" w:rsidP="00E42F15">
            <w:pPr>
              <w:jc w:val="both"/>
              <w:rPr>
                <w:rFonts w:eastAsia="Calibri"/>
                <w:sz w:val="20"/>
                <w:lang w:val="fr-CA"/>
              </w:rPr>
            </w:pPr>
          </w:p>
        </w:tc>
      </w:tr>
      <w:tr w:rsidR="00E3708E" w:rsidRPr="0028361F" w:rsidTr="00E42F15">
        <w:tc>
          <w:tcPr>
            <w:tcW w:w="2427" w:type="pct"/>
          </w:tcPr>
          <w:p w:rsidR="00E3708E" w:rsidRPr="00BF0708" w:rsidRDefault="00E3708E" w:rsidP="00E42F15">
            <w:pPr>
              <w:jc w:val="both"/>
              <w:rPr>
                <w:rFonts w:eastAsia="Calibri"/>
                <w:sz w:val="20"/>
                <w:lang w:val="fr-CA"/>
              </w:rPr>
            </w:pPr>
            <w:r w:rsidRPr="00BF0708">
              <w:rPr>
                <w:rFonts w:eastAsia="Calibri"/>
                <w:sz w:val="20"/>
                <w:lang w:val="fr-CA"/>
              </w:rPr>
              <w:t>31 juillet 2007</w:t>
            </w:r>
          </w:p>
          <w:p w:rsidR="00E3708E" w:rsidRPr="00BF0708" w:rsidRDefault="00E3708E" w:rsidP="00E42F15">
            <w:pPr>
              <w:jc w:val="both"/>
              <w:rPr>
                <w:rFonts w:eastAsia="Calibri"/>
                <w:sz w:val="20"/>
                <w:lang w:val="fr-CA"/>
              </w:rPr>
            </w:pPr>
            <w:r w:rsidRPr="00BF0708">
              <w:rPr>
                <w:rFonts w:eastAsia="Calibri"/>
                <w:sz w:val="20"/>
                <w:lang w:val="fr-CA"/>
              </w:rPr>
              <w:t xml:space="preserve">Cour supérieure de justice de l'Ontario </w:t>
            </w:r>
          </w:p>
          <w:p w:rsidR="00E3708E" w:rsidRPr="00BF0708" w:rsidRDefault="00E3708E" w:rsidP="00E42F15">
            <w:pPr>
              <w:jc w:val="both"/>
              <w:rPr>
                <w:rFonts w:eastAsia="Calibri"/>
                <w:sz w:val="20"/>
                <w:lang w:val="fr-CA"/>
              </w:rPr>
            </w:pPr>
            <w:r w:rsidRPr="00BF0708">
              <w:rPr>
                <w:rFonts w:eastAsia="Calibri"/>
                <w:sz w:val="20"/>
                <w:lang w:val="fr-CA"/>
              </w:rPr>
              <w:t>(Juge Siegel)</w:t>
            </w:r>
          </w:p>
          <w:p w:rsidR="00E3708E" w:rsidRPr="00BF0708" w:rsidRDefault="00E3708E" w:rsidP="00E42F15">
            <w:pPr>
              <w:jc w:val="both"/>
              <w:rPr>
                <w:rFonts w:eastAsia="Calibri"/>
                <w:sz w:val="20"/>
                <w:lang w:val="fr-CA"/>
              </w:rPr>
            </w:pPr>
            <w:r w:rsidRPr="00BF0708">
              <w:rPr>
                <w:rFonts w:eastAsia="Calibri"/>
                <w:sz w:val="20"/>
                <w:lang w:val="fr-CA"/>
              </w:rPr>
              <w:t>2007 CanLII 30293 (CS ON)</w:t>
            </w:r>
          </w:p>
          <w:p w:rsidR="00E3708E" w:rsidRPr="00BF0708" w:rsidRDefault="00E3708E" w:rsidP="00E42F15">
            <w:pPr>
              <w:jc w:val="both"/>
              <w:rPr>
                <w:rFonts w:eastAsia="Calibri"/>
                <w:sz w:val="20"/>
                <w:lang w:val="fr-CA"/>
              </w:rPr>
            </w:pPr>
          </w:p>
        </w:tc>
        <w:tc>
          <w:tcPr>
            <w:tcW w:w="243" w:type="pct"/>
          </w:tcPr>
          <w:p w:rsidR="00E3708E" w:rsidRPr="00BF0708" w:rsidRDefault="00E3708E" w:rsidP="00E42F15">
            <w:pPr>
              <w:jc w:val="both"/>
              <w:rPr>
                <w:rFonts w:eastAsia="Calibri"/>
                <w:sz w:val="20"/>
                <w:lang w:val="fr-CA"/>
              </w:rPr>
            </w:pPr>
          </w:p>
        </w:tc>
        <w:tc>
          <w:tcPr>
            <w:tcW w:w="2330" w:type="pct"/>
          </w:tcPr>
          <w:p w:rsidR="00E3708E" w:rsidRPr="00BF0708" w:rsidRDefault="00E3708E" w:rsidP="00E42F15">
            <w:pPr>
              <w:jc w:val="both"/>
              <w:rPr>
                <w:rFonts w:eastAsia="Calibri"/>
                <w:sz w:val="20"/>
                <w:lang w:val="fr-CA"/>
              </w:rPr>
            </w:pPr>
            <w:r w:rsidRPr="00BF0708">
              <w:rPr>
                <w:rFonts w:eastAsia="Calibri"/>
                <w:sz w:val="20"/>
                <w:lang w:val="fr-CA"/>
              </w:rPr>
              <w:t>Jugement déclarant notamment que la Compagnie de la Baie d'Hudson a apporté des modifications valides au régime de retraite de Simpsons pour permettre aux employés de filiales d'adhérer au régime selon une formule de cotisations déterminées, que la Compagnie de la Baie d’Hudson avait le droit d'imputer l'actif du fonds en fiducie pour satisfaire aux obligations de capitalisation à l'égard des employés des filiales et que ce faisant, elle n'avait commis aucune violation de fiducie ou d'obligation fiduciaire, que l'actif de la caisse de retraite était assujettie à une fiducie en faveur des participants au régime, que la Compagnie de la Baie d’Hudson n’était pas bénéficiaire de la fiducie et qu'à la cessation du régime, les participants (et non la Compagnie de la Baie d’Hudson) avaient droit à l’excédent, le cas échéant.</w:t>
            </w:r>
          </w:p>
          <w:p w:rsidR="00E3708E" w:rsidRPr="00BF0708" w:rsidRDefault="00E3708E" w:rsidP="00E42F15">
            <w:pPr>
              <w:jc w:val="both"/>
              <w:rPr>
                <w:rFonts w:eastAsia="Calibri"/>
                <w:sz w:val="20"/>
                <w:lang w:val="fr-CA"/>
              </w:rPr>
            </w:pPr>
          </w:p>
        </w:tc>
      </w:tr>
      <w:tr w:rsidR="00E3708E" w:rsidRPr="0028361F" w:rsidTr="00E42F15">
        <w:tc>
          <w:tcPr>
            <w:tcW w:w="2427" w:type="pct"/>
          </w:tcPr>
          <w:p w:rsidR="00E3708E" w:rsidRPr="00BF0708" w:rsidRDefault="00E3708E" w:rsidP="00E42F15">
            <w:pPr>
              <w:jc w:val="both"/>
              <w:rPr>
                <w:rFonts w:eastAsia="Calibri"/>
                <w:sz w:val="20"/>
                <w:lang w:val="fr-CA"/>
              </w:rPr>
            </w:pPr>
            <w:r w:rsidRPr="00BF0708">
              <w:rPr>
                <w:rFonts w:eastAsia="Calibri"/>
                <w:sz w:val="20"/>
                <w:lang w:val="fr-CA"/>
              </w:rPr>
              <w:t>22 septembre 2011</w:t>
            </w:r>
          </w:p>
          <w:p w:rsidR="00E3708E" w:rsidRPr="00BF0708" w:rsidRDefault="00E3708E" w:rsidP="00E42F15">
            <w:pPr>
              <w:jc w:val="both"/>
              <w:rPr>
                <w:rFonts w:eastAsia="Calibri"/>
                <w:sz w:val="20"/>
                <w:lang w:val="fr-CA"/>
              </w:rPr>
            </w:pPr>
            <w:r w:rsidRPr="00BF0708">
              <w:rPr>
                <w:rFonts w:eastAsia="Calibri"/>
                <w:sz w:val="20"/>
                <w:lang w:val="fr-CA"/>
              </w:rPr>
              <w:t>Cour d'appel de l’Ontario</w:t>
            </w:r>
          </w:p>
          <w:p w:rsidR="00E3708E" w:rsidRPr="00BF0708" w:rsidRDefault="00E3708E" w:rsidP="00E42F15">
            <w:pPr>
              <w:jc w:val="both"/>
              <w:rPr>
                <w:rFonts w:eastAsia="Calibri"/>
                <w:sz w:val="20"/>
                <w:lang w:val="fr-CA"/>
              </w:rPr>
            </w:pPr>
            <w:r w:rsidRPr="00BF0708">
              <w:rPr>
                <w:rFonts w:eastAsia="Calibri"/>
                <w:sz w:val="20"/>
                <w:lang w:val="fr-CA"/>
              </w:rPr>
              <w:t>(Juges Gillese, MacFarland et Rouleau, dissident)</w:t>
            </w:r>
          </w:p>
          <w:p w:rsidR="00E3708E" w:rsidRPr="00BF0708" w:rsidRDefault="00E3708E" w:rsidP="00E42F15">
            <w:pPr>
              <w:jc w:val="both"/>
              <w:rPr>
                <w:rFonts w:eastAsia="Calibri"/>
                <w:sz w:val="20"/>
                <w:lang w:val="fr-CA"/>
              </w:rPr>
            </w:pPr>
            <w:r w:rsidRPr="00BF0708">
              <w:rPr>
                <w:rFonts w:eastAsia="Calibri"/>
                <w:sz w:val="20"/>
                <w:lang w:val="fr-CA"/>
              </w:rPr>
              <w:t>2011 ONCA 606</w:t>
            </w:r>
          </w:p>
          <w:p w:rsidR="00E3708E" w:rsidRPr="00BF0708" w:rsidRDefault="00E3708E" w:rsidP="00E42F15">
            <w:pPr>
              <w:jc w:val="both"/>
              <w:rPr>
                <w:rFonts w:eastAsia="Calibri"/>
                <w:sz w:val="20"/>
                <w:lang w:val="fr-CA"/>
              </w:rPr>
            </w:pPr>
            <w:r w:rsidRPr="00BF0708">
              <w:rPr>
                <w:rFonts w:eastAsia="Calibri"/>
                <w:sz w:val="20"/>
                <w:lang w:val="fr-CA"/>
              </w:rPr>
              <w:t>N</w:t>
            </w:r>
            <w:r w:rsidRPr="00BF0708">
              <w:rPr>
                <w:rFonts w:eastAsia="Calibri"/>
                <w:sz w:val="20"/>
                <w:vertAlign w:val="superscript"/>
                <w:lang w:val="fr-CA"/>
              </w:rPr>
              <w:t>o</w:t>
            </w:r>
            <w:r w:rsidRPr="00BF0708">
              <w:rPr>
                <w:rFonts w:eastAsia="Calibri"/>
                <w:sz w:val="20"/>
                <w:lang w:val="fr-CA"/>
              </w:rPr>
              <w:t xml:space="preserve"> du greffe :  C47636</w:t>
            </w:r>
          </w:p>
          <w:p w:rsidR="00E3708E" w:rsidRPr="00BF0708" w:rsidRDefault="00E3708E" w:rsidP="00E42F15">
            <w:pPr>
              <w:jc w:val="both"/>
              <w:rPr>
                <w:rFonts w:eastAsia="Calibri"/>
                <w:sz w:val="20"/>
                <w:lang w:val="fr-CA"/>
              </w:rPr>
            </w:pPr>
          </w:p>
        </w:tc>
        <w:tc>
          <w:tcPr>
            <w:tcW w:w="243" w:type="pct"/>
          </w:tcPr>
          <w:p w:rsidR="00E3708E" w:rsidRPr="00BF0708" w:rsidRDefault="00E3708E" w:rsidP="00E42F15">
            <w:pPr>
              <w:jc w:val="both"/>
              <w:rPr>
                <w:rFonts w:eastAsia="Calibri"/>
                <w:sz w:val="20"/>
                <w:lang w:val="fr-CA"/>
              </w:rPr>
            </w:pPr>
          </w:p>
        </w:tc>
        <w:tc>
          <w:tcPr>
            <w:tcW w:w="2330" w:type="pct"/>
          </w:tcPr>
          <w:p w:rsidR="00E3708E" w:rsidRPr="00BF0708" w:rsidRDefault="00E3708E" w:rsidP="00E42F15">
            <w:pPr>
              <w:jc w:val="both"/>
              <w:rPr>
                <w:rFonts w:eastAsia="Calibri"/>
                <w:sz w:val="20"/>
                <w:lang w:val="fr-CA"/>
              </w:rPr>
            </w:pPr>
            <w:r w:rsidRPr="00BF0708">
              <w:rPr>
                <w:rFonts w:eastAsia="Calibri"/>
                <w:sz w:val="20"/>
                <w:lang w:val="fr-CA"/>
              </w:rPr>
              <w:t>Appel des participants et des bénéficiaires du régime, abandonné; appel incident de la Compagnie de la Baie d’Hudson, rejeté.</w:t>
            </w:r>
          </w:p>
          <w:p w:rsidR="00E3708E" w:rsidRPr="00BF0708" w:rsidRDefault="00E3708E" w:rsidP="00E42F15">
            <w:pPr>
              <w:jc w:val="both"/>
              <w:rPr>
                <w:rFonts w:eastAsia="Calibri"/>
                <w:sz w:val="20"/>
                <w:lang w:val="fr-CA"/>
              </w:rPr>
            </w:pPr>
          </w:p>
        </w:tc>
      </w:tr>
      <w:tr w:rsidR="00E3708E" w:rsidRPr="0028361F" w:rsidTr="00E42F15">
        <w:tc>
          <w:tcPr>
            <w:tcW w:w="2427" w:type="pct"/>
          </w:tcPr>
          <w:p w:rsidR="00E3708E" w:rsidRPr="00BF0708" w:rsidRDefault="00E3708E" w:rsidP="00E42F15">
            <w:pPr>
              <w:jc w:val="both"/>
              <w:rPr>
                <w:rFonts w:eastAsia="Calibri"/>
                <w:sz w:val="20"/>
                <w:lang w:val="fr-CA"/>
              </w:rPr>
            </w:pPr>
            <w:r w:rsidRPr="00BF0708">
              <w:rPr>
                <w:rFonts w:eastAsia="Calibri"/>
                <w:sz w:val="20"/>
                <w:lang w:val="fr-CA"/>
              </w:rPr>
              <w:t>17 novembre 2011</w:t>
            </w:r>
          </w:p>
          <w:p w:rsidR="00E3708E" w:rsidRPr="00BF0708" w:rsidRDefault="00E3708E" w:rsidP="00E42F15">
            <w:pPr>
              <w:jc w:val="both"/>
              <w:rPr>
                <w:rFonts w:eastAsia="Calibri"/>
                <w:sz w:val="20"/>
                <w:lang w:val="fr-CA"/>
              </w:rPr>
            </w:pPr>
            <w:r w:rsidRPr="00BF0708">
              <w:rPr>
                <w:rFonts w:eastAsia="Calibri"/>
                <w:sz w:val="20"/>
                <w:lang w:val="fr-CA"/>
              </w:rPr>
              <w:t>Cour suprême du Canada</w:t>
            </w:r>
          </w:p>
        </w:tc>
        <w:tc>
          <w:tcPr>
            <w:tcW w:w="243" w:type="pct"/>
          </w:tcPr>
          <w:p w:rsidR="00E3708E" w:rsidRPr="00BF0708" w:rsidRDefault="00E3708E" w:rsidP="00E42F15">
            <w:pPr>
              <w:jc w:val="both"/>
              <w:rPr>
                <w:rFonts w:eastAsia="Calibri"/>
                <w:sz w:val="20"/>
                <w:lang w:val="fr-CA"/>
              </w:rPr>
            </w:pPr>
          </w:p>
        </w:tc>
        <w:tc>
          <w:tcPr>
            <w:tcW w:w="2330" w:type="pct"/>
          </w:tcPr>
          <w:p w:rsidR="00E3708E" w:rsidRPr="00BF0708" w:rsidRDefault="00E3708E" w:rsidP="00E42F15">
            <w:pPr>
              <w:jc w:val="both"/>
              <w:rPr>
                <w:rFonts w:eastAsia="Calibri"/>
                <w:sz w:val="20"/>
                <w:lang w:val="fr-CA"/>
              </w:rPr>
            </w:pPr>
            <w:r w:rsidRPr="00BF0708">
              <w:rPr>
                <w:rFonts w:eastAsia="Calibri"/>
                <w:sz w:val="20"/>
                <w:lang w:val="fr-CA"/>
              </w:rPr>
              <w:t>Demande d'autorisation d'appel déposée par la Compagnie de la Baie d’Hudson, demanderesse.</w:t>
            </w:r>
          </w:p>
        </w:tc>
      </w:tr>
    </w:tbl>
    <w:p w:rsidR="00FD4A4B" w:rsidRPr="00E3708E" w:rsidRDefault="00FD4A4B" w:rsidP="00FD4A4B">
      <w:pPr>
        <w:rPr>
          <w:sz w:val="20"/>
          <w:szCs w:val="20"/>
          <w:lang w:val="fr-CA"/>
        </w:rPr>
      </w:pPr>
    </w:p>
    <w:p w:rsidR="00FD4A4B" w:rsidRPr="00C50A5C" w:rsidRDefault="00414F7B" w:rsidP="00FD4A4B">
      <w:pPr>
        <w:rPr>
          <w:sz w:val="20"/>
          <w:szCs w:val="20"/>
        </w:rPr>
      </w:pPr>
      <w:r w:rsidRPr="00414F7B">
        <w:rPr>
          <w:sz w:val="20"/>
          <w:szCs w:val="20"/>
          <w:lang w:val="fr-CA"/>
        </w:rPr>
        <w:pict>
          <v:rect id="_x0000_i1043" style="width:2in;height:1pt" o:hrpct="0" o:hralign="center" o:hrstd="t" o:hrnoshade="t" o:hr="t" fillcolor="black [3213]" stroked="f"/>
        </w:pict>
      </w:r>
    </w:p>
    <w:p w:rsidR="00FD4A4B" w:rsidRDefault="00FD4A4B" w:rsidP="00FD4A4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6493F" w:rsidRPr="00216201" w:rsidTr="0086493F">
        <w:trPr>
          <w:cantSplit/>
        </w:trPr>
        <w:tc>
          <w:tcPr>
            <w:tcW w:w="1458" w:type="dxa"/>
          </w:tcPr>
          <w:p w:rsidR="0086493F" w:rsidRPr="00216201" w:rsidRDefault="0086493F" w:rsidP="0086493F">
            <w:pPr>
              <w:rPr>
                <w:sz w:val="20"/>
                <w:szCs w:val="20"/>
              </w:rPr>
            </w:pPr>
            <w:r w:rsidRPr="00216201">
              <w:rPr>
                <w:rStyle w:val="SCCFileNumberChar"/>
                <w:sz w:val="20"/>
                <w:szCs w:val="20"/>
              </w:rPr>
              <w:t>34535</w:t>
            </w:r>
          </w:p>
          <w:p w:rsidR="0086493F" w:rsidRPr="00216201" w:rsidRDefault="0086493F" w:rsidP="0086493F">
            <w:pPr>
              <w:rPr>
                <w:b/>
                <w:sz w:val="20"/>
                <w:szCs w:val="20"/>
                <w:lang w:val="fr-CA"/>
              </w:rPr>
            </w:pPr>
          </w:p>
        </w:tc>
        <w:tc>
          <w:tcPr>
            <w:tcW w:w="8118" w:type="dxa"/>
          </w:tcPr>
          <w:p w:rsidR="0086493F" w:rsidRPr="00216201" w:rsidRDefault="0086493F" w:rsidP="0086493F">
            <w:pPr>
              <w:rPr>
                <w:sz w:val="20"/>
                <w:szCs w:val="20"/>
              </w:rPr>
            </w:pPr>
            <w:r w:rsidRPr="0086493F">
              <w:rPr>
                <w:rStyle w:val="SCCLsocChar"/>
                <w:sz w:val="20"/>
                <w:szCs w:val="20"/>
                <w:lang w:val="en-CA"/>
              </w:rPr>
              <w:t>B.C. v. Her Majesty the Queen</w:t>
            </w:r>
            <w:r w:rsidRPr="00216201">
              <w:rPr>
                <w:sz w:val="20"/>
                <w:szCs w:val="20"/>
              </w:rPr>
              <w:t xml:space="preserve"> (Ont.) (Criminal) (By Leave)</w:t>
            </w:r>
          </w:p>
          <w:p w:rsidR="0086493F" w:rsidRPr="00216201" w:rsidRDefault="0086493F" w:rsidP="0086493F">
            <w:pPr>
              <w:rPr>
                <w:sz w:val="20"/>
                <w:szCs w:val="20"/>
              </w:rPr>
            </w:pPr>
          </w:p>
        </w:tc>
      </w:tr>
      <w:tr w:rsidR="0086493F" w:rsidRPr="00216201" w:rsidTr="0086493F">
        <w:trPr>
          <w:cantSplit/>
        </w:trPr>
        <w:tc>
          <w:tcPr>
            <w:tcW w:w="1458" w:type="dxa"/>
          </w:tcPr>
          <w:p w:rsidR="0086493F" w:rsidRPr="00216201" w:rsidRDefault="0086493F" w:rsidP="0086493F">
            <w:pPr>
              <w:rPr>
                <w:sz w:val="20"/>
                <w:szCs w:val="20"/>
              </w:rPr>
            </w:pPr>
            <w:r w:rsidRPr="00216201">
              <w:rPr>
                <w:sz w:val="20"/>
                <w:szCs w:val="20"/>
              </w:rPr>
              <w:t>Coram :</w:t>
            </w:r>
          </w:p>
        </w:tc>
        <w:tc>
          <w:tcPr>
            <w:tcW w:w="8118" w:type="dxa"/>
          </w:tcPr>
          <w:p w:rsidR="0086493F" w:rsidRPr="00216201" w:rsidRDefault="0086493F" w:rsidP="0086493F">
            <w:pPr>
              <w:rPr>
                <w:sz w:val="20"/>
                <w:szCs w:val="20"/>
              </w:rPr>
            </w:pPr>
            <w:r w:rsidRPr="0086493F">
              <w:rPr>
                <w:rStyle w:val="SCCCoramChar"/>
                <w:sz w:val="20"/>
                <w:szCs w:val="20"/>
                <w:lang w:val="en-CA"/>
              </w:rPr>
              <w:t>McLachlin C.J. and Rothstein and Moldaver JJ.</w:t>
            </w:r>
          </w:p>
          <w:p w:rsidR="0086493F" w:rsidRPr="00216201" w:rsidRDefault="0086493F" w:rsidP="0086493F">
            <w:pPr>
              <w:rPr>
                <w:sz w:val="20"/>
                <w:szCs w:val="20"/>
                <w:u w:val="single"/>
              </w:rPr>
            </w:pPr>
          </w:p>
        </w:tc>
      </w:tr>
      <w:tr w:rsidR="0086493F" w:rsidRPr="0028361F" w:rsidTr="0086493F">
        <w:trPr>
          <w:cantSplit/>
        </w:trPr>
        <w:tc>
          <w:tcPr>
            <w:tcW w:w="9576" w:type="dxa"/>
            <w:gridSpan w:val="2"/>
          </w:tcPr>
          <w:p w:rsidR="0086493F" w:rsidRPr="00216201" w:rsidRDefault="0086493F" w:rsidP="0086493F">
            <w:pPr>
              <w:pStyle w:val="SCCShortJudgment"/>
              <w:rPr>
                <w:szCs w:val="20"/>
              </w:rPr>
            </w:pPr>
            <w:r w:rsidRPr="00216201">
              <w:rPr>
                <w:szCs w:val="20"/>
              </w:rPr>
              <w:t>The application for leave to appeal from the judgment of the Court of Appeal for Ontario, Number C51804, 2011 ONCA 604, dated September 21, 2011, is dismissed without costs.</w:t>
            </w:r>
          </w:p>
          <w:p w:rsidR="0086493F" w:rsidRPr="00216201" w:rsidRDefault="0086493F" w:rsidP="0086493F">
            <w:pPr>
              <w:pStyle w:val="SCCShortJudgment"/>
              <w:ind w:firstLine="0"/>
              <w:rPr>
                <w:szCs w:val="20"/>
              </w:rPr>
            </w:pPr>
          </w:p>
          <w:p w:rsidR="0086493F" w:rsidRPr="00216201" w:rsidRDefault="0086493F" w:rsidP="0086493F">
            <w:pPr>
              <w:pStyle w:val="SCCShortJudgment"/>
              <w:rPr>
                <w:szCs w:val="20"/>
                <w:lang w:val="fr-CA"/>
              </w:rPr>
            </w:pPr>
            <w:r w:rsidRPr="00216201">
              <w:rPr>
                <w:szCs w:val="20"/>
                <w:lang w:val="fr-CA"/>
              </w:rPr>
              <w:t>La demande d’autorisation d’appel de l’arrêt de la Cour d’appel de l’Ontario, numéro C51804, 2011 ONCA 604, daté du 21 septembre 2011, est rejetée sans dépens.</w:t>
            </w:r>
          </w:p>
        </w:tc>
      </w:tr>
    </w:tbl>
    <w:p w:rsidR="00FD4A4B" w:rsidRPr="00FD4A4B" w:rsidRDefault="00FD4A4B" w:rsidP="00FD4A4B">
      <w:pPr>
        <w:rPr>
          <w:sz w:val="20"/>
          <w:szCs w:val="20"/>
          <w:lang w:val="fr-CA"/>
        </w:rPr>
      </w:pPr>
    </w:p>
    <w:p w:rsidR="009458C3" w:rsidRPr="00146189" w:rsidRDefault="009458C3">
      <w:pPr>
        <w:rPr>
          <w:sz w:val="20"/>
          <w:szCs w:val="20"/>
          <w:u w:val="single"/>
          <w:lang w:val="fr-CA"/>
        </w:rPr>
      </w:pPr>
      <w:r w:rsidRPr="00146189">
        <w:rPr>
          <w:sz w:val="20"/>
          <w:szCs w:val="20"/>
          <w:u w:val="single"/>
          <w:lang w:val="fr-CA"/>
        </w:rPr>
        <w:br w:type="page"/>
      </w:r>
    </w:p>
    <w:p w:rsidR="00FD4A4B" w:rsidRPr="001B157C" w:rsidRDefault="00FD4A4B" w:rsidP="00FD4A4B">
      <w:pPr>
        <w:rPr>
          <w:sz w:val="20"/>
          <w:szCs w:val="20"/>
          <w:u w:val="single"/>
        </w:rPr>
      </w:pPr>
      <w:r w:rsidRPr="001B157C">
        <w:rPr>
          <w:sz w:val="20"/>
          <w:szCs w:val="20"/>
          <w:u w:val="single"/>
        </w:rPr>
        <w:lastRenderedPageBreak/>
        <w:t>CASE SUMMARY</w:t>
      </w:r>
    </w:p>
    <w:p w:rsidR="00FD4A4B" w:rsidRDefault="00FD4A4B" w:rsidP="00FD4A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3708E" w:rsidRPr="00BF0708" w:rsidTr="00E42F15">
        <w:tc>
          <w:tcPr>
            <w:tcW w:w="5000" w:type="pct"/>
            <w:gridSpan w:val="3"/>
          </w:tcPr>
          <w:p w:rsidR="00E3708E" w:rsidRPr="00BF0708" w:rsidRDefault="00E3708E" w:rsidP="00E42F15">
            <w:pPr>
              <w:jc w:val="both"/>
              <w:rPr>
                <w:rFonts w:eastAsia="Calibri"/>
                <w:smallCaps/>
                <w:sz w:val="20"/>
              </w:rPr>
            </w:pPr>
            <w:r w:rsidRPr="00BF0708">
              <w:rPr>
                <w:rFonts w:eastAsia="Calibri"/>
                <w:smallCaps/>
                <w:sz w:val="20"/>
              </w:rPr>
              <w:t xml:space="preserve">(Publication </w:t>
            </w:r>
            <w:r>
              <w:rPr>
                <w:rFonts w:eastAsia="Calibri"/>
                <w:smallCaps/>
                <w:sz w:val="20"/>
              </w:rPr>
              <w:t>B</w:t>
            </w:r>
            <w:r w:rsidRPr="00BF0708">
              <w:rPr>
                <w:rFonts w:eastAsia="Calibri"/>
                <w:smallCaps/>
                <w:sz w:val="20"/>
              </w:rPr>
              <w:t xml:space="preserve">an in </w:t>
            </w:r>
            <w:r>
              <w:rPr>
                <w:rFonts w:eastAsia="Calibri"/>
                <w:smallCaps/>
                <w:sz w:val="20"/>
              </w:rPr>
              <w:t>C</w:t>
            </w:r>
            <w:r w:rsidRPr="00BF0708">
              <w:rPr>
                <w:rFonts w:eastAsia="Calibri"/>
                <w:smallCaps/>
                <w:sz w:val="20"/>
              </w:rPr>
              <w:t xml:space="preserve">ase) (Publication </w:t>
            </w:r>
            <w:r>
              <w:rPr>
                <w:rFonts w:eastAsia="Calibri"/>
                <w:smallCaps/>
                <w:sz w:val="20"/>
              </w:rPr>
              <w:t>B</w:t>
            </w:r>
            <w:r w:rsidRPr="00BF0708">
              <w:rPr>
                <w:rFonts w:eastAsia="Calibri"/>
                <w:smallCaps/>
                <w:sz w:val="20"/>
              </w:rPr>
              <w:t xml:space="preserve">an on </w:t>
            </w:r>
            <w:r>
              <w:rPr>
                <w:rFonts w:eastAsia="Calibri"/>
                <w:smallCaps/>
                <w:sz w:val="20"/>
              </w:rPr>
              <w:t>P</w:t>
            </w:r>
            <w:r w:rsidRPr="00BF0708">
              <w:rPr>
                <w:rFonts w:eastAsia="Calibri"/>
                <w:smallCaps/>
                <w:sz w:val="20"/>
              </w:rPr>
              <w:t>arty)</w:t>
            </w:r>
          </w:p>
          <w:p w:rsidR="00E3708E" w:rsidRPr="00BF0708" w:rsidRDefault="00E3708E" w:rsidP="00E42F15">
            <w:pPr>
              <w:jc w:val="both"/>
              <w:rPr>
                <w:rFonts w:eastAsia="Calibri"/>
                <w:sz w:val="20"/>
              </w:rPr>
            </w:pPr>
          </w:p>
          <w:p w:rsidR="00E3708E" w:rsidRPr="00BF0708" w:rsidRDefault="00E3708E" w:rsidP="00E42F15">
            <w:pPr>
              <w:jc w:val="both"/>
              <w:rPr>
                <w:rFonts w:eastAsia="Calibri"/>
                <w:sz w:val="20"/>
              </w:rPr>
            </w:pPr>
            <w:r w:rsidRPr="00BF0708">
              <w:rPr>
                <w:rFonts w:eastAsia="Calibri"/>
                <w:sz w:val="20"/>
              </w:rPr>
              <w:t>Criminal law – Unreasonable verdict – Whether it was reasonable for a jury to convict the applicant of sexual assault and sexual interference but acquit applicant on a count of incest – Whether the verdicts are irreconcilable on the evidence and on a reasonable assessment of credibility.</w:t>
            </w:r>
          </w:p>
        </w:tc>
      </w:tr>
      <w:tr w:rsidR="00E3708E" w:rsidRPr="00BF0708" w:rsidTr="00E42F15">
        <w:tc>
          <w:tcPr>
            <w:tcW w:w="5000" w:type="pct"/>
            <w:gridSpan w:val="3"/>
          </w:tcPr>
          <w:p w:rsidR="00E3708E" w:rsidRPr="00BF0708" w:rsidRDefault="00E3708E" w:rsidP="00E42F15">
            <w:pPr>
              <w:jc w:val="both"/>
              <w:rPr>
                <w:rFonts w:eastAsia="Calibri"/>
                <w:sz w:val="20"/>
              </w:rPr>
            </w:pPr>
          </w:p>
        </w:tc>
      </w:tr>
      <w:tr w:rsidR="00E3708E" w:rsidRPr="00BF0708" w:rsidTr="00E42F15">
        <w:tc>
          <w:tcPr>
            <w:tcW w:w="5000" w:type="pct"/>
            <w:gridSpan w:val="3"/>
          </w:tcPr>
          <w:p w:rsidR="00E3708E" w:rsidRPr="00BF0708" w:rsidRDefault="00E3708E" w:rsidP="00E42F15">
            <w:pPr>
              <w:jc w:val="both"/>
              <w:rPr>
                <w:rFonts w:eastAsia="Calibri"/>
                <w:sz w:val="20"/>
              </w:rPr>
            </w:pPr>
            <w:r w:rsidRPr="00BF0708">
              <w:rPr>
                <w:rFonts w:eastAsia="Calibri"/>
                <w:sz w:val="20"/>
              </w:rPr>
              <w:t xml:space="preserve">The applicant was convicted by a jury of sexual assault and sexual interference and acquitted on a count of incest.  At trial, the complainant had testified that she clearly remembered the alleged conduct upon which the count of incest was based but her testimony was vague with respect to the alleged conduct upon which the counts of sexual assault and sexual interference were based.  The Crown’s case relied on the testimony of the complainant. On an appeal from the convictions, the applicant submitted that it was unreasonable and inconsistent to convict him on the counts supported by vague evidence but to acquit him on the count supported by clear evidence.   The Court of Appeal dismissed the appeal.  </w:t>
            </w:r>
          </w:p>
          <w:p w:rsidR="00E3708E" w:rsidRPr="00BF0708" w:rsidRDefault="00E3708E" w:rsidP="00E42F15">
            <w:pPr>
              <w:jc w:val="both"/>
              <w:rPr>
                <w:rFonts w:eastAsia="Calibri"/>
                <w:sz w:val="20"/>
              </w:rPr>
            </w:pPr>
          </w:p>
        </w:tc>
      </w:tr>
      <w:tr w:rsidR="00E3708E" w:rsidRPr="00BF0708" w:rsidTr="00E42F15">
        <w:tc>
          <w:tcPr>
            <w:tcW w:w="2427" w:type="pct"/>
          </w:tcPr>
          <w:p w:rsidR="00E3708E" w:rsidRPr="00BF0708" w:rsidRDefault="00E3708E" w:rsidP="00E42F15">
            <w:pPr>
              <w:jc w:val="both"/>
              <w:rPr>
                <w:rFonts w:eastAsia="Calibri"/>
                <w:sz w:val="20"/>
              </w:rPr>
            </w:pPr>
            <w:r w:rsidRPr="00BF0708">
              <w:rPr>
                <w:rFonts w:eastAsia="Calibri"/>
                <w:sz w:val="20"/>
              </w:rPr>
              <w:t>June 13, 2009</w:t>
            </w:r>
          </w:p>
          <w:p w:rsidR="00E3708E" w:rsidRPr="00BF0708" w:rsidRDefault="00E3708E" w:rsidP="00E42F15">
            <w:pPr>
              <w:jc w:val="both"/>
              <w:rPr>
                <w:rFonts w:eastAsia="Calibri"/>
                <w:sz w:val="20"/>
              </w:rPr>
            </w:pPr>
            <w:r w:rsidRPr="00BF0708">
              <w:rPr>
                <w:rFonts w:eastAsia="Calibri"/>
                <w:sz w:val="20"/>
              </w:rPr>
              <w:t>Ontario Superior Court of Justice</w:t>
            </w:r>
          </w:p>
          <w:p w:rsidR="00E3708E" w:rsidRPr="00BF0708" w:rsidRDefault="00E3708E" w:rsidP="00E42F15">
            <w:pPr>
              <w:jc w:val="both"/>
              <w:rPr>
                <w:rFonts w:eastAsia="Calibri"/>
                <w:sz w:val="20"/>
              </w:rPr>
            </w:pPr>
            <w:r w:rsidRPr="00BF0708">
              <w:rPr>
                <w:rFonts w:eastAsia="Calibri"/>
                <w:sz w:val="20"/>
              </w:rPr>
              <w:t>(DiTomaso J.)</w:t>
            </w:r>
          </w:p>
          <w:p w:rsidR="00E3708E" w:rsidRPr="00BF0708" w:rsidRDefault="00E3708E" w:rsidP="00E42F15">
            <w:pPr>
              <w:jc w:val="both"/>
              <w:rPr>
                <w:rFonts w:eastAsia="Calibri"/>
                <w:sz w:val="20"/>
              </w:rPr>
            </w:pPr>
          </w:p>
        </w:tc>
        <w:tc>
          <w:tcPr>
            <w:tcW w:w="243" w:type="pct"/>
          </w:tcPr>
          <w:p w:rsidR="00E3708E" w:rsidRPr="00BF0708" w:rsidRDefault="00E3708E" w:rsidP="00E42F15">
            <w:pPr>
              <w:jc w:val="both"/>
              <w:rPr>
                <w:rFonts w:eastAsia="Calibri"/>
                <w:sz w:val="20"/>
              </w:rPr>
            </w:pPr>
          </w:p>
        </w:tc>
        <w:tc>
          <w:tcPr>
            <w:tcW w:w="2330" w:type="pct"/>
          </w:tcPr>
          <w:p w:rsidR="00E3708E" w:rsidRPr="00BF0708" w:rsidRDefault="00E3708E" w:rsidP="00E42F15">
            <w:pPr>
              <w:jc w:val="both"/>
              <w:rPr>
                <w:rFonts w:eastAsia="Calibri"/>
                <w:sz w:val="20"/>
              </w:rPr>
            </w:pPr>
            <w:r w:rsidRPr="00BF0708">
              <w:rPr>
                <w:rFonts w:eastAsia="Calibri"/>
                <w:sz w:val="20"/>
              </w:rPr>
              <w:t>Convictions by jury on count of sexual assault, two counts of touching for a sexual purpose; Acquittals on count of incest and  count of uttering threat</w:t>
            </w:r>
          </w:p>
          <w:p w:rsidR="00E3708E" w:rsidRPr="00BF0708" w:rsidRDefault="00E3708E" w:rsidP="00E42F15">
            <w:pPr>
              <w:jc w:val="both"/>
              <w:rPr>
                <w:rFonts w:eastAsia="Calibri"/>
                <w:sz w:val="20"/>
              </w:rPr>
            </w:pPr>
          </w:p>
        </w:tc>
      </w:tr>
      <w:tr w:rsidR="00E3708E" w:rsidRPr="00BF0708" w:rsidTr="00E42F15">
        <w:tc>
          <w:tcPr>
            <w:tcW w:w="2427" w:type="pct"/>
          </w:tcPr>
          <w:p w:rsidR="00E3708E" w:rsidRPr="00BF0708" w:rsidRDefault="00E3708E" w:rsidP="00E42F15">
            <w:pPr>
              <w:jc w:val="both"/>
              <w:rPr>
                <w:rFonts w:eastAsia="Calibri"/>
                <w:sz w:val="20"/>
              </w:rPr>
            </w:pPr>
            <w:r w:rsidRPr="00BF0708">
              <w:rPr>
                <w:rFonts w:eastAsia="Calibri"/>
                <w:sz w:val="20"/>
              </w:rPr>
              <w:t>September 21, 2011</w:t>
            </w:r>
          </w:p>
          <w:p w:rsidR="00E3708E" w:rsidRPr="00BF0708" w:rsidRDefault="00E3708E" w:rsidP="00E42F15">
            <w:pPr>
              <w:jc w:val="both"/>
              <w:rPr>
                <w:rFonts w:eastAsia="Calibri"/>
                <w:sz w:val="20"/>
              </w:rPr>
            </w:pPr>
            <w:r w:rsidRPr="00BF0708">
              <w:rPr>
                <w:rFonts w:eastAsia="Calibri"/>
                <w:sz w:val="20"/>
              </w:rPr>
              <w:t>Court of Appeal for Ontario</w:t>
            </w:r>
          </w:p>
          <w:p w:rsidR="00E3708E" w:rsidRPr="00BF0708" w:rsidRDefault="00E3708E" w:rsidP="00E42F15">
            <w:pPr>
              <w:jc w:val="both"/>
              <w:rPr>
                <w:rFonts w:eastAsia="Calibri"/>
                <w:sz w:val="20"/>
              </w:rPr>
            </w:pPr>
            <w:r w:rsidRPr="00BF0708">
              <w:rPr>
                <w:rFonts w:eastAsia="Calibri"/>
                <w:sz w:val="20"/>
              </w:rPr>
              <w:t>(Laskin, Goudge, LaForme JJ.A.)</w:t>
            </w:r>
          </w:p>
          <w:p w:rsidR="00E3708E" w:rsidRPr="00BF0708" w:rsidRDefault="00E3708E" w:rsidP="00E42F15">
            <w:pPr>
              <w:jc w:val="both"/>
              <w:rPr>
                <w:rFonts w:eastAsia="Calibri"/>
                <w:sz w:val="20"/>
              </w:rPr>
            </w:pPr>
            <w:r w:rsidRPr="00BF0708">
              <w:rPr>
                <w:rFonts w:eastAsia="Calibri"/>
                <w:sz w:val="20"/>
              </w:rPr>
              <w:t>2011 ONCA 604; C51804</w:t>
            </w:r>
          </w:p>
          <w:p w:rsidR="00E3708E" w:rsidRPr="00BF0708" w:rsidRDefault="00E3708E" w:rsidP="00E42F15">
            <w:pPr>
              <w:jc w:val="both"/>
              <w:rPr>
                <w:rFonts w:eastAsia="Calibri"/>
                <w:sz w:val="20"/>
              </w:rPr>
            </w:pPr>
          </w:p>
        </w:tc>
        <w:tc>
          <w:tcPr>
            <w:tcW w:w="243" w:type="pct"/>
          </w:tcPr>
          <w:p w:rsidR="00E3708E" w:rsidRPr="00BF0708" w:rsidRDefault="00E3708E" w:rsidP="00E42F15">
            <w:pPr>
              <w:jc w:val="both"/>
              <w:rPr>
                <w:rFonts w:eastAsia="Calibri"/>
                <w:sz w:val="20"/>
              </w:rPr>
            </w:pPr>
          </w:p>
        </w:tc>
        <w:tc>
          <w:tcPr>
            <w:tcW w:w="2330" w:type="pct"/>
          </w:tcPr>
          <w:p w:rsidR="00E3708E" w:rsidRPr="00BF0708" w:rsidRDefault="00E3708E" w:rsidP="00E42F15">
            <w:pPr>
              <w:jc w:val="both"/>
              <w:rPr>
                <w:rFonts w:eastAsia="Calibri"/>
                <w:sz w:val="20"/>
              </w:rPr>
            </w:pPr>
            <w:r w:rsidRPr="00BF0708">
              <w:rPr>
                <w:rFonts w:eastAsia="Calibri"/>
                <w:sz w:val="20"/>
              </w:rPr>
              <w:t>Appeal from convictions dismissed</w:t>
            </w:r>
          </w:p>
          <w:p w:rsidR="00E3708E" w:rsidRPr="00BF0708" w:rsidRDefault="00E3708E" w:rsidP="00E42F15">
            <w:pPr>
              <w:jc w:val="both"/>
              <w:rPr>
                <w:rFonts w:eastAsia="Calibri"/>
                <w:sz w:val="20"/>
              </w:rPr>
            </w:pPr>
          </w:p>
        </w:tc>
      </w:tr>
      <w:tr w:rsidR="00E3708E" w:rsidRPr="00BF0708" w:rsidTr="00E42F15">
        <w:tc>
          <w:tcPr>
            <w:tcW w:w="2427" w:type="pct"/>
          </w:tcPr>
          <w:p w:rsidR="00E3708E" w:rsidRPr="00BF0708" w:rsidRDefault="00E3708E" w:rsidP="00E42F15">
            <w:pPr>
              <w:jc w:val="both"/>
              <w:rPr>
                <w:rFonts w:eastAsia="Calibri"/>
                <w:sz w:val="20"/>
              </w:rPr>
            </w:pPr>
            <w:r w:rsidRPr="00BF0708">
              <w:rPr>
                <w:rFonts w:eastAsia="Calibri"/>
                <w:sz w:val="20"/>
              </w:rPr>
              <w:t>November 18, 2011</w:t>
            </w:r>
          </w:p>
          <w:p w:rsidR="00E3708E" w:rsidRPr="00BF0708" w:rsidRDefault="00E3708E" w:rsidP="00E42F15">
            <w:pPr>
              <w:jc w:val="both"/>
              <w:rPr>
                <w:rFonts w:eastAsia="Calibri"/>
                <w:sz w:val="20"/>
              </w:rPr>
            </w:pPr>
            <w:r w:rsidRPr="00BF0708">
              <w:rPr>
                <w:rFonts w:eastAsia="Calibri"/>
                <w:sz w:val="20"/>
              </w:rPr>
              <w:t>Supreme Court of Canada</w:t>
            </w:r>
          </w:p>
        </w:tc>
        <w:tc>
          <w:tcPr>
            <w:tcW w:w="243" w:type="pct"/>
          </w:tcPr>
          <w:p w:rsidR="00E3708E" w:rsidRPr="00BF0708" w:rsidRDefault="00E3708E" w:rsidP="00E42F15">
            <w:pPr>
              <w:jc w:val="both"/>
              <w:rPr>
                <w:rFonts w:eastAsia="Calibri"/>
                <w:sz w:val="20"/>
              </w:rPr>
            </w:pPr>
          </w:p>
        </w:tc>
        <w:tc>
          <w:tcPr>
            <w:tcW w:w="2330" w:type="pct"/>
          </w:tcPr>
          <w:p w:rsidR="00E3708E" w:rsidRPr="00BF0708" w:rsidRDefault="00E3708E" w:rsidP="00E42F15">
            <w:pPr>
              <w:jc w:val="both"/>
              <w:rPr>
                <w:rFonts w:eastAsia="Calibri"/>
                <w:sz w:val="20"/>
              </w:rPr>
            </w:pPr>
            <w:r w:rsidRPr="00BF0708">
              <w:rPr>
                <w:rFonts w:eastAsia="Calibri"/>
                <w:sz w:val="20"/>
              </w:rPr>
              <w:t>Application for leave to appeal filed</w:t>
            </w:r>
          </w:p>
          <w:p w:rsidR="00E3708E" w:rsidRPr="00BF0708" w:rsidRDefault="00E3708E" w:rsidP="00E42F15">
            <w:pPr>
              <w:jc w:val="both"/>
              <w:rPr>
                <w:rFonts w:eastAsia="Calibri"/>
                <w:sz w:val="20"/>
              </w:rPr>
            </w:pP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44" style="width:2in;height:1pt" o:hrpct="0" o:hralign="center" o:hrstd="t" o:hrnoshade="t" o:hr="t" fillcolor="black [3213]" stroked="f"/>
        </w:pict>
      </w:r>
    </w:p>
    <w:p w:rsidR="00FD4A4B" w:rsidRDefault="00FD4A4B" w:rsidP="00FD4A4B">
      <w:pPr>
        <w:rPr>
          <w:sz w:val="20"/>
          <w:szCs w:val="20"/>
        </w:rPr>
      </w:pPr>
    </w:p>
    <w:p w:rsidR="00FD4A4B" w:rsidRPr="001B157C" w:rsidRDefault="00FD4A4B" w:rsidP="00FD4A4B">
      <w:pPr>
        <w:rPr>
          <w:sz w:val="20"/>
          <w:szCs w:val="20"/>
          <w:u w:val="single"/>
          <w:lang w:val="fr-CA"/>
        </w:rPr>
      </w:pPr>
      <w:r w:rsidRPr="001B157C">
        <w:rPr>
          <w:sz w:val="20"/>
          <w:szCs w:val="20"/>
          <w:u w:val="single"/>
          <w:lang w:val="fr-CA"/>
        </w:rPr>
        <w:t>RÉSUMÉ DE L’AFFAIRE</w:t>
      </w:r>
    </w:p>
    <w:p w:rsidR="00FD4A4B" w:rsidRDefault="00FD4A4B" w:rsidP="00FD4A4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3708E" w:rsidRPr="0028361F" w:rsidTr="00E42F15">
        <w:tc>
          <w:tcPr>
            <w:tcW w:w="5000" w:type="pct"/>
            <w:gridSpan w:val="3"/>
          </w:tcPr>
          <w:p w:rsidR="00E3708E" w:rsidRPr="00BF0708" w:rsidRDefault="00E3708E" w:rsidP="00E42F15">
            <w:pPr>
              <w:jc w:val="both"/>
              <w:rPr>
                <w:rFonts w:eastAsia="Calibri"/>
                <w:smallCaps/>
                <w:sz w:val="20"/>
                <w:lang w:val="fr-CA"/>
              </w:rPr>
            </w:pPr>
            <w:r w:rsidRPr="00BF0708">
              <w:rPr>
                <w:rFonts w:eastAsia="Calibri"/>
                <w:smallCaps/>
                <w:sz w:val="20"/>
                <w:lang w:val="fr-CA"/>
              </w:rPr>
              <w:t>(Ordonnance de non-publication dans le dossier) (</w:t>
            </w:r>
            <w:r>
              <w:rPr>
                <w:rFonts w:eastAsia="Calibri"/>
                <w:smallCaps/>
                <w:sz w:val="20"/>
                <w:lang w:val="fr-CA"/>
              </w:rPr>
              <w:t>O</w:t>
            </w:r>
            <w:r w:rsidRPr="00BF0708">
              <w:rPr>
                <w:rFonts w:eastAsia="Calibri"/>
                <w:smallCaps/>
                <w:sz w:val="20"/>
                <w:lang w:val="fr-CA"/>
              </w:rPr>
              <w:t>rdonnance de non-publication visant une partie)</w:t>
            </w:r>
          </w:p>
          <w:p w:rsidR="00E3708E" w:rsidRPr="00BF0708" w:rsidRDefault="00E3708E" w:rsidP="00E42F15">
            <w:pPr>
              <w:jc w:val="both"/>
              <w:rPr>
                <w:rFonts w:eastAsia="Calibri"/>
                <w:sz w:val="20"/>
                <w:lang w:val="fr-CA"/>
              </w:rPr>
            </w:pPr>
          </w:p>
          <w:p w:rsidR="00E3708E" w:rsidRPr="00BF0708" w:rsidRDefault="00E3708E" w:rsidP="00E42F15">
            <w:pPr>
              <w:jc w:val="both"/>
              <w:rPr>
                <w:rFonts w:eastAsia="Calibri"/>
                <w:sz w:val="20"/>
                <w:lang w:val="fr-CA"/>
              </w:rPr>
            </w:pPr>
            <w:r w:rsidRPr="00BF0708">
              <w:rPr>
                <w:rFonts w:eastAsia="Calibri"/>
                <w:sz w:val="20"/>
                <w:lang w:val="fr-CA"/>
              </w:rPr>
              <w:t>Droit criminel – Verdict déraisonnable – Était-il raisonnable qu'un jury déclare le demandeur coupable d'agression sexuelle et de contacts sexuels mais l’acquitte sous un chef d'inceste? – Les verdicts sont-ils irréconciliables sur le fondement de la preuve et une appréciation raisonnable de la crédibilité?</w:t>
            </w:r>
          </w:p>
        </w:tc>
      </w:tr>
      <w:tr w:rsidR="00E3708E" w:rsidRPr="0028361F" w:rsidTr="00E42F15">
        <w:tc>
          <w:tcPr>
            <w:tcW w:w="5000" w:type="pct"/>
            <w:gridSpan w:val="3"/>
          </w:tcPr>
          <w:p w:rsidR="00E3708E" w:rsidRPr="00BF0708" w:rsidRDefault="00E3708E" w:rsidP="00E42F15">
            <w:pPr>
              <w:jc w:val="both"/>
              <w:rPr>
                <w:rFonts w:eastAsia="Calibri"/>
                <w:sz w:val="20"/>
                <w:lang w:val="fr-CA"/>
              </w:rPr>
            </w:pPr>
          </w:p>
        </w:tc>
      </w:tr>
      <w:tr w:rsidR="00E3708E" w:rsidRPr="00BF0708" w:rsidTr="00E42F15">
        <w:tc>
          <w:tcPr>
            <w:tcW w:w="5000" w:type="pct"/>
            <w:gridSpan w:val="3"/>
          </w:tcPr>
          <w:p w:rsidR="00E3708E" w:rsidRPr="00BF0708" w:rsidRDefault="00E3708E" w:rsidP="00E42F15">
            <w:pPr>
              <w:jc w:val="both"/>
              <w:rPr>
                <w:rFonts w:eastAsia="Calibri"/>
                <w:sz w:val="20"/>
                <w:lang w:val="fr-CA"/>
              </w:rPr>
            </w:pPr>
            <w:r w:rsidRPr="00BF0708">
              <w:rPr>
                <w:rFonts w:eastAsia="Calibri"/>
                <w:sz w:val="20"/>
                <w:lang w:val="fr-CA"/>
              </w:rPr>
              <w:t xml:space="preserve">Le demandeur a été déclaré coupable par un jury d'agression sexuelle et de contacts sexuels et acquitté sous un chef d'inceste. Au procès, la plaignante a affirmé dans son témoignage qu'elle se souvenait clairement du comportement allégué sur lequel le chef d'inceste était fondé, mais son témoignage était vague en ce qui a trait au comportement allégué sur lequel les chefs d'agression sexuelle et de contacts sexuels étaient fondés. La preuve du ministère public s'appuyait sur le témoignage de la plaignante. En appel de déclaration de culpabilité, le demandeur a plaidé qu'il était déraisonnable et contradictoire de le déclarer coupable sous les chefs qui s'appuyaient sur des éléments de preuve vagues et de l’acquitter sous le chef qui s'appuyait par une preuve évidente. La Cour d'appel a rejeté l'appel.  </w:t>
            </w:r>
          </w:p>
          <w:p w:rsidR="00E3708E" w:rsidRPr="00BF0708" w:rsidRDefault="00E3708E" w:rsidP="00E42F15">
            <w:pPr>
              <w:jc w:val="both"/>
              <w:rPr>
                <w:rFonts w:eastAsia="Calibri"/>
                <w:sz w:val="20"/>
                <w:lang w:val="fr-CA"/>
              </w:rPr>
            </w:pPr>
          </w:p>
        </w:tc>
      </w:tr>
      <w:tr w:rsidR="00E3708E" w:rsidRPr="0028361F" w:rsidTr="00146189">
        <w:trPr>
          <w:cantSplit/>
        </w:trPr>
        <w:tc>
          <w:tcPr>
            <w:tcW w:w="2427" w:type="pct"/>
          </w:tcPr>
          <w:p w:rsidR="00E3708E" w:rsidRPr="00BF0708" w:rsidRDefault="00E3708E" w:rsidP="00E42F15">
            <w:pPr>
              <w:jc w:val="both"/>
              <w:rPr>
                <w:rFonts w:eastAsia="Calibri"/>
                <w:sz w:val="20"/>
                <w:lang w:val="fr-CA"/>
              </w:rPr>
            </w:pPr>
            <w:r w:rsidRPr="00BF0708">
              <w:rPr>
                <w:rFonts w:eastAsia="Calibri"/>
                <w:sz w:val="20"/>
                <w:lang w:val="fr-CA"/>
              </w:rPr>
              <w:lastRenderedPageBreak/>
              <w:t>13 juin 2009</w:t>
            </w:r>
          </w:p>
          <w:p w:rsidR="00E3708E" w:rsidRPr="00BF0708" w:rsidRDefault="00E3708E" w:rsidP="00E42F15">
            <w:pPr>
              <w:jc w:val="both"/>
              <w:rPr>
                <w:rFonts w:eastAsia="Calibri"/>
                <w:sz w:val="20"/>
                <w:lang w:val="fr-CA"/>
              </w:rPr>
            </w:pPr>
            <w:r w:rsidRPr="00BF0708">
              <w:rPr>
                <w:rFonts w:eastAsia="Calibri"/>
                <w:sz w:val="20"/>
                <w:lang w:val="fr-CA"/>
              </w:rPr>
              <w:t xml:space="preserve">Cour supérieure de justice de l'Ontario </w:t>
            </w:r>
          </w:p>
          <w:p w:rsidR="00E3708E" w:rsidRPr="00BF0708" w:rsidRDefault="00E3708E" w:rsidP="00E42F15">
            <w:pPr>
              <w:jc w:val="both"/>
              <w:rPr>
                <w:rFonts w:eastAsia="Calibri"/>
                <w:sz w:val="20"/>
                <w:lang w:val="fr-CA"/>
              </w:rPr>
            </w:pPr>
            <w:r w:rsidRPr="00BF0708">
              <w:rPr>
                <w:rFonts w:eastAsia="Calibri"/>
                <w:sz w:val="20"/>
                <w:lang w:val="fr-CA"/>
              </w:rPr>
              <w:t>(Juge DiTomaso)</w:t>
            </w:r>
          </w:p>
          <w:p w:rsidR="00E3708E" w:rsidRPr="00BF0708" w:rsidRDefault="00E3708E" w:rsidP="00E42F15">
            <w:pPr>
              <w:jc w:val="both"/>
              <w:rPr>
                <w:rFonts w:eastAsia="Calibri"/>
                <w:sz w:val="20"/>
                <w:lang w:val="fr-CA"/>
              </w:rPr>
            </w:pPr>
          </w:p>
        </w:tc>
        <w:tc>
          <w:tcPr>
            <w:tcW w:w="243" w:type="pct"/>
          </w:tcPr>
          <w:p w:rsidR="00E3708E" w:rsidRPr="00BF0708" w:rsidRDefault="00E3708E" w:rsidP="00E42F15">
            <w:pPr>
              <w:jc w:val="both"/>
              <w:rPr>
                <w:rFonts w:eastAsia="Calibri"/>
                <w:sz w:val="20"/>
                <w:lang w:val="fr-CA"/>
              </w:rPr>
            </w:pPr>
          </w:p>
        </w:tc>
        <w:tc>
          <w:tcPr>
            <w:tcW w:w="2330" w:type="pct"/>
          </w:tcPr>
          <w:p w:rsidR="00E3708E" w:rsidRPr="00BF0708" w:rsidRDefault="00E3708E" w:rsidP="00E42F15">
            <w:pPr>
              <w:jc w:val="both"/>
              <w:rPr>
                <w:rFonts w:eastAsia="Calibri"/>
                <w:sz w:val="20"/>
                <w:lang w:val="fr-CA"/>
              </w:rPr>
            </w:pPr>
            <w:r w:rsidRPr="00BF0708">
              <w:rPr>
                <w:rFonts w:eastAsia="Calibri"/>
                <w:sz w:val="20"/>
                <w:lang w:val="fr-CA"/>
              </w:rPr>
              <w:t>Déclaration de culpabilité par un jury sous un chef d'agression sexuelle, de chef d'attouchements à des fins d’ordre sexuel; acquittement sous un chef d'inceste et un chef de menaces</w:t>
            </w:r>
          </w:p>
          <w:p w:rsidR="00E3708E" w:rsidRPr="00BF0708" w:rsidRDefault="00E3708E" w:rsidP="00E42F15">
            <w:pPr>
              <w:jc w:val="both"/>
              <w:rPr>
                <w:rFonts w:eastAsia="Calibri"/>
                <w:sz w:val="20"/>
                <w:lang w:val="fr-CA"/>
              </w:rPr>
            </w:pPr>
          </w:p>
        </w:tc>
      </w:tr>
      <w:tr w:rsidR="00E3708E" w:rsidRPr="0028361F" w:rsidTr="00146189">
        <w:trPr>
          <w:cantSplit/>
        </w:trPr>
        <w:tc>
          <w:tcPr>
            <w:tcW w:w="2427" w:type="pct"/>
          </w:tcPr>
          <w:p w:rsidR="00E3708E" w:rsidRPr="00BF0708" w:rsidRDefault="00E3708E" w:rsidP="00E42F15">
            <w:pPr>
              <w:jc w:val="both"/>
              <w:rPr>
                <w:rFonts w:eastAsia="Calibri"/>
                <w:sz w:val="20"/>
                <w:lang w:val="fr-CA"/>
              </w:rPr>
            </w:pPr>
            <w:r w:rsidRPr="00BF0708">
              <w:rPr>
                <w:rFonts w:eastAsia="Calibri"/>
                <w:sz w:val="20"/>
                <w:lang w:val="fr-CA"/>
              </w:rPr>
              <w:t>21 septembre 2011</w:t>
            </w:r>
          </w:p>
          <w:p w:rsidR="00E3708E" w:rsidRPr="00BF0708" w:rsidRDefault="00E3708E" w:rsidP="00E42F15">
            <w:pPr>
              <w:jc w:val="both"/>
              <w:rPr>
                <w:rFonts w:eastAsia="Calibri"/>
                <w:sz w:val="20"/>
                <w:lang w:val="fr-CA"/>
              </w:rPr>
            </w:pPr>
            <w:r w:rsidRPr="00BF0708">
              <w:rPr>
                <w:rFonts w:eastAsia="Calibri"/>
                <w:sz w:val="20"/>
                <w:lang w:val="fr-CA"/>
              </w:rPr>
              <w:t xml:space="preserve">Cour d'appel de l'Ontario </w:t>
            </w:r>
          </w:p>
          <w:p w:rsidR="00E3708E" w:rsidRPr="00BF0708" w:rsidRDefault="00E3708E" w:rsidP="00E42F15">
            <w:pPr>
              <w:jc w:val="both"/>
              <w:rPr>
                <w:rFonts w:eastAsia="Calibri"/>
                <w:sz w:val="20"/>
                <w:lang w:val="fr-CA"/>
              </w:rPr>
            </w:pPr>
            <w:r w:rsidRPr="00BF0708">
              <w:rPr>
                <w:rFonts w:eastAsia="Calibri"/>
                <w:sz w:val="20"/>
                <w:lang w:val="fr-CA"/>
              </w:rPr>
              <w:t>(Juges Laskin, Goudge et LaForme)</w:t>
            </w:r>
          </w:p>
          <w:p w:rsidR="00E3708E" w:rsidRPr="00BF0708" w:rsidRDefault="00E3708E" w:rsidP="00E42F15">
            <w:pPr>
              <w:jc w:val="both"/>
              <w:rPr>
                <w:rFonts w:eastAsia="Calibri"/>
                <w:sz w:val="20"/>
                <w:lang w:val="fr-CA"/>
              </w:rPr>
            </w:pPr>
            <w:r w:rsidRPr="00BF0708">
              <w:rPr>
                <w:rFonts w:eastAsia="Calibri"/>
                <w:sz w:val="20"/>
                <w:lang w:val="fr-CA"/>
              </w:rPr>
              <w:t>2011 ONCA 604; C51804</w:t>
            </w:r>
          </w:p>
          <w:p w:rsidR="00E3708E" w:rsidRPr="00BF0708" w:rsidRDefault="00E3708E" w:rsidP="00E42F15">
            <w:pPr>
              <w:jc w:val="both"/>
              <w:rPr>
                <w:rFonts w:eastAsia="Calibri"/>
                <w:sz w:val="20"/>
                <w:lang w:val="fr-CA"/>
              </w:rPr>
            </w:pPr>
          </w:p>
        </w:tc>
        <w:tc>
          <w:tcPr>
            <w:tcW w:w="243" w:type="pct"/>
          </w:tcPr>
          <w:p w:rsidR="00E3708E" w:rsidRPr="00BF0708" w:rsidRDefault="00E3708E" w:rsidP="00E42F15">
            <w:pPr>
              <w:jc w:val="both"/>
              <w:rPr>
                <w:rFonts w:eastAsia="Calibri"/>
                <w:sz w:val="20"/>
                <w:lang w:val="fr-CA"/>
              </w:rPr>
            </w:pPr>
          </w:p>
        </w:tc>
        <w:tc>
          <w:tcPr>
            <w:tcW w:w="2330" w:type="pct"/>
          </w:tcPr>
          <w:p w:rsidR="00E3708E" w:rsidRPr="00BF0708" w:rsidRDefault="00E3708E" w:rsidP="00E42F15">
            <w:pPr>
              <w:jc w:val="both"/>
              <w:rPr>
                <w:rFonts w:eastAsia="Calibri"/>
                <w:sz w:val="20"/>
                <w:lang w:val="fr-CA"/>
              </w:rPr>
            </w:pPr>
            <w:r w:rsidRPr="00BF0708">
              <w:rPr>
                <w:rFonts w:eastAsia="Calibri"/>
                <w:sz w:val="20"/>
                <w:lang w:val="fr-CA"/>
              </w:rPr>
              <w:t>Appel des déclarations de culpabilité, rejeté</w:t>
            </w:r>
          </w:p>
          <w:p w:rsidR="00E3708E" w:rsidRPr="00BF0708" w:rsidRDefault="00E3708E" w:rsidP="00E42F15">
            <w:pPr>
              <w:jc w:val="both"/>
              <w:rPr>
                <w:rFonts w:eastAsia="Calibri"/>
                <w:sz w:val="20"/>
                <w:lang w:val="fr-CA"/>
              </w:rPr>
            </w:pPr>
          </w:p>
        </w:tc>
      </w:tr>
      <w:tr w:rsidR="00E3708E" w:rsidRPr="00BF0708" w:rsidTr="00146189">
        <w:trPr>
          <w:cantSplit/>
        </w:trPr>
        <w:tc>
          <w:tcPr>
            <w:tcW w:w="2427" w:type="pct"/>
          </w:tcPr>
          <w:p w:rsidR="00E3708E" w:rsidRPr="00BF0708" w:rsidRDefault="00E3708E" w:rsidP="00E42F15">
            <w:pPr>
              <w:jc w:val="both"/>
              <w:rPr>
                <w:rFonts w:eastAsia="Calibri"/>
                <w:sz w:val="20"/>
                <w:lang w:val="fr-CA"/>
              </w:rPr>
            </w:pPr>
            <w:r w:rsidRPr="00BF0708">
              <w:rPr>
                <w:rFonts w:eastAsia="Calibri"/>
                <w:sz w:val="20"/>
                <w:lang w:val="fr-CA"/>
              </w:rPr>
              <w:t>18 novembre 2011</w:t>
            </w:r>
          </w:p>
          <w:p w:rsidR="00E3708E" w:rsidRPr="00BF0708" w:rsidRDefault="00E3708E" w:rsidP="00E42F15">
            <w:pPr>
              <w:jc w:val="both"/>
              <w:rPr>
                <w:rFonts w:eastAsia="Calibri"/>
                <w:sz w:val="20"/>
                <w:lang w:val="fr-CA"/>
              </w:rPr>
            </w:pPr>
            <w:r w:rsidRPr="00BF0708">
              <w:rPr>
                <w:rFonts w:eastAsia="Calibri"/>
                <w:sz w:val="20"/>
                <w:lang w:val="fr-CA"/>
              </w:rPr>
              <w:t>Cour suprême du Canada</w:t>
            </w:r>
          </w:p>
        </w:tc>
        <w:tc>
          <w:tcPr>
            <w:tcW w:w="243" w:type="pct"/>
          </w:tcPr>
          <w:p w:rsidR="00E3708E" w:rsidRPr="00BF0708" w:rsidRDefault="00E3708E" w:rsidP="00E42F15">
            <w:pPr>
              <w:jc w:val="both"/>
              <w:rPr>
                <w:rFonts w:eastAsia="Calibri"/>
                <w:sz w:val="20"/>
                <w:lang w:val="fr-CA"/>
              </w:rPr>
            </w:pPr>
          </w:p>
        </w:tc>
        <w:tc>
          <w:tcPr>
            <w:tcW w:w="2330" w:type="pct"/>
          </w:tcPr>
          <w:p w:rsidR="00E3708E" w:rsidRPr="00BF0708" w:rsidRDefault="00E3708E" w:rsidP="00E42F15">
            <w:pPr>
              <w:jc w:val="both"/>
              <w:rPr>
                <w:rFonts w:eastAsia="Calibri"/>
                <w:sz w:val="20"/>
                <w:lang w:val="fr-CA"/>
              </w:rPr>
            </w:pPr>
            <w:r w:rsidRPr="00BF0708">
              <w:rPr>
                <w:rFonts w:eastAsia="Calibri"/>
                <w:sz w:val="20"/>
                <w:lang w:val="fr-CA"/>
              </w:rPr>
              <w:t>Demande d'autorisation d'appel, déposée</w:t>
            </w:r>
          </w:p>
          <w:p w:rsidR="00E3708E" w:rsidRPr="00BF0708" w:rsidRDefault="00E3708E" w:rsidP="00E42F15">
            <w:pPr>
              <w:jc w:val="both"/>
              <w:rPr>
                <w:rFonts w:eastAsia="Calibri"/>
                <w:sz w:val="20"/>
                <w:lang w:val="fr-CA"/>
              </w:rPr>
            </w:pP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45" style="width:2in;height:1pt" o:hrpct="0" o:hralign="center" o:hrstd="t" o:hrnoshade="t" o:hr="t" fillcolor="black [3213]" stroked="f"/>
        </w:pict>
      </w:r>
    </w:p>
    <w:p w:rsidR="00FD4A4B" w:rsidRDefault="00FD4A4B" w:rsidP="00FD4A4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46189" w:rsidRPr="006C712F" w:rsidTr="003B5095">
        <w:trPr>
          <w:cantSplit/>
        </w:trPr>
        <w:tc>
          <w:tcPr>
            <w:tcW w:w="1458" w:type="dxa"/>
          </w:tcPr>
          <w:p w:rsidR="00146189" w:rsidRPr="006C712F" w:rsidRDefault="00146189" w:rsidP="003B5095">
            <w:pPr>
              <w:rPr>
                <w:sz w:val="20"/>
                <w:szCs w:val="20"/>
              </w:rPr>
            </w:pPr>
            <w:r w:rsidRPr="006C712F">
              <w:rPr>
                <w:rStyle w:val="SCCFileNumberChar"/>
                <w:sz w:val="20"/>
                <w:szCs w:val="20"/>
              </w:rPr>
              <w:t>34552</w:t>
            </w:r>
          </w:p>
          <w:p w:rsidR="00146189" w:rsidRPr="006C712F" w:rsidRDefault="00146189" w:rsidP="003B5095">
            <w:pPr>
              <w:rPr>
                <w:b/>
                <w:sz w:val="20"/>
                <w:szCs w:val="20"/>
                <w:lang w:val="fr-CA"/>
              </w:rPr>
            </w:pPr>
          </w:p>
        </w:tc>
        <w:tc>
          <w:tcPr>
            <w:tcW w:w="8118" w:type="dxa"/>
          </w:tcPr>
          <w:p w:rsidR="00146189" w:rsidRPr="006C712F" w:rsidRDefault="00146189" w:rsidP="003B5095">
            <w:pPr>
              <w:jc w:val="both"/>
              <w:rPr>
                <w:sz w:val="20"/>
                <w:szCs w:val="20"/>
              </w:rPr>
            </w:pPr>
            <w:r w:rsidRPr="00146189">
              <w:rPr>
                <w:rStyle w:val="SCCLsocChar"/>
                <w:sz w:val="20"/>
                <w:szCs w:val="20"/>
                <w:lang w:val="en-CA"/>
              </w:rPr>
              <w:t>Hans J. Hahn v. Her Majesty the Queen</w:t>
            </w:r>
            <w:r>
              <w:rPr>
                <w:rStyle w:val="SCCLsocChar"/>
                <w:sz w:val="20"/>
                <w:szCs w:val="20"/>
                <w:lang w:val="en-CA"/>
              </w:rPr>
              <w:t xml:space="preserve"> and</w:t>
            </w:r>
            <w:r w:rsidRPr="00146189">
              <w:rPr>
                <w:rStyle w:val="SCCLsocChar"/>
                <w:sz w:val="20"/>
                <w:szCs w:val="20"/>
                <w:lang w:val="en-CA"/>
              </w:rPr>
              <w:t xml:space="preserve"> Canada Revenue Agency (CRA)</w:t>
            </w:r>
            <w:r w:rsidRPr="006C712F">
              <w:rPr>
                <w:sz w:val="20"/>
                <w:szCs w:val="20"/>
              </w:rPr>
              <w:t xml:space="preserve"> (F.C.) (Civil) (By</w:t>
            </w:r>
            <w:r>
              <w:rPr>
                <w:sz w:val="20"/>
                <w:szCs w:val="20"/>
              </w:rPr>
              <w:t> </w:t>
            </w:r>
            <w:r w:rsidRPr="006C712F">
              <w:rPr>
                <w:sz w:val="20"/>
                <w:szCs w:val="20"/>
              </w:rPr>
              <w:t>Leave)</w:t>
            </w:r>
          </w:p>
          <w:p w:rsidR="00146189" w:rsidRPr="006C712F" w:rsidRDefault="00146189" w:rsidP="003B5095">
            <w:pPr>
              <w:rPr>
                <w:sz w:val="20"/>
                <w:szCs w:val="20"/>
              </w:rPr>
            </w:pPr>
          </w:p>
        </w:tc>
      </w:tr>
      <w:tr w:rsidR="00146189" w:rsidRPr="006C712F" w:rsidTr="003B5095">
        <w:trPr>
          <w:cantSplit/>
        </w:trPr>
        <w:tc>
          <w:tcPr>
            <w:tcW w:w="1458" w:type="dxa"/>
          </w:tcPr>
          <w:p w:rsidR="00146189" w:rsidRPr="006C712F" w:rsidRDefault="00146189" w:rsidP="003B5095">
            <w:pPr>
              <w:rPr>
                <w:sz w:val="20"/>
                <w:szCs w:val="20"/>
              </w:rPr>
            </w:pPr>
            <w:r w:rsidRPr="006C712F">
              <w:rPr>
                <w:sz w:val="20"/>
                <w:szCs w:val="20"/>
              </w:rPr>
              <w:t>Coram :</w:t>
            </w:r>
          </w:p>
        </w:tc>
        <w:tc>
          <w:tcPr>
            <w:tcW w:w="8118" w:type="dxa"/>
          </w:tcPr>
          <w:p w:rsidR="00146189" w:rsidRPr="006C712F" w:rsidRDefault="00146189" w:rsidP="003B5095">
            <w:pPr>
              <w:rPr>
                <w:sz w:val="20"/>
                <w:szCs w:val="20"/>
              </w:rPr>
            </w:pPr>
            <w:r w:rsidRPr="00146189">
              <w:rPr>
                <w:rStyle w:val="SCCCoramChar"/>
                <w:sz w:val="20"/>
                <w:szCs w:val="20"/>
                <w:lang w:val="en-CA"/>
              </w:rPr>
              <w:t>McLachlin C.J. and Rothstein and Moldaver JJ.</w:t>
            </w:r>
          </w:p>
          <w:p w:rsidR="00146189" w:rsidRPr="006C712F" w:rsidRDefault="00146189" w:rsidP="003B5095">
            <w:pPr>
              <w:rPr>
                <w:sz w:val="20"/>
                <w:szCs w:val="20"/>
                <w:u w:val="single"/>
              </w:rPr>
            </w:pPr>
          </w:p>
        </w:tc>
      </w:tr>
      <w:tr w:rsidR="00146189" w:rsidRPr="0028361F" w:rsidTr="003B5095">
        <w:trPr>
          <w:cantSplit/>
        </w:trPr>
        <w:tc>
          <w:tcPr>
            <w:tcW w:w="9576" w:type="dxa"/>
            <w:gridSpan w:val="2"/>
          </w:tcPr>
          <w:p w:rsidR="00146189" w:rsidRPr="006C712F" w:rsidRDefault="00146189" w:rsidP="003B5095">
            <w:pPr>
              <w:pStyle w:val="SCCShortJudgment"/>
              <w:rPr>
                <w:szCs w:val="20"/>
              </w:rPr>
            </w:pPr>
            <w:r w:rsidRPr="006C712F">
              <w:rPr>
                <w:szCs w:val="20"/>
              </w:rPr>
              <w:t>The application for leave to appeal from the judgment of the Federal Court of Appeal, Number A-111-11, 2011 FCA 282, dated October 13, 2011, is dismissed with costs.</w:t>
            </w:r>
          </w:p>
          <w:p w:rsidR="00146189" w:rsidRPr="006C712F" w:rsidRDefault="00146189" w:rsidP="003B5095">
            <w:pPr>
              <w:pStyle w:val="SCCShortJudgment"/>
              <w:ind w:firstLine="0"/>
              <w:rPr>
                <w:szCs w:val="20"/>
              </w:rPr>
            </w:pPr>
          </w:p>
          <w:p w:rsidR="00146189" w:rsidRPr="006C712F" w:rsidRDefault="00146189" w:rsidP="003B5095">
            <w:pPr>
              <w:pStyle w:val="SCCShortJudgment"/>
              <w:rPr>
                <w:szCs w:val="20"/>
                <w:lang w:val="fr-CA"/>
              </w:rPr>
            </w:pPr>
            <w:r w:rsidRPr="006C712F">
              <w:rPr>
                <w:szCs w:val="20"/>
                <w:lang w:val="fr-CA"/>
              </w:rPr>
              <w:t>La demande d’autorisation d’appel de l’arrêt de la Cour d’appel fédérale, numéro A-111-11, 2011 CAF 282, daté du 13 octobre 2011, est rejetée avec dépens.</w:t>
            </w:r>
          </w:p>
        </w:tc>
      </w:tr>
    </w:tbl>
    <w:p w:rsidR="00FD4A4B" w:rsidRPr="00FD4A4B" w:rsidRDefault="00FD4A4B" w:rsidP="00FD4A4B">
      <w:pPr>
        <w:rPr>
          <w:sz w:val="20"/>
          <w:szCs w:val="20"/>
          <w:lang w:val="fr-CA"/>
        </w:rPr>
      </w:pPr>
    </w:p>
    <w:p w:rsidR="00FD4A4B" w:rsidRPr="001B157C" w:rsidRDefault="00FD4A4B" w:rsidP="00FD4A4B">
      <w:pPr>
        <w:rPr>
          <w:sz w:val="20"/>
          <w:szCs w:val="20"/>
          <w:u w:val="single"/>
        </w:rPr>
      </w:pPr>
      <w:r w:rsidRPr="001B157C">
        <w:rPr>
          <w:sz w:val="20"/>
          <w:szCs w:val="20"/>
          <w:u w:val="single"/>
        </w:rPr>
        <w:t>CASE SUMMARY</w:t>
      </w:r>
    </w:p>
    <w:p w:rsidR="00FD4A4B" w:rsidRDefault="00FD4A4B" w:rsidP="00FD4A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3708E" w:rsidRPr="00BF0708" w:rsidTr="00E42F15">
        <w:tc>
          <w:tcPr>
            <w:tcW w:w="5000" w:type="pct"/>
            <w:gridSpan w:val="3"/>
          </w:tcPr>
          <w:p w:rsidR="00E3708E" w:rsidRPr="00BF0708" w:rsidRDefault="00E3708E" w:rsidP="00E42F15">
            <w:pPr>
              <w:jc w:val="both"/>
              <w:rPr>
                <w:rFonts w:eastAsia="Calibri"/>
                <w:sz w:val="20"/>
              </w:rPr>
            </w:pPr>
            <w:r w:rsidRPr="00BF0708">
              <w:rPr>
                <w:rFonts w:eastAsia="Calibri"/>
                <w:sz w:val="20"/>
              </w:rPr>
              <w:t xml:space="preserve">Taxation – Income tax – Legislation – Interpretation – Whether the lower courts correctly interpreted the relevant provisions of the </w:t>
            </w:r>
            <w:r w:rsidRPr="00BF0708">
              <w:rPr>
                <w:rFonts w:eastAsia="Calibri"/>
                <w:i/>
                <w:sz w:val="20"/>
              </w:rPr>
              <w:t>Income Tax Act</w:t>
            </w:r>
            <w:r w:rsidRPr="00BF0708">
              <w:rPr>
                <w:rFonts w:eastAsia="Calibri"/>
                <w:sz w:val="20"/>
              </w:rPr>
              <w:t>, R.S.C. 1985, c. 1 (5</w:t>
            </w:r>
            <w:r w:rsidRPr="00BF0708">
              <w:rPr>
                <w:rFonts w:eastAsia="Calibri"/>
                <w:sz w:val="20"/>
                <w:vertAlign w:val="superscript"/>
              </w:rPr>
              <w:t>th</w:t>
            </w:r>
            <w:r w:rsidRPr="00BF0708">
              <w:rPr>
                <w:rFonts w:eastAsia="Calibri"/>
                <w:sz w:val="20"/>
              </w:rPr>
              <w:t xml:space="preserve"> Supp.) (the “</w:t>
            </w:r>
            <w:r w:rsidRPr="00BF0708">
              <w:rPr>
                <w:rFonts w:eastAsia="Calibri"/>
                <w:i/>
                <w:sz w:val="20"/>
              </w:rPr>
              <w:t>Act</w:t>
            </w:r>
            <w:r w:rsidRPr="00BF0708">
              <w:rPr>
                <w:rFonts w:eastAsia="Calibri"/>
                <w:sz w:val="20"/>
              </w:rPr>
              <w:t>”) and the tax Convention with Germany – Whether the Canada Revenue Agency (“CRA”) can arbitrarily discard written statements and promises it has made in its circulars and on the Internet – Will the Courts uphold the CRA’s exemption from possible liability for misrepresentations and misleading taxpayers – Will other similar government actors be exempt as well.</w:t>
            </w:r>
          </w:p>
        </w:tc>
      </w:tr>
      <w:tr w:rsidR="00E3708E" w:rsidRPr="00BF0708" w:rsidTr="00E42F15">
        <w:tc>
          <w:tcPr>
            <w:tcW w:w="5000" w:type="pct"/>
            <w:gridSpan w:val="3"/>
          </w:tcPr>
          <w:p w:rsidR="00E3708E" w:rsidRPr="00BF0708" w:rsidRDefault="00E3708E" w:rsidP="00E42F15">
            <w:pPr>
              <w:jc w:val="both"/>
              <w:rPr>
                <w:rFonts w:eastAsia="Calibri"/>
                <w:sz w:val="20"/>
              </w:rPr>
            </w:pPr>
          </w:p>
        </w:tc>
      </w:tr>
      <w:tr w:rsidR="00E3708E" w:rsidRPr="00BF0708" w:rsidTr="00E42F15">
        <w:tc>
          <w:tcPr>
            <w:tcW w:w="5000" w:type="pct"/>
            <w:gridSpan w:val="3"/>
          </w:tcPr>
          <w:p w:rsidR="00E3708E" w:rsidRPr="00BF0708" w:rsidRDefault="00E3708E" w:rsidP="00E42F15">
            <w:pPr>
              <w:jc w:val="both"/>
              <w:rPr>
                <w:rFonts w:eastAsia="Calibri"/>
                <w:sz w:val="20"/>
              </w:rPr>
            </w:pPr>
            <w:r w:rsidRPr="00BF0708">
              <w:rPr>
                <w:rFonts w:eastAsia="Calibri"/>
                <w:sz w:val="20"/>
              </w:rPr>
              <w:t xml:space="preserve">The applicant is a resident of Canada and has received a pension from Germany since 2003.  Paragraph 56(1)(a) of the </w:t>
            </w:r>
            <w:r w:rsidRPr="00BF0708">
              <w:rPr>
                <w:rFonts w:eastAsia="Calibri"/>
                <w:i/>
                <w:sz w:val="20"/>
              </w:rPr>
              <w:t xml:space="preserve">Act </w:t>
            </w:r>
            <w:r w:rsidRPr="00BF0708">
              <w:rPr>
                <w:rFonts w:eastAsia="Calibri"/>
                <w:sz w:val="20"/>
              </w:rPr>
              <w:t xml:space="preserve"> requires a taxpayer to include in income any amount received as a pension benefit.  Subparagraph 110(1)(f)(i) of the </w:t>
            </w:r>
            <w:r w:rsidRPr="00BF0708">
              <w:rPr>
                <w:rFonts w:eastAsia="Calibri"/>
                <w:i/>
                <w:sz w:val="20"/>
              </w:rPr>
              <w:t>Act</w:t>
            </w:r>
            <w:r w:rsidRPr="00BF0708">
              <w:rPr>
                <w:rFonts w:eastAsia="Calibri"/>
                <w:sz w:val="20"/>
              </w:rPr>
              <w:t xml:space="preserve"> allows the taxpayer to deduct from the amount of a pension benefit included in income, the amount that is exempt from income tax in Canada because of a provision in a tax convention. </w:t>
            </w:r>
          </w:p>
          <w:p w:rsidR="00E3708E" w:rsidRPr="00BF0708" w:rsidRDefault="00E3708E" w:rsidP="00E42F15">
            <w:pPr>
              <w:jc w:val="both"/>
              <w:rPr>
                <w:rFonts w:eastAsia="Calibri"/>
                <w:sz w:val="20"/>
              </w:rPr>
            </w:pPr>
          </w:p>
          <w:p w:rsidR="00E3708E" w:rsidRPr="00BF0708" w:rsidRDefault="00E3708E" w:rsidP="00E42F15">
            <w:pPr>
              <w:jc w:val="both"/>
              <w:rPr>
                <w:rFonts w:eastAsia="Calibri"/>
                <w:sz w:val="20"/>
              </w:rPr>
            </w:pPr>
            <w:r w:rsidRPr="00BF0708">
              <w:rPr>
                <w:rFonts w:eastAsia="Calibri"/>
                <w:sz w:val="20"/>
              </w:rPr>
              <w:t xml:space="preserve">Under paragraph 3(c) of article 18 of the tax Convention between Canada and the Federal Republic of Germany, any benefit paid under the social security legislation of Germany to a resident of Canada may be taxed in Canada, but any portion of the benefit that would be excluded from taxable income in Germany for a German resident, is exempt from tax in Canada.  The excluded portion is explained in circulars published by the CRA from time to time. For 2003 and 2004, the excluded portion was 73%. Beginning in 2005, German law changed, with the result that the excluded portion was reduced to 50% from 2005 onward.  </w:t>
            </w:r>
          </w:p>
          <w:p w:rsidR="00E3708E" w:rsidRPr="00BF0708" w:rsidRDefault="00E3708E" w:rsidP="00E42F15">
            <w:pPr>
              <w:jc w:val="both"/>
              <w:rPr>
                <w:rFonts w:eastAsia="Calibri"/>
                <w:sz w:val="20"/>
              </w:rPr>
            </w:pPr>
          </w:p>
          <w:p w:rsidR="00E3708E" w:rsidRPr="00BF0708" w:rsidRDefault="00E3708E" w:rsidP="00E42F15">
            <w:pPr>
              <w:jc w:val="both"/>
              <w:rPr>
                <w:rFonts w:eastAsia="Calibri"/>
                <w:sz w:val="20"/>
              </w:rPr>
            </w:pPr>
            <w:r w:rsidRPr="00BF0708">
              <w:rPr>
                <w:rFonts w:eastAsia="Calibri"/>
                <w:sz w:val="20"/>
              </w:rPr>
              <w:t>The applicant appealed his reassessments on that basis his excluded portion should continue to be 73% in perpetuity, according to the wording in a CRA circular.  The Tax Court of Canada and the Federal Court of Appeal dismissed the appeal.</w:t>
            </w:r>
          </w:p>
          <w:p w:rsidR="00E3708E" w:rsidRPr="00BF0708" w:rsidRDefault="00E3708E" w:rsidP="00E42F15">
            <w:pPr>
              <w:jc w:val="both"/>
              <w:rPr>
                <w:rFonts w:eastAsia="Calibri"/>
                <w:sz w:val="20"/>
              </w:rPr>
            </w:pPr>
          </w:p>
        </w:tc>
      </w:tr>
      <w:tr w:rsidR="00E3708E" w:rsidRPr="00BF0708" w:rsidTr="00200F55">
        <w:trPr>
          <w:cantSplit/>
        </w:trPr>
        <w:tc>
          <w:tcPr>
            <w:tcW w:w="2427" w:type="pct"/>
          </w:tcPr>
          <w:p w:rsidR="00E3708E" w:rsidRPr="00BF0708" w:rsidRDefault="00E3708E" w:rsidP="00E42F15">
            <w:pPr>
              <w:jc w:val="both"/>
              <w:rPr>
                <w:rFonts w:eastAsia="Calibri"/>
                <w:sz w:val="20"/>
              </w:rPr>
            </w:pPr>
            <w:r w:rsidRPr="00BF0708">
              <w:rPr>
                <w:rFonts w:eastAsia="Calibri"/>
                <w:sz w:val="20"/>
              </w:rPr>
              <w:lastRenderedPageBreak/>
              <w:t>February 7, 2011</w:t>
            </w:r>
          </w:p>
          <w:p w:rsidR="00E3708E" w:rsidRPr="00BF0708" w:rsidRDefault="00E3708E" w:rsidP="00E42F15">
            <w:pPr>
              <w:jc w:val="both"/>
              <w:rPr>
                <w:rFonts w:eastAsia="Calibri"/>
                <w:sz w:val="20"/>
              </w:rPr>
            </w:pPr>
            <w:r w:rsidRPr="00BF0708">
              <w:rPr>
                <w:rFonts w:eastAsia="Calibri"/>
                <w:sz w:val="20"/>
              </w:rPr>
              <w:t>Tax Court of Canada</w:t>
            </w:r>
          </w:p>
          <w:p w:rsidR="00E3708E" w:rsidRPr="00BF0708" w:rsidRDefault="00E3708E" w:rsidP="00E42F15">
            <w:pPr>
              <w:jc w:val="both"/>
              <w:rPr>
                <w:rFonts w:eastAsia="Calibri"/>
                <w:sz w:val="20"/>
              </w:rPr>
            </w:pPr>
            <w:r w:rsidRPr="00BF0708">
              <w:rPr>
                <w:rFonts w:eastAsia="Calibri"/>
                <w:sz w:val="20"/>
              </w:rPr>
              <w:t>(Bowie J.)</w:t>
            </w:r>
          </w:p>
          <w:p w:rsidR="00E3708E" w:rsidRPr="00BF0708" w:rsidRDefault="00E3708E" w:rsidP="00E42F15">
            <w:pPr>
              <w:jc w:val="both"/>
              <w:rPr>
                <w:rFonts w:eastAsia="Calibri"/>
                <w:sz w:val="20"/>
              </w:rPr>
            </w:pPr>
          </w:p>
        </w:tc>
        <w:tc>
          <w:tcPr>
            <w:tcW w:w="243" w:type="pct"/>
          </w:tcPr>
          <w:p w:rsidR="00E3708E" w:rsidRPr="00BF0708" w:rsidRDefault="00E3708E" w:rsidP="00E42F15">
            <w:pPr>
              <w:jc w:val="both"/>
              <w:rPr>
                <w:rFonts w:eastAsia="Calibri"/>
                <w:sz w:val="20"/>
              </w:rPr>
            </w:pPr>
          </w:p>
        </w:tc>
        <w:tc>
          <w:tcPr>
            <w:tcW w:w="2330" w:type="pct"/>
          </w:tcPr>
          <w:p w:rsidR="00E3708E" w:rsidRPr="00BF0708" w:rsidRDefault="00E3708E" w:rsidP="00E42F15">
            <w:pPr>
              <w:jc w:val="both"/>
              <w:rPr>
                <w:rFonts w:eastAsia="Calibri"/>
                <w:sz w:val="20"/>
              </w:rPr>
            </w:pPr>
            <w:r w:rsidRPr="00BF0708">
              <w:rPr>
                <w:rFonts w:eastAsia="Calibri"/>
                <w:sz w:val="20"/>
              </w:rPr>
              <w:t>Appeals from reassessments for 2005, 2006 and 2009 taxation years quashed and for years 2007 and 2008, dismissed</w:t>
            </w:r>
          </w:p>
          <w:p w:rsidR="00E3708E" w:rsidRPr="00BF0708" w:rsidRDefault="00E3708E" w:rsidP="00E42F15">
            <w:pPr>
              <w:jc w:val="both"/>
              <w:rPr>
                <w:rFonts w:eastAsia="Calibri"/>
                <w:sz w:val="20"/>
              </w:rPr>
            </w:pPr>
          </w:p>
        </w:tc>
      </w:tr>
      <w:tr w:rsidR="00E3708E" w:rsidRPr="00BF0708" w:rsidTr="00200F55">
        <w:trPr>
          <w:cantSplit/>
        </w:trPr>
        <w:tc>
          <w:tcPr>
            <w:tcW w:w="2427" w:type="pct"/>
          </w:tcPr>
          <w:p w:rsidR="00E3708E" w:rsidRPr="00BF0708" w:rsidRDefault="00E3708E" w:rsidP="00E42F15">
            <w:pPr>
              <w:jc w:val="both"/>
              <w:rPr>
                <w:rFonts w:eastAsia="Calibri"/>
                <w:sz w:val="20"/>
              </w:rPr>
            </w:pPr>
            <w:r w:rsidRPr="00BF0708">
              <w:rPr>
                <w:rFonts w:eastAsia="Calibri"/>
                <w:sz w:val="20"/>
              </w:rPr>
              <w:t>October 13, 2011</w:t>
            </w:r>
          </w:p>
          <w:p w:rsidR="00E3708E" w:rsidRPr="00BF0708" w:rsidRDefault="00E3708E" w:rsidP="00E42F15">
            <w:pPr>
              <w:jc w:val="both"/>
              <w:rPr>
                <w:rFonts w:eastAsia="Calibri"/>
                <w:sz w:val="20"/>
              </w:rPr>
            </w:pPr>
            <w:r w:rsidRPr="00BF0708">
              <w:rPr>
                <w:rFonts w:eastAsia="Calibri"/>
                <w:sz w:val="20"/>
              </w:rPr>
              <w:t>Federal Court of Appeal</w:t>
            </w:r>
          </w:p>
          <w:p w:rsidR="00E3708E" w:rsidRPr="00BF0708" w:rsidRDefault="00E3708E" w:rsidP="00E42F15">
            <w:pPr>
              <w:jc w:val="both"/>
              <w:rPr>
                <w:rFonts w:eastAsia="Calibri"/>
                <w:sz w:val="20"/>
              </w:rPr>
            </w:pPr>
            <w:r w:rsidRPr="00BF0708">
              <w:rPr>
                <w:rFonts w:eastAsia="Calibri"/>
                <w:sz w:val="20"/>
              </w:rPr>
              <w:t>(Nadon, Sharlow and Dawson JJ.A.)</w:t>
            </w:r>
          </w:p>
          <w:p w:rsidR="00E3708E" w:rsidRPr="00BF0708" w:rsidRDefault="00E3708E" w:rsidP="00E42F15">
            <w:pPr>
              <w:jc w:val="both"/>
              <w:rPr>
                <w:rFonts w:eastAsia="Calibri"/>
                <w:sz w:val="20"/>
              </w:rPr>
            </w:pPr>
            <w:r w:rsidRPr="00BF0708">
              <w:rPr>
                <w:rFonts w:eastAsia="Calibri"/>
                <w:sz w:val="20"/>
              </w:rPr>
              <w:t xml:space="preserve">2011 FCA 282; A-111-11 </w:t>
            </w:r>
          </w:p>
          <w:p w:rsidR="00E3708E" w:rsidRPr="00BF0708" w:rsidRDefault="00E3708E" w:rsidP="00E42F15">
            <w:pPr>
              <w:jc w:val="both"/>
              <w:rPr>
                <w:rFonts w:eastAsia="Calibri"/>
                <w:sz w:val="20"/>
              </w:rPr>
            </w:pPr>
          </w:p>
        </w:tc>
        <w:tc>
          <w:tcPr>
            <w:tcW w:w="243" w:type="pct"/>
          </w:tcPr>
          <w:p w:rsidR="00E3708E" w:rsidRPr="00BF0708" w:rsidRDefault="00E3708E" w:rsidP="00E42F15">
            <w:pPr>
              <w:jc w:val="both"/>
              <w:rPr>
                <w:rFonts w:eastAsia="Calibri"/>
                <w:sz w:val="20"/>
              </w:rPr>
            </w:pPr>
          </w:p>
        </w:tc>
        <w:tc>
          <w:tcPr>
            <w:tcW w:w="2330" w:type="pct"/>
          </w:tcPr>
          <w:p w:rsidR="00E3708E" w:rsidRPr="00BF0708" w:rsidRDefault="00E3708E" w:rsidP="00E42F15">
            <w:pPr>
              <w:jc w:val="both"/>
              <w:rPr>
                <w:rFonts w:eastAsia="Calibri"/>
                <w:sz w:val="20"/>
              </w:rPr>
            </w:pPr>
            <w:r w:rsidRPr="00BF0708">
              <w:rPr>
                <w:rFonts w:eastAsia="Calibri"/>
                <w:sz w:val="20"/>
              </w:rPr>
              <w:t>Appeal dismissed</w:t>
            </w:r>
          </w:p>
          <w:p w:rsidR="00E3708E" w:rsidRPr="00BF0708" w:rsidRDefault="00E3708E" w:rsidP="00E42F15">
            <w:pPr>
              <w:jc w:val="both"/>
              <w:rPr>
                <w:rFonts w:eastAsia="Calibri"/>
                <w:sz w:val="20"/>
              </w:rPr>
            </w:pPr>
          </w:p>
        </w:tc>
      </w:tr>
      <w:tr w:rsidR="00E3708E" w:rsidRPr="00BF0708" w:rsidTr="00200F55">
        <w:trPr>
          <w:cantSplit/>
        </w:trPr>
        <w:tc>
          <w:tcPr>
            <w:tcW w:w="2427" w:type="pct"/>
          </w:tcPr>
          <w:p w:rsidR="00E3708E" w:rsidRPr="00BF0708" w:rsidRDefault="00E3708E" w:rsidP="00E42F15">
            <w:pPr>
              <w:jc w:val="both"/>
              <w:rPr>
                <w:rFonts w:eastAsia="Calibri"/>
                <w:sz w:val="20"/>
              </w:rPr>
            </w:pPr>
            <w:r w:rsidRPr="00BF0708">
              <w:rPr>
                <w:rFonts w:eastAsia="Calibri"/>
                <w:sz w:val="20"/>
              </w:rPr>
              <w:t>December 2, 2011</w:t>
            </w:r>
          </w:p>
          <w:p w:rsidR="00E3708E" w:rsidRPr="00BF0708" w:rsidRDefault="00E3708E" w:rsidP="00E42F15">
            <w:pPr>
              <w:jc w:val="both"/>
              <w:rPr>
                <w:rFonts w:eastAsia="Calibri"/>
                <w:sz w:val="20"/>
              </w:rPr>
            </w:pPr>
            <w:r w:rsidRPr="00BF0708">
              <w:rPr>
                <w:rFonts w:eastAsia="Calibri"/>
                <w:sz w:val="20"/>
              </w:rPr>
              <w:t>Supreme Court of Canada</w:t>
            </w:r>
          </w:p>
        </w:tc>
        <w:tc>
          <w:tcPr>
            <w:tcW w:w="243" w:type="pct"/>
          </w:tcPr>
          <w:p w:rsidR="00E3708E" w:rsidRPr="00BF0708" w:rsidRDefault="00E3708E" w:rsidP="00E42F15">
            <w:pPr>
              <w:jc w:val="both"/>
              <w:rPr>
                <w:rFonts w:eastAsia="Calibri"/>
                <w:sz w:val="20"/>
              </w:rPr>
            </w:pPr>
          </w:p>
        </w:tc>
        <w:tc>
          <w:tcPr>
            <w:tcW w:w="2330" w:type="pct"/>
          </w:tcPr>
          <w:p w:rsidR="00E3708E" w:rsidRPr="00BF0708" w:rsidRDefault="00E3708E" w:rsidP="00E42F15">
            <w:pPr>
              <w:jc w:val="both"/>
              <w:rPr>
                <w:rFonts w:eastAsia="Calibri"/>
                <w:sz w:val="20"/>
              </w:rPr>
            </w:pPr>
            <w:r w:rsidRPr="00BF0708">
              <w:rPr>
                <w:rFonts w:eastAsia="Calibri"/>
                <w:sz w:val="20"/>
              </w:rPr>
              <w:t>Application for leave to appeal filed</w:t>
            </w:r>
          </w:p>
          <w:p w:rsidR="00E3708E" w:rsidRPr="00BF0708" w:rsidRDefault="00E3708E" w:rsidP="00E42F15">
            <w:pPr>
              <w:jc w:val="both"/>
              <w:rPr>
                <w:rFonts w:eastAsia="Calibri"/>
                <w:sz w:val="20"/>
              </w:rPr>
            </w:pP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46" style="width:2in;height:1pt" o:hrpct="0" o:hralign="center" o:hrstd="t" o:hrnoshade="t" o:hr="t" fillcolor="black [3213]" stroked="f"/>
        </w:pict>
      </w:r>
    </w:p>
    <w:p w:rsidR="00FD4A4B" w:rsidRDefault="00FD4A4B" w:rsidP="00FD4A4B">
      <w:pPr>
        <w:rPr>
          <w:sz w:val="20"/>
          <w:szCs w:val="20"/>
        </w:rPr>
      </w:pPr>
    </w:p>
    <w:p w:rsidR="00FD4A4B" w:rsidRPr="001B157C" w:rsidRDefault="00FD4A4B" w:rsidP="00FD4A4B">
      <w:pPr>
        <w:rPr>
          <w:sz w:val="20"/>
          <w:szCs w:val="20"/>
          <w:u w:val="single"/>
          <w:lang w:val="fr-CA"/>
        </w:rPr>
      </w:pPr>
      <w:r w:rsidRPr="001B157C">
        <w:rPr>
          <w:sz w:val="20"/>
          <w:szCs w:val="20"/>
          <w:u w:val="single"/>
          <w:lang w:val="fr-CA"/>
        </w:rPr>
        <w:t>RÉSUMÉ DE L’AFFAIRE</w:t>
      </w:r>
    </w:p>
    <w:p w:rsidR="00FD4A4B" w:rsidRDefault="00FD4A4B" w:rsidP="00FD4A4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3708E" w:rsidRPr="0028361F" w:rsidTr="00E42F15">
        <w:tc>
          <w:tcPr>
            <w:tcW w:w="5000" w:type="pct"/>
            <w:gridSpan w:val="3"/>
          </w:tcPr>
          <w:p w:rsidR="00E3708E" w:rsidRPr="00BF0708" w:rsidRDefault="00E3708E" w:rsidP="00E42F15">
            <w:pPr>
              <w:jc w:val="both"/>
              <w:rPr>
                <w:rFonts w:eastAsia="Calibri"/>
                <w:sz w:val="20"/>
                <w:lang w:val="fr-CA"/>
              </w:rPr>
            </w:pPr>
            <w:r w:rsidRPr="00BF0708">
              <w:rPr>
                <w:rFonts w:eastAsia="Calibri"/>
                <w:sz w:val="20"/>
                <w:lang w:val="fr-CA"/>
              </w:rPr>
              <w:t>Droit fiscal – Impôt sur le revenu – Législation – Interprétation – Les juridictions inférieures ont</w:t>
            </w:r>
            <w:r w:rsidRPr="00BF0708">
              <w:rPr>
                <w:rFonts w:eastAsia="Calibri"/>
                <w:sz w:val="20"/>
                <w:lang w:val="fr-CA"/>
              </w:rPr>
              <w:noBreakHyphen/>
              <w:t>elles correctement interprété les dispositions pertinentes de la</w:t>
            </w:r>
            <w:r w:rsidRPr="00BF0708">
              <w:rPr>
                <w:rFonts w:eastAsia="Calibri"/>
                <w:i/>
                <w:sz w:val="20"/>
                <w:lang w:val="fr-CA"/>
              </w:rPr>
              <w:t xml:space="preserve"> Loi de l'impôt sur le revenu</w:t>
            </w:r>
            <w:r w:rsidRPr="00BF0708">
              <w:rPr>
                <w:rFonts w:eastAsia="Calibri"/>
                <w:sz w:val="20"/>
                <w:lang w:val="fr-CA"/>
              </w:rPr>
              <w:t>, L.R.C. 1985, ch. 1 (5</w:t>
            </w:r>
            <w:r w:rsidRPr="00BF0708">
              <w:rPr>
                <w:rFonts w:eastAsia="Calibri"/>
                <w:sz w:val="20"/>
                <w:vertAlign w:val="superscript"/>
                <w:lang w:val="fr-CA"/>
              </w:rPr>
              <w:t>e</w:t>
            </w:r>
            <w:r w:rsidRPr="00BF0708">
              <w:rPr>
                <w:rFonts w:eastAsia="Calibri"/>
                <w:sz w:val="20"/>
                <w:lang w:val="fr-CA"/>
              </w:rPr>
              <w:t xml:space="preserve"> suppl.) (la « </w:t>
            </w:r>
            <w:r w:rsidRPr="00BF0708">
              <w:rPr>
                <w:rFonts w:eastAsia="Calibri"/>
                <w:i/>
                <w:sz w:val="20"/>
                <w:lang w:val="fr-CA"/>
              </w:rPr>
              <w:t>Loi</w:t>
            </w:r>
            <w:r w:rsidRPr="00BF0708">
              <w:rPr>
                <w:rFonts w:eastAsia="Calibri"/>
                <w:sz w:val="20"/>
                <w:lang w:val="fr-CA"/>
              </w:rPr>
              <w:t> ») et de l'accord fiscal avec l'Allemagne? – L'Agence du revenu du Canada (« ARC ») a</w:t>
            </w:r>
            <w:r w:rsidRPr="00BF0708">
              <w:rPr>
                <w:rFonts w:eastAsia="Calibri"/>
                <w:sz w:val="20"/>
                <w:lang w:val="fr-CA"/>
              </w:rPr>
              <w:noBreakHyphen/>
              <w:t>t</w:t>
            </w:r>
            <w:r w:rsidRPr="00BF0708">
              <w:rPr>
                <w:rFonts w:eastAsia="Calibri"/>
                <w:sz w:val="20"/>
                <w:lang w:val="fr-CA"/>
              </w:rPr>
              <w:noBreakHyphen/>
              <w:t>elle arbitrairement passé outre à des déclarations et à des promesses qu'elle avait faites par écrit dans ses circulaires et sur Internet? – Les tribunaux confirmeront</w:t>
            </w:r>
            <w:r w:rsidRPr="00BF0708">
              <w:rPr>
                <w:rFonts w:eastAsia="Calibri"/>
                <w:sz w:val="20"/>
                <w:lang w:val="fr-CA"/>
              </w:rPr>
              <w:noBreakHyphen/>
              <w:t>ils l'exonération de l’ARC d’une responsabilité éventuelle fondée sur des assertions inexactes et pour avoir induit les contribuables en erreur? – D'autres acteurs gouvernementaux semblables seront</w:t>
            </w:r>
            <w:r w:rsidRPr="00BF0708">
              <w:rPr>
                <w:rFonts w:eastAsia="Calibri"/>
                <w:sz w:val="20"/>
                <w:lang w:val="fr-CA"/>
              </w:rPr>
              <w:noBreakHyphen/>
              <w:t>ils exonérés également?</w:t>
            </w:r>
          </w:p>
        </w:tc>
      </w:tr>
      <w:tr w:rsidR="00E3708E" w:rsidRPr="0028361F" w:rsidTr="00E42F15">
        <w:tc>
          <w:tcPr>
            <w:tcW w:w="5000" w:type="pct"/>
            <w:gridSpan w:val="3"/>
          </w:tcPr>
          <w:p w:rsidR="00E3708E" w:rsidRPr="00BF0708" w:rsidRDefault="00E3708E" w:rsidP="00E42F15">
            <w:pPr>
              <w:jc w:val="both"/>
              <w:rPr>
                <w:rFonts w:eastAsia="Calibri"/>
                <w:sz w:val="20"/>
                <w:lang w:val="fr-CA"/>
              </w:rPr>
            </w:pPr>
          </w:p>
        </w:tc>
      </w:tr>
      <w:tr w:rsidR="00E3708E" w:rsidRPr="0028361F" w:rsidTr="00E42F15">
        <w:tc>
          <w:tcPr>
            <w:tcW w:w="5000" w:type="pct"/>
            <w:gridSpan w:val="3"/>
          </w:tcPr>
          <w:p w:rsidR="00E3708E" w:rsidRPr="00BF0708" w:rsidRDefault="00E3708E" w:rsidP="00E42F15">
            <w:pPr>
              <w:jc w:val="both"/>
              <w:rPr>
                <w:rFonts w:eastAsia="Calibri"/>
                <w:sz w:val="20"/>
                <w:lang w:val="fr-CA"/>
              </w:rPr>
            </w:pPr>
            <w:r w:rsidRPr="00BF0708">
              <w:rPr>
                <w:rFonts w:eastAsia="Calibri"/>
                <w:sz w:val="20"/>
                <w:lang w:val="fr-CA"/>
              </w:rPr>
              <w:t>Le demandeur est un résident du Canada et il reçoit une pension payée par l'Allemagne depuis 2003. En vertu de l'alinéa 56(1)</w:t>
            </w:r>
            <w:r w:rsidRPr="00BF0708">
              <w:rPr>
                <w:rFonts w:eastAsia="Calibri"/>
                <w:i/>
                <w:sz w:val="20"/>
                <w:lang w:val="fr-CA"/>
              </w:rPr>
              <w:t>a</w:t>
            </w:r>
            <w:r w:rsidRPr="00BF0708">
              <w:rPr>
                <w:rFonts w:eastAsia="Calibri"/>
                <w:sz w:val="20"/>
                <w:lang w:val="fr-CA"/>
              </w:rPr>
              <w:t xml:space="preserve">) de la </w:t>
            </w:r>
            <w:r w:rsidRPr="00BF0708">
              <w:rPr>
                <w:rFonts w:eastAsia="Calibri"/>
                <w:i/>
                <w:sz w:val="20"/>
                <w:lang w:val="fr-CA"/>
              </w:rPr>
              <w:t>Loi</w:t>
            </w:r>
            <w:r w:rsidRPr="00BF0708">
              <w:rPr>
                <w:rFonts w:eastAsia="Calibri"/>
                <w:sz w:val="20"/>
                <w:lang w:val="fr-CA"/>
              </w:rPr>
              <w:t>, un contribuable doit inclure dans son revenu tout montant reçu au titre d'une prestation de retraite. Le sous</w:t>
            </w:r>
            <w:r w:rsidRPr="00BF0708">
              <w:rPr>
                <w:rFonts w:eastAsia="Calibri"/>
                <w:sz w:val="20"/>
                <w:lang w:val="fr-CA"/>
              </w:rPr>
              <w:noBreakHyphen/>
              <w:t>alinéa 110(1)</w:t>
            </w:r>
            <w:r w:rsidRPr="00BF0708">
              <w:rPr>
                <w:rFonts w:eastAsia="Calibri"/>
                <w:i/>
                <w:sz w:val="20"/>
                <w:lang w:val="fr-CA"/>
              </w:rPr>
              <w:t>f</w:t>
            </w:r>
            <w:r w:rsidRPr="00BF0708">
              <w:rPr>
                <w:rFonts w:eastAsia="Calibri"/>
                <w:sz w:val="20"/>
                <w:lang w:val="fr-CA"/>
              </w:rPr>
              <w:t>)(i) de la</w:t>
            </w:r>
            <w:r w:rsidRPr="00BF0708">
              <w:rPr>
                <w:rFonts w:eastAsia="Calibri"/>
                <w:i/>
                <w:sz w:val="20"/>
                <w:lang w:val="fr-CA"/>
              </w:rPr>
              <w:t xml:space="preserve"> Loi</w:t>
            </w:r>
            <w:r w:rsidRPr="00BF0708">
              <w:rPr>
                <w:rFonts w:eastAsia="Calibri"/>
                <w:sz w:val="20"/>
                <w:lang w:val="fr-CA"/>
              </w:rPr>
              <w:t xml:space="preserve"> permet au contribuable de déduire du montant d'une prestation de retraite incluse dans son revenu le montant qui est exonéré de l'impôt sur le revenu au Canada en raison d'une disposition de quelque convention ou accord fiscal. </w:t>
            </w:r>
          </w:p>
          <w:p w:rsidR="00E3708E" w:rsidRPr="00BF0708" w:rsidRDefault="00E3708E" w:rsidP="00E42F15">
            <w:pPr>
              <w:jc w:val="both"/>
              <w:rPr>
                <w:rFonts w:eastAsia="Calibri"/>
                <w:sz w:val="20"/>
                <w:lang w:val="fr-CA"/>
              </w:rPr>
            </w:pPr>
          </w:p>
          <w:p w:rsidR="00E3708E" w:rsidRPr="00BF0708" w:rsidRDefault="00E3708E" w:rsidP="00E42F15">
            <w:pPr>
              <w:jc w:val="both"/>
              <w:rPr>
                <w:rFonts w:eastAsia="Calibri"/>
                <w:sz w:val="20"/>
                <w:lang w:val="fr-CA"/>
              </w:rPr>
            </w:pPr>
            <w:r w:rsidRPr="00BF0708">
              <w:rPr>
                <w:rFonts w:eastAsia="Calibri"/>
                <w:sz w:val="20"/>
                <w:lang w:val="fr-CA"/>
              </w:rPr>
              <w:t>Aux termes de l'alinéa 3</w:t>
            </w:r>
            <w:r w:rsidRPr="00BF0708">
              <w:rPr>
                <w:rFonts w:eastAsia="Calibri"/>
                <w:i/>
                <w:sz w:val="20"/>
                <w:lang w:val="fr-CA"/>
              </w:rPr>
              <w:t>c</w:t>
            </w:r>
            <w:r w:rsidRPr="00BF0708">
              <w:rPr>
                <w:rFonts w:eastAsia="Calibri"/>
                <w:sz w:val="20"/>
                <w:lang w:val="fr-CA"/>
              </w:rPr>
              <w:t xml:space="preserve">) de l'article 18 de l'accord fiscal conclu entre le Canada et la République fédérale d'Allemagne, toute prestation versée en vertu de la législation sur la sécurité sociale de l’Allemagne à un résident du Canada est imposable au Canada, mais le montant qui serait exclu du revenu imposable en Allemagne si le contribuable y était un résident est exonéré d’impôt au Canada. La partie exclue est expliquée dans des circulaires publiées par l’ARC à l’occasion. À l’égard des années d’imposition 2003 et 2004, la partie exclue représentait 73 %. En 2005, la loi allemande a changé de telle sorte que la partie exclue n’a plus été que de 50 % à compter de 2005.  </w:t>
            </w:r>
          </w:p>
          <w:p w:rsidR="00E3708E" w:rsidRPr="00BF0708" w:rsidRDefault="00E3708E" w:rsidP="00E42F15">
            <w:pPr>
              <w:jc w:val="both"/>
              <w:rPr>
                <w:rFonts w:eastAsia="Calibri"/>
                <w:sz w:val="20"/>
                <w:lang w:val="fr-CA"/>
              </w:rPr>
            </w:pPr>
          </w:p>
          <w:p w:rsidR="00E3708E" w:rsidRPr="00BF0708" w:rsidRDefault="00E3708E" w:rsidP="00E42F15">
            <w:pPr>
              <w:jc w:val="both"/>
              <w:rPr>
                <w:rFonts w:eastAsia="Calibri"/>
                <w:sz w:val="20"/>
                <w:lang w:val="fr-CA"/>
              </w:rPr>
            </w:pPr>
            <w:r w:rsidRPr="00BF0708">
              <w:rPr>
                <w:rFonts w:eastAsia="Calibri"/>
                <w:sz w:val="20"/>
                <w:lang w:val="fr-CA"/>
              </w:rPr>
              <w:t>Le demandeur a interjeté appel des nouvelles cotisations établies à son égard, plaidant que la proportion exclue devrait continuer d'être 73 % à perpétuité, comme le prévoit le texte d'une circulaire de l’ARC. La Cour canadienne de l'impôt et la Cour d'appel fédérale ont rejeté l'appel.</w:t>
            </w:r>
          </w:p>
          <w:p w:rsidR="00E3708E" w:rsidRPr="00BF0708" w:rsidRDefault="00E3708E" w:rsidP="00E42F15">
            <w:pPr>
              <w:jc w:val="both"/>
              <w:rPr>
                <w:rFonts w:eastAsia="Calibri"/>
                <w:sz w:val="20"/>
                <w:lang w:val="fr-CA"/>
              </w:rPr>
            </w:pPr>
          </w:p>
        </w:tc>
      </w:tr>
      <w:tr w:rsidR="00E3708E" w:rsidRPr="0028361F" w:rsidTr="00E42F15">
        <w:tc>
          <w:tcPr>
            <w:tcW w:w="2427" w:type="pct"/>
          </w:tcPr>
          <w:p w:rsidR="00E3708E" w:rsidRPr="00BF0708" w:rsidRDefault="00E3708E" w:rsidP="00E42F15">
            <w:pPr>
              <w:jc w:val="both"/>
              <w:rPr>
                <w:rFonts w:eastAsia="Calibri"/>
                <w:sz w:val="20"/>
                <w:lang w:val="fr-CA"/>
              </w:rPr>
            </w:pPr>
            <w:r w:rsidRPr="00BF0708">
              <w:rPr>
                <w:rFonts w:eastAsia="Calibri"/>
                <w:sz w:val="20"/>
                <w:lang w:val="fr-CA"/>
              </w:rPr>
              <w:t>7 février 2011</w:t>
            </w:r>
          </w:p>
          <w:p w:rsidR="00E3708E" w:rsidRPr="00BF0708" w:rsidRDefault="00E3708E" w:rsidP="00E42F15">
            <w:pPr>
              <w:jc w:val="both"/>
              <w:rPr>
                <w:rFonts w:eastAsia="Calibri"/>
                <w:sz w:val="20"/>
                <w:lang w:val="fr-CA"/>
              </w:rPr>
            </w:pPr>
            <w:r w:rsidRPr="00BF0708">
              <w:rPr>
                <w:rFonts w:eastAsia="Calibri"/>
                <w:sz w:val="20"/>
                <w:lang w:val="fr-CA"/>
              </w:rPr>
              <w:t xml:space="preserve">Cour canadienne de l'impôt </w:t>
            </w:r>
          </w:p>
          <w:p w:rsidR="00E3708E" w:rsidRPr="00BF0708" w:rsidRDefault="00E3708E" w:rsidP="00E42F15">
            <w:pPr>
              <w:jc w:val="both"/>
              <w:rPr>
                <w:rFonts w:eastAsia="Calibri"/>
                <w:sz w:val="20"/>
                <w:lang w:val="fr-CA"/>
              </w:rPr>
            </w:pPr>
            <w:r w:rsidRPr="00BF0708">
              <w:rPr>
                <w:rFonts w:eastAsia="Calibri"/>
                <w:sz w:val="20"/>
                <w:lang w:val="fr-CA"/>
              </w:rPr>
              <w:t>(Juge Bowie)</w:t>
            </w:r>
          </w:p>
          <w:p w:rsidR="00E3708E" w:rsidRPr="00BF0708" w:rsidRDefault="00E3708E" w:rsidP="00E42F15">
            <w:pPr>
              <w:jc w:val="both"/>
              <w:rPr>
                <w:rFonts w:eastAsia="Calibri"/>
                <w:sz w:val="20"/>
                <w:lang w:val="fr-CA"/>
              </w:rPr>
            </w:pPr>
          </w:p>
        </w:tc>
        <w:tc>
          <w:tcPr>
            <w:tcW w:w="243" w:type="pct"/>
          </w:tcPr>
          <w:p w:rsidR="00E3708E" w:rsidRPr="00BF0708" w:rsidRDefault="00E3708E" w:rsidP="00E42F15">
            <w:pPr>
              <w:jc w:val="both"/>
              <w:rPr>
                <w:rFonts w:eastAsia="Calibri"/>
                <w:sz w:val="20"/>
                <w:lang w:val="fr-CA"/>
              </w:rPr>
            </w:pPr>
          </w:p>
        </w:tc>
        <w:tc>
          <w:tcPr>
            <w:tcW w:w="2330" w:type="pct"/>
          </w:tcPr>
          <w:p w:rsidR="00E3708E" w:rsidRPr="00BF0708" w:rsidRDefault="00E3708E" w:rsidP="00E42F15">
            <w:pPr>
              <w:jc w:val="both"/>
              <w:rPr>
                <w:rFonts w:eastAsia="Calibri"/>
                <w:sz w:val="20"/>
                <w:lang w:val="fr-CA"/>
              </w:rPr>
            </w:pPr>
            <w:r w:rsidRPr="00BF0708">
              <w:rPr>
                <w:rFonts w:eastAsia="Calibri"/>
                <w:sz w:val="20"/>
                <w:lang w:val="fr-CA"/>
              </w:rPr>
              <w:t>Appels des nouvelles cotisations établies pour les années d'imposition 2005, 2006 et 2009, annulés et pour les années 2007 et 2008, rejetés</w:t>
            </w:r>
          </w:p>
          <w:p w:rsidR="00E3708E" w:rsidRPr="00BF0708" w:rsidRDefault="00E3708E" w:rsidP="00E42F15">
            <w:pPr>
              <w:jc w:val="both"/>
              <w:rPr>
                <w:rFonts w:eastAsia="Calibri"/>
                <w:sz w:val="20"/>
                <w:lang w:val="fr-CA"/>
              </w:rPr>
            </w:pPr>
          </w:p>
        </w:tc>
      </w:tr>
      <w:tr w:rsidR="00E3708E" w:rsidRPr="00BF0708" w:rsidTr="00E42F15">
        <w:tc>
          <w:tcPr>
            <w:tcW w:w="2427" w:type="pct"/>
          </w:tcPr>
          <w:p w:rsidR="00E3708E" w:rsidRPr="00BF0708" w:rsidRDefault="00E3708E" w:rsidP="00E42F15">
            <w:pPr>
              <w:jc w:val="both"/>
              <w:rPr>
                <w:rFonts w:eastAsia="Calibri"/>
                <w:sz w:val="20"/>
                <w:lang w:val="fr-CA"/>
              </w:rPr>
            </w:pPr>
            <w:r w:rsidRPr="00BF0708">
              <w:rPr>
                <w:rFonts w:eastAsia="Calibri"/>
                <w:sz w:val="20"/>
                <w:lang w:val="fr-CA"/>
              </w:rPr>
              <w:t>13 octobre 2011</w:t>
            </w:r>
          </w:p>
          <w:p w:rsidR="00E3708E" w:rsidRPr="00BF0708" w:rsidRDefault="00E3708E" w:rsidP="00E42F15">
            <w:pPr>
              <w:jc w:val="both"/>
              <w:rPr>
                <w:rFonts w:eastAsia="Calibri"/>
                <w:sz w:val="20"/>
                <w:lang w:val="fr-CA"/>
              </w:rPr>
            </w:pPr>
            <w:r w:rsidRPr="00BF0708">
              <w:rPr>
                <w:rFonts w:eastAsia="Calibri"/>
                <w:sz w:val="20"/>
                <w:lang w:val="fr-CA"/>
              </w:rPr>
              <w:t xml:space="preserve">Cour d'appel fédérale </w:t>
            </w:r>
          </w:p>
          <w:p w:rsidR="00E3708E" w:rsidRPr="00BF0708" w:rsidRDefault="00E3708E" w:rsidP="00E42F15">
            <w:pPr>
              <w:jc w:val="both"/>
              <w:rPr>
                <w:rFonts w:eastAsia="Calibri"/>
                <w:sz w:val="20"/>
                <w:lang w:val="fr-CA"/>
              </w:rPr>
            </w:pPr>
            <w:r w:rsidRPr="00BF0708">
              <w:rPr>
                <w:rFonts w:eastAsia="Calibri"/>
                <w:sz w:val="20"/>
                <w:lang w:val="fr-CA"/>
              </w:rPr>
              <w:t>(Juges Nadon, Sharlow et Dawson)</w:t>
            </w:r>
          </w:p>
          <w:p w:rsidR="00E3708E" w:rsidRPr="00BF0708" w:rsidRDefault="00E3708E" w:rsidP="00E42F15">
            <w:pPr>
              <w:jc w:val="both"/>
              <w:rPr>
                <w:rFonts w:eastAsia="Calibri"/>
                <w:sz w:val="20"/>
                <w:lang w:val="fr-CA"/>
              </w:rPr>
            </w:pPr>
            <w:r w:rsidRPr="00BF0708">
              <w:rPr>
                <w:rFonts w:eastAsia="Calibri"/>
                <w:sz w:val="20"/>
                <w:lang w:val="fr-CA"/>
              </w:rPr>
              <w:t>2011 FCA 282; A</w:t>
            </w:r>
            <w:r w:rsidRPr="00BF0708">
              <w:rPr>
                <w:rFonts w:eastAsia="Calibri"/>
                <w:sz w:val="20"/>
                <w:lang w:val="fr-CA"/>
              </w:rPr>
              <w:noBreakHyphen/>
              <w:t>111</w:t>
            </w:r>
            <w:r w:rsidRPr="00BF0708">
              <w:rPr>
                <w:rFonts w:eastAsia="Calibri"/>
                <w:sz w:val="20"/>
                <w:lang w:val="fr-CA"/>
              </w:rPr>
              <w:noBreakHyphen/>
              <w:t xml:space="preserve">11 </w:t>
            </w:r>
          </w:p>
          <w:p w:rsidR="00E3708E" w:rsidRPr="00BF0708" w:rsidRDefault="00E3708E" w:rsidP="00E42F15">
            <w:pPr>
              <w:jc w:val="both"/>
              <w:rPr>
                <w:rFonts w:eastAsia="Calibri"/>
                <w:sz w:val="20"/>
                <w:lang w:val="fr-CA"/>
              </w:rPr>
            </w:pPr>
          </w:p>
        </w:tc>
        <w:tc>
          <w:tcPr>
            <w:tcW w:w="243" w:type="pct"/>
          </w:tcPr>
          <w:p w:rsidR="00E3708E" w:rsidRPr="00BF0708" w:rsidRDefault="00E3708E" w:rsidP="00E42F15">
            <w:pPr>
              <w:jc w:val="both"/>
              <w:rPr>
                <w:rFonts w:eastAsia="Calibri"/>
                <w:sz w:val="20"/>
                <w:lang w:val="fr-CA"/>
              </w:rPr>
            </w:pPr>
          </w:p>
        </w:tc>
        <w:tc>
          <w:tcPr>
            <w:tcW w:w="2330" w:type="pct"/>
          </w:tcPr>
          <w:p w:rsidR="00E3708E" w:rsidRPr="00BF0708" w:rsidRDefault="00E3708E" w:rsidP="00E42F15">
            <w:pPr>
              <w:jc w:val="both"/>
              <w:rPr>
                <w:rFonts w:eastAsia="Calibri"/>
                <w:sz w:val="20"/>
                <w:lang w:val="fr-CA"/>
              </w:rPr>
            </w:pPr>
            <w:r w:rsidRPr="00BF0708">
              <w:rPr>
                <w:rFonts w:eastAsia="Calibri"/>
                <w:sz w:val="20"/>
                <w:lang w:val="fr-CA"/>
              </w:rPr>
              <w:t>Appel rejeté</w:t>
            </w:r>
          </w:p>
          <w:p w:rsidR="00E3708E" w:rsidRPr="00BF0708" w:rsidRDefault="00E3708E" w:rsidP="00E42F15">
            <w:pPr>
              <w:jc w:val="both"/>
              <w:rPr>
                <w:rFonts w:eastAsia="Calibri"/>
                <w:sz w:val="20"/>
                <w:lang w:val="fr-CA"/>
              </w:rPr>
            </w:pPr>
          </w:p>
        </w:tc>
      </w:tr>
      <w:tr w:rsidR="00E3708E" w:rsidRPr="00BF0708" w:rsidTr="00200F55">
        <w:trPr>
          <w:cantSplit/>
        </w:trPr>
        <w:tc>
          <w:tcPr>
            <w:tcW w:w="2427" w:type="pct"/>
          </w:tcPr>
          <w:p w:rsidR="00E3708E" w:rsidRPr="00BF0708" w:rsidRDefault="00E3708E" w:rsidP="00E42F15">
            <w:pPr>
              <w:jc w:val="both"/>
              <w:rPr>
                <w:rFonts w:eastAsia="Calibri"/>
                <w:sz w:val="20"/>
                <w:lang w:val="fr-CA"/>
              </w:rPr>
            </w:pPr>
            <w:r w:rsidRPr="00BF0708">
              <w:rPr>
                <w:rFonts w:eastAsia="Calibri"/>
                <w:sz w:val="20"/>
                <w:lang w:val="fr-CA"/>
              </w:rPr>
              <w:lastRenderedPageBreak/>
              <w:t>2 décembre 2011</w:t>
            </w:r>
          </w:p>
          <w:p w:rsidR="00E3708E" w:rsidRPr="00BF0708" w:rsidRDefault="00E3708E" w:rsidP="00E42F15">
            <w:pPr>
              <w:jc w:val="both"/>
              <w:rPr>
                <w:rFonts w:eastAsia="Calibri"/>
                <w:sz w:val="20"/>
                <w:lang w:val="fr-CA"/>
              </w:rPr>
            </w:pPr>
            <w:r w:rsidRPr="00BF0708">
              <w:rPr>
                <w:rFonts w:eastAsia="Calibri"/>
                <w:sz w:val="20"/>
                <w:lang w:val="fr-CA"/>
              </w:rPr>
              <w:t>Cour suprême du Canada</w:t>
            </w:r>
          </w:p>
        </w:tc>
        <w:tc>
          <w:tcPr>
            <w:tcW w:w="243" w:type="pct"/>
          </w:tcPr>
          <w:p w:rsidR="00E3708E" w:rsidRPr="00BF0708" w:rsidRDefault="00E3708E" w:rsidP="00E42F15">
            <w:pPr>
              <w:jc w:val="both"/>
              <w:rPr>
                <w:rFonts w:eastAsia="Calibri"/>
                <w:sz w:val="20"/>
                <w:lang w:val="fr-CA"/>
              </w:rPr>
            </w:pPr>
          </w:p>
        </w:tc>
        <w:tc>
          <w:tcPr>
            <w:tcW w:w="2330" w:type="pct"/>
          </w:tcPr>
          <w:p w:rsidR="00E3708E" w:rsidRPr="00BF0708" w:rsidRDefault="00E3708E" w:rsidP="00E42F15">
            <w:pPr>
              <w:jc w:val="both"/>
              <w:rPr>
                <w:rFonts w:eastAsia="Calibri"/>
                <w:sz w:val="20"/>
                <w:lang w:val="fr-CA"/>
              </w:rPr>
            </w:pPr>
            <w:r w:rsidRPr="00BF0708">
              <w:rPr>
                <w:rFonts w:eastAsia="Calibri"/>
                <w:sz w:val="20"/>
                <w:lang w:val="fr-CA"/>
              </w:rPr>
              <w:t>Demande d'autorisation d'appel, déposée</w:t>
            </w:r>
          </w:p>
          <w:p w:rsidR="00E3708E" w:rsidRPr="00BF0708" w:rsidRDefault="00E3708E" w:rsidP="00E42F15">
            <w:pPr>
              <w:jc w:val="both"/>
              <w:rPr>
                <w:rFonts w:eastAsia="Calibri"/>
                <w:sz w:val="20"/>
                <w:lang w:val="fr-CA"/>
              </w:rPr>
            </w:pP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47" style="width:2in;height:1pt" o:hrpct="0" o:hralign="center" o:hrstd="t" o:hrnoshade="t" o:hr="t" fillcolor="black [3213]" stroked="f"/>
        </w:pict>
      </w:r>
    </w:p>
    <w:p w:rsidR="00FD4A4B" w:rsidRDefault="00FD4A4B" w:rsidP="00FD4A4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00F55" w:rsidRPr="006C712F" w:rsidTr="003B5095">
        <w:trPr>
          <w:cantSplit/>
        </w:trPr>
        <w:tc>
          <w:tcPr>
            <w:tcW w:w="1458" w:type="dxa"/>
          </w:tcPr>
          <w:p w:rsidR="00200F55" w:rsidRPr="006C712F" w:rsidRDefault="00200F55" w:rsidP="003B5095">
            <w:pPr>
              <w:rPr>
                <w:sz w:val="20"/>
                <w:szCs w:val="20"/>
              </w:rPr>
            </w:pPr>
            <w:r w:rsidRPr="006C712F">
              <w:rPr>
                <w:rStyle w:val="SCCFileNumberChar"/>
                <w:sz w:val="20"/>
                <w:szCs w:val="20"/>
              </w:rPr>
              <w:t>34554</w:t>
            </w:r>
          </w:p>
          <w:p w:rsidR="00200F55" w:rsidRPr="006C712F" w:rsidRDefault="00200F55" w:rsidP="003B5095">
            <w:pPr>
              <w:rPr>
                <w:b/>
                <w:sz w:val="20"/>
                <w:szCs w:val="20"/>
                <w:lang w:val="fr-CA"/>
              </w:rPr>
            </w:pPr>
          </w:p>
        </w:tc>
        <w:tc>
          <w:tcPr>
            <w:tcW w:w="8118" w:type="dxa"/>
          </w:tcPr>
          <w:p w:rsidR="00200F55" w:rsidRPr="006C712F" w:rsidRDefault="00200F55" w:rsidP="003B5095">
            <w:pPr>
              <w:jc w:val="both"/>
              <w:rPr>
                <w:sz w:val="20"/>
                <w:szCs w:val="20"/>
              </w:rPr>
            </w:pPr>
            <w:r w:rsidRPr="00200F55">
              <w:rPr>
                <w:rStyle w:val="SCCLsocChar"/>
                <w:sz w:val="20"/>
                <w:szCs w:val="20"/>
                <w:lang w:val="en-CA"/>
              </w:rPr>
              <w:t>Perusahaan Pertambangan Minyak Dan Gas Bumi Negara, P.T. PLN (Persero) v. Karaha Bodas Company, L.L.C.</w:t>
            </w:r>
            <w:r w:rsidRPr="006C712F">
              <w:rPr>
                <w:sz w:val="20"/>
                <w:szCs w:val="20"/>
              </w:rPr>
              <w:t xml:space="preserve"> (Alta.) (Civil) (By Leave)</w:t>
            </w:r>
          </w:p>
          <w:p w:rsidR="00200F55" w:rsidRPr="006C712F" w:rsidRDefault="00200F55" w:rsidP="003B5095">
            <w:pPr>
              <w:rPr>
                <w:sz w:val="20"/>
                <w:szCs w:val="20"/>
              </w:rPr>
            </w:pPr>
          </w:p>
        </w:tc>
      </w:tr>
      <w:tr w:rsidR="00200F55" w:rsidRPr="006C712F" w:rsidTr="003B5095">
        <w:trPr>
          <w:cantSplit/>
        </w:trPr>
        <w:tc>
          <w:tcPr>
            <w:tcW w:w="1458" w:type="dxa"/>
          </w:tcPr>
          <w:p w:rsidR="00200F55" w:rsidRPr="006C712F" w:rsidRDefault="00200F55" w:rsidP="003B5095">
            <w:pPr>
              <w:rPr>
                <w:sz w:val="20"/>
                <w:szCs w:val="20"/>
              </w:rPr>
            </w:pPr>
            <w:r w:rsidRPr="006C712F">
              <w:rPr>
                <w:sz w:val="20"/>
                <w:szCs w:val="20"/>
              </w:rPr>
              <w:t>Coram :</w:t>
            </w:r>
          </w:p>
        </w:tc>
        <w:tc>
          <w:tcPr>
            <w:tcW w:w="8118" w:type="dxa"/>
          </w:tcPr>
          <w:p w:rsidR="00200F55" w:rsidRPr="006C712F" w:rsidRDefault="00200F55" w:rsidP="003B5095">
            <w:pPr>
              <w:rPr>
                <w:sz w:val="20"/>
                <w:szCs w:val="20"/>
              </w:rPr>
            </w:pPr>
            <w:r w:rsidRPr="00200F55">
              <w:rPr>
                <w:rStyle w:val="SCCCoramChar"/>
                <w:sz w:val="20"/>
                <w:szCs w:val="20"/>
                <w:lang w:val="en-CA"/>
              </w:rPr>
              <w:t>McLachlin C.J. and Rothstein and Moldaver JJ.</w:t>
            </w:r>
          </w:p>
          <w:p w:rsidR="00200F55" w:rsidRPr="006C712F" w:rsidRDefault="00200F55" w:rsidP="003B5095">
            <w:pPr>
              <w:rPr>
                <w:sz w:val="20"/>
                <w:szCs w:val="20"/>
                <w:u w:val="single"/>
              </w:rPr>
            </w:pPr>
          </w:p>
        </w:tc>
      </w:tr>
      <w:tr w:rsidR="00200F55" w:rsidRPr="0028361F" w:rsidTr="003B5095">
        <w:trPr>
          <w:cantSplit/>
        </w:trPr>
        <w:tc>
          <w:tcPr>
            <w:tcW w:w="9576" w:type="dxa"/>
            <w:gridSpan w:val="2"/>
          </w:tcPr>
          <w:p w:rsidR="00200F55" w:rsidRPr="006C712F" w:rsidRDefault="00200F55" w:rsidP="003B5095">
            <w:pPr>
              <w:pStyle w:val="SCCShortJudgment"/>
              <w:rPr>
                <w:szCs w:val="20"/>
              </w:rPr>
            </w:pPr>
            <w:r w:rsidRPr="006C712F">
              <w:rPr>
                <w:szCs w:val="20"/>
              </w:rPr>
              <w:t>The application for leave to appeal from the judgment of the Court of Appeal of Alberta (Edmonton), Number 1003-0107-AC, 2011 ABCA 291, dated October 17, 2011, is dismissed with costs.</w:t>
            </w:r>
          </w:p>
          <w:p w:rsidR="00200F55" w:rsidRPr="006C712F" w:rsidRDefault="00200F55" w:rsidP="003B5095">
            <w:pPr>
              <w:pStyle w:val="SCCShortJudgment"/>
              <w:ind w:firstLine="0"/>
              <w:rPr>
                <w:szCs w:val="20"/>
              </w:rPr>
            </w:pPr>
          </w:p>
          <w:p w:rsidR="00200F55" w:rsidRPr="006C712F" w:rsidRDefault="00200F55" w:rsidP="003B5095">
            <w:pPr>
              <w:pStyle w:val="SCCShortJudgment"/>
              <w:rPr>
                <w:szCs w:val="20"/>
                <w:lang w:val="fr-CA"/>
              </w:rPr>
            </w:pPr>
            <w:r w:rsidRPr="006C712F">
              <w:rPr>
                <w:szCs w:val="20"/>
                <w:lang w:val="fr-CA"/>
              </w:rPr>
              <w:t>La demande d’autorisation d’appel de l’arrêt de la Cour d'appel de l’Alberta (Edmonton), numéro 1003-0107-AC, 2011 ABCA 291, daté du 17 octobre 2011, est rejetée avec dépens.</w:t>
            </w:r>
          </w:p>
        </w:tc>
      </w:tr>
    </w:tbl>
    <w:p w:rsidR="00FD4A4B" w:rsidRPr="00FD4A4B" w:rsidRDefault="00FD4A4B" w:rsidP="00FD4A4B">
      <w:pPr>
        <w:rPr>
          <w:sz w:val="20"/>
          <w:szCs w:val="20"/>
          <w:lang w:val="fr-CA"/>
        </w:rPr>
      </w:pPr>
    </w:p>
    <w:p w:rsidR="00FD4A4B" w:rsidRPr="001B157C" w:rsidRDefault="00FD4A4B" w:rsidP="00FD4A4B">
      <w:pPr>
        <w:rPr>
          <w:sz w:val="20"/>
          <w:szCs w:val="20"/>
          <w:u w:val="single"/>
        </w:rPr>
      </w:pPr>
      <w:r w:rsidRPr="001B157C">
        <w:rPr>
          <w:sz w:val="20"/>
          <w:szCs w:val="20"/>
          <w:u w:val="single"/>
        </w:rPr>
        <w:t>CASE SUMMARY</w:t>
      </w:r>
    </w:p>
    <w:p w:rsidR="00FD4A4B" w:rsidRDefault="00FD4A4B" w:rsidP="00FD4A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3708E" w:rsidRPr="00BF0708" w:rsidTr="00E42F15">
        <w:tc>
          <w:tcPr>
            <w:tcW w:w="5000" w:type="pct"/>
            <w:gridSpan w:val="3"/>
          </w:tcPr>
          <w:p w:rsidR="00E3708E" w:rsidRPr="00BF0708" w:rsidRDefault="00E3708E" w:rsidP="00E42F15">
            <w:pPr>
              <w:jc w:val="both"/>
              <w:rPr>
                <w:rFonts w:eastAsia="Calibri"/>
                <w:sz w:val="20"/>
              </w:rPr>
            </w:pPr>
            <w:r w:rsidRPr="00BF0708">
              <w:rPr>
                <w:rFonts w:eastAsia="Calibri"/>
                <w:sz w:val="20"/>
              </w:rPr>
              <w:t xml:space="preserve">Procedural law – Appeals - Should a Canadian court refuse to allow the hearing of an appeal from a judgment granting recognition and enforcement of an arbitral award where subsequently discovered evidence shows that the arbitral award was obtained by fraud? – Applicability of common law doctrine of mootness – Whether obtaining a judgment recognizing and enforcing the award is a fraud on the Court - Can a respondent to an appeal terminate the appeal by filing a Discontinuance of Action and Satisfaction Piece after judgment? – Did Court of Appeal act within its jurisdiction by directing that appeal not be allowed to proceed when there is an order directing the appeal proceed which was not appealed.  </w:t>
            </w:r>
          </w:p>
        </w:tc>
      </w:tr>
      <w:tr w:rsidR="00E3708E" w:rsidRPr="00BF0708" w:rsidTr="00E42F15">
        <w:tc>
          <w:tcPr>
            <w:tcW w:w="5000" w:type="pct"/>
            <w:gridSpan w:val="3"/>
          </w:tcPr>
          <w:p w:rsidR="00E3708E" w:rsidRPr="00BF0708" w:rsidRDefault="00E3708E" w:rsidP="00E42F15">
            <w:pPr>
              <w:jc w:val="both"/>
              <w:rPr>
                <w:rFonts w:eastAsia="Calibri"/>
                <w:sz w:val="20"/>
              </w:rPr>
            </w:pPr>
          </w:p>
        </w:tc>
      </w:tr>
      <w:tr w:rsidR="00E3708E" w:rsidRPr="00BF0708" w:rsidTr="00E42F15">
        <w:tc>
          <w:tcPr>
            <w:tcW w:w="5000" w:type="pct"/>
            <w:gridSpan w:val="3"/>
          </w:tcPr>
          <w:p w:rsidR="00E3708E" w:rsidRPr="00BF0708" w:rsidRDefault="00E3708E" w:rsidP="00E42F15">
            <w:pPr>
              <w:jc w:val="both"/>
              <w:rPr>
                <w:rFonts w:eastAsia="Calibri"/>
                <w:sz w:val="20"/>
              </w:rPr>
            </w:pPr>
            <w:r w:rsidRPr="00BF0708">
              <w:rPr>
                <w:rFonts w:eastAsia="Calibri"/>
                <w:sz w:val="20"/>
              </w:rPr>
              <w:t>The parties were involved in a joint venture to develop Indonesian geothermal resources.  The project was cancelled and the respondent invoked the force majeure provisions of the contracts.  The matter was taken to arbitration in Switzerland.  The award favoured the respondent, which then embarked on enforcement proceedings in various jurisdictions.  The proceedings in the United States resulted in the applicant paying the award in full (over $260 million dollars).  The applicant is now trying to overturn the award on the basis of fraud in various jurisdictions, with no success.</w:t>
            </w:r>
          </w:p>
          <w:p w:rsidR="00E3708E" w:rsidRPr="00BF0708" w:rsidRDefault="00E3708E" w:rsidP="00E42F15">
            <w:pPr>
              <w:jc w:val="both"/>
              <w:rPr>
                <w:rFonts w:eastAsia="Calibri"/>
                <w:sz w:val="20"/>
              </w:rPr>
            </w:pPr>
          </w:p>
          <w:p w:rsidR="00E3708E" w:rsidRPr="00BF0708" w:rsidRDefault="00E3708E" w:rsidP="00E42F15">
            <w:pPr>
              <w:jc w:val="both"/>
              <w:rPr>
                <w:rFonts w:eastAsia="Calibri"/>
                <w:sz w:val="20"/>
              </w:rPr>
            </w:pPr>
            <w:r w:rsidRPr="00BF0708">
              <w:rPr>
                <w:rFonts w:eastAsia="Calibri"/>
                <w:sz w:val="20"/>
              </w:rPr>
              <w:t xml:space="preserve">This leave application concerns proceedings in Alberta.  The respondent started enforcement proceedings in the Alberta Court of Queen’s Bench, resulting in an order that confirmed the arbitral award.  The applicant filed an appeal, but took no steps to perfect it.  Following an order that the appeal could continue on the issue of costs (the only issue not rendered moot by other proceedings) the respondent filed a discontinuance and a satisfaction piece.  The applicant’s subsequent motion to have the appeal continued was denied, as was its appeal to the Court of Appeal.  </w:t>
            </w:r>
          </w:p>
          <w:p w:rsidR="00E3708E" w:rsidRPr="00BF0708" w:rsidRDefault="00E3708E" w:rsidP="00E42F15">
            <w:pPr>
              <w:jc w:val="both"/>
              <w:rPr>
                <w:rFonts w:eastAsia="Calibri"/>
                <w:sz w:val="20"/>
              </w:rPr>
            </w:pPr>
          </w:p>
        </w:tc>
      </w:tr>
      <w:tr w:rsidR="00E3708E" w:rsidRPr="00BF0708" w:rsidTr="00E42F15">
        <w:tc>
          <w:tcPr>
            <w:tcW w:w="2427" w:type="pct"/>
          </w:tcPr>
          <w:p w:rsidR="00E3708E" w:rsidRPr="00BF0708" w:rsidRDefault="00E3708E" w:rsidP="00E42F15">
            <w:pPr>
              <w:jc w:val="both"/>
              <w:rPr>
                <w:rFonts w:eastAsia="Calibri"/>
                <w:sz w:val="20"/>
              </w:rPr>
            </w:pPr>
            <w:r w:rsidRPr="00BF0708">
              <w:rPr>
                <w:rFonts w:eastAsia="Calibri"/>
                <w:sz w:val="20"/>
              </w:rPr>
              <w:t>February 4, 2010</w:t>
            </w:r>
          </w:p>
          <w:p w:rsidR="00E3708E" w:rsidRPr="00BF0708" w:rsidRDefault="00E3708E" w:rsidP="00E42F15">
            <w:pPr>
              <w:jc w:val="both"/>
              <w:rPr>
                <w:rFonts w:eastAsia="Calibri"/>
                <w:sz w:val="20"/>
              </w:rPr>
            </w:pPr>
            <w:r w:rsidRPr="00BF0708">
              <w:rPr>
                <w:rFonts w:eastAsia="Calibri"/>
                <w:sz w:val="20"/>
              </w:rPr>
              <w:t>Court of Queen’s Bench of Alberta</w:t>
            </w:r>
          </w:p>
          <w:p w:rsidR="00E3708E" w:rsidRPr="00BF0708" w:rsidRDefault="00E3708E" w:rsidP="00E42F15">
            <w:pPr>
              <w:jc w:val="both"/>
              <w:rPr>
                <w:rFonts w:eastAsia="Calibri"/>
                <w:sz w:val="20"/>
              </w:rPr>
            </w:pPr>
            <w:r w:rsidRPr="00BF0708">
              <w:rPr>
                <w:rFonts w:eastAsia="Calibri"/>
                <w:sz w:val="20"/>
              </w:rPr>
              <w:t>(Clackson J.)</w:t>
            </w:r>
          </w:p>
          <w:p w:rsidR="00E3708E" w:rsidRPr="00BF0708" w:rsidRDefault="00E3708E" w:rsidP="00E42F15">
            <w:pPr>
              <w:jc w:val="both"/>
              <w:rPr>
                <w:rFonts w:eastAsia="Calibri"/>
                <w:sz w:val="20"/>
              </w:rPr>
            </w:pPr>
            <w:r w:rsidRPr="00BF0708">
              <w:rPr>
                <w:rFonts w:eastAsia="Calibri"/>
                <w:sz w:val="20"/>
              </w:rPr>
              <w:t>Neutral citation: 2010 ABQB 172</w:t>
            </w:r>
          </w:p>
          <w:p w:rsidR="00E3708E" w:rsidRPr="00BF0708" w:rsidRDefault="00E3708E" w:rsidP="00E42F15">
            <w:pPr>
              <w:jc w:val="both"/>
              <w:rPr>
                <w:rFonts w:eastAsia="Calibri"/>
                <w:sz w:val="20"/>
              </w:rPr>
            </w:pPr>
          </w:p>
        </w:tc>
        <w:tc>
          <w:tcPr>
            <w:tcW w:w="243" w:type="pct"/>
          </w:tcPr>
          <w:p w:rsidR="00E3708E" w:rsidRPr="00BF0708" w:rsidRDefault="00E3708E" w:rsidP="00E42F15">
            <w:pPr>
              <w:jc w:val="both"/>
              <w:rPr>
                <w:rFonts w:eastAsia="Calibri"/>
                <w:sz w:val="20"/>
              </w:rPr>
            </w:pPr>
          </w:p>
        </w:tc>
        <w:tc>
          <w:tcPr>
            <w:tcW w:w="2330" w:type="pct"/>
          </w:tcPr>
          <w:p w:rsidR="00E3708E" w:rsidRPr="00BF0708" w:rsidRDefault="00E3708E" w:rsidP="00E42F15">
            <w:pPr>
              <w:jc w:val="both"/>
              <w:rPr>
                <w:rFonts w:eastAsia="Calibri"/>
                <w:sz w:val="20"/>
              </w:rPr>
            </w:pPr>
            <w:r w:rsidRPr="00BF0708">
              <w:rPr>
                <w:rFonts w:eastAsia="Calibri"/>
                <w:sz w:val="20"/>
              </w:rPr>
              <w:t>Application for an order that appeal be continued dismissed</w:t>
            </w:r>
          </w:p>
        </w:tc>
      </w:tr>
      <w:tr w:rsidR="00E3708E" w:rsidRPr="00BF0708" w:rsidTr="00E42F15">
        <w:tc>
          <w:tcPr>
            <w:tcW w:w="2427" w:type="pct"/>
          </w:tcPr>
          <w:p w:rsidR="00E3708E" w:rsidRPr="00BF0708" w:rsidRDefault="00E3708E" w:rsidP="00E42F15">
            <w:pPr>
              <w:jc w:val="both"/>
              <w:rPr>
                <w:rFonts w:eastAsia="Calibri"/>
                <w:sz w:val="20"/>
              </w:rPr>
            </w:pPr>
            <w:r w:rsidRPr="00BF0708">
              <w:rPr>
                <w:rFonts w:eastAsia="Calibri"/>
                <w:sz w:val="20"/>
              </w:rPr>
              <w:t>October 17, 2011</w:t>
            </w:r>
          </w:p>
          <w:p w:rsidR="00E3708E" w:rsidRPr="00BF0708" w:rsidRDefault="00E3708E" w:rsidP="00E42F15">
            <w:pPr>
              <w:jc w:val="both"/>
              <w:rPr>
                <w:rFonts w:eastAsia="Calibri"/>
                <w:sz w:val="20"/>
              </w:rPr>
            </w:pPr>
            <w:r w:rsidRPr="00BF0708">
              <w:rPr>
                <w:rFonts w:eastAsia="Calibri"/>
                <w:sz w:val="20"/>
              </w:rPr>
              <w:t>Court of Appeal of Alberta (Edmonton)</w:t>
            </w:r>
          </w:p>
          <w:p w:rsidR="00E3708E" w:rsidRPr="00BF0708" w:rsidRDefault="00E3708E" w:rsidP="00E42F15">
            <w:pPr>
              <w:jc w:val="both"/>
              <w:rPr>
                <w:rFonts w:eastAsia="Calibri"/>
                <w:sz w:val="20"/>
                <w:lang w:val="fr-CA"/>
              </w:rPr>
            </w:pPr>
            <w:r w:rsidRPr="00BF0708">
              <w:rPr>
                <w:rFonts w:eastAsia="Calibri"/>
                <w:sz w:val="20"/>
                <w:lang w:val="fr-CA"/>
              </w:rPr>
              <w:t>(Côté, McFadyen  and O'Brien Clifton JJ.A.)</w:t>
            </w:r>
          </w:p>
          <w:p w:rsidR="00E3708E" w:rsidRPr="00BF0708" w:rsidRDefault="00E3708E" w:rsidP="00E42F15">
            <w:pPr>
              <w:jc w:val="both"/>
              <w:rPr>
                <w:rFonts w:eastAsia="Calibri"/>
                <w:sz w:val="20"/>
              </w:rPr>
            </w:pPr>
            <w:r w:rsidRPr="00BF0708">
              <w:rPr>
                <w:rFonts w:eastAsia="Calibri"/>
                <w:sz w:val="20"/>
              </w:rPr>
              <w:t>Neutral citation: 2011 ABCA 291</w:t>
            </w:r>
          </w:p>
          <w:p w:rsidR="00E3708E" w:rsidRPr="00BF0708" w:rsidRDefault="00E3708E" w:rsidP="00E42F15">
            <w:pPr>
              <w:jc w:val="both"/>
              <w:rPr>
                <w:rFonts w:eastAsia="Calibri"/>
                <w:sz w:val="20"/>
              </w:rPr>
            </w:pPr>
          </w:p>
        </w:tc>
        <w:tc>
          <w:tcPr>
            <w:tcW w:w="243" w:type="pct"/>
          </w:tcPr>
          <w:p w:rsidR="00E3708E" w:rsidRPr="00BF0708" w:rsidRDefault="00E3708E" w:rsidP="00E42F15">
            <w:pPr>
              <w:jc w:val="both"/>
              <w:rPr>
                <w:rFonts w:eastAsia="Calibri"/>
                <w:sz w:val="20"/>
              </w:rPr>
            </w:pPr>
          </w:p>
        </w:tc>
        <w:tc>
          <w:tcPr>
            <w:tcW w:w="2330" w:type="pct"/>
          </w:tcPr>
          <w:p w:rsidR="00E3708E" w:rsidRPr="00BF0708" w:rsidRDefault="00E3708E" w:rsidP="00E42F15">
            <w:pPr>
              <w:jc w:val="both"/>
              <w:rPr>
                <w:rFonts w:eastAsia="Calibri"/>
                <w:sz w:val="20"/>
              </w:rPr>
            </w:pPr>
            <w:r w:rsidRPr="00BF0708">
              <w:rPr>
                <w:rFonts w:eastAsia="Calibri"/>
                <w:sz w:val="20"/>
              </w:rPr>
              <w:t>Appeal dismissed</w:t>
            </w:r>
          </w:p>
        </w:tc>
      </w:tr>
      <w:tr w:rsidR="00E3708E" w:rsidRPr="00BF0708" w:rsidTr="00200F55">
        <w:trPr>
          <w:cantSplit/>
        </w:trPr>
        <w:tc>
          <w:tcPr>
            <w:tcW w:w="2427" w:type="pct"/>
          </w:tcPr>
          <w:p w:rsidR="00E3708E" w:rsidRPr="00BF0708" w:rsidRDefault="00E3708E" w:rsidP="00E42F15">
            <w:pPr>
              <w:jc w:val="both"/>
              <w:rPr>
                <w:rFonts w:eastAsia="Calibri"/>
                <w:sz w:val="20"/>
              </w:rPr>
            </w:pPr>
            <w:r w:rsidRPr="00BF0708">
              <w:rPr>
                <w:rFonts w:eastAsia="Calibri"/>
                <w:sz w:val="20"/>
              </w:rPr>
              <w:lastRenderedPageBreak/>
              <w:t>December 5, 2011</w:t>
            </w:r>
          </w:p>
          <w:p w:rsidR="00E3708E" w:rsidRPr="00BF0708" w:rsidRDefault="00E3708E" w:rsidP="00E42F15">
            <w:pPr>
              <w:jc w:val="both"/>
              <w:rPr>
                <w:rFonts w:eastAsia="Calibri"/>
                <w:sz w:val="20"/>
              </w:rPr>
            </w:pPr>
            <w:r w:rsidRPr="00BF0708">
              <w:rPr>
                <w:rFonts w:eastAsia="Calibri"/>
                <w:sz w:val="20"/>
              </w:rPr>
              <w:t>Supreme Court of Canada</w:t>
            </w:r>
          </w:p>
        </w:tc>
        <w:tc>
          <w:tcPr>
            <w:tcW w:w="243" w:type="pct"/>
          </w:tcPr>
          <w:p w:rsidR="00E3708E" w:rsidRPr="00BF0708" w:rsidRDefault="00E3708E" w:rsidP="00E42F15">
            <w:pPr>
              <w:jc w:val="both"/>
              <w:rPr>
                <w:rFonts w:eastAsia="Calibri"/>
                <w:sz w:val="20"/>
              </w:rPr>
            </w:pPr>
          </w:p>
        </w:tc>
        <w:tc>
          <w:tcPr>
            <w:tcW w:w="2330" w:type="pct"/>
          </w:tcPr>
          <w:p w:rsidR="00E3708E" w:rsidRPr="00BF0708" w:rsidRDefault="00E3708E" w:rsidP="00E42F15">
            <w:pPr>
              <w:jc w:val="both"/>
              <w:rPr>
                <w:rFonts w:eastAsia="Calibri"/>
                <w:sz w:val="20"/>
              </w:rPr>
            </w:pPr>
            <w:r w:rsidRPr="00BF0708">
              <w:rPr>
                <w:rFonts w:eastAsia="Calibri"/>
                <w:sz w:val="20"/>
              </w:rPr>
              <w:t>Application for leave to appeal filed</w:t>
            </w: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48" style="width:2in;height:1pt" o:hrpct="0" o:hralign="center" o:hrstd="t" o:hrnoshade="t" o:hr="t" fillcolor="black [3213]" stroked="f"/>
        </w:pict>
      </w:r>
    </w:p>
    <w:p w:rsidR="00FD4A4B" w:rsidRDefault="00FD4A4B" w:rsidP="00FD4A4B">
      <w:pPr>
        <w:rPr>
          <w:sz w:val="20"/>
          <w:szCs w:val="20"/>
        </w:rPr>
      </w:pPr>
    </w:p>
    <w:p w:rsidR="00FD4A4B" w:rsidRPr="001B157C" w:rsidRDefault="00FD4A4B" w:rsidP="00FD4A4B">
      <w:pPr>
        <w:rPr>
          <w:sz w:val="20"/>
          <w:szCs w:val="20"/>
          <w:u w:val="single"/>
          <w:lang w:val="fr-CA"/>
        </w:rPr>
      </w:pPr>
      <w:r w:rsidRPr="001B157C">
        <w:rPr>
          <w:sz w:val="20"/>
          <w:szCs w:val="20"/>
          <w:u w:val="single"/>
          <w:lang w:val="fr-CA"/>
        </w:rPr>
        <w:t>RÉSUMÉ DE L’AFFAIRE</w:t>
      </w:r>
    </w:p>
    <w:p w:rsidR="00FD4A4B" w:rsidRDefault="00FD4A4B" w:rsidP="00FD4A4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42F15" w:rsidRPr="0028361F" w:rsidTr="00E42F15">
        <w:tc>
          <w:tcPr>
            <w:tcW w:w="5000" w:type="pct"/>
            <w:gridSpan w:val="3"/>
          </w:tcPr>
          <w:p w:rsidR="00E42F15" w:rsidRPr="00BF0708" w:rsidRDefault="00E42F15" w:rsidP="00E42F15">
            <w:pPr>
              <w:jc w:val="both"/>
              <w:rPr>
                <w:rFonts w:eastAsia="Calibri"/>
                <w:sz w:val="20"/>
                <w:lang w:val="fr-CA"/>
              </w:rPr>
            </w:pPr>
            <w:r w:rsidRPr="00BF0708">
              <w:rPr>
                <w:rFonts w:eastAsia="Calibri"/>
                <w:sz w:val="20"/>
                <w:lang w:val="fr-CA"/>
              </w:rPr>
              <w:t xml:space="preserve">Procédure – Appels – Un tribunal canadien doit-il refuser l'instruction de l’appel d'un jugement accordant la reconnaissance et l'exécution d'une sentence arbitrale lorsqu'une preuve découverte par la suite indique que la sentence a été obtenue par la fraude? – Applicabilité de la doctrine du caractère théorique de common law – L'obtention d'un jugement de reconnaissance et d'exécution de la sentence a-t-elle pour effet de tromper la Cour? – Un intimé en appel peut-il mettre fin à l'appel en déposant un désistement de l'action et un acte de quittance après jugement? – La Cour avait-elle compétence pour ordonner l'arrêt des procédures en appel alors qu'il y avait une ordonnance d'instruction de l'appel qui n'a pas elle-même été frappée d'appel?  </w:t>
            </w:r>
          </w:p>
        </w:tc>
      </w:tr>
      <w:tr w:rsidR="00E42F15" w:rsidRPr="0028361F" w:rsidTr="00E42F15">
        <w:tc>
          <w:tcPr>
            <w:tcW w:w="5000" w:type="pct"/>
            <w:gridSpan w:val="3"/>
          </w:tcPr>
          <w:p w:rsidR="00E42F15" w:rsidRPr="00BF0708" w:rsidRDefault="00E42F15" w:rsidP="00E42F15">
            <w:pPr>
              <w:jc w:val="both"/>
              <w:rPr>
                <w:rFonts w:eastAsia="Calibri"/>
                <w:sz w:val="20"/>
                <w:lang w:val="fr-CA"/>
              </w:rPr>
            </w:pPr>
          </w:p>
        </w:tc>
      </w:tr>
      <w:tr w:rsidR="00E42F15" w:rsidRPr="0028361F" w:rsidTr="00E42F15">
        <w:tc>
          <w:tcPr>
            <w:tcW w:w="5000" w:type="pct"/>
            <w:gridSpan w:val="3"/>
          </w:tcPr>
          <w:p w:rsidR="00E42F15" w:rsidRPr="00BF0708" w:rsidRDefault="00E42F15" w:rsidP="00E42F15">
            <w:pPr>
              <w:jc w:val="both"/>
              <w:rPr>
                <w:rFonts w:eastAsia="Calibri"/>
                <w:sz w:val="20"/>
                <w:lang w:val="fr-CA"/>
              </w:rPr>
            </w:pPr>
            <w:r w:rsidRPr="00BF0708">
              <w:rPr>
                <w:rFonts w:eastAsia="Calibri"/>
                <w:sz w:val="20"/>
                <w:lang w:val="fr-CA"/>
              </w:rPr>
              <w:t>Les parties participaient à une coentreprise de mise en valeur de ressources géothermiques en Indonésie. Le projet a été annulé et l'intimée a invoqué les dispositions contractuelles relatives à la force majeure. L'affaire a été soumise à l’arbitrage en Suisse. La sentence a été rendue en faveur de l'intimée qui a alors pris des mesures d'exécution dans divers pays. À la suite d'une instance aux États-Unis, la demanderesse a acquitté intégralement le montant de la sentence (plus de 260 millions de dollars). La demanderesse tente maintenant de faire infirmer la sentence, invoquant la fraude dans plusieurs pays, sans succès.</w:t>
            </w:r>
          </w:p>
          <w:p w:rsidR="00E42F15" w:rsidRPr="00BF0708" w:rsidRDefault="00E42F15" w:rsidP="00E42F15">
            <w:pPr>
              <w:jc w:val="both"/>
              <w:rPr>
                <w:rFonts w:eastAsia="Calibri"/>
                <w:sz w:val="20"/>
                <w:lang w:val="fr-CA"/>
              </w:rPr>
            </w:pPr>
          </w:p>
          <w:p w:rsidR="00E42F15" w:rsidRPr="00BF0708" w:rsidRDefault="00E42F15" w:rsidP="00E42F15">
            <w:pPr>
              <w:jc w:val="both"/>
              <w:rPr>
                <w:rFonts w:eastAsia="Calibri"/>
                <w:sz w:val="20"/>
                <w:lang w:val="fr-CA"/>
              </w:rPr>
            </w:pPr>
            <w:r w:rsidRPr="00BF0708">
              <w:rPr>
                <w:rFonts w:eastAsia="Calibri"/>
                <w:sz w:val="20"/>
                <w:lang w:val="fr-CA"/>
              </w:rPr>
              <w:t xml:space="preserve">La présente demande d'autorisation concerne une instance en Alberta. L'intimée a entrepris des mesures d'exécution en Cour du Banc de la Reine de l’Alberta, ce qui a donné lieu à une ordonnance qui a confirmé la sentence arbitrale. La demanderesse a déposé un appel, mais n'a fait aucune démarche pour le mettre en état. À la suite d'une ordonnance portant que l'appel devait se poursuivre sur la question des dépens (la seule question qui n'a pas été rendue théorique par d'autres instances), l'intimée a déposé un désistement et un acte de quittance. La requête subséquente de la demanderesse pour que l'appel se poursuive a été rejetée, tout comme son appel à la Cour d'appel.  </w:t>
            </w:r>
          </w:p>
          <w:p w:rsidR="00E42F15" w:rsidRPr="00BF0708" w:rsidRDefault="00E42F15" w:rsidP="00E42F15">
            <w:pPr>
              <w:jc w:val="both"/>
              <w:rPr>
                <w:rFonts w:eastAsia="Calibri"/>
                <w:sz w:val="20"/>
                <w:lang w:val="fr-CA"/>
              </w:rPr>
            </w:pPr>
          </w:p>
        </w:tc>
      </w:tr>
      <w:tr w:rsidR="00E42F15" w:rsidRPr="0028361F" w:rsidTr="00E42F15">
        <w:tc>
          <w:tcPr>
            <w:tcW w:w="2427" w:type="pct"/>
          </w:tcPr>
          <w:p w:rsidR="00E42F15" w:rsidRPr="00BF0708" w:rsidRDefault="00E42F15" w:rsidP="00E42F15">
            <w:pPr>
              <w:jc w:val="both"/>
              <w:rPr>
                <w:rFonts w:eastAsia="Calibri"/>
                <w:sz w:val="20"/>
                <w:lang w:val="fr-CA"/>
              </w:rPr>
            </w:pPr>
            <w:r w:rsidRPr="00BF0708">
              <w:rPr>
                <w:rFonts w:eastAsia="Calibri"/>
                <w:sz w:val="20"/>
                <w:lang w:val="fr-CA"/>
              </w:rPr>
              <w:t>4 février 2010</w:t>
            </w:r>
          </w:p>
          <w:p w:rsidR="00E42F15" w:rsidRPr="00BF0708" w:rsidRDefault="00E42F15" w:rsidP="00E42F15">
            <w:pPr>
              <w:jc w:val="both"/>
              <w:rPr>
                <w:rFonts w:eastAsia="Calibri"/>
                <w:sz w:val="20"/>
                <w:lang w:val="fr-CA"/>
              </w:rPr>
            </w:pPr>
            <w:r w:rsidRPr="00BF0708">
              <w:rPr>
                <w:rFonts w:eastAsia="Calibri"/>
                <w:sz w:val="20"/>
                <w:lang w:val="fr-CA"/>
              </w:rPr>
              <w:t xml:space="preserve">Cour du Banc de la Reine de l'Alberta </w:t>
            </w:r>
          </w:p>
          <w:p w:rsidR="00E42F15" w:rsidRPr="00BF0708" w:rsidRDefault="00E42F15" w:rsidP="00E42F15">
            <w:pPr>
              <w:jc w:val="both"/>
              <w:rPr>
                <w:rFonts w:eastAsia="Calibri"/>
                <w:sz w:val="20"/>
                <w:lang w:val="fr-CA"/>
              </w:rPr>
            </w:pPr>
            <w:r w:rsidRPr="00BF0708">
              <w:rPr>
                <w:rFonts w:eastAsia="Calibri"/>
                <w:sz w:val="20"/>
                <w:lang w:val="fr-CA"/>
              </w:rPr>
              <w:t>(Juge Clackson)</w:t>
            </w:r>
          </w:p>
          <w:p w:rsidR="00E42F15" w:rsidRPr="00BF0708" w:rsidRDefault="00E42F15" w:rsidP="00E42F15">
            <w:pPr>
              <w:jc w:val="both"/>
              <w:rPr>
                <w:rFonts w:eastAsia="Calibri"/>
                <w:sz w:val="20"/>
                <w:lang w:val="fr-CA"/>
              </w:rPr>
            </w:pPr>
            <w:r w:rsidRPr="00BF0708">
              <w:rPr>
                <w:rFonts w:eastAsia="Calibri"/>
                <w:sz w:val="20"/>
                <w:lang w:val="fr-CA"/>
              </w:rPr>
              <w:t>Référence neutre : 2010 ABQB 172</w:t>
            </w:r>
          </w:p>
          <w:p w:rsidR="00E42F15" w:rsidRPr="00BF0708" w:rsidRDefault="00E42F15" w:rsidP="00E42F15">
            <w:pPr>
              <w:jc w:val="both"/>
              <w:rPr>
                <w:rFonts w:eastAsia="Calibri"/>
                <w:sz w:val="20"/>
                <w:lang w:val="fr-CA"/>
              </w:rPr>
            </w:pPr>
          </w:p>
        </w:tc>
        <w:tc>
          <w:tcPr>
            <w:tcW w:w="243" w:type="pct"/>
          </w:tcPr>
          <w:p w:rsidR="00E42F15" w:rsidRPr="00BF0708" w:rsidRDefault="00E42F15" w:rsidP="00E42F15">
            <w:pPr>
              <w:jc w:val="both"/>
              <w:rPr>
                <w:rFonts w:eastAsia="Calibri"/>
                <w:sz w:val="20"/>
                <w:lang w:val="fr-CA"/>
              </w:rPr>
            </w:pPr>
          </w:p>
        </w:tc>
        <w:tc>
          <w:tcPr>
            <w:tcW w:w="2330" w:type="pct"/>
          </w:tcPr>
          <w:p w:rsidR="00E42F15" w:rsidRPr="00BF0708" w:rsidRDefault="00E42F15" w:rsidP="00E42F15">
            <w:pPr>
              <w:jc w:val="both"/>
              <w:rPr>
                <w:rFonts w:eastAsia="Calibri"/>
                <w:sz w:val="20"/>
                <w:lang w:val="fr-CA"/>
              </w:rPr>
            </w:pPr>
            <w:r w:rsidRPr="00BF0708">
              <w:rPr>
                <w:rFonts w:eastAsia="Calibri"/>
                <w:sz w:val="20"/>
                <w:lang w:val="fr-CA"/>
              </w:rPr>
              <w:t>Demande d'ordonnance que l’appel se poursuive, rejetée</w:t>
            </w:r>
          </w:p>
        </w:tc>
      </w:tr>
      <w:tr w:rsidR="00E42F15" w:rsidRPr="00BF0708" w:rsidTr="00E42F15">
        <w:tc>
          <w:tcPr>
            <w:tcW w:w="2427" w:type="pct"/>
          </w:tcPr>
          <w:p w:rsidR="00E42F15" w:rsidRPr="00BF0708" w:rsidRDefault="00E42F15" w:rsidP="00E42F15">
            <w:pPr>
              <w:jc w:val="both"/>
              <w:rPr>
                <w:rFonts w:eastAsia="Calibri"/>
                <w:sz w:val="20"/>
                <w:lang w:val="fr-CA"/>
              </w:rPr>
            </w:pPr>
            <w:r w:rsidRPr="00BF0708">
              <w:rPr>
                <w:rFonts w:eastAsia="Calibri"/>
                <w:sz w:val="20"/>
                <w:lang w:val="fr-CA"/>
              </w:rPr>
              <w:t>17 octobre 2011</w:t>
            </w:r>
          </w:p>
          <w:p w:rsidR="00E42F15" w:rsidRPr="00BF0708" w:rsidRDefault="00E42F15" w:rsidP="00E42F15">
            <w:pPr>
              <w:jc w:val="both"/>
              <w:rPr>
                <w:rFonts w:eastAsia="Calibri"/>
                <w:sz w:val="20"/>
                <w:lang w:val="fr-CA"/>
              </w:rPr>
            </w:pPr>
            <w:r w:rsidRPr="00BF0708">
              <w:rPr>
                <w:rFonts w:eastAsia="Calibri"/>
                <w:sz w:val="20"/>
                <w:lang w:val="fr-CA"/>
              </w:rPr>
              <w:t>Cour d'appel de l'Alberta (Edmonton)</w:t>
            </w:r>
          </w:p>
          <w:p w:rsidR="00E42F15" w:rsidRPr="00BF0708" w:rsidRDefault="00E42F15" w:rsidP="00E42F15">
            <w:pPr>
              <w:jc w:val="both"/>
              <w:rPr>
                <w:rFonts w:eastAsia="Calibri"/>
                <w:sz w:val="20"/>
                <w:lang w:val="fr-CA"/>
              </w:rPr>
            </w:pPr>
            <w:r w:rsidRPr="00BF0708">
              <w:rPr>
                <w:rFonts w:eastAsia="Calibri"/>
                <w:sz w:val="20"/>
                <w:lang w:val="fr-CA"/>
              </w:rPr>
              <w:t>(Juges Côté, McFadyen  et O'Brien Clifton.)</w:t>
            </w:r>
          </w:p>
          <w:p w:rsidR="00E42F15" w:rsidRPr="00BF0708" w:rsidRDefault="00E42F15" w:rsidP="00E42F15">
            <w:pPr>
              <w:jc w:val="both"/>
              <w:rPr>
                <w:rFonts w:eastAsia="Calibri"/>
                <w:sz w:val="20"/>
                <w:lang w:val="fr-CA"/>
              </w:rPr>
            </w:pPr>
            <w:r w:rsidRPr="00BF0708">
              <w:rPr>
                <w:rFonts w:eastAsia="Calibri"/>
                <w:sz w:val="20"/>
                <w:lang w:val="fr-CA"/>
              </w:rPr>
              <w:t>Référence neutre : 2011 ABCA 291</w:t>
            </w:r>
          </w:p>
          <w:p w:rsidR="00E42F15" w:rsidRPr="00BF0708" w:rsidRDefault="00E42F15" w:rsidP="00E42F15">
            <w:pPr>
              <w:jc w:val="both"/>
              <w:rPr>
                <w:rFonts w:eastAsia="Calibri"/>
                <w:sz w:val="20"/>
                <w:lang w:val="fr-CA"/>
              </w:rPr>
            </w:pPr>
          </w:p>
        </w:tc>
        <w:tc>
          <w:tcPr>
            <w:tcW w:w="243" w:type="pct"/>
          </w:tcPr>
          <w:p w:rsidR="00E42F15" w:rsidRPr="00BF0708" w:rsidRDefault="00E42F15" w:rsidP="00E42F15">
            <w:pPr>
              <w:jc w:val="both"/>
              <w:rPr>
                <w:rFonts w:eastAsia="Calibri"/>
                <w:sz w:val="20"/>
                <w:lang w:val="fr-CA"/>
              </w:rPr>
            </w:pPr>
          </w:p>
        </w:tc>
        <w:tc>
          <w:tcPr>
            <w:tcW w:w="2330" w:type="pct"/>
          </w:tcPr>
          <w:p w:rsidR="00E42F15" w:rsidRPr="00BF0708" w:rsidRDefault="00E42F15" w:rsidP="00E42F15">
            <w:pPr>
              <w:jc w:val="both"/>
              <w:rPr>
                <w:rFonts w:eastAsia="Calibri"/>
                <w:sz w:val="20"/>
                <w:lang w:val="fr-CA"/>
              </w:rPr>
            </w:pPr>
            <w:r w:rsidRPr="00BF0708">
              <w:rPr>
                <w:rFonts w:eastAsia="Calibri"/>
                <w:sz w:val="20"/>
                <w:lang w:val="fr-CA"/>
              </w:rPr>
              <w:t>Appel rejeté</w:t>
            </w:r>
          </w:p>
        </w:tc>
      </w:tr>
      <w:tr w:rsidR="00E42F15" w:rsidRPr="00BF0708" w:rsidTr="00E42F15">
        <w:tc>
          <w:tcPr>
            <w:tcW w:w="2427" w:type="pct"/>
          </w:tcPr>
          <w:p w:rsidR="00E42F15" w:rsidRPr="00BF0708" w:rsidRDefault="00E42F15" w:rsidP="00E42F15">
            <w:pPr>
              <w:jc w:val="both"/>
              <w:rPr>
                <w:rFonts w:eastAsia="Calibri"/>
                <w:sz w:val="20"/>
                <w:lang w:val="fr-CA"/>
              </w:rPr>
            </w:pPr>
            <w:r w:rsidRPr="00BF0708">
              <w:rPr>
                <w:rFonts w:eastAsia="Calibri"/>
                <w:sz w:val="20"/>
                <w:lang w:val="fr-CA"/>
              </w:rPr>
              <w:t>5 décembre 2011</w:t>
            </w:r>
          </w:p>
          <w:p w:rsidR="00E42F15" w:rsidRPr="00BF0708" w:rsidRDefault="00E42F15" w:rsidP="00E42F15">
            <w:pPr>
              <w:jc w:val="both"/>
              <w:rPr>
                <w:rFonts w:eastAsia="Calibri"/>
                <w:sz w:val="20"/>
                <w:lang w:val="fr-CA"/>
              </w:rPr>
            </w:pPr>
            <w:r w:rsidRPr="00BF0708">
              <w:rPr>
                <w:rFonts w:eastAsia="Calibri"/>
                <w:sz w:val="20"/>
                <w:lang w:val="fr-CA"/>
              </w:rPr>
              <w:t>Cour suprême du Canada</w:t>
            </w:r>
          </w:p>
        </w:tc>
        <w:tc>
          <w:tcPr>
            <w:tcW w:w="243" w:type="pct"/>
          </w:tcPr>
          <w:p w:rsidR="00E42F15" w:rsidRPr="00BF0708" w:rsidRDefault="00E42F15" w:rsidP="00E42F15">
            <w:pPr>
              <w:jc w:val="both"/>
              <w:rPr>
                <w:rFonts w:eastAsia="Calibri"/>
                <w:sz w:val="20"/>
                <w:lang w:val="fr-CA"/>
              </w:rPr>
            </w:pPr>
          </w:p>
        </w:tc>
        <w:tc>
          <w:tcPr>
            <w:tcW w:w="2330" w:type="pct"/>
          </w:tcPr>
          <w:p w:rsidR="00E42F15" w:rsidRPr="00BF0708" w:rsidRDefault="00E42F15" w:rsidP="00E42F15">
            <w:pPr>
              <w:jc w:val="both"/>
              <w:rPr>
                <w:rFonts w:eastAsia="Calibri"/>
                <w:sz w:val="20"/>
                <w:lang w:val="fr-CA"/>
              </w:rPr>
            </w:pPr>
            <w:r w:rsidRPr="00BF0708">
              <w:rPr>
                <w:rFonts w:eastAsia="Calibri"/>
                <w:sz w:val="20"/>
                <w:lang w:val="fr-CA"/>
              </w:rPr>
              <w:t>Demande d'autorisation d'appel, déposée</w:t>
            </w: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49" style="width:2in;height:1pt" o:hrpct="0" o:hralign="center" o:hrstd="t" o:hrnoshade="t" o:hr="t" fillcolor="black [3213]" stroked="f"/>
        </w:pict>
      </w:r>
    </w:p>
    <w:p w:rsidR="00FD4A4B" w:rsidRDefault="00FD4A4B" w:rsidP="00FD4A4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00F55" w:rsidRPr="0028361F" w:rsidTr="003B5095">
        <w:trPr>
          <w:cantSplit/>
        </w:trPr>
        <w:tc>
          <w:tcPr>
            <w:tcW w:w="1458" w:type="dxa"/>
          </w:tcPr>
          <w:p w:rsidR="00200F55" w:rsidRPr="00200F55" w:rsidRDefault="00200F55" w:rsidP="003B5095">
            <w:pPr>
              <w:rPr>
                <w:sz w:val="20"/>
                <w:szCs w:val="20"/>
              </w:rPr>
            </w:pPr>
            <w:r w:rsidRPr="00200F55">
              <w:rPr>
                <w:rStyle w:val="SCCFileNumberChar"/>
                <w:sz w:val="20"/>
                <w:szCs w:val="20"/>
              </w:rPr>
              <w:t>34586</w:t>
            </w:r>
          </w:p>
          <w:p w:rsidR="00200F55" w:rsidRPr="00200F55" w:rsidRDefault="00200F55" w:rsidP="003B5095">
            <w:pPr>
              <w:rPr>
                <w:b/>
                <w:sz w:val="20"/>
                <w:szCs w:val="20"/>
                <w:lang w:val="fr-CA"/>
              </w:rPr>
            </w:pPr>
          </w:p>
        </w:tc>
        <w:tc>
          <w:tcPr>
            <w:tcW w:w="8118" w:type="dxa"/>
          </w:tcPr>
          <w:p w:rsidR="00200F55" w:rsidRPr="00200F55" w:rsidRDefault="00200F55" w:rsidP="003B5095">
            <w:pPr>
              <w:jc w:val="both"/>
              <w:rPr>
                <w:sz w:val="20"/>
                <w:szCs w:val="20"/>
                <w:lang w:val="fr-CA"/>
              </w:rPr>
            </w:pPr>
            <w:r w:rsidRPr="00200F55">
              <w:rPr>
                <w:rStyle w:val="SCCLsocChar"/>
                <w:sz w:val="20"/>
                <w:szCs w:val="20"/>
              </w:rPr>
              <w:t>Commission des droits de la personne et des droits de la jeunesse (en faveur de Yanick Bouchard et autres) c. Ville de Laval</w:t>
            </w:r>
            <w:r>
              <w:rPr>
                <w:rStyle w:val="SCCLsocChar"/>
                <w:sz w:val="20"/>
                <w:szCs w:val="20"/>
              </w:rPr>
              <w:t xml:space="preserve"> et</w:t>
            </w:r>
            <w:r w:rsidRPr="00200F55">
              <w:rPr>
                <w:rStyle w:val="SCCLsocChar"/>
                <w:sz w:val="20"/>
                <w:szCs w:val="20"/>
              </w:rPr>
              <w:t xml:space="preserve"> Association des pompiers de Laval</w:t>
            </w:r>
            <w:r w:rsidRPr="00200F55">
              <w:rPr>
                <w:sz w:val="20"/>
                <w:szCs w:val="20"/>
                <w:lang w:val="fr-CA"/>
              </w:rPr>
              <w:t xml:space="preserve"> (Qc) (Civile) (Autorisation)</w:t>
            </w:r>
          </w:p>
          <w:p w:rsidR="00200F55" w:rsidRPr="00200F55" w:rsidRDefault="00200F55" w:rsidP="003B5095">
            <w:pPr>
              <w:rPr>
                <w:sz w:val="20"/>
                <w:szCs w:val="20"/>
                <w:lang w:val="fr-CA"/>
              </w:rPr>
            </w:pPr>
          </w:p>
        </w:tc>
      </w:tr>
      <w:tr w:rsidR="00200F55" w:rsidRPr="0028361F" w:rsidTr="003B5095">
        <w:trPr>
          <w:cantSplit/>
        </w:trPr>
        <w:tc>
          <w:tcPr>
            <w:tcW w:w="1458" w:type="dxa"/>
          </w:tcPr>
          <w:p w:rsidR="00200F55" w:rsidRPr="00200F55" w:rsidRDefault="00200F55" w:rsidP="003B5095">
            <w:pPr>
              <w:rPr>
                <w:sz w:val="20"/>
                <w:szCs w:val="20"/>
              </w:rPr>
            </w:pPr>
            <w:r w:rsidRPr="00200F55">
              <w:rPr>
                <w:sz w:val="20"/>
                <w:szCs w:val="20"/>
              </w:rPr>
              <w:t>Coram :</w:t>
            </w:r>
          </w:p>
        </w:tc>
        <w:tc>
          <w:tcPr>
            <w:tcW w:w="8118" w:type="dxa"/>
          </w:tcPr>
          <w:p w:rsidR="00200F55" w:rsidRPr="00200F55" w:rsidRDefault="00200F55" w:rsidP="003B5095">
            <w:pPr>
              <w:rPr>
                <w:sz w:val="20"/>
                <w:szCs w:val="20"/>
                <w:lang w:val="fr-CA"/>
              </w:rPr>
            </w:pPr>
            <w:r w:rsidRPr="00200F55">
              <w:rPr>
                <w:rStyle w:val="SCCCoramChar"/>
                <w:sz w:val="20"/>
                <w:szCs w:val="20"/>
              </w:rPr>
              <w:t>Les juges LeBel, Abella et Cromwell</w:t>
            </w:r>
          </w:p>
          <w:p w:rsidR="00200F55" w:rsidRPr="00200F55" w:rsidRDefault="00200F55" w:rsidP="003B5095">
            <w:pPr>
              <w:rPr>
                <w:sz w:val="20"/>
                <w:szCs w:val="20"/>
                <w:u w:val="single"/>
                <w:lang w:val="fr-CA"/>
              </w:rPr>
            </w:pPr>
          </w:p>
        </w:tc>
      </w:tr>
      <w:tr w:rsidR="00200F55" w:rsidRPr="00200F55" w:rsidTr="003B5095">
        <w:trPr>
          <w:cantSplit/>
        </w:trPr>
        <w:tc>
          <w:tcPr>
            <w:tcW w:w="9576" w:type="dxa"/>
            <w:gridSpan w:val="2"/>
          </w:tcPr>
          <w:p w:rsidR="00200F55" w:rsidRPr="00200F55" w:rsidRDefault="00200F55" w:rsidP="003B5095">
            <w:pPr>
              <w:pStyle w:val="SCCShortJudgment"/>
              <w:rPr>
                <w:szCs w:val="20"/>
                <w:lang w:val="fr-CA"/>
              </w:rPr>
            </w:pPr>
            <w:r w:rsidRPr="00200F55">
              <w:rPr>
                <w:szCs w:val="20"/>
                <w:lang w:val="fr-CA"/>
              </w:rPr>
              <w:lastRenderedPageBreak/>
              <w:t>La demande d’autorisation d’appel de l’arrêt de la Cour d’appel du Québec (Montréal), numéros 500-09-019546-092 et 500-09-019561-091, 2011 QCCA 2041, daté du 3 novembre 2011, est rejetée avec dépens.</w:t>
            </w:r>
          </w:p>
          <w:p w:rsidR="00200F55" w:rsidRPr="00200F55" w:rsidRDefault="00200F55" w:rsidP="003B5095">
            <w:pPr>
              <w:pStyle w:val="SCCShortJudgment"/>
              <w:ind w:firstLine="0"/>
              <w:rPr>
                <w:szCs w:val="20"/>
                <w:lang w:val="fr-CA"/>
              </w:rPr>
            </w:pPr>
          </w:p>
          <w:p w:rsidR="00200F55" w:rsidRPr="00200F55" w:rsidRDefault="00200F55" w:rsidP="003B5095">
            <w:pPr>
              <w:pStyle w:val="SCCShortJudgment"/>
              <w:rPr>
                <w:szCs w:val="20"/>
              </w:rPr>
            </w:pPr>
            <w:r w:rsidRPr="00200F55">
              <w:rPr>
                <w:szCs w:val="20"/>
              </w:rPr>
              <w:t>The application for leave to appeal from the judgment of the Court of Appeal of Quebec (Montréal), Numbers 500-09-019546-092 and 500-09-019561-091, 2011 QCCA 2041, dated November 3, 2011, is dismissed with costs.</w:t>
            </w:r>
          </w:p>
        </w:tc>
      </w:tr>
    </w:tbl>
    <w:p w:rsidR="00FD4A4B" w:rsidRPr="00200F55" w:rsidRDefault="00FD4A4B" w:rsidP="00FD4A4B">
      <w:pPr>
        <w:rPr>
          <w:sz w:val="20"/>
          <w:szCs w:val="20"/>
        </w:rPr>
      </w:pPr>
    </w:p>
    <w:p w:rsidR="00FD4A4B" w:rsidRPr="001B157C" w:rsidRDefault="00FD4A4B" w:rsidP="00FD4A4B">
      <w:pPr>
        <w:rPr>
          <w:sz w:val="20"/>
          <w:szCs w:val="20"/>
          <w:u w:val="single"/>
        </w:rPr>
      </w:pPr>
      <w:r w:rsidRPr="001B157C">
        <w:rPr>
          <w:sz w:val="20"/>
          <w:szCs w:val="20"/>
          <w:u w:val="single"/>
        </w:rPr>
        <w:t>CASE SUMMARY</w:t>
      </w:r>
    </w:p>
    <w:p w:rsidR="00FD4A4B" w:rsidRDefault="00FD4A4B" w:rsidP="00FD4A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42F15" w:rsidRPr="00BF0708" w:rsidTr="00E42F15">
        <w:tc>
          <w:tcPr>
            <w:tcW w:w="5000" w:type="pct"/>
            <w:gridSpan w:val="3"/>
          </w:tcPr>
          <w:p w:rsidR="00E42F15" w:rsidRPr="00BF0708" w:rsidRDefault="00E42F15" w:rsidP="00E42F15">
            <w:pPr>
              <w:jc w:val="both"/>
              <w:rPr>
                <w:rFonts w:eastAsia="Calibri"/>
                <w:sz w:val="20"/>
              </w:rPr>
            </w:pPr>
            <w:r w:rsidRPr="00BF0708">
              <w:rPr>
                <w:rFonts w:eastAsia="Calibri"/>
                <w:sz w:val="20"/>
              </w:rPr>
              <w:t xml:space="preserve">Human rights — Right to equality — Discrimination based on age — Equal wages — Collective agreements containing orphan clause — Whether Court of Appeal erred in not ruling on existence of unlawful discrimination based on age — Whether Court of Appeal erred in holding that wage discrimination based on age was authorized by statute, thereby reversing Human Rights Tribunal’s decision — Whether Court of Appeal erred in not ruling on date when discrimination ended or would end and on right to full compensation — </w:t>
            </w:r>
            <w:r w:rsidRPr="00BF0708">
              <w:rPr>
                <w:rFonts w:eastAsia="Calibri"/>
                <w:i/>
                <w:sz w:val="20"/>
              </w:rPr>
              <w:t>Charter of human rights and freedoms</w:t>
            </w:r>
            <w:r w:rsidRPr="00BF0708">
              <w:rPr>
                <w:rFonts w:eastAsia="Calibri"/>
                <w:sz w:val="20"/>
              </w:rPr>
              <w:t>, R.S.Q., c. C</w:t>
            </w:r>
            <w:r w:rsidRPr="00BF0708">
              <w:rPr>
                <w:rFonts w:eastAsia="Calibri"/>
                <w:sz w:val="20"/>
              </w:rPr>
              <w:noBreakHyphen/>
              <w:t xml:space="preserve">12, ss. 10, 16, 19 — </w:t>
            </w:r>
            <w:r w:rsidRPr="00BF0708">
              <w:rPr>
                <w:rFonts w:eastAsia="Calibri"/>
                <w:i/>
                <w:sz w:val="20"/>
              </w:rPr>
              <w:t>Act respecting labour standards</w:t>
            </w:r>
            <w:r w:rsidRPr="00BF0708">
              <w:rPr>
                <w:rFonts w:eastAsia="Calibri"/>
                <w:sz w:val="20"/>
              </w:rPr>
              <w:t>, R.S.Q., c. N</w:t>
            </w:r>
            <w:r w:rsidRPr="00BF0708">
              <w:rPr>
                <w:rFonts w:eastAsia="Calibri"/>
                <w:sz w:val="20"/>
              </w:rPr>
              <w:noBreakHyphen/>
              <w:t xml:space="preserve">1.1, ss. 87.1, 87.2, 87.3 — </w:t>
            </w:r>
            <w:r w:rsidRPr="00BF0708">
              <w:rPr>
                <w:rFonts w:eastAsia="Calibri"/>
                <w:i/>
                <w:sz w:val="20"/>
              </w:rPr>
              <w:t>Act respecting the negotiation of agreements concerning the reduction of labour costs in the municipal sector</w:t>
            </w:r>
            <w:r w:rsidRPr="00BF0708">
              <w:rPr>
                <w:rFonts w:eastAsia="Calibri"/>
                <w:sz w:val="20"/>
              </w:rPr>
              <w:t>, S.Q. 1998, c. 2.</w:t>
            </w:r>
          </w:p>
        </w:tc>
      </w:tr>
      <w:tr w:rsidR="00E42F15" w:rsidRPr="00BF0708" w:rsidTr="00E42F15">
        <w:tc>
          <w:tcPr>
            <w:tcW w:w="5000" w:type="pct"/>
            <w:gridSpan w:val="3"/>
          </w:tcPr>
          <w:p w:rsidR="00E42F15" w:rsidRPr="00BF0708" w:rsidRDefault="00E42F15" w:rsidP="00E42F15">
            <w:pPr>
              <w:jc w:val="both"/>
              <w:rPr>
                <w:rFonts w:eastAsia="Calibri"/>
                <w:sz w:val="20"/>
              </w:rPr>
            </w:pPr>
          </w:p>
        </w:tc>
      </w:tr>
      <w:tr w:rsidR="00E42F15" w:rsidRPr="00BF0708" w:rsidTr="00E42F15">
        <w:tc>
          <w:tcPr>
            <w:tcW w:w="5000" w:type="pct"/>
            <w:gridSpan w:val="3"/>
          </w:tcPr>
          <w:p w:rsidR="00E42F15" w:rsidRPr="00BF0708" w:rsidRDefault="00E42F15" w:rsidP="00E42F15">
            <w:pPr>
              <w:jc w:val="both"/>
              <w:rPr>
                <w:rFonts w:eastAsia="Calibri"/>
                <w:sz w:val="20"/>
              </w:rPr>
            </w:pPr>
            <w:r w:rsidRPr="00BF0708">
              <w:rPr>
                <w:rFonts w:eastAsia="Calibri"/>
                <w:sz w:val="20"/>
              </w:rPr>
              <w:t xml:space="preserve">After being required to reduce its labour costs by 6% by the </w:t>
            </w:r>
            <w:r w:rsidRPr="00BF0708">
              <w:rPr>
                <w:rFonts w:eastAsia="Calibri"/>
                <w:i/>
                <w:sz w:val="20"/>
              </w:rPr>
              <w:t>Act respecting the negotiation of agreements concerning the reduction of labour costs in the municipal sector</w:t>
            </w:r>
            <w:r w:rsidRPr="00BF0708">
              <w:rPr>
                <w:rFonts w:eastAsia="Calibri"/>
                <w:sz w:val="20"/>
              </w:rPr>
              <w:t xml:space="preserve">, the City of Laval agreed with the Association des pompiers de Laval to adopt a dual wage scale based on hiring date: the first scale applied to employees hired on or before June 10, 1998 and consisted of six steps over a period of 55 months; the second scale applied to all employee hired after June 10, 1998 and consisted of nine steps, with the top step being reached in the 73rd month.  The wage grids for the second scale were less advantageous, although the top wage was the same on each scale.  Under the new scale, the wage paid to starting firefighters was reduced by $5,250.  All the firefighters did the same work, regardless of their hiring date or seniority.  The dual wage scale appeared in three successive collective agreements.  Considering themselves victims of wage discrimination based on age, 50 firefighters filed complaints with the Commission des droits de la personne et des droits de la jeunesse.  The Commission ruled in the complainants’ favour, but since no settlement was reached and the measures of redress it proposed were not implemented by the City and the Association, the Commission took the case before the Human Rights Tribunal.  Relying on statistical evidence, the Commission alleged that the dual wage scale affected mainly the younger firefighters aged 20 to 34 and therefore constituted discrimination based on age contrary to ss. 10, 16 and 19 of the Quebec </w:t>
            </w:r>
            <w:r w:rsidRPr="00BF0708">
              <w:rPr>
                <w:rFonts w:eastAsia="Calibri"/>
                <w:i/>
                <w:sz w:val="20"/>
              </w:rPr>
              <w:t>Charter</w:t>
            </w:r>
            <w:r w:rsidRPr="00BF0708">
              <w:rPr>
                <w:rFonts w:eastAsia="Calibri"/>
                <w:sz w:val="20"/>
              </w:rPr>
              <w:t>.</w:t>
            </w:r>
          </w:p>
          <w:p w:rsidR="00E42F15" w:rsidRPr="00BF0708" w:rsidRDefault="00E42F15" w:rsidP="00E42F15">
            <w:pPr>
              <w:jc w:val="both"/>
              <w:rPr>
                <w:rFonts w:eastAsia="Calibri"/>
                <w:sz w:val="20"/>
              </w:rPr>
            </w:pPr>
          </w:p>
        </w:tc>
      </w:tr>
      <w:tr w:rsidR="00E42F15" w:rsidRPr="00BF0708" w:rsidTr="00E42F15">
        <w:tc>
          <w:tcPr>
            <w:tcW w:w="2427" w:type="pct"/>
          </w:tcPr>
          <w:p w:rsidR="00E42F15" w:rsidRPr="00BF0708" w:rsidRDefault="00E42F15" w:rsidP="00E42F15">
            <w:pPr>
              <w:jc w:val="both"/>
              <w:rPr>
                <w:rFonts w:eastAsia="Calibri"/>
                <w:sz w:val="20"/>
              </w:rPr>
            </w:pPr>
            <w:r w:rsidRPr="00BF0708">
              <w:rPr>
                <w:rFonts w:eastAsia="Calibri"/>
                <w:sz w:val="20"/>
              </w:rPr>
              <w:t>March 5, 2009</w:t>
            </w:r>
          </w:p>
          <w:p w:rsidR="00E42F15" w:rsidRPr="00BF0708" w:rsidRDefault="00E42F15" w:rsidP="00E42F15">
            <w:pPr>
              <w:jc w:val="both"/>
              <w:rPr>
                <w:rFonts w:eastAsia="Calibri"/>
                <w:sz w:val="20"/>
              </w:rPr>
            </w:pPr>
            <w:r w:rsidRPr="00BF0708">
              <w:rPr>
                <w:rFonts w:eastAsia="Calibri"/>
                <w:sz w:val="20"/>
              </w:rPr>
              <w:t>Human Rights Tribunal</w:t>
            </w:r>
          </w:p>
          <w:p w:rsidR="00E42F15" w:rsidRPr="00BF0708" w:rsidRDefault="00E42F15" w:rsidP="00E42F15">
            <w:pPr>
              <w:jc w:val="both"/>
              <w:rPr>
                <w:rFonts w:eastAsia="Calibri"/>
                <w:sz w:val="20"/>
              </w:rPr>
            </w:pPr>
            <w:r w:rsidRPr="00BF0708">
              <w:rPr>
                <w:rFonts w:eastAsia="Calibri"/>
                <w:sz w:val="20"/>
              </w:rPr>
              <w:t>(Judge Rivet, President)</w:t>
            </w:r>
          </w:p>
          <w:p w:rsidR="00E42F15" w:rsidRPr="00BF0708" w:rsidRDefault="00E42F15" w:rsidP="00E42F15">
            <w:pPr>
              <w:jc w:val="both"/>
              <w:rPr>
                <w:rFonts w:eastAsia="Calibri"/>
                <w:sz w:val="20"/>
              </w:rPr>
            </w:pPr>
            <w:r w:rsidRPr="00BF0708">
              <w:rPr>
                <w:rFonts w:eastAsia="Calibri"/>
                <w:sz w:val="20"/>
              </w:rPr>
              <w:t>Neutral citation: 2009 QCTDP 4</w:t>
            </w:r>
          </w:p>
          <w:p w:rsidR="00E42F15" w:rsidRPr="00BF0708" w:rsidRDefault="00E42F15" w:rsidP="00E42F15">
            <w:pPr>
              <w:jc w:val="both"/>
              <w:rPr>
                <w:rFonts w:eastAsia="Calibri"/>
                <w:sz w:val="20"/>
              </w:rPr>
            </w:pPr>
          </w:p>
        </w:tc>
        <w:tc>
          <w:tcPr>
            <w:tcW w:w="243" w:type="pct"/>
          </w:tcPr>
          <w:p w:rsidR="00E42F15" w:rsidRPr="00BF0708" w:rsidRDefault="00E42F15" w:rsidP="00E42F15">
            <w:pPr>
              <w:jc w:val="both"/>
              <w:rPr>
                <w:rFonts w:eastAsia="Calibri"/>
                <w:sz w:val="20"/>
              </w:rPr>
            </w:pPr>
          </w:p>
        </w:tc>
        <w:tc>
          <w:tcPr>
            <w:tcW w:w="2330" w:type="pct"/>
          </w:tcPr>
          <w:p w:rsidR="00E42F15" w:rsidRPr="00BF0708" w:rsidRDefault="00E42F15" w:rsidP="00E42F15">
            <w:pPr>
              <w:jc w:val="both"/>
              <w:rPr>
                <w:rFonts w:eastAsia="Calibri"/>
                <w:sz w:val="20"/>
              </w:rPr>
            </w:pPr>
            <w:r w:rsidRPr="00BF0708">
              <w:rPr>
                <w:rFonts w:eastAsia="Calibri"/>
                <w:sz w:val="20"/>
              </w:rPr>
              <w:t>Application by Commission to institute proceedings allowed in part: City and Association condemned solidarily to pay damages</w:t>
            </w:r>
          </w:p>
          <w:p w:rsidR="00E42F15" w:rsidRPr="00BF0708" w:rsidRDefault="00E42F15" w:rsidP="00E42F15">
            <w:pPr>
              <w:jc w:val="both"/>
              <w:rPr>
                <w:rFonts w:eastAsia="Calibri"/>
                <w:sz w:val="20"/>
              </w:rPr>
            </w:pPr>
          </w:p>
        </w:tc>
      </w:tr>
      <w:tr w:rsidR="00E42F15" w:rsidRPr="00BF0708" w:rsidTr="00E42F15">
        <w:tc>
          <w:tcPr>
            <w:tcW w:w="2427" w:type="pct"/>
          </w:tcPr>
          <w:p w:rsidR="00E42F15" w:rsidRPr="00BF0708" w:rsidRDefault="00E42F15" w:rsidP="00E42F15">
            <w:pPr>
              <w:jc w:val="both"/>
              <w:rPr>
                <w:rFonts w:eastAsia="Calibri"/>
                <w:sz w:val="20"/>
              </w:rPr>
            </w:pPr>
            <w:r w:rsidRPr="00BF0708">
              <w:rPr>
                <w:rFonts w:eastAsia="Calibri"/>
                <w:sz w:val="20"/>
              </w:rPr>
              <w:t>November 3, 2011</w:t>
            </w:r>
          </w:p>
          <w:p w:rsidR="00E42F15" w:rsidRPr="00BF0708" w:rsidRDefault="00E42F15" w:rsidP="00E42F15">
            <w:pPr>
              <w:jc w:val="both"/>
              <w:rPr>
                <w:rFonts w:eastAsia="Calibri"/>
                <w:sz w:val="20"/>
              </w:rPr>
            </w:pPr>
            <w:r w:rsidRPr="00BF0708">
              <w:rPr>
                <w:rFonts w:eastAsia="Calibri"/>
                <w:sz w:val="20"/>
              </w:rPr>
              <w:t>Quebec Court of Appeal (Montréal)</w:t>
            </w:r>
          </w:p>
          <w:p w:rsidR="00E42F15" w:rsidRPr="00BF0708" w:rsidRDefault="00E42F15" w:rsidP="00E42F15">
            <w:pPr>
              <w:jc w:val="both"/>
              <w:rPr>
                <w:rFonts w:eastAsia="Calibri"/>
                <w:sz w:val="20"/>
              </w:rPr>
            </w:pPr>
            <w:r w:rsidRPr="00BF0708">
              <w:rPr>
                <w:rFonts w:eastAsia="Calibri"/>
                <w:sz w:val="20"/>
              </w:rPr>
              <w:t>(Duval Hesler, Dalphond and Bich JJ.A.)</w:t>
            </w:r>
          </w:p>
          <w:p w:rsidR="00E42F15" w:rsidRPr="00BF0708" w:rsidRDefault="00E42F15" w:rsidP="00E42F15">
            <w:pPr>
              <w:jc w:val="both"/>
              <w:rPr>
                <w:rFonts w:eastAsia="Calibri"/>
                <w:sz w:val="20"/>
              </w:rPr>
            </w:pPr>
            <w:r w:rsidRPr="00BF0708">
              <w:rPr>
                <w:rFonts w:eastAsia="Calibri"/>
                <w:sz w:val="20"/>
              </w:rPr>
              <w:t>Neutral citation: 2011 QCCA 2041</w:t>
            </w:r>
          </w:p>
          <w:p w:rsidR="00E42F15" w:rsidRPr="00BF0708" w:rsidRDefault="00E42F15" w:rsidP="00E42F15">
            <w:pPr>
              <w:jc w:val="both"/>
              <w:rPr>
                <w:rFonts w:eastAsia="Calibri"/>
                <w:sz w:val="20"/>
              </w:rPr>
            </w:pPr>
          </w:p>
        </w:tc>
        <w:tc>
          <w:tcPr>
            <w:tcW w:w="243" w:type="pct"/>
          </w:tcPr>
          <w:p w:rsidR="00E42F15" w:rsidRPr="00BF0708" w:rsidRDefault="00E42F15" w:rsidP="00E42F15">
            <w:pPr>
              <w:jc w:val="both"/>
              <w:rPr>
                <w:rFonts w:eastAsia="Calibri"/>
                <w:sz w:val="20"/>
              </w:rPr>
            </w:pPr>
          </w:p>
        </w:tc>
        <w:tc>
          <w:tcPr>
            <w:tcW w:w="2330" w:type="pct"/>
          </w:tcPr>
          <w:p w:rsidR="00E42F15" w:rsidRPr="00BF0708" w:rsidRDefault="00E42F15" w:rsidP="00E42F15">
            <w:pPr>
              <w:jc w:val="both"/>
              <w:rPr>
                <w:rFonts w:eastAsia="Calibri"/>
                <w:sz w:val="20"/>
              </w:rPr>
            </w:pPr>
            <w:r w:rsidRPr="00BF0708">
              <w:rPr>
                <w:rFonts w:eastAsia="Calibri"/>
                <w:sz w:val="20"/>
              </w:rPr>
              <w:t>Appeals of City and Association allowed and Commission’s incidental appeals dismissed</w:t>
            </w:r>
          </w:p>
        </w:tc>
      </w:tr>
      <w:tr w:rsidR="00E42F15" w:rsidRPr="00BF0708" w:rsidTr="00200F55">
        <w:trPr>
          <w:cantSplit/>
        </w:trPr>
        <w:tc>
          <w:tcPr>
            <w:tcW w:w="2427" w:type="pct"/>
          </w:tcPr>
          <w:p w:rsidR="00E42F15" w:rsidRPr="00BF0708" w:rsidRDefault="00E42F15" w:rsidP="00E42F15">
            <w:pPr>
              <w:jc w:val="both"/>
              <w:rPr>
                <w:rFonts w:eastAsia="Calibri"/>
                <w:sz w:val="20"/>
              </w:rPr>
            </w:pPr>
            <w:r w:rsidRPr="00BF0708">
              <w:rPr>
                <w:rFonts w:eastAsia="Calibri"/>
                <w:sz w:val="20"/>
              </w:rPr>
              <w:t>December 21, 2011</w:t>
            </w:r>
          </w:p>
          <w:p w:rsidR="00E42F15" w:rsidRPr="00BF0708" w:rsidRDefault="00E42F15" w:rsidP="00E42F15">
            <w:pPr>
              <w:jc w:val="both"/>
              <w:rPr>
                <w:rFonts w:eastAsia="Calibri"/>
                <w:sz w:val="20"/>
              </w:rPr>
            </w:pPr>
            <w:r w:rsidRPr="00BF0708">
              <w:rPr>
                <w:rFonts w:eastAsia="Calibri"/>
                <w:sz w:val="20"/>
              </w:rPr>
              <w:t>Supreme Court of Canada</w:t>
            </w:r>
          </w:p>
        </w:tc>
        <w:tc>
          <w:tcPr>
            <w:tcW w:w="243" w:type="pct"/>
          </w:tcPr>
          <w:p w:rsidR="00E42F15" w:rsidRPr="00BF0708" w:rsidRDefault="00E42F15" w:rsidP="00E42F15">
            <w:pPr>
              <w:jc w:val="both"/>
              <w:rPr>
                <w:rFonts w:eastAsia="Calibri"/>
                <w:sz w:val="20"/>
              </w:rPr>
            </w:pPr>
          </w:p>
        </w:tc>
        <w:tc>
          <w:tcPr>
            <w:tcW w:w="2330" w:type="pct"/>
          </w:tcPr>
          <w:p w:rsidR="00E42F15" w:rsidRPr="00BF0708" w:rsidRDefault="00E42F15" w:rsidP="00E42F15">
            <w:pPr>
              <w:jc w:val="both"/>
              <w:rPr>
                <w:rFonts w:eastAsia="Calibri"/>
                <w:sz w:val="20"/>
              </w:rPr>
            </w:pPr>
            <w:r w:rsidRPr="00BF0708">
              <w:rPr>
                <w:rFonts w:eastAsia="Calibri"/>
                <w:sz w:val="20"/>
              </w:rPr>
              <w:t>Application for leave to appeal filed</w:t>
            </w:r>
          </w:p>
          <w:p w:rsidR="00E42F15" w:rsidRPr="00BF0708" w:rsidRDefault="00E42F15" w:rsidP="00E42F15">
            <w:pPr>
              <w:jc w:val="both"/>
              <w:rPr>
                <w:rFonts w:eastAsia="Calibri"/>
                <w:sz w:val="20"/>
              </w:rPr>
            </w:pP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50" style="width:2in;height:1pt" o:hrpct="0" o:hralign="center" o:hrstd="t" o:hrnoshade="t" o:hr="t" fillcolor="black [3213]" stroked="f"/>
        </w:pict>
      </w:r>
    </w:p>
    <w:p w:rsidR="00FD4A4B" w:rsidRDefault="00FD4A4B" w:rsidP="00FD4A4B">
      <w:pPr>
        <w:rPr>
          <w:sz w:val="20"/>
          <w:szCs w:val="20"/>
        </w:rPr>
      </w:pPr>
    </w:p>
    <w:p w:rsidR="00FD4A4B" w:rsidRPr="001B157C" w:rsidRDefault="00FD4A4B" w:rsidP="00FD4A4B">
      <w:pPr>
        <w:rPr>
          <w:sz w:val="20"/>
          <w:szCs w:val="20"/>
          <w:u w:val="single"/>
          <w:lang w:val="fr-CA"/>
        </w:rPr>
      </w:pPr>
      <w:r w:rsidRPr="001B157C">
        <w:rPr>
          <w:sz w:val="20"/>
          <w:szCs w:val="20"/>
          <w:u w:val="single"/>
          <w:lang w:val="fr-CA"/>
        </w:rPr>
        <w:t>RÉSUMÉ DE L’AFFAIRE</w:t>
      </w:r>
    </w:p>
    <w:p w:rsidR="00FD4A4B" w:rsidRDefault="00FD4A4B" w:rsidP="00FD4A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42F15" w:rsidRPr="0028361F" w:rsidTr="00E42F15">
        <w:tc>
          <w:tcPr>
            <w:tcW w:w="5000" w:type="pct"/>
            <w:gridSpan w:val="3"/>
          </w:tcPr>
          <w:p w:rsidR="00E42F15" w:rsidRPr="00BF0708" w:rsidRDefault="00E42F15" w:rsidP="00E42F15">
            <w:pPr>
              <w:jc w:val="both"/>
              <w:rPr>
                <w:sz w:val="20"/>
                <w:lang w:val="fr-CA"/>
              </w:rPr>
            </w:pPr>
            <w:r w:rsidRPr="00BF0708">
              <w:rPr>
                <w:sz w:val="20"/>
                <w:lang w:val="fr-CA"/>
              </w:rPr>
              <w:t xml:space="preserve">Droits de la personne — Droit à l’égalité — Discrimination fondée sur l’âge — Parité salariale — Conventions </w:t>
            </w:r>
            <w:r w:rsidRPr="00BF0708">
              <w:rPr>
                <w:sz w:val="20"/>
                <w:lang w:val="fr-CA"/>
              </w:rPr>
              <w:lastRenderedPageBreak/>
              <w:t>collectives contenant une clause de disparité de traitement (« clause orphelin ») — La Cour d’appel a</w:t>
            </w:r>
            <w:r w:rsidRPr="00BF0708">
              <w:rPr>
                <w:sz w:val="20"/>
                <w:lang w:val="fr-CA"/>
              </w:rPr>
              <w:noBreakHyphen/>
              <w:t>t</w:t>
            </w:r>
            <w:r w:rsidRPr="00BF0708">
              <w:rPr>
                <w:sz w:val="20"/>
                <w:lang w:val="fr-CA"/>
              </w:rPr>
              <w:noBreakHyphen/>
              <w:t>elle erré en ne se prononçant pas sur l’existence d’une situation de discrimination illicite fondée sur l’âge? — La Cour d’appel a</w:t>
            </w:r>
            <w:r w:rsidRPr="00BF0708">
              <w:rPr>
                <w:sz w:val="20"/>
                <w:lang w:val="fr-CA"/>
              </w:rPr>
              <w:noBreakHyphen/>
              <w:t>t</w:t>
            </w:r>
            <w:r w:rsidRPr="00BF0708">
              <w:rPr>
                <w:sz w:val="20"/>
                <w:lang w:val="fr-CA"/>
              </w:rPr>
              <w:noBreakHyphen/>
              <w:t>elle erré en jugeant que la discrimination salariale fondée sur l’âge était autorisée par la loi, infirmant ainsi la décision rendue par le Tribunal des droits de la personne? — La Cour d’appel a</w:t>
            </w:r>
            <w:r w:rsidRPr="00BF0708">
              <w:rPr>
                <w:sz w:val="20"/>
                <w:lang w:val="fr-CA"/>
              </w:rPr>
              <w:noBreakHyphen/>
              <w:t>t</w:t>
            </w:r>
            <w:r w:rsidRPr="00BF0708">
              <w:rPr>
                <w:sz w:val="20"/>
                <w:lang w:val="fr-CA"/>
              </w:rPr>
              <w:noBreakHyphen/>
              <w:t xml:space="preserve">elle erré en ne se prononçant pas sur la date où la discrimination a pris ou prendra fin et sur le droit à la pleine réparation? — </w:t>
            </w:r>
            <w:r w:rsidRPr="00BF0708">
              <w:rPr>
                <w:i/>
                <w:sz w:val="20"/>
                <w:lang w:val="fr-CA"/>
              </w:rPr>
              <w:t>Charte des droits et libertés de la personne</w:t>
            </w:r>
            <w:r w:rsidRPr="00BF0708">
              <w:rPr>
                <w:sz w:val="20"/>
                <w:lang w:val="fr-CA"/>
              </w:rPr>
              <w:t>, L.R.Q., ch. C</w:t>
            </w:r>
            <w:r w:rsidRPr="00BF0708">
              <w:rPr>
                <w:sz w:val="20"/>
                <w:lang w:val="fr-CA"/>
              </w:rPr>
              <w:noBreakHyphen/>
              <w:t xml:space="preserve">12, art. 10, 16, 19 — </w:t>
            </w:r>
            <w:r w:rsidRPr="00BF0708">
              <w:rPr>
                <w:i/>
                <w:sz w:val="20"/>
                <w:lang w:val="fr-CA"/>
              </w:rPr>
              <w:t>Loi sur les normes du travail</w:t>
            </w:r>
            <w:r w:rsidRPr="00BF0708">
              <w:rPr>
                <w:sz w:val="20"/>
                <w:lang w:val="fr-CA"/>
              </w:rPr>
              <w:t>, L.R.Q., ch. N</w:t>
            </w:r>
            <w:r w:rsidRPr="00BF0708">
              <w:rPr>
                <w:sz w:val="20"/>
                <w:lang w:val="fr-CA"/>
              </w:rPr>
              <w:noBreakHyphen/>
              <w:t xml:space="preserve">1.1, art. 87.1, 87.2, 87.3 — </w:t>
            </w:r>
            <w:r w:rsidRPr="00BF0708">
              <w:rPr>
                <w:i/>
                <w:sz w:val="20"/>
                <w:lang w:val="fr-CA"/>
              </w:rPr>
              <w:t>Loi concernant la négociation d’ententes relatives à la réduction des coûts de main</w:t>
            </w:r>
            <w:r w:rsidRPr="00BF0708">
              <w:rPr>
                <w:i/>
                <w:sz w:val="20"/>
                <w:lang w:val="fr-CA"/>
              </w:rPr>
              <w:noBreakHyphen/>
              <w:t>d’œuvre dans le secteur municipal</w:t>
            </w:r>
            <w:r w:rsidRPr="00BF0708">
              <w:rPr>
                <w:sz w:val="20"/>
                <w:lang w:val="fr-CA"/>
              </w:rPr>
              <w:t>, L.Q. 1998, ch. 2.</w:t>
            </w:r>
          </w:p>
        </w:tc>
      </w:tr>
      <w:tr w:rsidR="00E42F15" w:rsidRPr="0028361F" w:rsidTr="00E42F15">
        <w:tc>
          <w:tcPr>
            <w:tcW w:w="5000" w:type="pct"/>
            <w:gridSpan w:val="3"/>
          </w:tcPr>
          <w:p w:rsidR="00E42F15" w:rsidRPr="00BF0708" w:rsidRDefault="00E42F15" w:rsidP="00E42F15">
            <w:pPr>
              <w:jc w:val="both"/>
              <w:rPr>
                <w:sz w:val="20"/>
                <w:lang w:val="fr-CA"/>
              </w:rPr>
            </w:pPr>
          </w:p>
        </w:tc>
      </w:tr>
      <w:tr w:rsidR="00E42F15" w:rsidRPr="0028361F" w:rsidTr="00E42F15">
        <w:tc>
          <w:tcPr>
            <w:tcW w:w="5000" w:type="pct"/>
            <w:gridSpan w:val="3"/>
          </w:tcPr>
          <w:p w:rsidR="00E42F15" w:rsidRPr="00BF0708" w:rsidRDefault="00E42F15" w:rsidP="00E42F15">
            <w:pPr>
              <w:jc w:val="both"/>
              <w:rPr>
                <w:sz w:val="20"/>
                <w:lang w:val="fr-CA"/>
              </w:rPr>
            </w:pPr>
            <w:r w:rsidRPr="00BF0708">
              <w:rPr>
                <w:sz w:val="20"/>
                <w:lang w:val="fr-CA"/>
              </w:rPr>
              <w:t>S’étant vue imposer l’obligation de réduire ses coûts de main</w:t>
            </w:r>
            <w:r w:rsidRPr="00BF0708">
              <w:rPr>
                <w:sz w:val="20"/>
                <w:lang w:val="fr-CA"/>
              </w:rPr>
              <w:noBreakHyphen/>
              <w:t xml:space="preserve">d’œuvre de 6% par la </w:t>
            </w:r>
            <w:r w:rsidRPr="00BF0708">
              <w:rPr>
                <w:i/>
                <w:sz w:val="20"/>
                <w:lang w:val="fr-CA"/>
              </w:rPr>
              <w:t>Loi concernant la négociation d’ententes relatives à la réduction des coûts de main</w:t>
            </w:r>
            <w:r w:rsidRPr="00BF0708">
              <w:rPr>
                <w:i/>
                <w:sz w:val="20"/>
                <w:lang w:val="fr-CA"/>
              </w:rPr>
              <w:noBreakHyphen/>
              <w:t>d’œuvre dans le secteur municipal</w:t>
            </w:r>
            <w:r w:rsidRPr="00BF0708">
              <w:rPr>
                <w:sz w:val="20"/>
                <w:lang w:val="fr-CA"/>
              </w:rPr>
              <w:t xml:space="preserve">, la Ville de Laval convient avec l’Association des pompiers de Laval d’adopter une double échelle salariale en fonction de la date d’embauche : la première applicable aux salariés en poste au 10 juin 1998 comporte 6 échelons qui sont à gravir en 55 mois; la seconde applicable à tous les salariés qui seront embauchés après le 10 juin 1998 comporte 9 échelons dont on atteint le sommet à compter du 73e mois. Les grilles salariales rattachées à cette seconde échelle sont moins avantageuses, bien que le salaire prévu au sommet des deux échelles soit le même. Selon la nouvelle échelle, les pompiers qui débutent reçoivent un salaire diminué de 5 250$. Tous les pompiers accomplissent le même travail, peu importe la date d’embauche et l’ancienneté. Cette double échelle salariale apparaît dans trois conventions collectives successives. S’estimant victimes d'une discrimination salariale fondée sur l'âge, 50 pompiers déposent des plaintes auprès de la Commission des droits de la personne et des droits de la jeunesse. La Commission donne raison aux plaignants, mais en l'absence d'un règlement amiable et à défaut par la Ville et l’Association de mettre en place les mesures de redressement qu’elle leur propose, la Commission porte l'affaire devant le Tribunal des droits de la personne. Preuve de statistiques à l’appui, la Commission allègue que la double échelle de traitement touche principalement les plus jeunes pompiers de 20 à 34 ans et qu’elle constitue ainsi une discrimination fondée sur l’âge en contravention des art. 10, 16 et 19 de la </w:t>
            </w:r>
            <w:r w:rsidRPr="00BF0708">
              <w:rPr>
                <w:i/>
                <w:sz w:val="20"/>
                <w:lang w:val="fr-CA"/>
              </w:rPr>
              <w:t>Charte</w:t>
            </w:r>
            <w:r w:rsidRPr="00BF0708">
              <w:rPr>
                <w:sz w:val="20"/>
                <w:lang w:val="fr-CA"/>
              </w:rPr>
              <w:t xml:space="preserve"> québécoise.</w:t>
            </w:r>
          </w:p>
          <w:p w:rsidR="00E42F15" w:rsidRPr="00BF0708" w:rsidRDefault="00E42F15" w:rsidP="00E42F15">
            <w:pPr>
              <w:jc w:val="both"/>
              <w:rPr>
                <w:sz w:val="20"/>
                <w:lang w:val="fr-CA"/>
              </w:rPr>
            </w:pPr>
          </w:p>
        </w:tc>
      </w:tr>
      <w:tr w:rsidR="00E42F15" w:rsidRPr="0028361F" w:rsidTr="00E42F15">
        <w:tc>
          <w:tcPr>
            <w:tcW w:w="2427" w:type="pct"/>
          </w:tcPr>
          <w:p w:rsidR="00E42F15" w:rsidRPr="00BF0708" w:rsidRDefault="00E42F15" w:rsidP="00E42F15">
            <w:pPr>
              <w:jc w:val="both"/>
              <w:rPr>
                <w:sz w:val="20"/>
                <w:lang w:val="fr-CA"/>
              </w:rPr>
            </w:pPr>
            <w:r w:rsidRPr="00BF0708">
              <w:rPr>
                <w:sz w:val="20"/>
                <w:lang w:val="fr-CA"/>
              </w:rPr>
              <w:t>Le 5 mars 2009</w:t>
            </w:r>
          </w:p>
          <w:p w:rsidR="00E42F15" w:rsidRPr="00BF0708" w:rsidRDefault="00E42F15" w:rsidP="00E42F15">
            <w:pPr>
              <w:jc w:val="both"/>
              <w:rPr>
                <w:sz w:val="20"/>
                <w:lang w:val="fr-CA"/>
              </w:rPr>
            </w:pPr>
            <w:r w:rsidRPr="00BF0708">
              <w:rPr>
                <w:sz w:val="20"/>
                <w:lang w:val="fr-CA"/>
              </w:rPr>
              <w:t>Tribunal des droits de la personne</w:t>
            </w:r>
          </w:p>
          <w:p w:rsidR="00E42F15" w:rsidRPr="00BF0708" w:rsidRDefault="00E42F15" w:rsidP="00E42F15">
            <w:pPr>
              <w:jc w:val="both"/>
              <w:rPr>
                <w:sz w:val="20"/>
                <w:lang w:val="fr-CA"/>
              </w:rPr>
            </w:pPr>
            <w:r w:rsidRPr="00BF0708">
              <w:rPr>
                <w:sz w:val="20"/>
                <w:lang w:val="fr-CA"/>
              </w:rPr>
              <w:t>(La juge Rivet, présidente)</w:t>
            </w:r>
          </w:p>
          <w:p w:rsidR="00E42F15" w:rsidRPr="00BF0708" w:rsidRDefault="00E42F15" w:rsidP="00E42F15">
            <w:pPr>
              <w:jc w:val="both"/>
              <w:rPr>
                <w:sz w:val="20"/>
                <w:lang w:val="fr-CA"/>
              </w:rPr>
            </w:pPr>
            <w:r w:rsidRPr="00BF0708">
              <w:rPr>
                <w:sz w:val="20"/>
                <w:lang w:val="fr-CA"/>
              </w:rPr>
              <w:t>Référence neutre : 2009 QCTDP 4</w:t>
            </w:r>
          </w:p>
          <w:p w:rsidR="00E42F15" w:rsidRPr="00BF0708" w:rsidRDefault="00E42F15" w:rsidP="00E42F15">
            <w:pPr>
              <w:jc w:val="both"/>
              <w:rPr>
                <w:sz w:val="20"/>
                <w:lang w:val="fr-CA"/>
              </w:rPr>
            </w:pPr>
          </w:p>
        </w:tc>
        <w:tc>
          <w:tcPr>
            <w:tcW w:w="243" w:type="pct"/>
          </w:tcPr>
          <w:p w:rsidR="00E42F15" w:rsidRPr="00BF0708" w:rsidRDefault="00E42F15" w:rsidP="00E42F15">
            <w:pPr>
              <w:jc w:val="both"/>
              <w:rPr>
                <w:sz w:val="20"/>
                <w:lang w:val="fr-CA"/>
              </w:rPr>
            </w:pPr>
          </w:p>
        </w:tc>
        <w:tc>
          <w:tcPr>
            <w:tcW w:w="2330" w:type="pct"/>
          </w:tcPr>
          <w:p w:rsidR="00E42F15" w:rsidRPr="00BF0708" w:rsidRDefault="00E42F15" w:rsidP="00E42F15">
            <w:pPr>
              <w:jc w:val="both"/>
              <w:rPr>
                <w:sz w:val="20"/>
                <w:lang w:val="fr-CA"/>
              </w:rPr>
            </w:pPr>
            <w:r w:rsidRPr="00BF0708">
              <w:rPr>
                <w:sz w:val="20"/>
                <w:lang w:val="fr-CA"/>
              </w:rPr>
              <w:t>Demande introductive d’instance de la Commission accueillie en partie : la Ville et l’Association sont condamnées solidairement au paiement de dommages</w:t>
            </w:r>
            <w:r w:rsidRPr="00BF0708">
              <w:rPr>
                <w:sz w:val="20"/>
                <w:lang w:val="fr-CA"/>
              </w:rPr>
              <w:noBreakHyphen/>
              <w:t>intérêts</w:t>
            </w:r>
          </w:p>
          <w:p w:rsidR="00E42F15" w:rsidRPr="00BF0708" w:rsidRDefault="00E42F15" w:rsidP="00E42F15">
            <w:pPr>
              <w:jc w:val="both"/>
              <w:rPr>
                <w:sz w:val="20"/>
                <w:lang w:val="fr-CA"/>
              </w:rPr>
            </w:pPr>
          </w:p>
        </w:tc>
      </w:tr>
      <w:tr w:rsidR="00E42F15" w:rsidRPr="0028361F" w:rsidTr="00E42F15">
        <w:tc>
          <w:tcPr>
            <w:tcW w:w="2427" w:type="pct"/>
          </w:tcPr>
          <w:p w:rsidR="00E42F15" w:rsidRPr="00BF0708" w:rsidRDefault="00E42F15" w:rsidP="00E42F15">
            <w:pPr>
              <w:jc w:val="both"/>
              <w:rPr>
                <w:sz w:val="20"/>
                <w:lang w:val="fr-CA"/>
              </w:rPr>
            </w:pPr>
            <w:r w:rsidRPr="00BF0708">
              <w:rPr>
                <w:sz w:val="20"/>
                <w:lang w:val="fr-CA"/>
              </w:rPr>
              <w:t>Le 3 novembre 2011</w:t>
            </w:r>
          </w:p>
          <w:p w:rsidR="00E42F15" w:rsidRPr="00BF0708" w:rsidRDefault="00E42F15" w:rsidP="00E42F15">
            <w:pPr>
              <w:jc w:val="both"/>
              <w:rPr>
                <w:sz w:val="20"/>
                <w:lang w:val="fr-CA"/>
              </w:rPr>
            </w:pPr>
            <w:r w:rsidRPr="00BF0708">
              <w:rPr>
                <w:sz w:val="20"/>
                <w:lang w:val="fr-CA"/>
              </w:rPr>
              <w:t>Cour d’appel du Québec (Montréal)</w:t>
            </w:r>
          </w:p>
          <w:p w:rsidR="00E42F15" w:rsidRPr="00BF0708" w:rsidRDefault="00E42F15" w:rsidP="00E42F15">
            <w:pPr>
              <w:jc w:val="both"/>
              <w:rPr>
                <w:sz w:val="20"/>
                <w:lang w:val="fr-CA"/>
              </w:rPr>
            </w:pPr>
            <w:r w:rsidRPr="00BF0708">
              <w:rPr>
                <w:sz w:val="20"/>
                <w:lang w:val="fr-CA"/>
              </w:rPr>
              <w:t>(Les juges Duval Hesler, Dalphond et Bich)</w:t>
            </w:r>
          </w:p>
          <w:p w:rsidR="00E42F15" w:rsidRPr="00BF0708" w:rsidRDefault="00E42F15" w:rsidP="00E42F15">
            <w:pPr>
              <w:jc w:val="both"/>
              <w:rPr>
                <w:sz w:val="20"/>
              </w:rPr>
            </w:pPr>
            <w:r w:rsidRPr="00BF0708">
              <w:rPr>
                <w:sz w:val="20"/>
              </w:rPr>
              <w:t>Référence neutre : 2011 QCCA 2041</w:t>
            </w:r>
          </w:p>
          <w:p w:rsidR="00E42F15" w:rsidRPr="00BF0708" w:rsidRDefault="00E42F15" w:rsidP="00E42F15">
            <w:pPr>
              <w:jc w:val="both"/>
              <w:rPr>
                <w:sz w:val="20"/>
                <w:lang w:val="fr-FR"/>
              </w:rPr>
            </w:pPr>
          </w:p>
        </w:tc>
        <w:tc>
          <w:tcPr>
            <w:tcW w:w="243" w:type="pct"/>
          </w:tcPr>
          <w:p w:rsidR="00E42F15" w:rsidRPr="00BF0708" w:rsidRDefault="00E42F15" w:rsidP="00E42F15">
            <w:pPr>
              <w:jc w:val="both"/>
              <w:rPr>
                <w:sz w:val="20"/>
                <w:lang w:val="fr-FR"/>
              </w:rPr>
            </w:pPr>
          </w:p>
        </w:tc>
        <w:tc>
          <w:tcPr>
            <w:tcW w:w="2330" w:type="pct"/>
          </w:tcPr>
          <w:p w:rsidR="00E42F15" w:rsidRPr="00BF0708" w:rsidRDefault="00E42F15" w:rsidP="00E42F15">
            <w:pPr>
              <w:jc w:val="both"/>
              <w:rPr>
                <w:sz w:val="20"/>
                <w:lang w:val="fr-CA"/>
              </w:rPr>
            </w:pPr>
            <w:r w:rsidRPr="00BF0708">
              <w:rPr>
                <w:sz w:val="20"/>
                <w:lang w:val="fr-CA"/>
              </w:rPr>
              <w:t>Appels de la Ville et de l’Association accueillis et appels incidents de la Commission rejetés</w:t>
            </w:r>
          </w:p>
        </w:tc>
      </w:tr>
      <w:tr w:rsidR="00E42F15" w:rsidRPr="00BF0708" w:rsidTr="00E42F15">
        <w:tc>
          <w:tcPr>
            <w:tcW w:w="2427" w:type="pct"/>
          </w:tcPr>
          <w:p w:rsidR="00E42F15" w:rsidRPr="00BF0708" w:rsidRDefault="00E42F15" w:rsidP="00E42F15">
            <w:pPr>
              <w:jc w:val="both"/>
              <w:rPr>
                <w:sz w:val="20"/>
                <w:lang w:val="fr-CA"/>
              </w:rPr>
            </w:pPr>
            <w:r w:rsidRPr="00BF0708">
              <w:rPr>
                <w:sz w:val="20"/>
                <w:lang w:val="fr-CA"/>
              </w:rPr>
              <w:t>Le 21 décembre 2011</w:t>
            </w:r>
          </w:p>
          <w:p w:rsidR="00E42F15" w:rsidRPr="00BF0708" w:rsidRDefault="00E42F15" w:rsidP="00E42F15">
            <w:pPr>
              <w:jc w:val="both"/>
              <w:rPr>
                <w:sz w:val="20"/>
                <w:lang w:val="fr-FR"/>
              </w:rPr>
            </w:pPr>
            <w:r w:rsidRPr="00BF0708">
              <w:rPr>
                <w:sz w:val="20"/>
                <w:lang w:val="fr-CA"/>
              </w:rPr>
              <w:t>Cour suprême du Canada</w:t>
            </w:r>
          </w:p>
        </w:tc>
        <w:tc>
          <w:tcPr>
            <w:tcW w:w="243" w:type="pct"/>
          </w:tcPr>
          <w:p w:rsidR="00E42F15" w:rsidRPr="00BF0708" w:rsidRDefault="00E42F15" w:rsidP="00E42F15">
            <w:pPr>
              <w:jc w:val="both"/>
              <w:rPr>
                <w:sz w:val="20"/>
                <w:lang w:val="fr-FR"/>
              </w:rPr>
            </w:pPr>
          </w:p>
        </w:tc>
        <w:tc>
          <w:tcPr>
            <w:tcW w:w="2330" w:type="pct"/>
          </w:tcPr>
          <w:p w:rsidR="00E42F15" w:rsidRPr="00BF0708" w:rsidRDefault="00E42F15" w:rsidP="00E42F15">
            <w:pPr>
              <w:jc w:val="both"/>
              <w:rPr>
                <w:sz w:val="20"/>
              </w:rPr>
            </w:pPr>
            <w:r w:rsidRPr="00BF0708">
              <w:rPr>
                <w:sz w:val="20"/>
              </w:rPr>
              <w:t>Demande d'autorisation d'appel déposée</w:t>
            </w:r>
          </w:p>
          <w:p w:rsidR="00E42F15" w:rsidRPr="00BF0708" w:rsidRDefault="00E42F15" w:rsidP="00E42F15">
            <w:pPr>
              <w:jc w:val="both"/>
              <w:rPr>
                <w:sz w:val="20"/>
              </w:rPr>
            </w:pP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51" style="width:2in;height:1pt" o:hrpct="0" o:hralign="center" o:hrstd="t" o:hrnoshade="t" o:hr="t" fillcolor="black [3213]" stroked="f"/>
        </w:pict>
      </w:r>
    </w:p>
    <w:p w:rsidR="00FD4A4B" w:rsidRDefault="00FD4A4B" w:rsidP="00FD4A4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86921" w:rsidRPr="0028361F" w:rsidTr="003B5095">
        <w:trPr>
          <w:cantSplit/>
        </w:trPr>
        <w:tc>
          <w:tcPr>
            <w:tcW w:w="1458" w:type="dxa"/>
          </w:tcPr>
          <w:p w:rsidR="00C86921" w:rsidRPr="00604254" w:rsidRDefault="00C86921" w:rsidP="003B5095">
            <w:pPr>
              <w:rPr>
                <w:sz w:val="20"/>
                <w:szCs w:val="20"/>
              </w:rPr>
            </w:pPr>
            <w:r w:rsidRPr="00604254">
              <w:rPr>
                <w:rStyle w:val="SCCFileNumberChar"/>
                <w:sz w:val="20"/>
                <w:szCs w:val="20"/>
              </w:rPr>
              <w:t>34617</w:t>
            </w:r>
          </w:p>
          <w:p w:rsidR="00C86921" w:rsidRPr="00604254" w:rsidRDefault="00C86921" w:rsidP="003B5095">
            <w:pPr>
              <w:rPr>
                <w:b/>
                <w:sz w:val="20"/>
                <w:szCs w:val="20"/>
                <w:lang w:val="fr-CA"/>
              </w:rPr>
            </w:pPr>
          </w:p>
        </w:tc>
        <w:tc>
          <w:tcPr>
            <w:tcW w:w="8118" w:type="dxa"/>
          </w:tcPr>
          <w:p w:rsidR="00C86921" w:rsidRPr="00604254" w:rsidRDefault="00C86921" w:rsidP="003B5095">
            <w:pPr>
              <w:jc w:val="both"/>
              <w:rPr>
                <w:sz w:val="20"/>
                <w:szCs w:val="20"/>
                <w:lang w:val="fr-CA"/>
              </w:rPr>
            </w:pPr>
            <w:r w:rsidRPr="00604254">
              <w:rPr>
                <w:rStyle w:val="SCCLsocChar"/>
                <w:sz w:val="20"/>
                <w:szCs w:val="20"/>
              </w:rPr>
              <w:t>Samsung Electronics Co., Ltd., Samsung Semiconductor Inc. c. Option Consommateurs</w:t>
            </w:r>
            <w:r>
              <w:rPr>
                <w:rStyle w:val="SCCLsocChar"/>
                <w:sz w:val="20"/>
                <w:szCs w:val="20"/>
              </w:rPr>
              <w:t xml:space="preserve"> et</w:t>
            </w:r>
            <w:r w:rsidRPr="00604254">
              <w:rPr>
                <w:rStyle w:val="SCCLsocChar"/>
                <w:sz w:val="20"/>
                <w:szCs w:val="20"/>
              </w:rPr>
              <w:t xml:space="preserve"> Claudette Cloutier ET ENTRE Hynix Semiconductor Inc. c. Option Consommateurs</w:t>
            </w:r>
            <w:r>
              <w:rPr>
                <w:rStyle w:val="SCCLsocChar"/>
                <w:sz w:val="20"/>
                <w:szCs w:val="20"/>
              </w:rPr>
              <w:t xml:space="preserve"> et</w:t>
            </w:r>
            <w:r w:rsidRPr="00604254">
              <w:rPr>
                <w:rStyle w:val="SCCLsocChar"/>
                <w:sz w:val="20"/>
                <w:szCs w:val="20"/>
              </w:rPr>
              <w:t xml:space="preserve"> Claudette Cloutier ET ENTRE Infineon Technologies AG</w:t>
            </w:r>
            <w:r>
              <w:rPr>
                <w:rStyle w:val="SCCLsocChar"/>
                <w:sz w:val="20"/>
                <w:szCs w:val="20"/>
              </w:rPr>
              <w:t xml:space="preserve"> et</w:t>
            </w:r>
            <w:r w:rsidRPr="00604254">
              <w:rPr>
                <w:rStyle w:val="SCCLsocChar"/>
                <w:sz w:val="20"/>
                <w:szCs w:val="20"/>
              </w:rPr>
              <w:t xml:space="preserve"> Infineon Technologies North America Corp. c. Option Consommateurs</w:t>
            </w:r>
            <w:r>
              <w:rPr>
                <w:rStyle w:val="SCCLsocChar"/>
                <w:sz w:val="20"/>
                <w:szCs w:val="20"/>
              </w:rPr>
              <w:t xml:space="preserve"> et</w:t>
            </w:r>
            <w:r w:rsidRPr="00604254">
              <w:rPr>
                <w:rStyle w:val="SCCLsocChar"/>
                <w:sz w:val="20"/>
                <w:szCs w:val="20"/>
              </w:rPr>
              <w:t xml:space="preserve"> Claudette Cloutier ET ENTRE Micron Technology, Inc. c. Option Consommateurs</w:t>
            </w:r>
            <w:r>
              <w:rPr>
                <w:rStyle w:val="SCCLsocChar"/>
                <w:sz w:val="20"/>
                <w:szCs w:val="20"/>
              </w:rPr>
              <w:t xml:space="preserve"> et</w:t>
            </w:r>
            <w:r w:rsidRPr="00604254">
              <w:rPr>
                <w:rStyle w:val="SCCLsocChar"/>
                <w:sz w:val="20"/>
                <w:szCs w:val="20"/>
              </w:rPr>
              <w:t xml:space="preserve"> Claudette Cloutier</w:t>
            </w:r>
            <w:r w:rsidRPr="00604254">
              <w:rPr>
                <w:sz w:val="20"/>
                <w:szCs w:val="20"/>
                <w:lang w:val="fr-CA"/>
              </w:rPr>
              <w:t xml:space="preserve"> (Qc) (Civile) (Autorisation)</w:t>
            </w:r>
          </w:p>
          <w:p w:rsidR="00C86921" w:rsidRPr="00604254" w:rsidRDefault="00C86921" w:rsidP="003B5095">
            <w:pPr>
              <w:jc w:val="both"/>
              <w:rPr>
                <w:sz w:val="20"/>
                <w:szCs w:val="20"/>
                <w:lang w:val="fr-CA"/>
              </w:rPr>
            </w:pPr>
          </w:p>
        </w:tc>
      </w:tr>
      <w:tr w:rsidR="00C86921" w:rsidRPr="0028361F" w:rsidTr="003B5095">
        <w:trPr>
          <w:cantSplit/>
        </w:trPr>
        <w:tc>
          <w:tcPr>
            <w:tcW w:w="1458" w:type="dxa"/>
          </w:tcPr>
          <w:p w:rsidR="00C86921" w:rsidRPr="00604254" w:rsidRDefault="00C86921" w:rsidP="003B5095">
            <w:pPr>
              <w:rPr>
                <w:sz w:val="20"/>
                <w:szCs w:val="20"/>
              </w:rPr>
            </w:pPr>
            <w:r w:rsidRPr="00604254">
              <w:rPr>
                <w:sz w:val="20"/>
                <w:szCs w:val="20"/>
              </w:rPr>
              <w:t>Coram :</w:t>
            </w:r>
          </w:p>
        </w:tc>
        <w:tc>
          <w:tcPr>
            <w:tcW w:w="8118" w:type="dxa"/>
          </w:tcPr>
          <w:p w:rsidR="00C86921" w:rsidRPr="00604254" w:rsidRDefault="00C86921" w:rsidP="003B5095">
            <w:pPr>
              <w:rPr>
                <w:sz w:val="20"/>
                <w:szCs w:val="20"/>
                <w:lang w:val="fr-CA"/>
              </w:rPr>
            </w:pPr>
            <w:r w:rsidRPr="00604254">
              <w:rPr>
                <w:rStyle w:val="SCCCoramChar"/>
                <w:sz w:val="20"/>
                <w:szCs w:val="20"/>
              </w:rPr>
              <w:t>Les juges LeBel, Fish et Cromwell</w:t>
            </w:r>
          </w:p>
          <w:p w:rsidR="00C86921" w:rsidRPr="00604254" w:rsidRDefault="00C86921" w:rsidP="003B5095">
            <w:pPr>
              <w:rPr>
                <w:sz w:val="20"/>
                <w:szCs w:val="20"/>
                <w:u w:val="single"/>
                <w:lang w:val="fr-CA"/>
              </w:rPr>
            </w:pPr>
          </w:p>
        </w:tc>
      </w:tr>
      <w:tr w:rsidR="00C86921" w:rsidRPr="00604254" w:rsidTr="003B5095">
        <w:trPr>
          <w:cantSplit/>
        </w:trPr>
        <w:tc>
          <w:tcPr>
            <w:tcW w:w="9576" w:type="dxa"/>
            <w:gridSpan w:val="2"/>
          </w:tcPr>
          <w:p w:rsidR="00C86921" w:rsidRPr="00604254" w:rsidRDefault="00C86921" w:rsidP="003B5095">
            <w:pPr>
              <w:pStyle w:val="SCCShortJudgment"/>
              <w:rPr>
                <w:szCs w:val="20"/>
              </w:rPr>
            </w:pPr>
            <w:r w:rsidRPr="00604254">
              <w:rPr>
                <w:szCs w:val="20"/>
                <w:lang w:val="fr-CA"/>
              </w:rPr>
              <w:lastRenderedPageBreak/>
              <w:t xml:space="preserve">La requête visant à accélérer la procédure des demandes d’autorisation d’appel est accueillie. Les demandes d’autorisation d’appel de l’arrêt de la Cour d’appel du Québec (Montréal), numéro 500-09-018872-085, 2011 QCCA 2116, daté du 16 novembre 2011, sont accueillies avec dépens suivant l’issue de la cause. Ces appels seront entendus avec </w:t>
            </w:r>
            <w:r w:rsidRPr="00E61070">
              <w:rPr>
                <w:i/>
                <w:szCs w:val="20"/>
                <w:lang w:val="fr-CA"/>
              </w:rPr>
              <w:t>Pro-Sys Consultants Ltd., et al. c. Microsoft Corporation, et al.</w:t>
            </w:r>
            <w:r w:rsidRPr="00604254">
              <w:rPr>
                <w:szCs w:val="20"/>
                <w:lang w:val="fr-CA"/>
              </w:rPr>
              <w:t xml:space="preserve"> (34282) et </w:t>
            </w:r>
            <w:r w:rsidRPr="00E61070">
              <w:rPr>
                <w:i/>
                <w:szCs w:val="20"/>
                <w:lang w:val="fr-CA"/>
              </w:rPr>
              <w:t>Sun-Rype Products Ltd., et al. c. Archer Daniels Midland Company, et al.</w:t>
            </w:r>
            <w:r w:rsidRPr="00604254">
              <w:rPr>
                <w:szCs w:val="20"/>
                <w:lang w:val="fr-CA"/>
              </w:rPr>
              <w:t xml:space="preserve"> </w:t>
            </w:r>
            <w:r w:rsidRPr="00604254">
              <w:rPr>
                <w:szCs w:val="20"/>
              </w:rPr>
              <w:t>(34283).</w:t>
            </w:r>
          </w:p>
          <w:p w:rsidR="00C86921" w:rsidRPr="00604254" w:rsidRDefault="00C86921" w:rsidP="003B5095">
            <w:pPr>
              <w:pStyle w:val="SCCShortJudgment"/>
              <w:ind w:firstLine="0"/>
              <w:rPr>
                <w:szCs w:val="20"/>
              </w:rPr>
            </w:pPr>
          </w:p>
          <w:p w:rsidR="00C86921" w:rsidRPr="00604254" w:rsidRDefault="00C86921" w:rsidP="003B5095">
            <w:pPr>
              <w:pStyle w:val="SCCShortJudgment"/>
              <w:rPr>
                <w:szCs w:val="20"/>
              </w:rPr>
            </w:pPr>
            <w:r w:rsidRPr="00604254">
              <w:rPr>
                <w:szCs w:val="20"/>
              </w:rPr>
              <w:t xml:space="preserve">The motion to expedite the applications for leave to appeal is granted. The applications for leave to appeal from the judgment of the Court of Appeal of Quebec (Montréal), Number 500-09-018872-085, 2011 QCCA 2116, dated November 16, 2011, are granted with costs in the cause. These appeals are to be heard with </w:t>
            </w:r>
            <w:r w:rsidRPr="00E61070">
              <w:rPr>
                <w:i/>
                <w:szCs w:val="20"/>
              </w:rPr>
              <w:t>Pro-Sys Consultants Ltd., et al. v. Microsoft Corporation, et al.</w:t>
            </w:r>
            <w:r w:rsidRPr="00604254">
              <w:rPr>
                <w:szCs w:val="20"/>
              </w:rPr>
              <w:t xml:space="preserve"> (34282) and </w:t>
            </w:r>
            <w:r w:rsidRPr="00E61070">
              <w:rPr>
                <w:i/>
                <w:szCs w:val="20"/>
              </w:rPr>
              <w:t>Sun-Rype Products Ltd., et al. v. Archer Daniels Midland Company, et al.</w:t>
            </w:r>
            <w:r w:rsidRPr="00604254">
              <w:rPr>
                <w:szCs w:val="20"/>
              </w:rPr>
              <w:t xml:space="preserve"> (34283).</w:t>
            </w:r>
          </w:p>
        </w:tc>
      </w:tr>
    </w:tbl>
    <w:p w:rsidR="00FD4A4B" w:rsidRPr="00FD4A4B" w:rsidRDefault="00FD4A4B" w:rsidP="00FD4A4B">
      <w:pPr>
        <w:rPr>
          <w:sz w:val="20"/>
          <w:szCs w:val="20"/>
          <w:lang w:val="fr-CA"/>
        </w:rPr>
      </w:pPr>
    </w:p>
    <w:p w:rsidR="00FD4A4B" w:rsidRPr="001B157C" w:rsidRDefault="00FD4A4B" w:rsidP="00FD4A4B">
      <w:pPr>
        <w:rPr>
          <w:sz w:val="20"/>
          <w:szCs w:val="20"/>
          <w:u w:val="single"/>
        </w:rPr>
      </w:pPr>
      <w:r w:rsidRPr="001B157C">
        <w:rPr>
          <w:sz w:val="20"/>
          <w:szCs w:val="20"/>
          <w:u w:val="single"/>
        </w:rPr>
        <w:t>CASE SUMMARY</w:t>
      </w:r>
    </w:p>
    <w:p w:rsidR="00FD4A4B" w:rsidRDefault="00FD4A4B" w:rsidP="00FD4A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42F15" w:rsidRPr="00BF0708" w:rsidTr="00E42F15">
        <w:tc>
          <w:tcPr>
            <w:tcW w:w="5000" w:type="pct"/>
            <w:gridSpan w:val="3"/>
          </w:tcPr>
          <w:p w:rsidR="00E42F15" w:rsidRPr="00BF0708" w:rsidRDefault="00E42F15" w:rsidP="00E42F15">
            <w:pPr>
              <w:jc w:val="both"/>
              <w:rPr>
                <w:rFonts w:eastAsia="Calibri"/>
                <w:sz w:val="20"/>
              </w:rPr>
            </w:pPr>
            <w:r w:rsidRPr="00BF0708">
              <w:rPr>
                <w:rFonts w:eastAsia="Calibri"/>
                <w:sz w:val="20"/>
              </w:rPr>
              <w:t xml:space="preserve">Civil procedure </w:t>
            </w:r>
            <w:r w:rsidRPr="00BF0708">
              <w:rPr>
                <w:rFonts w:eastAsia="Calibri"/>
                <w:sz w:val="20"/>
              </w:rPr>
              <w:noBreakHyphen/>
              <w:t xml:space="preserve"> Class actions </w:t>
            </w:r>
            <w:r w:rsidRPr="00BF0708">
              <w:rPr>
                <w:rFonts w:eastAsia="Calibri"/>
                <w:sz w:val="20"/>
              </w:rPr>
              <w:noBreakHyphen/>
              <w:t xml:space="preserve"> Prior authorization </w:t>
            </w:r>
            <w:r w:rsidRPr="00BF0708">
              <w:rPr>
                <w:rFonts w:eastAsia="Calibri"/>
                <w:sz w:val="20"/>
              </w:rPr>
              <w:noBreakHyphen/>
              <w:t xml:space="preserve"> Conditions for instituting action </w:t>
            </w:r>
            <w:r w:rsidRPr="00BF0708">
              <w:rPr>
                <w:rFonts w:eastAsia="Calibri"/>
                <w:sz w:val="20"/>
              </w:rPr>
              <w:noBreakHyphen/>
              <w:t xml:space="preserve"> Cause of action </w:t>
            </w:r>
            <w:r w:rsidRPr="00BF0708">
              <w:rPr>
                <w:rFonts w:eastAsia="Calibri"/>
                <w:sz w:val="20"/>
              </w:rPr>
              <w:noBreakHyphen/>
              <w:t xml:space="preserve"> Violation of </w:t>
            </w:r>
            <w:r w:rsidRPr="00BF0708">
              <w:rPr>
                <w:rFonts w:eastAsia="Calibri"/>
                <w:i/>
                <w:sz w:val="20"/>
              </w:rPr>
              <w:t>Competition Act</w:t>
            </w:r>
            <w:r w:rsidRPr="00BF0708">
              <w:rPr>
                <w:rFonts w:eastAsia="Calibri"/>
                <w:sz w:val="20"/>
              </w:rPr>
              <w:t>, R.S.C. 1985, c. C</w:t>
            </w:r>
            <w:r w:rsidRPr="00BF0708">
              <w:rPr>
                <w:rFonts w:eastAsia="Calibri"/>
                <w:sz w:val="20"/>
              </w:rPr>
              <w:noBreakHyphen/>
              <w:t>34 </w:t>
            </w:r>
            <w:r w:rsidRPr="00BF0708">
              <w:rPr>
                <w:rFonts w:eastAsia="Calibri"/>
                <w:sz w:val="20"/>
              </w:rPr>
              <w:noBreakHyphen/>
              <w:t xml:space="preserve"> “Passing</w:t>
            </w:r>
            <w:r w:rsidRPr="00BF0708">
              <w:rPr>
                <w:rFonts w:eastAsia="Calibri"/>
                <w:sz w:val="20"/>
              </w:rPr>
              <w:noBreakHyphen/>
              <w:t xml:space="preserve">on” </w:t>
            </w:r>
            <w:r w:rsidRPr="00BF0708">
              <w:rPr>
                <w:rFonts w:eastAsia="Calibri"/>
                <w:sz w:val="20"/>
              </w:rPr>
              <w:noBreakHyphen/>
              <w:t xml:space="preserve"> Territorial jurisdiction </w:t>
            </w:r>
            <w:r w:rsidRPr="00BF0708">
              <w:rPr>
                <w:rFonts w:eastAsia="Calibri"/>
                <w:sz w:val="20"/>
              </w:rPr>
              <w:noBreakHyphen/>
              <w:t xml:space="preserve"> Class action authorized for direct and indirect purchasers in Quebec based on purchase of product manufactured in United States </w:t>
            </w:r>
            <w:r w:rsidRPr="00BF0708">
              <w:rPr>
                <w:rFonts w:eastAsia="Calibri"/>
                <w:sz w:val="20"/>
              </w:rPr>
              <w:noBreakHyphen/>
              <w:t xml:space="preserve"> Whether indirect purchasers in Quebec entitled to sue to recover price increase resulting from anti</w:t>
            </w:r>
            <w:r w:rsidRPr="00BF0708">
              <w:rPr>
                <w:rFonts w:eastAsia="Calibri"/>
                <w:sz w:val="20"/>
              </w:rPr>
              <w:noBreakHyphen/>
              <w:t xml:space="preserve">competitive behaviour and whether Court of Appeal could authorize class action in circumstances </w:t>
            </w:r>
            <w:r w:rsidRPr="00BF0708">
              <w:rPr>
                <w:rFonts w:eastAsia="Calibri"/>
                <w:sz w:val="20"/>
              </w:rPr>
              <w:noBreakHyphen/>
              <w:t xml:space="preserve"> Whether existence of strictly economic damage suffered by Quebec resident is sufficient to give Quebec courts jurisdiction under art. 3148(3) of </w:t>
            </w:r>
            <w:r w:rsidRPr="00BF0708">
              <w:rPr>
                <w:rFonts w:eastAsia="Calibri"/>
                <w:i/>
                <w:sz w:val="20"/>
              </w:rPr>
              <w:t>Civil Code of Québec</w:t>
            </w:r>
            <w:r w:rsidRPr="00BF0708">
              <w:rPr>
                <w:rFonts w:eastAsia="Calibri"/>
                <w:sz w:val="20"/>
              </w:rPr>
              <w:t>.</w:t>
            </w:r>
          </w:p>
        </w:tc>
      </w:tr>
      <w:tr w:rsidR="00E42F15" w:rsidRPr="00BF0708" w:rsidTr="00E42F15">
        <w:tc>
          <w:tcPr>
            <w:tcW w:w="5000" w:type="pct"/>
            <w:gridSpan w:val="3"/>
          </w:tcPr>
          <w:p w:rsidR="00E42F15" w:rsidRPr="00BF0708" w:rsidRDefault="00E42F15" w:rsidP="00E42F15">
            <w:pPr>
              <w:jc w:val="both"/>
              <w:rPr>
                <w:rFonts w:eastAsia="Calibri"/>
                <w:sz w:val="20"/>
              </w:rPr>
            </w:pPr>
          </w:p>
        </w:tc>
      </w:tr>
      <w:tr w:rsidR="00E42F15" w:rsidRPr="00BF0708" w:rsidTr="00E42F15">
        <w:tc>
          <w:tcPr>
            <w:tcW w:w="5000" w:type="pct"/>
            <w:gridSpan w:val="3"/>
          </w:tcPr>
          <w:p w:rsidR="00E42F15" w:rsidRPr="00BF0708" w:rsidRDefault="00E42F15" w:rsidP="00E42F15">
            <w:pPr>
              <w:jc w:val="both"/>
              <w:rPr>
                <w:rFonts w:eastAsia="Calibri"/>
                <w:sz w:val="20"/>
              </w:rPr>
            </w:pPr>
            <w:r w:rsidRPr="00BF0708">
              <w:rPr>
                <w:rFonts w:eastAsia="Calibri"/>
                <w:sz w:val="20"/>
              </w:rPr>
              <w:t>The four applicants are companies that manufacture electronic components, including Dynamic Random Access Memory (DRAM).  In 2004, they pleaded guilty in the United States to charges of conspiring to restrict competition in the sale of DRAM.  Direct purchasers (businesses </w:t>
            </w:r>
            <w:r w:rsidRPr="00BF0708">
              <w:rPr>
                <w:rFonts w:eastAsia="Calibri"/>
                <w:sz w:val="20"/>
              </w:rPr>
              <w:noBreakHyphen/>
              <w:t xml:space="preserve"> manufacturers and/or retailers of computers and other devices equipped with DRAM) and indirect purchasers (consumers of computers and other devices equipped with DRAM) in Quebec filed a motion for authorization to institute a class action against the applicants.  The purchasers argued that the applicants had artificially inflated the price of DRAM and devices equipped with DRAM through their anti</w:t>
            </w:r>
            <w:r w:rsidRPr="00BF0708">
              <w:rPr>
                <w:rFonts w:eastAsia="Calibri"/>
                <w:sz w:val="20"/>
              </w:rPr>
              <w:noBreakHyphen/>
              <w:t>competitive behaviour in the United States, that indirect purchasers in Quebec had paid a high price for DRAM and that direct purchasers had transferred that inflated price to indirect purchasers in Quebec.  The Quebec Superior Court dismissed the motion, refused to authorize the class action and declared that it did not have the necessary jurisdiction to hear such an action.  The Quebec Court of Appeal set aside that judgement and authorized the bringing of the proposed class action.</w:t>
            </w:r>
          </w:p>
          <w:p w:rsidR="00E42F15" w:rsidRPr="00BF0708" w:rsidRDefault="00E42F15" w:rsidP="00E42F15">
            <w:pPr>
              <w:jc w:val="both"/>
              <w:rPr>
                <w:rFonts w:eastAsia="Calibri"/>
                <w:sz w:val="20"/>
              </w:rPr>
            </w:pPr>
          </w:p>
        </w:tc>
      </w:tr>
      <w:tr w:rsidR="00E42F15" w:rsidRPr="00BF0708" w:rsidTr="00E42F15">
        <w:tc>
          <w:tcPr>
            <w:tcW w:w="2427" w:type="pct"/>
          </w:tcPr>
          <w:p w:rsidR="00E42F15" w:rsidRPr="00BF0708" w:rsidRDefault="00E42F15" w:rsidP="00E42F15">
            <w:pPr>
              <w:jc w:val="both"/>
              <w:rPr>
                <w:rFonts w:eastAsia="Calibri"/>
                <w:sz w:val="20"/>
              </w:rPr>
            </w:pPr>
            <w:r w:rsidRPr="00BF0708">
              <w:rPr>
                <w:rFonts w:eastAsia="Calibri"/>
                <w:sz w:val="20"/>
              </w:rPr>
              <w:t>June 17, 2008</w:t>
            </w:r>
          </w:p>
          <w:p w:rsidR="00E42F15" w:rsidRPr="00BF0708" w:rsidRDefault="00E42F15" w:rsidP="00E42F15">
            <w:pPr>
              <w:jc w:val="both"/>
              <w:rPr>
                <w:rFonts w:eastAsia="Calibri"/>
                <w:sz w:val="20"/>
              </w:rPr>
            </w:pPr>
            <w:r w:rsidRPr="00BF0708">
              <w:rPr>
                <w:rFonts w:eastAsia="Calibri"/>
                <w:sz w:val="20"/>
              </w:rPr>
              <w:t>Quebec Superior Court</w:t>
            </w:r>
          </w:p>
          <w:p w:rsidR="00E42F15" w:rsidRPr="00BF0708" w:rsidRDefault="00E42F15" w:rsidP="00E42F15">
            <w:pPr>
              <w:jc w:val="both"/>
              <w:rPr>
                <w:rFonts w:eastAsia="Calibri"/>
                <w:sz w:val="20"/>
              </w:rPr>
            </w:pPr>
            <w:r w:rsidRPr="00BF0708">
              <w:rPr>
                <w:rFonts w:eastAsia="Calibri"/>
                <w:sz w:val="20"/>
              </w:rPr>
              <w:t>(Mongeau J.)</w:t>
            </w:r>
          </w:p>
          <w:p w:rsidR="00E42F15" w:rsidRPr="00BF0708" w:rsidRDefault="00E42F15" w:rsidP="00E42F15">
            <w:pPr>
              <w:jc w:val="both"/>
              <w:rPr>
                <w:rFonts w:eastAsia="Calibri"/>
                <w:sz w:val="20"/>
              </w:rPr>
            </w:pPr>
            <w:r w:rsidRPr="00BF0708">
              <w:rPr>
                <w:rFonts w:eastAsia="Calibri"/>
                <w:sz w:val="20"/>
              </w:rPr>
              <w:t>2008 QCCS 2781</w:t>
            </w:r>
          </w:p>
          <w:p w:rsidR="00E42F15" w:rsidRPr="00BF0708" w:rsidRDefault="00E42F15" w:rsidP="00E42F15">
            <w:pPr>
              <w:jc w:val="both"/>
              <w:rPr>
                <w:rFonts w:eastAsia="Calibri"/>
                <w:sz w:val="20"/>
              </w:rPr>
            </w:pPr>
          </w:p>
        </w:tc>
        <w:tc>
          <w:tcPr>
            <w:tcW w:w="243" w:type="pct"/>
          </w:tcPr>
          <w:p w:rsidR="00E42F15" w:rsidRPr="00BF0708" w:rsidRDefault="00E42F15" w:rsidP="00E42F15">
            <w:pPr>
              <w:jc w:val="both"/>
              <w:rPr>
                <w:rFonts w:eastAsia="Calibri"/>
                <w:sz w:val="20"/>
              </w:rPr>
            </w:pPr>
          </w:p>
        </w:tc>
        <w:tc>
          <w:tcPr>
            <w:tcW w:w="2330" w:type="pct"/>
          </w:tcPr>
          <w:p w:rsidR="00E42F15" w:rsidRPr="00BF0708" w:rsidRDefault="00E42F15" w:rsidP="00E42F15">
            <w:pPr>
              <w:jc w:val="both"/>
              <w:rPr>
                <w:rFonts w:eastAsia="Calibri"/>
                <w:sz w:val="20"/>
              </w:rPr>
            </w:pPr>
            <w:r w:rsidRPr="00BF0708">
              <w:rPr>
                <w:rFonts w:eastAsia="Calibri"/>
                <w:sz w:val="20"/>
              </w:rPr>
              <w:t>Motion for authorization to institute class action dismissed; Quebec Superior Court declaring that it had no jurisdiction to hear class action</w:t>
            </w:r>
          </w:p>
          <w:p w:rsidR="00E42F15" w:rsidRPr="00BF0708" w:rsidRDefault="00E42F15" w:rsidP="00E42F15">
            <w:pPr>
              <w:jc w:val="both"/>
              <w:rPr>
                <w:rFonts w:eastAsia="Calibri"/>
                <w:sz w:val="20"/>
              </w:rPr>
            </w:pPr>
          </w:p>
        </w:tc>
      </w:tr>
      <w:tr w:rsidR="00E42F15" w:rsidRPr="00BF0708" w:rsidTr="00E61070">
        <w:trPr>
          <w:cantSplit/>
        </w:trPr>
        <w:tc>
          <w:tcPr>
            <w:tcW w:w="2427" w:type="pct"/>
          </w:tcPr>
          <w:p w:rsidR="00E42F15" w:rsidRPr="00BF0708" w:rsidRDefault="00E42F15" w:rsidP="00E42F15">
            <w:pPr>
              <w:jc w:val="both"/>
              <w:rPr>
                <w:rFonts w:eastAsia="Calibri"/>
                <w:sz w:val="20"/>
              </w:rPr>
            </w:pPr>
            <w:r w:rsidRPr="00BF0708">
              <w:rPr>
                <w:rFonts w:eastAsia="Calibri"/>
                <w:sz w:val="20"/>
              </w:rPr>
              <w:t>November 16, 2011</w:t>
            </w:r>
          </w:p>
          <w:p w:rsidR="00E42F15" w:rsidRPr="00BF0708" w:rsidRDefault="00E42F15" w:rsidP="00E42F15">
            <w:pPr>
              <w:jc w:val="both"/>
              <w:rPr>
                <w:rFonts w:eastAsia="Calibri"/>
                <w:sz w:val="20"/>
              </w:rPr>
            </w:pPr>
            <w:r w:rsidRPr="00BF0708">
              <w:rPr>
                <w:rFonts w:eastAsia="Calibri"/>
                <w:sz w:val="20"/>
              </w:rPr>
              <w:t>Quebec Court of Appeal (Montréal)</w:t>
            </w:r>
          </w:p>
          <w:p w:rsidR="00E42F15" w:rsidRPr="00BF0708" w:rsidRDefault="00E42F15" w:rsidP="00E42F15">
            <w:pPr>
              <w:jc w:val="both"/>
              <w:rPr>
                <w:rFonts w:eastAsia="Calibri"/>
                <w:sz w:val="20"/>
              </w:rPr>
            </w:pPr>
            <w:r w:rsidRPr="00BF0708">
              <w:rPr>
                <w:rFonts w:eastAsia="Calibri"/>
                <w:sz w:val="20"/>
              </w:rPr>
              <w:t>(Forget, Pelletier and Kasirer JJ.A.)</w:t>
            </w:r>
          </w:p>
          <w:p w:rsidR="00E42F15" w:rsidRPr="00BF0708" w:rsidRDefault="00E42F15" w:rsidP="00E42F15">
            <w:pPr>
              <w:jc w:val="both"/>
              <w:rPr>
                <w:rFonts w:eastAsia="Calibri"/>
                <w:sz w:val="20"/>
              </w:rPr>
            </w:pPr>
            <w:r w:rsidRPr="00BF0708">
              <w:rPr>
                <w:rFonts w:eastAsia="Calibri"/>
                <w:sz w:val="20"/>
              </w:rPr>
              <w:t>2011 QCCA 2116</w:t>
            </w:r>
          </w:p>
          <w:p w:rsidR="00E42F15" w:rsidRPr="00BF0708" w:rsidRDefault="00E42F15" w:rsidP="00E42F15">
            <w:pPr>
              <w:jc w:val="both"/>
              <w:rPr>
                <w:rFonts w:eastAsia="Calibri"/>
                <w:sz w:val="20"/>
              </w:rPr>
            </w:pPr>
            <w:r w:rsidRPr="00BF0708">
              <w:rPr>
                <w:rFonts w:eastAsia="Calibri"/>
                <w:sz w:val="20"/>
              </w:rPr>
              <w:t>No.: 500</w:t>
            </w:r>
            <w:r w:rsidRPr="00BF0708">
              <w:rPr>
                <w:rFonts w:eastAsia="Calibri"/>
                <w:sz w:val="20"/>
              </w:rPr>
              <w:noBreakHyphen/>
              <w:t>09</w:t>
            </w:r>
            <w:r w:rsidRPr="00BF0708">
              <w:rPr>
                <w:rFonts w:eastAsia="Calibri"/>
                <w:sz w:val="20"/>
              </w:rPr>
              <w:noBreakHyphen/>
              <w:t>018872</w:t>
            </w:r>
            <w:r w:rsidRPr="00BF0708">
              <w:rPr>
                <w:rFonts w:eastAsia="Calibri"/>
                <w:sz w:val="20"/>
              </w:rPr>
              <w:noBreakHyphen/>
              <w:t>085</w:t>
            </w:r>
          </w:p>
          <w:p w:rsidR="00E42F15" w:rsidRPr="00BF0708" w:rsidRDefault="00E42F15" w:rsidP="00E42F15">
            <w:pPr>
              <w:jc w:val="both"/>
              <w:rPr>
                <w:rFonts w:eastAsia="Calibri"/>
                <w:sz w:val="20"/>
              </w:rPr>
            </w:pPr>
          </w:p>
        </w:tc>
        <w:tc>
          <w:tcPr>
            <w:tcW w:w="243" w:type="pct"/>
          </w:tcPr>
          <w:p w:rsidR="00E42F15" w:rsidRPr="00BF0708" w:rsidRDefault="00E42F15" w:rsidP="00E42F15">
            <w:pPr>
              <w:jc w:val="both"/>
              <w:rPr>
                <w:rFonts w:eastAsia="Calibri"/>
                <w:sz w:val="20"/>
              </w:rPr>
            </w:pPr>
          </w:p>
        </w:tc>
        <w:tc>
          <w:tcPr>
            <w:tcW w:w="2330" w:type="pct"/>
          </w:tcPr>
          <w:p w:rsidR="00E42F15" w:rsidRPr="00BF0708" w:rsidRDefault="00E42F15" w:rsidP="00E42F15">
            <w:pPr>
              <w:jc w:val="both"/>
              <w:rPr>
                <w:rFonts w:eastAsia="Calibri"/>
                <w:sz w:val="20"/>
              </w:rPr>
            </w:pPr>
            <w:r w:rsidRPr="00BF0708">
              <w:rPr>
                <w:rFonts w:eastAsia="Calibri"/>
                <w:sz w:val="20"/>
              </w:rPr>
              <w:t>Appeal by respondents Option Consommateurs and Claudette Cloutier allowed; class action authorized</w:t>
            </w:r>
          </w:p>
          <w:p w:rsidR="00E42F15" w:rsidRPr="00BF0708" w:rsidRDefault="00E42F15" w:rsidP="00E42F15">
            <w:pPr>
              <w:jc w:val="both"/>
              <w:rPr>
                <w:rFonts w:eastAsia="Calibri"/>
                <w:sz w:val="20"/>
              </w:rPr>
            </w:pPr>
          </w:p>
        </w:tc>
      </w:tr>
      <w:tr w:rsidR="00E42F15" w:rsidRPr="00BF0708" w:rsidTr="00E61070">
        <w:trPr>
          <w:cantSplit/>
        </w:trPr>
        <w:tc>
          <w:tcPr>
            <w:tcW w:w="2427" w:type="pct"/>
          </w:tcPr>
          <w:p w:rsidR="00E42F15" w:rsidRPr="00BF0708" w:rsidRDefault="00E42F15" w:rsidP="00E42F15">
            <w:pPr>
              <w:jc w:val="both"/>
              <w:rPr>
                <w:rFonts w:eastAsia="Calibri"/>
                <w:sz w:val="20"/>
              </w:rPr>
            </w:pPr>
            <w:r w:rsidRPr="00BF0708">
              <w:rPr>
                <w:rFonts w:eastAsia="Calibri"/>
                <w:sz w:val="20"/>
              </w:rPr>
              <w:t>January 16, 2012</w:t>
            </w:r>
          </w:p>
          <w:p w:rsidR="00E42F15" w:rsidRPr="00BF0708" w:rsidRDefault="00E42F15" w:rsidP="00E42F15">
            <w:pPr>
              <w:jc w:val="both"/>
              <w:rPr>
                <w:rFonts w:eastAsia="Calibri"/>
                <w:sz w:val="20"/>
              </w:rPr>
            </w:pPr>
            <w:r w:rsidRPr="00BF0708">
              <w:rPr>
                <w:rFonts w:eastAsia="Calibri"/>
                <w:sz w:val="20"/>
              </w:rPr>
              <w:t>Supreme Court of Canada</w:t>
            </w:r>
          </w:p>
          <w:p w:rsidR="00E42F15" w:rsidRPr="00BF0708" w:rsidRDefault="00E42F15" w:rsidP="00E42F15">
            <w:pPr>
              <w:jc w:val="both"/>
              <w:rPr>
                <w:rFonts w:eastAsia="Calibri"/>
                <w:sz w:val="20"/>
              </w:rPr>
            </w:pPr>
          </w:p>
        </w:tc>
        <w:tc>
          <w:tcPr>
            <w:tcW w:w="243" w:type="pct"/>
          </w:tcPr>
          <w:p w:rsidR="00E42F15" w:rsidRPr="00BF0708" w:rsidRDefault="00E42F15" w:rsidP="00E42F15">
            <w:pPr>
              <w:jc w:val="both"/>
              <w:rPr>
                <w:rFonts w:eastAsia="Calibri"/>
                <w:sz w:val="20"/>
              </w:rPr>
            </w:pPr>
          </w:p>
        </w:tc>
        <w:tc>
          <w:tcPr>
            <w:tcW w:w="2330" w:type="pct"/>
          </w:tcPr>
          <w:p w:rsidR="00E42F15" w:rsidRPr="00BF0708" w:rsidRDefault="00E42F15" w:rsidP="00E42F15">
            <w:pPr>
              <w:jc w:val="both"/>
              <w:rPr>
                <w:rFonts w:eastAsia="Calibri"/>
                <w:sz w:val="20"/>
              </w:rPr>
            </w:pPr>
            <w:r w:rsidRPr="00BF0708">
              <w:rPr>
                <w:rFonts w:eastAsia="Calibri"/>
                <w:sz w:val="20"/>
              </w:rPr>
              <w:t>Four applications for leave to appeal filed by applicants Samsung Electronics Co., Ltd. / Samsung Semiconductor Inc., Hynix Semiconductor Inc., Infineon Technologies AG / Infineon Technologies North America Corp., and Micron Technology, Inc.</w:t>
            </w:r>
          </w:p>
          <w:p w:rsidR="00E42F15" w:rsidRPr="00BF0708" w:rsidRDefault="00E42F15" w:rsidP="00E42F15">
            <w:pPr>
              <w:jc w:val="both"/>
              <w:rPr>
                <w:rFonts w:eastAsia="Calibri"/>
                <w:sz w:val="20"/>
              </w:rPr>
            </w:pPr>
          </w:p>
        </w:tc>
      </w:tr>
      <w:tr w:rsidR="00E42F15" w:rsidRPr="00BF0708" w:rsidTr="00E61070">
        <w:trPr>
          <w:cantSplit/>
        </w:trPr>
        <w:tc>
          <w:tcPr>
            <w:tcW w:w="2427" w:type="pct"/>
          </w:tcPr>
          <w:p w:rsidR="00E42F15" w:rsidRPr="00BF0708" w:rsidRDefault="00E42F15" w:rsidP="00E42F15">
            <w:pPr>
              <w:jc w:val="both"/>
              <w:rPr>
                <w:rFonts w:eastAsia="Calibri"/>
                <w:sz w:val="20"/>
              </w:rPr>
            </w:pPr>
            <w:r w:rsidRPr="00BF0708">
              <w:rPr>
                <w:rFonts w:eastAsia="Calibri"/>
                <w:sz w:val="20"/>
              </w:rPr>
              <w:lastRenderedPageBreak/>
              <w:t>February 23, 2012</w:t>
            </w:r>
          </w:p>
          <w:p w:rsidR="00E42F15" w:rsidRPr="00BF0708" w:rsidRDefault="00E42F15" w:rsidP="00E42F15">
            <w:pPr>
              <w:jc w:val="both"/>
              <w:rPr>
                <w:rFonts w:eastAsia="Calibri"/>
                <w:sz w:val="20"/>
              </w:rPr>
            </w:pPr>
            <w:r w:rsidRPr="00BF0708">
              <w:rPr>
                <w:rFonts w:eastAsia="Calibri"/>
                <w:sz w:val="20"/>
              </w:rPr>
              <w:t>Supreme Court of Canada</w:t>
            </w:r>
          </w:p>
          <w:p w:rsidR="00E42F15" w:rsidRPr="00BF0708" w:rsidRDefault="00E42F15" w:rsidP="00E42F15">
            <w:pPr>
              <w:jc w:val="both"/>
              <w:rPr>
                <w:rFonts w:eastAsia="Calibri"/>
                <w:sz w:val="20"/>
              </w:rPr>
            </w:pPr>
          </w:p>
        </w:tc>
        <w:tc>
          <w:tcPr>
            <w:tcW w:w="243" w:type="pct"/>
          </w:tcPr>
          <w:p w:rsidR="00E42F15" w:rsidRPr="00BF0708" w:rsidRDefault="00E42F15" w:rsidP="00E42F15">
            <w:pPr>
              <w:jc w:val="both"/>
              <w:rPr>
                <w:rFonts w:eastAsia="Calibri"/>
                <w:sz w:val="20"/>
              </w:rPr>
            </w:pPr>
          </w:p>
        </w:tc>
        <w:tc>
          <w:tcPr>
            <w:tcW w:w="2330" w:type="pct"/>
          </w:tcPr>
          <w:p w:rsidR="00E42F15" w:rsidRPr="00BF0708" w:rsidRDefault="00E42F15" w:rsidP="00E42F15">
            <w:pPr>
              <w:jc w:val="both"/>
              <w:rPr>
                <w:rFonts w:eastAsia="Calibri"/>
                <w:sz w:val="20"/>
              </w:rPr>
            </w:pPr>
            <w:r w:rsidRPr="00BF0708">
              <w:rPr>
                <w:rFonts w:eastAsia="Calibri"/>
                <w:sz w:val="20"/>
              </w:rPr>
              <w:t>Motion filed by applicants to expedite their applications for leave and, if applications allowed, to be heard at same time as appeals in files 34282 (</w:t>
            </w:r>
            <w:r w:rsidRPr="00BF0708">
              <w:rPr>
                <w:rFonts w:eastAsia="Calibri"/>
                <w:i/>
                <w:sz w:val="20"/>
              </w:rPr>
              <w:t>Pro</w:t>
            </w:r>
            <w:r w:rsidRPr="00BF0708">
              <w:rPr>
                <w:rFonts w:eastAsia="Calibri"/>
                <w:i/>
                <w:sz w:val="20"/>
              </w:rPr>
              <w:noBreakHyphen/>
              <w:t>Sys Consultants Ltd., et al. v. Microsoft Corporation, et al.</w:t>
            </w:r>
            <w:r w:rsidRPr="00BF0708">
              <w:rPr>
                <w:rFonts w:eastAsia="Calibri"/>
                <w:sz w:val="20"/>
              </w:rPr>
              <w:t>) and 34383 (</w:t>
            </w:r>
            <w:r w:rsidRPr="00BF0708">
              <w:rPr>
                <w:rFonts w:eastAsia="Calibri"/>
                <w:i/>
                <w:sz w:val="20"/>
              </w:rPr>
              <w:t>Sun</w:t>
            </w:r>
            <w:r w:rsidRPr="00BF0708">
              <w:rPr>
                <w:rFonts w:eastAsia="Calibri"/>
                <w:i/>
                <w:sz w:val="20"/>
              </w:rPr>
              <w:noBreakHyphen/>
              <w:t>Rype Products Ltd., et al. v. Archer Daniels Mildand Company, et al.</w:t>
            </w:r>
            <w:r w:rsidRPr="00BF0708">
              <w:rPr>
                <w:rFonts w:eastAsia="Calibri"/>
                <w:sz w:val="20"/>
              </w:rPr>
              <w:t>)</w:t>
            </w: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52" style="width:2in;height:1pt" o:hrpct="0" o:hralign="center" o:hrstd="t" o:hrnoshade="t" o:hr="t" fillcolor="black [3213]" stroked="f"/>
        </w:pict>
      </w:r>
    </w:p>
    <w:p w:rsidR="00FD4A4B" w:rsidRDefault="00FD4A4B" w:rsidP="00FD4A4B">
      <w:pPr>
        <w:rPr>
          <w:sz w:val="20"/>
          <w:szCs w:val="20"/>
        </w:rPr>
      </w:pPr>
    </w:p>
    <w:p w:rsidR="00FD4A4B" w:rsidRPr="001B157C" w:rsidRDefault="00FD4A4B" w:rsidP="00FD4A4B">
      <w:pPr>
        <w:rPr>
          <w:sz w:val="20"/>
          <w:szCs w:val="20"/>
          <w:u w:val="single"/>
          <w:lang w:val="fr-CA"/>
        </w:rPr>
      </w:pPr>
      <w:r w:rsidRPr="001B157C">
        <w:rPr>
          <w:sz w:val="20"/>
          <w:szCs w:val="20"/>
          <w:u w:val="single"/>
          <w:lang w:val="fr-CA"/>
        </w:rPr>
        <w:t>RÉSUMÉ DE L’AFFAIRE</w:t>
      </w:r>
    </w:p>
    <w:p w:rsidR="00FD4A4B" w:rsidRDefault="00FD4A4B" w:rsidP="00FD4A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42F15" w:rsidRPr="0028361F" w:rsidTr="00E42F15">
        <w:tc>
          <w:tcPr>
            <w:tcW w:w="5000" w:type="pct"/>
            <w:gridSpan w:val="3"/>
          </w:tcPr>
          <w:p w:rsidR="00E42F15" w:rsidRPr="00BF0708" w:rsidRDefault="00E42F15" w:rsidP="00E42F15">
            <w:pPr>
              <w:jc w:val="both"/>
              <w:rPr>
                <w:rFonts w:eastAsia="Calibri"/>
                <w:sz w:val="20"/>
                <w:lang w:val="fr-CA"/>
              </w:rPr>
            </w:pPr>
            <w:r w:rsidRPr="00BF0708">
              <w:rPr>
                <w:rFonts w:eastAsia="Calibri"/>
                <w:sz w:val="20"/>
                <w:lang w:val="fr-CA"/>
              </w:rPr>
              <w:t xml:space="preserve">Procédure civile – Recours collectifs – Autorisation préalable – Conditions d'exercice – Cause d’action – Atteinte à la </w:t>
            </w:r>
            <w:r w:rsidRPr="00BF0708">
              <w:rPr>
                <w:rFonts w:eastAsia="Calibri"/>
                <w:i/>
                <w:sz w:val="20"/>
                <w:lang w:val="fr-CA"/>
              </w:rPr>
              <w:t>Loi sur la concurrence</w:t>
            </w:r>
            <w:r w:rsidRPr="00BF0708">
              <w:rPr>
                <w:rFonts w:eastAsia="Calibri"/>
                <w:sz w:val="20"/>
                <w:lang w:val="fr-CA"/>
              </w:rPr>
              <w:t xml:space="preserve">, L.R.C. 1985, c. C-34 – « Transfert de la perte » – Compétence territoriale – Recours collectif autorisé pour acheteurs directs et indirects québécois découlant de l’achat d’un bien manufacturé aux États-Unis – Les acheteurs indirects au Québec ont-ils droit de poursuivre pour recouvrer l’augmentation de prix découlant d’un comportement anticoncurrentiel, et la Cour d’appel pouvait-elle autoriser le recours collectif dans les circonstances – L’existence d’un préjudice strictement économique subi par un résident du Québec est-elle suffisante pour conférer compétence aux tribunaux québécois en vertu de l’article 3148(3) du </w:t>
            </w:r>
            <w:r w:rsidRPr="00BF0708">
              <w:rPr>
                <w:rFonts w:eastAsia="Calibri"/>
                <w:i/>
                <w:sz w:val="20"/>
                <w:lang w:val="fr-CA"/>
              </w:rPr>
              <w:t>Code civil du Québec</w:t>
            </w:r>
            <w:r w:rsidRPr="00BF0708">
              <w:rPr>
                <w:rFonts w:eastAsia="Calibri"/>
                <w:sz w:val="20"/>
                <w:lang w:val="fr-CA"/>
              </w:rPr>
              <w:t>.</w:t>
            </w:r>
          </w:p>
        </w:tc>
      </w:tr>
      <w:tr w:rsidR="00E42F15" w:rsidRPr="0028361F" w:rsidTr="00E42F15">
        <w:tc>
          <w:tcPr>
            <w:tcW w:w="5000" w:type="pct"/>
            <w:gridSpan w:val="3"/>
          </w:tcPr>
          <w:p w:rsidR="00E42F15" w:rsidRPr="00BF0708" w:rsidRDefault="00E42F15" w:rsidP="00E42F15">
            <w:pPr>
              <w:jc w:val="both"/>
              <w:rPr>
                <w:rFonts w:eastAsia="Calibri"/>
                <w:sz w:val="20"/>
                <w:lang w:val="fr-CA"/>
              </w:rPr>
            </w:pPr>
          </w:p>
        </w:tc>
      </w:tr>
      <w:tr w:rsidR="00E42F15" w:rsidRPr="0028361F" w:rsidTr="00E42F15">
        <w:tc>
          <w:tcPr>
            <w:tcW w:w="5000" w:type="pct"/>
            <w:gridSpan w:val="3"/>
          </w:tcPr>
          <w:p w:rsidR="00E42F15" w:rsidRPr="00BF0708" w:rsidRDefault="00E42F15" w:rsidP="00E42F15">
            <w:pPr>
              <w:jc w:val="both"/>
              <w:rPr>
                <w:rFonts w:eastAsia="Calibri"/>
                <w:sz w:val="20"/>
                <w:lang w:val="fr-CA"/>
              </w:rPr>
            </w:pPr>
            <w:r w:rsidRPr="00BF0708">
              <w:rPr>
                <w:rFonts w:eastAsia="Calibri"/>
                <w:sz w:val="20"/>
                <w:lang w:val="fr-CA"/>
              </w:rPr>
              <w:t xml:space="preserve">Les quatre demanderesses sont des </w:t>
            </w:r>
            <w:r w:rsidRPr="00BF0708">
              <w:rPr>
                <w:rFonts w:eastAsia="Calibri"/>
                <w:sz w:val="20"/>
                <w:lang w:val="fr-FR"/>
              </w:rPr>
              <w:t xml:space="preserve">sociétés commerciales manufacturières </w:t>
            </w:r>
            <w:r w:rsidRPr="00BF0708">
              <w:rPr>
                <w:rFonts w:eastAsia="Calibri"/>
                <w:sz w:val="20"/>
                <w:lang w:val="fr-CA"/>
              </w:rPr>
              <w:t xml:space="preserve">de composantes électroniques, dont la mémoire vive dynamique (« Dynamic Random Access Memory – DRAM »), qui ont plaidé coupables aux États-Unis en 2004 à </w:t>
            </w:r>
            <w:r w:rsidRPr="00BF0708">
              <w:rPr>
                <w:rFonts w:eastAsia="Calibri"/>
                <w:sz w:val="20"/>
                <w:lang w:val="fr-FR"/>
              </w:rPr>
              <w:t xml:space="preserve">des accusations d’avoir conspiré de manière à restreindre la concurrence dans la vente de DRAM.  Des acheteurs directs (entreprises – fabricants et/ou détaillants d’ordinateurs et autres appareils équipés de DRAM) et des acheteurs indirects (consommateurs d’ordinateurs et autres appareils équipés de DRAM) au Québec ont déposé une requête en autorisation d’exercer un recours collectif contre les demanderesses.  Les acheteurs prétendent que les demanderesses ont artificiellement gonflé le prix de DRAM et d’appareils équipés de DRAM en raison de leur comportement anticoncurrentiel aux États-Unis, que des acheteurs directs au Québec ont payé un prix élevé pour la DRAM, et que les acheteurs directs ont transféré ce prix gonflé aux acheteurs indirects au Québec.  La Cour supérieure du Québec rejette la requête, refuse d’autoriser le recours collectif, </w:t>
            </w:r>
            <w:r w:rsidRPr="00BF0708">
              <w:rPr>
                <w:rFonts w:eastAsia="Calibri"/>
                <w:sz w:val="20"/>
                <w:lang w:val="fr-CA"/>
              </w:rPr>
              <w:t>et déclare qu’elle n’a pas la juridiction nécessaire pour entendre un tel recours.  La Cour d’appel du Québec casse ce jugement, et autorise l’exercice du recours collectif proposé.</w:t>
            </w:r>
          </w:p>
          <w:p w:rsidR="00E42F15" w:rsidRPr="00BF0708" w:rsidRDefault="00E42F15" w:rsidP="00E42F15">
            <w:pPr>
              <w:jc w:val="both"/>
              <w:rPr>
                <w:rFonts w:eastAsia="Calibri"/>
                <w:sz w:val="20"/>
                <w:lang w:val="fr-CA"/>
              </w:rPr>
            </w:pPr>
          </w:p>
        </w:tc>
      </w:tr>
      <w:tr w:rsidR="00E42F15" w:rsidRPr="0028361F" w:rsidTr="00E42F15">
        <w:tc>
          <w:tcPr>
            <w:tcW w:w="2427" w:type="pct"/>
          </w:tcPr>
          <w:p w:rsidR="00E42F15" w:rsidRPr="00BF0708" w:rsidRDefault="00E42F15" w:rsidP="00E42F15">
            <w:pPr>
              <w:jc w:val="both"/>
              <w:rPr>
                <w:rFonts w:eastAsia="Calibri"/>
                <w:sz w:val="20"/>
                <w:lang w:val="fr-CA"/>
              </w:rPr>
            </w:pPr>
            <w:r w:rsidRPr="00BF0708">
              <w:rPr>
                <w:rFonts w:eastAsia="Calibri"/>
                <w:sz w:val="20"/>
                <w:lang w:val="fr-CA"/>
              </w:rPr>
              <w:t>Le 17 juin 2008</w:t>
            </w:r>
          </w:p>
          <w:p w:rsidR="00E42F15" w:rsidRPr="00BF0708" w:rsidRDefault="00E42F15" w:rsidP="00E42F15">
            <w:pPr>
              <w:jc w:val="both"/>
              <w:rPr>
                <w:rFonts w:eastAsia="Calibri"/>
                <w:sz w:val="20"/>
                <w:lang w:val="fr-CA"/>
              </w:rPr>
            </w:pPr>
            <w:r w:rsidRPr="00BF0708">
              <w:rPr>
                <w:rFonts w:eastAsia="Calibri"/>
                <w:sz w:val="20"/>
                <w:lang w:val="fr-CA"/>
              </w:rPr>
              <w:t>Cour supérieure du Québec</w:t>
            </w:r>
          </w:p>
          <w:p w:rsidR="00E42F15" w:rsidRPr="00BF0708" w:rsidRDefault="00E42F15" w:rsidP="00E42F15">
            <w:pPr>
              <w:jc w:val="both"/>
              <w:rPr>
                <w:rFonts w:eastAsia="Calibri"/>
                <w:sz w:val="20"/>
                <w:lang w:val="fr-CA"/>
              </w:rPr>
            </w:pPr>
            <w:r w:rsidRPr="00BF0708">
              <w:rPr>
                <w:rFonts w:eastAsia="Calibri"/>
                <w:sz w:val="20"/>
                <w:lang w:val="fr-CA"/>
              </w:rPr>
              <w:t>(Le juge Mongeau)</w:t>
            </w:r>
          </w:p>
          <w:p w:rsidR="00E42F15" w:rsidRPr="00BF0708" w:rsidRDefault="00E42F15" w:rsidP="00E42F15">
            <w:pPr>
              <w:jc w:val="both"/>
              <w:rPr>
                <w:rFonts w:eastAsia="Calibri"/>
                <w:sz w:val="20"/>
                <w:lang w:val="fr-CA"/>
              </w:rPr>
            </w:pPr>
            <w:r w:rsidRPr="00BF0708">
              <w:rPr>
                <w:rFonts w:eastAsia="Calibri"/>
                <w:sz w:val="20"/>
                <w:lang w:val="fr-CA"/>
              </w:rPr>
              <w:t>2008 QCCS 2781</w:t>
            </w:r>
          </w:p>
          <w:p w:rsidR="00E42F15" w:rsidRPr="00BF0708" w:rsidRDefault="00E42F15" w:rsidP="00E42F15">
            <w:pPr>
              <w:jc w:val="both"/>
              <w:rPr>
                <w:rFonts w:eastAsia="Calibri"/>
                <w:sz w:val="20"/>
              </w:rPr>
            </w:pPr>
          </w:p>
        </w:tc>
        <w:tc>
          <w:tcPr>
            <w:tcW w:w="243" w:type="pct"/>
          </w:tcPr>
          <w:p w:rsidR="00E42F15" w:rsidRPr="00BF0708" w:rsidRDefault="00E42F15" w:rsidP="00E42F15">
            <w:pPr>
              <w:jc w:val="both"/>
              <w:rPr>
                <w:rFonts w:eastAsia="Calibri"/>
                <w:sz w:val="20"/>
              </w:rPr>
            </w:pPr>
          </w:p>
        </w:tc>
        <w:tc>
          <w:tcPr>
            <w:tcW w:w="2330" w:type="pct"/>
          </w:tcPr>
          <w:p w:rsidR="00E42F15" w:rsidRPr="00BF0708" w:rsidRDefault="00E42F15" w:rsidP="00E42F15">
            <w:pPr>
              <w:jc w:val="both"/>
              <w:rPr>
                <w:rFonts w:eastAsia="Calibri"/>
                <w:sz w:val="20"/>
                <w:lang w:val="fr-CA"/>
              </w:rPr>
            </w:pPr>
            <w:r w:rsidRPr="00BF0708">
              <w:rPr>
                <w:rFonts w:eastAsia="Calibri"/>
                <w:sz w:val="20"/>
                <w:lang w:val="fr-CA"/>
              </w:rPr>
              <w:t>Requête en autorisation d’exercer un recours collectif, rejetée; déclaration que la Cour supérieure du Québec n’a pas la juridiction pour entendre ce recours collectif</w:t>
            </w:r>
          </w:p>
          <w:p w:rsidR="00E42F15" w:rsidRPr="00BF0708" w:rsidRDefault="00E42F15" w:rsidP="00E42F15">
            <w:pPr>
              <w:jc w:val="both"/>
              <w:rPr>
                <w:rFonts w:eastAsia="Calibri"/>
                <w:sz w:val="20"/>
                <w:lang w:val="fr-CA"/>
              </w:rPr>
            </w:pPr>
          </w:p>
        </w:tc>
      </w:tr>
      <w:tr w:rsidR="00E42F15" w:rsidRPr="0028361F" w:rsidTr="00E61070">
        <w:trPr>
          <w:cantSplit/>
        </w:trPr>
        <w:tc>
          <w:tcPr>
            <w:tcW w:w="2427" w:type="pct"/>
          </w:tcPr>
          <w:p w:rsidR="00E42F15" w:rsidRPr="00BF0708" w:rsidRDefault="00E42F15" w:rsidP="00E42F15">
            <w:pPr>
              <w:jc w:val="both"/>
              <w:rPr>
                <w:rFonts w:eastAsia="Calibri"/>
                <w:sz w:val="20"/>
                <w:lang w:val="fr-CA"/>
              </w:rPr>
            </w:pPr>
            <w:r w:rsidRPr="00BF0708">
              <w:rPr>
                <w:rFonts w:eastAsia="Calibri"/>
                <w:sz w:val="20"/>
                <w:lang w:val="fr-CA"/>
              </w:rPr>
              <w:t>Le 16 novembre 2011</w:t>
            </w:r>
          </w:p>
          <w:p w:rsidR="00E42F15" w:rsidRPr="00BF0708" w:rsidRDefault="00E42F15" w:rsidP="00E42F15">
            <w:pPr>
              <w:jc w:val="both"/>
              <w:rPr>
                <w:rFonts w:eastAsia="Calibri"/>
                <w:sz w:val="20"/>
                <w:lang w:val="fr-CA"/>
              </w:rPr>
            </w:pPr>
            <w:r w:rsidRPr="00BF0708">
              <w:rPr>
                <w:rFonts w:eastAsia="Calibri"/>
                <w:sz w:val="20"/>
                <w:lang w:val="fr-CA"/>
              </w:rPr>
              <w:t>Cour d’appel du Québec (Montréal)</w:t>
            </w:r>
          </w:p>
          <w:p w:rsidR="00E42F15" w:rsidRPr="00BF0708" w:rsidRDefault="00E42F15" w:rsidP="00E42F15">
            <w:pPr>
              <w:jc w:val="both"/>
              <w:rPr>
                <w:rFonts w:eastAsia="Calibri"/>
                <w:sz w:val="20"/>
                <w:lang w:val="fr-CA"/>
              </w:rPr>
            </w:pPr>
            <w:r w:rsidRPr="00BF0708">
              <w:rPr>
                <w:rFonts w:eastAsia="Calibri"/>
                <w:sz w:val="20"/>
                <w:lang w:val="fr-CA"/>
              </w:rPr>
              <w:t>(Les juges Forget, Pelletier et Kasirer)</w:t>
            </w:r>
          </w:p>
          <w:p w:rsidR="00E42F15" w:rsidRPr="00BF0708" w:rsidRDefault="00E42F15" w:rsidP="00E42F15">
            <w:pPr>
              <w:jc w:val="both"/>
              <w:rPr>
                <w:rFonts w:eastAsia="Calibri"/>
                <w:sz w:val="20"/>
                <w:lang w:val="fr-CA"/>
              </w:rPr>
            </w:pPr>
            <w:r w:rsidRPr="00BF0708">
              <w:rPr>
                <w:rFonts w:eastAsia="Calibri"/>
                <w:sz w:val="20"/>
                <w:lang w:val="fr-CA"/>
              </w:rPr>
              <w:t>2011 QCCA 2116</w:t>
            </w:r>
          </w:p>
          <w:p w:rsidR="00E42F15" w:rsidRPr="00BF0708" w:rsidRDefault="00E42F15" w:rsidP="00E42F15">
            <w:pPr>
              <w:jc w:val="both"/>
              <w:rPr>
                <w:rFonts w:eastAsia="Calibri"/>
                <w:sz w:val="20"/>
                <w:lang w:val="fr-CA"/>
              </w:rPr>
            </w:pPr>
            <w:r w:rsidRPr="00BF0708">
              <w:rPr>
                <w:rFonts w:eastAsia="Calibri"/>
                <w:sz w:val="20"/>
                <w:lang w:val="fr-CA"/>
              </w:rPr>
              <w:t>No. : 500-09-018872-085</w:t>
            </w:r>
          </w:p>
          <w:p w:rsidR="00E42F15" w:rsidRPr="00BF0708" w:rsidRDefault="00E42F15" w:rsidP="00E42F15">
            <w:pPr>
              <w:jc w:val="both"/>
              <w:rPr>
                <w:rFonts w:eastAsia="Calibri"/>
                <w:sz w:val="20"/>
                <w:lang w:val="fr-CA"/>
              </w:rPr>
            </w:pPr>
          </w:p>
        </w:tc>
        <w:tc>
          <w:tcPr>
            <w:tcW w:w="243" w:type="pct"/>
          </w:tcPr>
          <w:p w:rsidR="00E42F15" w:rsidRPr="00BF0708" w:rsidRDefault="00E42F15" w:rsidP="00E42F15">
            <w:pPr>
              <w:jc w:val="both"/>
              <w:rPr>
                <w:rFonts w:eastAsia="Calibri"/>
                <w:sz w:val="20"/>
                <w:lang w:val="fr-CA"/>
              </w:rPr>
            </w:pPr>
          </w:p>
        </w:tc>
        <w:tc>
          <w:tcPr>
            <w:tcW w:w="2330" w:type="pct"/>
          </w:tcPr>
          <w:p w:rsidR="00E42F15" w:rsidRPr="00BF0708" w:rsidRDefault="00E42F15" w:rsidP="00E42F15">
            <w:pPr>
              <w:jc w:val="both"/>
              <w:rPr>
                <w:rFonts w:eastAsia="Calibri"/>
                <w:sz w:val="20"/>
                <w:lang w:val="fr-CA"/>
              </w:rPr>
            </w:pPr>
            <w:r w:rsidRPr="00BF0708">
              <w:rPr>
                <w:rFonts w:eastAsia="Calibri"/>
                <w:sz w:val="20"/>
                <w:lang w:val="fr-CA"/>
              </w:rPr>
              <w:t>Appel des intimées Option Consommateurs et Claudette Cloutier, accordé; recours collectif autorisé</w:t>
            </w:r>
          </w:p>
          <w:p w:rsidR="00E42F15" w:rsidRPr="00BF0708" w:rsidRDefault="00E42F15" w:rsidP="00E42F15">
            <w:pPr>
              <w:jc w:val="both"/>
              <w:rPr>
                <w:rFonts w:eastAsia="Calibri"/>
                <w:sz w:val="20"/>
                <w:lang w:val="fr-CA"/>
              </w:rPr>
            </w:pPr>
          </w:p>
        </w:tc>
      </w:tr>
      <w:tr w:rsidR="00E42F15" w:rsidRPr="0028361F" w:rsidTr="00E61070">
        <w:trPr>
          <w:cantSplit/>
        </w:trPr>
        <w:tc>
          <w:tcPr>
            <w:tcW w:w="2427" w:type="pct"/>
          </w:tcPr>
          <w:p w:rsidR="00E42F15" w:rsidRPr="00BF0708" w:rsidRDefault="00E42F15" w:rsidP="00E42F15">
            <w:pPr>
              <w:jc w:val="both"/>
              <w:rPr>
                <w:rFonts w:eastAsia="Calibri"/>
                <w:sz w:val="20"/>
                <w:lang w:val="fr-CA"/>
              </w:rPr>
            </w:pPr>
            <w:r w:rsidRPr="00BF0708">
              <w:rPr>
                <w:rFonts w:eastAsia="Calibri"/>
                <w:sz w:val="20"/>
                <w:lang w:val="fr-CA"/>
              </w:rPr>
              <w:t>Le 16 janvier 2012</w:t>
            </w:r>
          </w:p>
          <w:p w:rsidR="00E42F15" w:rsidRPr="00BF0708" w:rsidRDefault="00E42F15" w:rsidP="00E42F15">
            <w:pPr>
              <w:jc w:val="both"/>
              <w:rPr>
                <w:rFonts w:eastAsia="Calibri"/>
                <w:sz w:val="20"/>
                <w:lang w:val="fr-CA"/>
              </w:rPr>
            </w:pPr>
            <w:r w:rsidRPr="00BF0708">
              <w:rPr>
                <w:rFonts w:eastAsia="Calibri"/>
                <w:sz w:val="20"/>
                <w:lang w:val="fr-CA"/>
              </w:rPr>
              <w:t>Cour suprême du Canada</w:t>
            </w:r>
          </w:p>
          <w:p w:rsidR="00E42F15" w:rsidRPr="00BF0708" w:rsidRDefault="00E42F15" w:rsidP="00E42F15">
            <w:pPr>
              <w:jc w:val="both"/>
              <w:rPr>
                <w:rFonts w:eastAsia="Calibri"/>
                <w:sz w:val="20"/>
                <w:lang w:val="fr-CA"/>
              </w:rPr>
            </w:pPr>
          </w:p>
        </w:tc>
        <w:tc>
          <w:tcPr>
            <w:tcW w:w="243" w:type="pct"/>
          </w:tcPr>
          <w:p w:rsidR="00E42F15" w:rsidRPr="00BF0708" w:rsidRDefault="00E42F15" w:rsidP="00E42F15">
            <w:pPr>
              <w:jc w:val="both"/>
              <w:rPr>
                <w:rFonts w:eastAsia="Calibri"/>
                <w:sz w:val="20"/>
                <w:lang w:val="fr-CA"/>
              </w:rPr>
            </w:pPr>
          </w:p>
        </w:tc>
        <w:tc>
          <w:tcPr>
            <w:tcW w:w="2330" w:type="pct"/>
          </w:tcPr>
          <w:p w:rsidR="00E42F15" w:rsidRPr="00BF0708" w:rsidRDefault="00E42F15" w:rsidP="00E42F15">
            <w:pPr>
              <w:jc w:val="both"/>
              <w:rPr>
                <w:rFonts w:eastAsia="Calibri"/>
                <w:sz w:val="20"/>
                <w:lang w:val="fr-CA"/>
              </w:rPr>
            </w:pPr>
            <w:r w:rsidRPr="00BF0708">
              <w:rPr>
                <w:rFonts w:eastAsia="Calibri"/>
                <w:sz w:val="20"/>
                <w:lang w:val="fr-CA"/>
              </w:rPr>
              <w:t>Quatre demandes d'autorisation d'appel déposées par les demanderesses Samsung Electronics Co., Ltd. / Samsung Semiconductor Inc., Hynix Semiconductor Inc., Infineon Technologies AG / Infineon Technologies North America Corp., et Micron Technology, Inc.</w:t>
            </w:r>
          </w:p>
          <w:p w:rsidR="00E42F15" w:rsidRPr="00BF0708" w:rsidRDefault="00E42F15" w:rsidP="00E42F15">
            <w:pPr>
              <w:jc w:val="both"/>
              <w:rPr>
                <w:rFonts w:eastAsia="Calibri"/>
                <w:sz w:val="20"/>
                <w:lang w:val="fr-CA"/>
              </w:rPr>
            </w:pPr>
          </w:p>
        </w:tc>
      </w:tr>
      <w:tr w:rsidR="00E42F15" w:rsidRPr="0028361F" w:rsidTr="00E61070">
        <w:trPr>
          <w:cantSplit/>
        </w:trPr>
        <w:tc>
          <w:tcPr>
            <w:tcW w:w="2427" w:type="pct"/>
          </w:tcPr>
          <w:p w:rsidR="00E42F15" w:rsidRPr="00BF0708" w:rsidRDefault="00E42F15" w:rsidP="00E42F15">
            <w:pPr>
              <w:jc w:val="both"/>
              <w:rPr>
                <w:rFonts w:eastAsia="Calibri"/>
                <w:sz w:val="20"/>
                <w:lang w:val="fr-CA"/>
              </w:rPr>
            </w:pPr>
            <w:r w:rsidRPr="00BF0708">
              <w:rPr>
                <w:rFonts w:eastAsia="Calibri"/>
                <w:sz w:val="20"/>
                <w:lang w:val="fr-CA"/>
              </w:rPr>
              <w:lastRenderedPageBreak/>
              <w:t>Le 23 février 2012</w:t>
            </w:r>
          </w:p>
          <w:p w:rsidR="00E42F15" w:rsidRPr="00BF0708" w:rsidRDefault="00E42F15" w:rsidP="00E42F15">
            <w:pPr>
              <w:jc w:val="both"/>
              <w:rPr>
                <w:rFonts w:eastAsia="Calibri"/>
                <w:sz w:val="20"/>
                <w:lang w:val="fr-CA"/>
              </w:rPr>
            </w:pPr>
            <w:r w:rsidRPr="00BF0708">
              <w:rPr>
                <w:rFonts w:eastAsia="Calibri"/>
                <w:sz w:val="20"/>
                <w:lang w:val="fr-CA"/>
              </w:rPr>
              <w:t>Cour suprême du Canada</w:t>
            </w:r>
          </w:p>
          <w:p w:rsidR="00E42F15" w:rsidRPr="00BF0708" w:rsidRDefault="00E42F15" w:rsidP="00E42F15">
            <w:pPr>
              <w:jc w:val="both"/>
              <w:rPr>
                <w:rFonts w:eastAsia="Calibri"/>
                <w:sz w:val="20"/>
                <w:lang w:val="fr-CA"/>
              </w:rPr>
            </w:pPr>
          </w:p>
        </w:tc>
        <w:tc>
          <w:tcPr>
            <w:tcW w:w="243" w:type="pct"/>
          </w:tcPr>
          <w:p w:rsidR="00E42F15" w:rsidRPr="00BF0708" w:rsidRDefault="00E42F15" w:rsidP="00E42F15">
            <w:pPr>
              <w:jc w:val="both"/>
              <w:rPr>
                <w:rFonts w:eastAsia="Calibri"/>
                <w:sz w:val="20"/>
                <w:lang w:val="fr-CA"/>
              </w:rPr>
            </w:pPr>
          </w:p>
        </w:tc>
        <w:tc>
          <w:tcPr>
            <w:tcW w:w="2330" w:type="pct"/>
          </w:tcPr>
          <w:p w:rsidR="00E42F15" w:rsidRPr="00BF0708" w:rsidRDefault="00E42F15" w:rsidP="00E42F15">
            <w:pPr>
              <w:jc w:val="both"/>
              <w:rPr>
                <w:rFonts w:eastAsia="Calibri"/>
                <w:sz w:val="20"/>
                <w:lang w:val="fr-CA"/>
              </w:rPr>
            </w:pPr>
            <w:r w:rsidRPr="00BF0708">
              <w:rPr>
                <w:rFonts w:eastAsia="Calibri"/>
                <w:sz w:val="20"/>
                <w:lang w:val="fr-CA"/>
              </w:rPr>
              <w:t>Requête déposée par les demanderesses pour traitement accéléré de leurs demandes d’autorisation, et si accueillies, pour qu’elles soient entendues en même temps que les  appels dans les dossiers 34282 (</w:t>
            </w:r>
            <w:r w:rsidRPr="00BF0708">
              <w:rPr>
                <w:rFonts w:eastAsia="Calibri"/>
                <w:i/>
                <w:sz w:val="20"/>
                <w:lang w:val="fr-CA"/>
              </w:rPr>
              <w:t>Pro-Sys Consultants Ltd., et al. c. Microsoft Corporation, et al.</w:t>
            </w:r>
            <w:r w:rsidRPr="00BF0708">
              <w:rPr>
                <w:rFonts w:eastAsia="Calibri"/>
                <w:sz w:val="20"/>
                <w:lang w:val="fr-CA"/>
              </w:rPr>
              <w:t>) et 34383 (</w:t>
            </w:r>
            <w:r w:rsidRPr="00BF0708">
              <w:rPr>
                <w:rFonts w:eastAsia="Calibri"/>
                <w:i/>
                <w:sz w:val="20"/>
                <w:lang w:val="fr-CA"/>
              </w:rPr>
              <w:t>Sun-Rype Products Ltd., et al. c. Archer Daniels Mildand Company, et al.</w:t>
            </w:r>
            <w:r w:rsidRPr="00BF0708">
              <w:rPr>
                <w:rFonts w:eastAsia="Calibri"/>
                <w:sz w:val="20"/>
                <w:lang w:val="fr-CA"/>
              </w:rPr>
              <w:t>).</w:t>
            </w:r>
          </w:p>
        </w:tc>
      </w:tr>
    </w:tbl>
    <w:p w:rsidR="00FD4A4B" w:rsidRPr="00E42F15" w:rsidRDefault="00FD4A4B" w:rsidP="00FD4A4B">
      <w:pPr>
        <w:rPr>
          <w:sz w:val="20"/>
          <w:szCs w:val="20"/>
          <w:lang w:val="fr-CA"/>
        </w:rPr>
      </w:pPr>
    </w:p>
    <w:p w:rsidR="00FD4A4B" w:rsidRPr="00C50A5C" w:rsidRDefault="00414F7B" w:rsidP="00FD4A4B">
      <w:pPr>
        <w:rPr>
          <w:sz w:val="20"/>
          <w:szCs w:val="20"/>
        </w:rPr>
      </w:pPr>
      <w:r w:rsidRPr="00414F7B">
        <w:rPr>
          <w:sz w:val="20"/>
          <w:szCs w:val="20"/>
          <w:lang w:val="fr-CA"/>
        </w:rPr>
        <w:pict>
          <v:rect id="_x0000_i1053" style="width:2in;height:1pt" o:hrpct="0" o:hralign="center" o:hrstd="t" o:hrnoshade="t" o:hr="t" fillcolor="black [3213]" stroked="f"/>
        </w:pict>
      </w:r>
    </w:p>
    <w:p w:rsidR="00FD4A4B" w:rsidRDefault="00FD4A4B" w:rsidP="00FD4A4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61070" w:rsidRPr="00E61070" w:rsidTr="003B5095">
        <w:trPr>
          <w:cantSplit/>
        </w:trPr>
        <w:tc>
          <w:tcPr>
            <w:tcW w:w="1458" w:type="dxa"/>
          </w:tcPr>
          <w:p w:rsidR="00E61070" w:rsidRPr="00E61070" w:rsidRDefault="00E61070" w:rsidP="003B5095">
            <w:pPr>
              <w:rPr>
                <w:sz w:val="20"/>
                <w:szCs w:val="20"/>
              </w:rPr>
            </w:pPr>
            <w:r w:rsidRPr="00E61070">
              <w:rPr>
                <w:rStyle w:val="SCCFileNumberChar"/>
                <w:sz w:val="20"/>
                <w:szCs w:val="20"/>
              </w:rPr>
              <w:t>34625</w:t>
            </w:r>
          </w:p>
          <w:p w:rsidR="00E61070" w:rsidRPr="00E61070" w:rsidRDefault="00E61070" w:rsidP="003B5095">
            <w:pPr>
              <w:rPr>
                <w:b/>
                <w:sz w:val="20"/>
                <w:szCs w:val="20"/>
                <w:lang w:val="fr-CA"/>
              </w:rPr>
            </w:pPr>
          </w:p>
        </w:tc>
        <w:tc>
          <w:tcPr>
            <w:tcW w:w="8118" w:type="dxa"/>
          </w:tcPr>
          <w:p w:rsidR="00E61070" w:rsidRPr="00E61070" w:rsidRDefault="00E61070" w:rsidP="003B5095">
            <w:pPr>
              <w:jc w:val="both"/>
              <w:rPr>
                <w:sz w:val="20"/>
                <w:szCs w:val="20"/>
              </w:rPr>
            </w:pPr>
            <w:r w:rsidRPr="00E61070">
              <w:rPr>
                <w:rStyle w:val="SCCLsocChar"/>
                <w:sz w:val="20"/>
                <w:szCs w:val="20"/>
                <w:lang w:val="en-CA"/>
              </w:rPr>
              <w:t>Reverend Brian Hart v. Roman Catholic Episcopal Corporation of the Diocese of Kingston, in Canada</w:t>
            </w:r>
            <w:r w:rsidRPr="00E61070">
              <w:rPr>
                <w:sz w:val="20"/>
                <w:szCs w:val="20"/>
              </w:rPr>
              <w:t xml:space="preserve"> (Ont.) (Civil) (By Leave)</w:t>
            </w:r>
          </w:p>
          <w:p w:rsidR="00E61070" w:rsidRPr="00E61070" w:rsidRDefault="00E61070" w:rsidP="003B5095">
            <w:pPr>
              <w:rPr>
                <w:sz w:val="20"/>
                <w:szCs w:val="20"/>
              </w:rPr>
            </w:pPr>
          </w:p>
        </w:tc>
      </w:tr>
      <w:tr w:rsidR="00E61070" w:rsidRPr="00E61070" w:rsidTr="003B5095">
        <w:trPr>
          <w:cantSplit/>
        </w:trPr>
        <w:tc>
          <w:tcPr>
            <w:tcW w:w="1458" w:type="dxa"/>
          </w:tcPr>
          <w:p w:rsidR="00E61070" w:rsidRPr="00E61070" w:rsidRDefault="00E61070" w:rsidP="003B5095">
            <w:pPr>
              <w:rPr>
                <w:sz w:val="20"/>
                <w:szCs w:val="20"/>
              </w:rPr>
            </w:pPr>
            <w:r w:rsidRPr="00E61070">
              <w:rPr>
                <w:sz w:val="20"/>
                <w:szCs w:val="20"/>
              </w:rPr>
              <w:t>Coram :</w:t>
            </w:r>
          </w:p>
        </w:tc>
        <w:tc>
          <w:tcPr>
            <w:tcW w:w="8118" w:type="dxa"/>
          </w:tcPr>
          <w:p w:rsidR="00E61070" w:rsidRPr="00E61070" w:rsidRDefault="00E61070" w:rsidP="003B5095">
            <w:pPr>
              <w:rPr>
                <w:sz w:val="20"/>
                <w:szCs w:val="20"/>
              </w:rPr>
            </w:pPr>
            <w:r w:rsidRPr="00E61070">
              <w:rPr>
                <w:rStyle w:val="SCCCoramChar"/>
                <w:sz w:val="20"/>
                <w:szCs w:val="20"/>
                <w:lang w:val="en-CA"/>
              </w:rPr>
              <w:t>LeBel, Abella and Cromwell JJ.</w:t>
            </w:r>
          </w:p>
          <w:p w:rsidR="00E61070" w:rsidRPr="00E61070" w:rsidRDefault="00E61070" w:rsidP="003B5095">
            <w:pPr>
              <w:rPr>
                <w:sz w:val="20"/>
                <w:szCs w:val="20"/>
                <w:u w:val="single"/>
              </w:rPr>
            </w:pPr>
          </w:p>
        </w:tc>
      </w:tr>
      <w:tr w:rsidR="00E61070" w:rsidRPr="0028361F" w:rsidTr="003B5095">
        <w:trPr>
          <w:cantSplit/>
        </w:trPr>
        <w:tc>
          <w:tcPr>
            <w:tcW w:w="9576" w:type="dxa"/>
            <w:gridSpan w:val="2"/>
          </w:tcPr>
          <w:p w:rsidR="00E61070" w:rsidRPr="00E61070" w:rsidRDefault="00E61070" w:rsidP="003B5095">
            <w:pPr>
              <w:pStyle w:val="SCCShortJudgment"/>
              <w:rPr>
                <w:szCs w:val="20"/>
              </w:rPr>
            </w:pPr>
            <w:r w:rsidRPr="00E61070">
              <w:rPr>
                <w:szCs w:val="20"/>
              </w:rPr>
              <w:t>The application for leave to appeal from the judgment of the Court of Appeal for Ontario, Number C52714, 2011 ONCA 728, dated November 22, 2011, is dismissed with costs.</w:t>
            </w:r>
          </w:p>
          <w:p w:rsidR="00E61070" w:rsidRPr="00E61070" w:rsidRDefault="00E61070" w:rsidP="003B5095">
            <w:pPr>
              <w:pStyle w:val="SCCShortJudgment"/>
              <w:ind w:firstLine="0"/>
              <w:rPr>
                <w:szCs w:val="20"/>
              </w:rPr>
            </w:pPr>
          </w:p>
          <w:p w:rsidR="00E61070" w:rsidRPr="00E61070" w:rsidRDefault="00E61070" w:rsidP="003B5095">
            <w:pPr>
              <w:pStyle w:val="SCCShortJudgment"/>
              <w:rPr>
                <w:szCs w:val="20"/>
                <w:lang w:val="fr-CA"/>
              </w:rPr>
            </w:pPr>
            <w:r w:rsidRPr="00E61070">
              <w:rPr>
                <w:szCs w:val="20"/>
                <w:lang w:val="fr-CA"/>
              </w:rPr>
              <w:t>La demande d’autorisation d’appel de l’arrêt de la Cour d’appel de l’Ontario, numéro C52714, 2011 ONCA 728, daté du 22 novembre 2011, est rejetée avec dépens.</w:t>
            </w:r>
          </w:p>
        </w:tc>
      </w:tr>
    </w:tbl>
    <w:p w:rsidR="00FD4A4B" w:rsidRPr="00FD4A4B" w:rsidRDefault="00FD4A4B" w:rsidP="00FD4A4B">
      <w:pPr>
        <w:rPr>
          <w:sz w:val="20"/>
          <w:szCs w:val="20"/>
          <w:lang w:val="fr-CA"/>
        </w:rPr>
      </w:pPr>
    </w:p>
    <w:p w:rsidR="00FD4A4B" w:rsidRPr="001B157C" w:rsidRDefault="00FD4A4B" w:rsidP="00FD4A4B">
      <w:pPr>
        <w:rPr>
          <w:sz w:val="20"/>
          <w:szCs w:val="20"/>
          <w:u w:val="single"/>
        </w:rPr>
      </w:pPr>
      <w:r w:rsidRPr="001B157C">
        <w:rPr>
          <w:sz w:val="20"/>
          <w:szCs w:val="20"/>
          <w:u w:val="single"/>
        </w:rPr>
        <w:t>CASE SUMMARY</w:t>
      </w:r>
    </w:p>
    <w:p w:rsidR="00FD4A4B" w:rsidRDefault="00FD4A4B" w:rsidP="00FD4A4B">
      <w:pPr>
        <w:rPr>
          <w:sz w:val="20"/>
          <w:szCs w:val="20"/>
        </w:rPr>
      </w:pPr>
    </w:p>
    <w:tbl>
      <w:tblPr>
        <w:tblW w:w="4952" w:type="pct"/>
        <w:tblLayout w:type="fixed"/>
        <w:tblCellMar>
          <w:left w:w="0" w:type="dxa"/>
          <w:bottom w:w="99" w:type="dxa"/>
          <w:right w:w="0" w:type="dxa"/>
        </w:tblCellMar>
        <w:tblLook w:val="04A0"/>
      </w:tblPr>
      <w:tblGrid>
        <w:gridCol w:w="9527"/>
      </w:tblGrid>
      <w:tr w:rsidR="00E42F15" w:rsidRPr="00BF0708" w:rsidTr="00E42F15">
        <w:tc>
          <w:tcPr>
            <w:tcW w:w="5000" w:type="pct"/>
          </w:tcPr>
          <w:p w:rsidR="00E42F15" w:rsidRPr="00BF0708" w:rsidRDefault="00E42F15" w:rsidP="00E42F15">
            <w:pPr>
              <w:jc w:val="both"/>
              <w:rPr>
                <w:rFonts w:eastAsia="Calibri"/>
                <w:sz w:val="20"/>
              </w:rPr>
            </w:pPr>
            <w:r w:rsidRPr="00BF0708">
              <w:rPr>
                <w:rFonts w:eastAsia="Calibri"/>
                <w:sz w:val="20"/>
              </w:rPr>
              <w:t xml:space="preserve">Employment law – Unjust dismissal – Natural justice – Courts -  Jurisdiction - Whether ordained Roman Catholic priest has right to seek a remedy in employment related matters in the courts – Jurisdiction of civil courts  - </w:t>
            </w:r>
            <w:r w:rsidRPr="00BF0708">
              <w:rPr>
                <w:rFonts w:eastAsia="Calibri"/>
                <w:i/>
                <w:sz w:val="20"/>
              </w:rPr>
              <w:t>McCaw v. United Church of Canada</w:t>
            </w:r>
            <w:r w:rsidRPr="00BF0708">
              <w:rPr>
                <w:rFonts w:eastAsia="Calibri"/>
                <w:sz w:val="20"/>
              </w:rPr>
              <w:t xml:space="preserve">, 1991 49 O.A.C. 389 – Whether applicant was wrongly denied access to justice by the courts – Whether decision contrary to </w:t>
            </w:r>
            <w:r w:rsidRPr="00BF0708">
              <w:rPr>
                <w:rFonts w:eastAsia="Calibri"/>
                <w:i/>
                <w:sz w:val="20"/>
              </w:rPr>
              <w:t>Goudie v. Ottawa (City)</w:t>
            </w:r>
            <w:r w:rsidRPr="00BF0708">
              <w:rPr>
                <w:rFonts w:eastAsia="Calibri"/>
                <w:sz w:val="20"/>
              </w:rPr>
              <w:t>, [2003] 1 S.C.R. 141</w:t>
            </w:r>
          </w:p>
        </w:tc>
      </w:tr>
      <w:tr w:rsidR="00E42F15" w:rsidRPr="00BF0708" w:rsidTr="00E42F15">
        <w:tc>
          <w:tcPr>
            <w:tcW w:w="5000" w:type="pct"/>
          </w:tcPr>
          <w:p w:rsidR="00E42F15" w:rsidRPr="00BF0708" w:rsidRDefault="00E42F15" w:rsidP="00E42F15">
            <w:pPr>
              <w:jc w:val="both"/>
              <w:rPr>
                <w:rFonts w:eastAsia="Calibri"/>
                <w:sz w:val="20"/>
              </w:rPr>
            </w:pPr>
          </w:p>
        </w:tc>
      </w:tr>
      <w:tr w:rsidR="00E42F15" w:rsidRPr="00BF0708" w:rsidTr="00E42F15">
        <w:tc>
          <w:tcPr>
            <w:tcW w:w="5000" w:type="pct"/>
          </w:tcPr>
          <w:p w:rsidR="00E42F15" w:rsidRPr="00BF0708" w:rsidRDefault="00E42F15" w:rsidP="00E42F15">
            <w:pPr>
              <w:jc w:val="both"/>
              <w:rPr>
                <w:rFonts w:eastAsia="Calibri"/>
                <w:sz w:val="20"/>
              </w:rPr>
            </w:pPr>
            <w:bookmarkStart w:id="1" w:name="OLE_LINK1"/>
            <w:bookmarkStart w:id="2" w:name="OLE_LINK2"/>
            <w:r w:rsidRPr="00BF0708">
              <w:rPr>
                <w:rFonts w:eastAsia="Calibri"/>
                <w:sz w:val="20"/>
              </w:rPr>
              <w:t xml:space="preserve">The applicant is an ordained Roman Catholic priest who was assigned churches in the respondent Diocese.  The Diocese became concerned about irregularities in parish finances and with the applicant’s business relationship with an individual.  The Diocese issued three decrees – administrative leave, suspension of the applicant’s power to exercise sacramental ministry and removal from office.  The applicant remains a priest and the respondent is obligated to support him.  The applicant brought an action against the respondent for constructive dismissal.  On motion of the respondent, the proceedings were stayed.  The applicant’s appeal of this decision to the Court of Appeal was dismissed. </w:t>
            </w:r>
            <w:bookmarkEnd w:id="1"/>
            <w:bookmarkEnd w:id="2"/>
          </w:p>
          <w:p w:rsidR="00E42F15" w:rsidRPr="00BF0708" w:rsidRDefault="00E42F15" w:rsidP="00E42F15">
            <w:pPr>
              <w:jc w:val="both"/>
              <w:rPr>
                <w:rFonts w:eastAsia="Calibri"/>
                <w:sz w:val="20"/>
              </w:rPr>
            </w:pPr>
          </w:p>
        </w:tc>
      </w:tr>
    </w:tbl>
    <w:p w:rsidR="00C06378" w:rsidRDefault="00C06378"/>
    <w:tbl>
      <w:tblPr>
        <w:tblW w:w="4952" w:type="pct"/>
        <w:tblLayout w:type="fixed"/>
        <w:tblCellMar>
          <w:left w:w="0" w:type="dxa"/>
          <w:bottom w:w="99" w:type="dxa"/>
          <w:right w:w="0" w:type="dxa"/>
        </w:tblCellMar>
        <w:tblLook w:val="04A0"/>
      </w:tblPr>
      <w:tblGrid>
        <w:gridCol w:w="4624"/>
        <w:gridCol w:w="463"/>
        <w:gridCol w:w="4440"/>
      </w:tblGrid>
      <w:tr w:rsidR="00E42F15" w:rsidRPr="00BF0708" w:rsidTr="00C06378">
        <w:trPr>
          <w:cantSplit/>
        </w:trPr>
        <w:tc>
          <w:tcPr>
            <w:tcW w:w="2427" w:type="pct"/>
          </w:tcPr>
          <w:p w:rsidR="00E42F15" w:rsidRPr="00BF0708" w:rsidRDefault="00E42F15" w:rsidP="00E42F15">
            <w:pPr>
              <w:jc w:val="both"/>
              <w:rPr>
                <w:rFonts w:eastAsia="Calibri"/>
                <w:sz w:val="20"/>
              </w:rPr>
            </w:pPr>
            <w:r w:rsidRPr="00BF0708">
              <w:rPr>
                <w:rFonts w:eastAsia="Calibri"/>
                <w:sz w:val="20"/>
              </w:rPr>
              <w:t>August 31, 2010</w:t>
            </w:r>
          </w:p>
          <w:p w:rsidR="00E42F15" w:rsidRPr="00BF0708" w:rsidRDefault="00E42F15" w:rsidP="00E42F15">
            <w:pPr>
              <w:jc w:val="both"/>
              <w:rPr>
                <w:rFonts w:eastAsia="Calibri"/>
                <w:sz w:val="20"/>
              </w:rPr>
            </w:pPr>
            <w:r w:rsidRPr="00BF0708">
              <w:rPr>
                <w:rFonts w:eastAsia="Calibri"/>
                <w:sz w:val="20"/>
              </w:rPr>
              <w:t>Ontario Superior Court of Justice</w:t>
            </w:r>
          </w:p>
          <w:p w:rsidR="00E42F15" w:rsidRPr="00BF0708" w:rsidRDefault="00E42F15" w:rsidP="00E42F15">
            <w:pPr>
              <w:jc w:val="both"/>
              <w:rPr>
                <w:rFonts w:eastAsia="Calibri"/>
                <w:sz w:val="20"/>
              </w:rPr>
            </w:pPr>
            <w:r w:rsidRPr="00BF0708">
              <w:rPr>
                <w:rFonts w:eastAsia="Calibri"/>
                <w:sz w:val="20"/>
              </w:rPr>
              <w:t>(Beaudoin J.)</w:t>
            </w:r>
          </w:p>
          <w:p w:rsidR="00E42F15" w:rsidRPr="00BF0708" w:rsidRDefault="00E42F15" w:rsidP="00E42F15">
            <w:pPr>
              <w:jc w:val="both"/>
              <w:rPr>
                <w:rFonts w:eastAsia="Calibri"/>
                <w:sz w:val="20"/>
              </w:rPr>
            </w:pPr>
            <w:r w:rsidRPr="00BF0708">
              <w:rPr>
                <w:rFonts w:eastAsia="Calibri"/>
                <w:sz w:val="20"/>
              </w:rPr>
              <w:t>Neutral citation: 2010 ONSC 4709</w:t>
            </w:r>
          </w:p>
          <w:p w:rsidR="00E42F15" w:rsidRPr="00BF0708" w:rsidRDefault="00E42F15" w:rsidP="00E42F15">
            <w:pPr>
              <w:jc w:val="both"/>
              <w:rPr>
                <w:rFonts w:eastAsia="Calibri"/>
                <w:sz w:val="20"/>
              </w:rPr>
            </w:pPr>
          </w:p>
        </w:tc>
        <w:tc>
          <w:tcPr>
            <w:tcW w:w="243" w:type="pct"/>
          </w:tcPr>
          <w:p w:rsidR="00E42F15" w:rsidRPr="00BF0708" w:rsidRDefault="00E42F15" w:rsidP="00E42F15">
            <w:pPr>
              <w:jc w:val="both"/>
              <w:rPr>
                <w:rFonts w:eastAsia="Calibri"/>
                <w:sz w:val="20"/>
              </w:rPr>
            </w:pPr>
          </w:p>
        </w:tc>
        <w:tc>
          <w:tcPr>
            <w:tcW w:w="2330" w:type="pct"/>
          </w:tcPr>
          <w:p w:rsidR="00E42F15" w:rsidRPr="00BF0708" w:rsidRDefault="00E42F15" w:rsidP="00E42F15">
            <w:pPr>
              <w:jc w:val="both"/>
              <w:rPr>
                <w:rFonts w:eastAsia="Calibri"/>
                <w:sz w:val="20"/>
              </w:rPr>
            </w:pPr>
            <w:r w:rsidRPr="00BF0708">
              <w:rPr>
                <w:rFonts w:eastAsia="Calibri"/>
                <w:sz w:val="20"/>
              </w:rPr>
              <w:t>Proceedings stayed</w:t>
            </w:r>
          </w:p>
          <w:p w:rsidR="00E42F15" w:rsidRPr="00BF0708" w:rsidRDefault="00E42F15" w:rsidP="00E42F15">
            <w:pPr>
              <w:jc w:val="both"/>
              <w:rPr>
                <w:rFonts w:eastAsia="Calibri"/>
                <w:sz w:val="20"/>
              </w:rPr>
            </w:pPr>
          </w:p>
        </w:tc>
      </w:tr>
      <w:tr w:rsidR="00E42F15" w:rsidRPr="00BF0708" w:rsidTr="00C06378">
        <w:trPr>
          <w:cantSplit/>
        </w:trPr>
        <w:tc>
          <w:tcPr>
            <w:tcW w:w="2427" w:type="pct"/>
          </w:tcPr>
          <w:p w:rsidR="00E42F15" w:rsidRPr="00BF0708" w:rsidRDefault="00E42F15" w:rsidP="00E42F15">
            <w:pPr>
              <w:jc w:val="both"/>
              <w:rPr>
                <w:rFonts w:eastAsia="Calibri"/>
                <w:sz w:val="20"/>
              </w:rPr>
            </w:pPr>
            <w:r w:rsidRPr="00BF0708">
              <w:rPr>
                <w:rFonts w:eastAsia="Calibri"/>
                <w:sz w:val="20"/>
              </w:rPr>
              <w:t>November 22, 2011</w:t>
            </w:r>
          </w:p>
          <w:p w:rsidR="00E42F15" w:rsidRPr="00BF0708" w:rsidRDefault="00E42F15" w:rsidP="00E42F15">
            <w:pPr>
              <w:jc w:val="both"/>
              <w:rPr>
                <w:rFonts w:eastAsia="Calibri"/>
                <w:sz w:val="20"/>
              </w:rPr>
            </w:pPr>
            <w:r w:rsidRPr="00BF0708">
              <w:rPr>
                <w:rFonts w:eastAsia="Calibri"/>
                <w:sz w:val="20"/>
              </w:rPr>
              <w:t>Court of Appeal for Ontario</w:t>
            </w:r>
          </w:p>
          <w:p w:rsidR="00E42F15" w:rsidRPr="00BF0708" w:rsidRDefault="00E42F15" w:rsidP="00E42F15">
            <w:pPr>
              <w:jc w:val="both"/>
              <w:rPr>
                <w:rFonts w:eastAsia="Calibri"/>
                <w:sz w:val="20"/>
              </w:rPr>
            </w:pPr>
            <w:r w:rsidRPr="00BF0708">
              <w:rPr>
                <w:rFonts w:eastAsia="Calibri"/>
                <w:sz w:val="20"/>
              </w:rPr>
              <w:t>(Laskin, Feldman and MacPherson JJ.A.)</w:t>
            </w:r>
          </w:p>
          <w:p w:rsidR="00E42F15" w:rsidRPr="00BF0708" w:rsidRDefault="00E42F15" w:rsidP="00F34149">
            <w:pPr>
              <w:jc w:val="both"/>
              <w:rPr>
                <w:rFonts w:eastAsia="Calibri"/>
                <w:sz w:val="20"/>
              </w:rPr>
            </w:pPr>
            <w:r w:rsidRPr="00BF0708">
              <w:rPr>
                <w:rFonts w:eastAsia="Calibri"/>
                <w:sz w:val="20"/>
              </w:rPr>
              <w:t>Neutral citation: 2011 ONCA 728</w:t>
            </w:r>
          </w:p>
        </w:tc>
        <w:tc>
          <w:tcPr>
            <w:tcW w:w="243" w:type="pct"/>
          </w:tcPr>
          <w:p w:rsidR="00E42F15" w:rsidRPr="00BF0708" w:rsidRDefault="00E42F15" w:rsidP="00E42F15">
            <w:pPr>
              <w:jc w:val="both"/>
              <w:rPr>
                <w:rFonts w:eastAsia="Calibri"/>
                <w:sz w:val="20"/>
              </w:rPr>
            </w:pPr>
          </w:p>
        </w:tc>
        <w:tc>
          <w:tcPr>
            <w:tcW w:w="2330" w:type="pct"/>
          </w:tcPr>
          <w:p w:rsidR="00E42F15" w:rsidRPr="00BF0708" w:rsidRDefault="00E42F15" w:rsidP="00E42F15">
            <w:pPr>
              <w:jc w:val="both"/>
              <w:rPr>
                <w:rFonts w:eastAsia="Calibri"/>
                <w:sz w:val="20"/>
              </w:rPr>
            </w:pPr>
            <w:r w:rsidRPr="00BF0708">
              <w:rPr>
                <w:rFonts w:eastAsia="Calibri"/>
                <w:sz w:val="20"/>
              </w:rPr>
              <w:t>Appeal dismissed</w:t>
            </w:r>
          </w:p>
          <w:p w:rsidR="00E42F15" w:rsidRPr="00BF0708" w:rsidRDefault="00E42F15" w:rsidP="00E42F15">
            <w:pPr>
              <w:jc w:val="both"/>
              <w:rPr>
                <w:rFonts w:eastAsia="Calibri"/>
                <w:sz w:val="20"/>
              </w:rPr>
            </w:pPr>
          </w:p>
        </w:tc>
      </w:tr>
    </w:tbl>
    <w:p w:rsidR="00F34149" w:rsidRDefault="00F34149"/>
    <w:p w:rsidR="00F34149" w:rsidRDefault="00F34149">
      <w:r>
        <w:br w:type="page"/>
      </w:r>
    </w:p>
    <w:tbl>
      <w:tblPr>
        <w:tblW w:w="4952" w:type="pct"/>
        <w:tblLayout w:type="fixed"/>
        <w:tblCellMar>
          <w:left w:w="0" w:type="dxa"/>
          <w:bottom w:w="99" w:type="dxa"/>
          <w:right w:w="0" w:type="dxa"/>
        </w:tblCellMar>
        <w:tblLook w:val="04A0"/>
      </w:tblPr>
      <w:tblGrid>
        <w:gridCol w:w="4624"/>
        <w:gridCol w:w="463"/>
        <w:gridCol w:w="4440"/>
      </w:tblGrid>
      <w:tr w:rsidR="00E42F15" w:rsidRPr="00BF0708" w:rsidTr="00C06378">
        <w:trPr>
          <w:cantSplit/>
        </w:trPr>
        <w:tc>
          <w:tcPr>
            <w:tcW w:w="2427" w:type="pct"/>
          </w:tcPr>
          <w:p w:rsidR="00E42F15" w:rsidRPr="00BF0708" w:rsidRDefault="00E42F15" w:rsidP="00E42F15">
            <w:pPr>
              <w:jc w:val="both"/>
              <w:rPr>
                <w:rFonts w:eastAsia="Calibri"/>
                <w:sz w:val="20"/>
              </w:rPr>
            </w:pPr>
            <w:r w:rsidRPr="00BF0708">
              <w:rPr>
                <w:rFonts w:eastAsia="Calibri"/>
                <w:sz w:val="20"/>
              </w:rPr>
              <w:lastRenderedPageBreak/>
              <w:t>January 20, 2012</w:t>
            </w:r>
          </w:p>
          <w:p w:rsidR="00E42F15" w:rsidRPr="00BF0708" w:rsidRDefault="00E42F15" w:rsidP="00E42F15">
            <w:pPr>
              <w:jc w:val="both"/>
              <w:rPr>
                <w:rFonts w:eastAsia="Calibri"/>
                <w:sz w:val="20"/>
              </w:rPr>
            </w:pPr>
            <w:r w:rsidRPr="00BF0708">
              <w:rPr>
                <w:rFonts w:eastAsia="Calibri"/>
                <w:sz w:val="20"/>
              </w:rPr>
              <w:t>Supreme Court of Canada</w:t>
            </w:r>
          </w:p>
        </w:tc>
        <w:tc>
          <w:tcPr>
            <w:tcW w:w="243" w:type="pct"/>
          </w:tcPr>
          <w:p w:rsidR="00E42F15" w:rsidRPr="00BF0708" w:rsidRDefault="00E42F15" w:rsidP="00E42F15">
            <w:pPr>
              <w:jc w:val="both"/>
              <w:rPr>
                <w:rFonts w:eastAsia="Calibri"/>
                <w:sz w:val="20"/>
              </w:rPr>
            </w:pPr>
          </w:p>
        </w:tc>
        <w:tc>
          <w:tcPr>
            <w:tcW w:w="2330" w:type="pct"/>
          </w:tcPr>
          <w:p w:rsidR="00E42F15" w:rsidRPr="00BF0708" w:rsidRDefault="00E42F15" w:rsidP="00E42F15">
            <w:pPr>
              <w:jc w:val="both"/>
              <w:rPr>
                <w:rFonts w:eastAsia="Calibri"/>
                <w:sz w:val="20"/>
              </w:rPr>
            </w:pPr>
            <w:r w:rsidRPr="00BF0708">
              <w:rPr>
                <w:rFonts w:eastAsia="Calibri"/>
                <w:sz w:val="20"/>
              </w:rPr>
              <w:t>Application for leave to appeal filed</w:t>
            </w:r>
          </w:p>
          <w:p w:rsidR="00E42F15" w:rsidRPr="00BF0708" w:rsidRDefault="00E42F15" w:rsidP="00E42F15">
            <w:pPr>
              <w:jc w:val="both"/>
              <w:rPr>
                <w:rFonts w:eastAsia="Calibri"/>
                <w:sz w:val="20"/>
              </w:rPr>
            </w:pP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54" style="width:2in;height:1pt" o:hrpct="0" o:hralign="center" o:hrstd="t" o:hrnoshade="t" o:hr="t" fillcolor="black [3213]" stroked="f"/>
        </w:pict>
      </w:r>
    </w:p>
    <w:p w:rsidR="00FD4A4B" w:rsidRDefault="00FD4A4B" w:rsidP="00FD4A4B">
      <w:pPr>
        <w:rPr>
          <w:sz w:val="20"/>
          <w:szCs w:val="20"/>
        </w:rPr>
      </w:pPr>
    </w:p>
    <w:p w:rsidR="00FD4A4B" w:rsidRPr="001B157C" w:rsidRDefault="00FD4A4B" w:rsidP="00FD4A4B">
      <w:pPr>
        <w:rPr>
          <w:sz w:val="20"/>
          <w:szCs w:val="20"/>
          <w:u w:val="single"/>
          <w:lang w:val="fr-CA"/>
        </w:rPr>
      </w:pPr>
      <w:r w:rsidRPr="001B157C">
        <w:rPr>
          <w:sz w:val="20"/>
          <w:szCs w:val="20"/>
          <w:u w:val="single"/>
          <w:lang w:val="fr-CA"/>
        </w:rPr>
        <w:t>RÉSUMÉ DE L’AFFAIRE</w:t>
      </w:r>
    </w:p>
    <w:p w:rsidR="00FD4A4B" w:rsidRDefault="00FD4A4B" w:rsidP="00FD4A4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42F15" w:rsidRPr="0028361F" w:rsidTr="00E42F15">
        <w:tc>
          <w:tcPr>
            <w:tcW w:w="5000" w:type="pct"/>
            <w:gridSpan w:val="3"/>
          </w:tcPr>
          <w:p w:rsidR="00E42F15" w:rsidRPr="00BF0708" w:rsidRDefault="00E42F15" w:rsidP="00E42F15">
            <w:pPr>
              <w:jc w:val="both"/>
              <w:rPr>
                <w:rFonts w:eastAsia="Calibri"/>
                <w:sz w:val="20"/>
                <w:lang w:val="fr-CA"/>
              </w:rPr>
            </w:pPr>
            <w:r w:rsidRPr="00BF0708">
              <w:rPr>
                <w:rFonts w:eastAsia="Calibri"/>
                <w:sz w:val="20"/>
                <w:lang w:val="fr-CA"/>
              </w:rPr>
              <w:t xml:space="preserve">Droit de l’emploi </w:t>
            </w:r>
            <w:r w:rsidRPr="00BF0708">
              <w:rPr>
                <w:rFonts w:eastAsia="Calibri"/>
                <w:sz w:val="20"/>
                <w:lang w:val="fr-CA"/>
              </w:rPr>
              <w:noBreakHyphen/>
              <w:t xml:space="preserve"> Congédiement injustifié </w:t>
            </w:r>
            <w:r w:rsidRPr="00BF0708">
              <w:rPr>
                <w:rFonts w:eastAsia="Calibri"/>
                <w:sz w:val="20"/>
                <w:lang w:val="fr-CA"/>
              </w:rPr>
              <w:noBreakHyphen/>
              <w:t xml:space="preserve"> Justice naturelle </w:t>
            </w:r>
            <w:r w:rsidRPr="00BF0708">
              <w:rPr>
                <w:rFonts w:eastAsia="Calibri"/>
                <w:sz w:val="20"/>
                <w:lang w:val="fr-CA"/>
              </w:rPr>
              <w:noBreakHyphen/>
              <w:t xml:space="preserve"> Tribunaux </w:t>
            </w:r>
            <w:r w:rsidRPr="00BF0708">
              <w:rPr>
                <w:rFonts w:eastAsia="Calibri"/>
                <w:sz w:val="20"/>
                <w:lang w:val="fr-CA"/>
              </w:rPr>
              <w:noBreakHyphen/>
              <w:t xml:space="preserve"> Compétence </w:t>
            </w:r>
            <w:r w:rsidRPr="00BF0708">
              <w:rPr>
                <w:rFonts w:eastAsia="Calibri"/>
                <w:sz w:val="20"/>
                <w:lang w:val="fr-CA"/>
              </w:rPr>
              <w:noBreakHyphen/>
              <w:t xml:space="preserve"> Un prêtre ordonné catholique romain a</w:t>
            </w:r>
            <w:r w:rsidRPr="00BF0708">
              <w:rPr>
                <w:rFonts w:eastAsia="Calibri"/>
                <w:sz w:val="20"/>
                <w:lang w:val="fr-CA"/>
              </w:rPr>
              <w:noBreakHyphen/>
              <w:t>t</w:t>
            </w:r>
            <w:r w:rsidRPr="00BF0708">
              <w:rPr>
                <w:rFonts w:eastAsia="Calibri"/>
                <w:sz w:val="20"/>
                <w:lang w:val="fr-CA"/>
              </w:rPr>
              <w:noBreakHyphen/>
              <w:t xml:space="preserve">il le droit d’intenter un recours relatif à des questions d’emploi devant les tribunaux? </w:t>
            </w:r>
            <w:r w:rsidRPr="00BF0708">
              <w:rPr>
                <w:rFonts w:eastAsia="Calibri"/>
                <w:sz w:val="20"/>
                <w:lang w:val="fr-CA"/>
              </w:rPr>
              <w:noBreakHyphen/>
              <w:t xml:space="preserve"> Compétence des tribunaux civils </w:t>
            </w:r>
            <w:r w:rsidRPr="00BF0708">
              <w:rPr>
                <w:rFonts w:eastAsia="Calibri"/>
                <w:sz w:val="20"/>
                <w:lang w:val="fr-CA"/>
              </w:rPr>
              <w:noBreakHyphen/>
              <w:t xml:space="preserve"> </w:t>
            </w:r>
            <w:r w:rsidRPr="00BF0708">
              <w:rPr>
                <w:rFonts w:eastAsia="Calibri"/>
                <w:i/>
                <w:sz w:val="20"/>
                <w:lang w:val="fr-CA"/>
              </w:rPr>
              <w:t>McCaw c. United Church of Canada</w:t>
            </w:r>
            <w:r w:rsidRPr="00BF0708">
              <w:rPr>
                <w:rFonts w:eastAsia="Calibri"/>
                <w:sz w:val="20"/>
                <w:lang w:val="fr-CA"/>
              </w:rPr>
              <w:t xml:space="preserve">, 1991 49 O.A.C. 389 </w:t>
            </w:r>
            <w:r w:rsidRPr="00BF0708">
              <w:rPr>
                <w:rFonts w:eastAsia="Calibri"/>
                <w:sz w:val="20"/>
                <w:lang w:val="fr-CA"/>
              </w:rPr>
              <w:noBreakHyphen/>
              <w:t xml:space="preserve"> Le demandeur s’est</w:t>
            </w:r>
            <w:r w:rsidRPr="00BF0708">
              <w:rPr>
                <w:rFonts w:eastAsia="Calibri"/>
                <w:sz w:val="20"/>
                <w:lang w:val="fr-CA"/>
              </w:rPr>
              <w:noBreakHyphen/>
              <w:t xml:space="preserve">il vu injustement refuser l’accès à la justice des tribunaux? </w:t>
            </w:r>
            <w:r w:rsidRPr="00BF0708">
              <w:rPr>
                <w:rFonts w:eastAsia="Calibri"/>
                <w:sz w:val="20"/>
                <w:lang w:val="fr-CA"/>
              </w:rPr>
              <w:noBreakHyphen/>
              <w:t xml:space="preserve"> La décision est</w:t>
            </w:r>
            <w:r w:rsidRPr="00BF0708">
              <w:rPr>
                <w:rFonts w:eastAsia="Calibri"/>
                <w:sz w:val="20"/>
                <w:lang w:val="fr-CA"/>
              </w:rPr>
              <w:noBreakHyphen/>
              <w:t xml:space="preserve">elle contraire à l’arrêt </w:t>
            </w:r>
            <w:r w:rsidRPr="00BF0708">
              <w:rPr>
                <w:rFonts w:eastAsia="Calibri"/>
                <w:i/>
                <w:sz w:val="20"/>
                <w:lang w:val="fr-CA"/>
              </w:rPr>
              <w:t>Goudie c. Ottawa (Ville)</w:t>
            </w:r>
            <w:r w:rsidRPr="00BF0708">
              <w:rPr>
                <w:rFonts w:eastAsia="Calibri"/>
                <w:sz w:val="20"/>
                <w:lang w:val="fr-CA"/>
              </w:rPr>
              <w:t>, [2003] 1 R.C.S. 141?</w:t>
            </w:r>
          </w:p>
          <w:p w:rsidR="00E42F15" w:rsidRPr="00BF0708" w:rsidRDefault="00E42F15" w:rsidP="00E42F15">
            <w:pPr>
              <w:jc w:val="both"/>
              <w:rPr>
                <w:rFonts w:eastAsia="Calibri"/>
                <w:sz w:val="20"/>
                <w:lang w:val="fr-CA"/>
              </w:rPr>
            </w:pPr>
          </w:p>
        </w:tc>
      </w:tr>
      <w:tr w:rsidR="00E42F15" w:rsidRPr="0028361F" w:rsidTr="00E42F15">
        <w:tc>
          <w:tcPr>
            <w:tcW w:w="5000" w:type="pct"/>
            <w:gridSpan w:val="3"/>
          </w:tcPr>
          <w:p w:rsidR="00E42F15" w:rsidRPr="00BF0708" w:rsidRDefault="00E42F15" w:rsidP="00E42F15">
            <w:pPr>
              <w:jc w:val="both"/>
              <w:rPr>
                <w:rFonts w:eastAsia="Calibri"/>
                <w:sz w:val="20"/>
                <w:lang w:val="fr-CA"/>
              </w:rPr>
            </w:pPr>
            <w:r w:rsidRPr="00BF0708">
              <w:rPr>
                <w:rFonts w:eastAsia="Calibri"/>
                <w:sz w:val="20"/>
                <w:lang w:val="fr-CA"/>
              </w:rPr>
              <w:t xml:space="preserve">Le demandeur est un prêtre ordonné catholique romaine qui s’était vu attribuer des charges dans des églises du diocèse intimé.  Le diocèse a commencé à s’inquiéter d’irrégularités dans les finances paroissiales et des relations d’affaires du demandeur avec un particulier.  Le diocèse a pris trois décrets </w:t>
            </w:r>
            <w:r w:rsidRPr="00BF0708">
              <w:rPr>
                <w:rFonts w:eastAsia="Calibri"/>
                <w:sz w:val="20"/>
                <w:lang w:val="fr-CA"/>
              </w:rPr>
              <w:noBreakHyphen/>
              <w:t xml:space="preserve"> un congé administratif, la suspension du pouvoir du demandeur d’exercer son ministère sacramentel et le renvoi.  Le demandeur demeure prêtre et l’intimée est tenue de subvenir à ses besoins.  Le demandeur a intenté une action en congédiement déguisé contre l’intimée.  Sur une motion de l’intimée, il y a eu suspension de l’instance.  L’appel de cette décision par le demandeur à la Cour d’appel a été rejeté. </w:t>
            </w:r>
          </w:p>
          <w:p w:rsidR="00E42F15" w:rsidRPr="00BF0708" w:rsidRDefault="00E42F15" w:rsidP="00E42F15">
            <w:pPr>
              <w:jc w:val="both"/>
              <w:rPr>
                <w:rFonts w:eastAsia="Calibri"/>
                <w:sz w:val="20"/>
                <w:lang w:val="fr-CA"/>
              </w:rPr>
            </w:pPr>
          </w:p>
        </w:tc>
      </w:tr>
      <w:tr w:rsidR="00E42F15" w:rsidRPr="00BF0708" w:rsidTr="00E42F15">
        <w:tc>
          <w:tcPr>
            <w:tcW w:w="2427" w:type="pct"/>
          </w:tcPr>
          <w:p w:rsidR="00E42F15" w:rsidRPr="00BF0708" w:rsidRDefault="00E42F15" w:rsidP="00E42F15">
            <w:pPr>
              <w:jc w:val="both"/>
              <w:rPr>
                <w:rFonts w:eastAsia="Calibri"/>
                <w:sz w:val="20"/>
                <w:lang w:val="fr-CA"/>
              </w:rPr>
            </w:pPr>
            <w:r w:rsidRPr="00BF0708">
              <w:rPr>
                <w:rFonts w:eastAsia="Calibri"/>
                <w:sz w:val="20"/>
                <w:lang w:val="fr-CA"/>
              </w:rPr>
              <w:t>31 août 2010</w:t>
            </w:r>
          </w:p>
          <w:p w:rsidR="00E42F15" w:rsidRPr="00BF0708" w:rsidRDefault="00E42F15" w:rsidP="00E42F15">
            <w:pPr>
              <w:jc w:val="both"/>
              <w:rPr>
                <w:rFonts w:eastAsia="Calibri"/>
                <w:sz w:val="20"/>
                <w:lang w:val="fr-CA"/>
              </w:rPr>
            </w:pPr>
            <w:r w:rsidRPr="00BF0708">
              <w:rPr>
                <w:rFonts w:eastAsia="Calibri"/>
                <w:sz w:val="20"/>
                <w:lang w:val="fr-CA"/>
              </w:rPr>
              <w:t xml:space="preserve">Cour supérieure de justice de l’Ontario </w:t>
            </w:r>
          </w:p>
          <w:p w:rsidR="00E42F15" w:rsidRPr="00BF0708" w:rsidRDefault="00E42F15" w:rsidP="00E42F15">
            <w:pPr>
              <w:jc w:val="both"/>
              <w:rPr>
                <w:rFonts w:eastAsia="Calibri"/>
                <w:sz w:val="20"/>
                <w:lang w:val="fr-CA"/>
              </w:rPr>
            </w:pPr>
            <w:r w:rsidRPr="00BF0708">
              <w:rPr>
                <w:rFonts w:eastAsia="Calibri"/>
                <w:sz w:val="20"/>
                <w:lang w:val="fr-CA"/>
              </w:rPr>
              <w:t>(Juge Beaudoin)</w:t>
            </w:r>
          </w:p>
          <w:p w:rsidR="00E42F15" w:rsidRPr="00BF0708" w:rsidRDefault="00E42F15" w:rsidP="00E42F15">
            <w:pPr>
              <w:jc w:val="both"/>
              <w:rPr>
                <w:rFonts w:eastAsia="Calibri"/>
                <w:sz w:val="20"/>
                <w:lang w:val="fr-CA"/>
              </w:rPr>
            </w:pPr>
            <w:r w:rsidRPr="00BF0708">
              <w:rPr>
                <w:rFonts w:eastAsia="Calibri"/>
                <w:sz w:val="20"/>
                <w:lang w:val="fr-CA"/>
              </w:rPr>
              <w:t>Référence neutre : 2010 ONSC 4709</w:t>
            </w:r>
          </w:p>
          <w:p w:rsidR="00E42F15" w:rsidRPr="00BF0708" w:rsidRDefault="00E42F15" w:rsidP="00E42F15">
            <w:pPr>
              <w:jc w:val="both"/>
              <w:rPr>
                <w:rFonts w:eastAsia="Calibri"/>
                <w:sz w:val="20"/>
                <w:lang w:val="fr-CA"/>
              </w:rPr>
            </w:pPr>
          </w:p>
        </w:tc>
        <w:tc>
          <w:tcPr>
            <w:tcW w:w="243" w:type="pct"/>
          </w:tcPr>
          <w:p w:rsidR="00E42F15" w:rsidRPr="00BF0708" w:rsidRDefault="00E42F15" w:rsidP="00E42F15">
            <w:pPr>
              <w:jc w:val="both"/>
              <w:rPr>
                <w:rFonts w:eastAsia="Calibri"/>
                <w:sz w:val="20"/>
                <w:lang w:val="fr-CA"/>
              </w:rPr>
            </w:pPr>
          </w:p>
        </w:tc>
        <w:tc>
          <w:tcPr>
            <w:tcW w:w="2330" w:type="pct"/>
          </w:tcPr>
          <w:p w:rsidR="00E42F15" w:rsidRPr="00BF0708" w:rsidRDefault="00E42F15" w:rsidP="00E42F15">
            <w:pPr>
              <w:jc w:val="both"/>
              <w:rPr>
                <w:rFonts w:eastAsia="Calibri"/>
                <w:sz w:val="20"/>
                <w:lang w:val="fr-CA"/>
              </w:rPr>
            </w:pPr>
            <w:r w:rsidRPr="00BF0708">
              <w:rPr>
                <w:rFonts w:eastAsia="Calibri"/>
                <w:sz w:val="20"/>
                <w:lang w:val="fr-CA"/>
              </w:rPr>
              <w:t>Suspension de l’instance</w:t>
            </w:r>
          </w:p>
          <w:p w:rsidR="00E42F15" w:rsidRPr="00BF0708" w:rsidRDefault="00E42F15" w:rsidP="00E42F15">
            <w:pPr>
              <w:jc w:val="both"/>
              <w:rPr>
                <w:rFonts w:eastAsia="Calibri"/>
                <w:sz w:val="20"/>
                <w:lang w:val="fr-CA"/>
              </w:rPr>
            </w:pPr>
          </w:p>
        </w:tc>
      </w:tr>
      <w:tr w:rsidR="00E42F15" w:rsidRPr="00BF0708" w:rsidTr="00E42F15">
        <w:tc>
          <w:tcPr>
            <w:tcW w:w="2427" w:type="pct"/>
          </w:tcPr>
          <w:p w:rsidR="00E42F15" w:rsidRPr="00BF0708" w:rsidRDefault="00E42F15" w:rsidP="00E42F15">
            <w:pPr>
              <w:jc w:val="both"/>
              <w:rPr>
                <w:rFonts w:eastAsia="Calibri"/>
                <w:sz w:val="20"/>
                <w:lang w:val="fr-CA"/>
              </w:rPr>
            </w:pPr>
            <w:r w:rsidRPr="00BF0708">
              <w:rPr>
                <w:rFonts w:eastAsia="Calibri"/>
                <w:sz w:val="20"/>
                <w:lang w:val="fr-CA"/>
              </w:rPr>
              <w:t>22 novembre 2011</w:t>
            </w:r>
          </w:p>
          <w:p w:rsidR="00E42F15" w:rsidRPr="00BF0708" w:rsidRDefault="00E42F15" w:rsidP="00E42F15">
            <w:pPr>
              <w:jc w:val="both"/>
              <w:rPr>
                <w:rFonts w:eastAsia="Calibri"/>
                <w:sz w:val="20"/>
                <w:lang w:val="fr-CA"/>
              </w:rPr>
            </w:pPr>
            <w:r w:rsidRPr="00BF0708">
              <w:rPr>
                <w:rFonts w:eastAsia="Calibri"/>
                <w:sz w:val="20"/>
                <w:lang w:val="fr-CA"/>
              </w:rPr>
              <w:t>Cour d’appel de l’Ontario</w:t>
            </w:r>
          </w:p>
          <w:p w:rsidR="00E42F15" w:rsidRPr="00BF0708" w:rsidRDefault="00E42F15" w:rsidP="00E42F15">
            <w:pPr>
              <w:jc w:val="both"/>
              <w:rPr>
                <w:rFonts w:eastAsia="Calibri"/>
                <w:sz w:val="20"/>
                <w:lang w:val="fr-CA"/>
              </w:rPr>
            </w:pPr>
            <w:r w:rsidRPr="00BF0708">
              <w:rPr>
                <w:rFonts w:eastAsia="Calibri"/>
                <w:sz w:val="20"/>
                <w:lang w:val="fr-CA"/>
              </w:rPr>
              <w:t>(Juges Laskin, Feldman et MacPherson)</w:t>
            </w:r>
          </w:p>
          <w:p w:rsidR="00E42F15" w:rsidRPr="00BF0708" w:rsidRDefault="00E42F15" w:rsidP="00E42F15">
            <w:pPr>
              <w:jc w:val="both"/>
              <w:rPr>
                <w:rFonts w:eastAsia="Calibri"/>
                <w:sz w:val="20"/>
                <w:lang w:val="fr-CA"/>
              </w:rPr>
            </w:pPr>
            <w:r w:rsidRPr="00BF0708">
              <w:rPr>
                <w:rFonts w:eastAsia="Calibri"/>
                <w:sz w:val="20"/>
                <w:lang w:val="fr-CA"/>
              </w:rPr>
              <w:t>Référence neutre : 2011 ONCA 728</w:t>
            </w:r>
          </w:p>
          <w:p w:rsidR="00E42F15" w:rsidRPr="00BF0708" w:rsidRDefault="00E42F15" w:rsidP="00E42F15">
            <w:pPr>
              <w:jc w:val="both"/>
              <w:rPr>
                <w:rFonts w:eastAsia="Calibri"/>
                <w:sz w:val="20"/>
                <w:lang w:val="fr-CA"/>
              </w:rPr>
            </w:pPr>
          </w:p>
        </w:tc>
        <w:tc>
          <w:tcPr>
            <w:tcW w:w="243" w:type="pct"/>
          </w:tcPr>
          <w:p w:rsidR="00E42F15" w:rsidRPr="00BF0708" w:rsidRDefault="00E42F15" w:rsidP="00E42F15">
            <w:pPr>
              <w:jc w:val="both"/>
              <w:rPr>
                <w:rFonts w:eastAsia="Calibri"/>
                <w:sz w:val="20"/>
                <w:lang w:val="fr-CA"/>
              </w:rPr>
            </w:pPr>
          </w:p>
        </w:tc>
        <w:tc>
          <w:tcPr>
            <w:tcW w:w="2330" w:type="pct"/>
          </w:tcPr>
          <w:p w:rsidR="00E42F15" w:rsidRPr="00BF0708" w:rsidRDefault="00E42F15" w:rsidP="00E42F15">
            <w:pPr>
              <w:jc w:val="both"/>
              <w:rPr>
                <w:rFonts w:eastAsia="Calibri"/>
                <w:sz w:val="20"/>
                <w:lang w:val="fr-CA"/>
              </w:rPr>
            </w:pPr>
            <w:r w:rsidRPr="00BF0708">
              <w:rPr>
                <w:rFonts w:eastAsia="Calibri"/>
                <w:sz w:val="20"/>
                <w:lang w:val="fr-CA"/>
              </w:rPr>
              <w:t>Appel rejeté</w:t>
            </w:r>
          </w:p>
          <w:p w:rsidR="00E42F15" w:rsidRPr="00BF0708" w:rsidRDefault="00E42F15" w:rsidP="00E42F15">
            <w:pPr>
              <w:jc w:val="both"/>
              <w:rPr>
                <w:rFonts w:eastAsia="Calibri"/>
                <w:sz w:val="20"/>
                <w:lang w:val="fr-CA"/>
              </w:rPr>
            </w:pPr>
          </w:p>
        </w:tc>
      </w:tr>
      <w:tr w:rsidR="00E42F15" w:rsidRPr="00BF0708" w:rsidTr="00E42F15">
        <w:tc>
          <w:tcPr>
            <w:tcW w:w="2427" w:type="pct"/>
          </w:tcPr>
          <w:p w:rsidR="00E42F15" w:rsidRPr="00BF0708" w:rsidRDefault="00E42F15" w:rsidP="00E42F15">
            <w:pPr>
              <w:jc w:val="both"/>
              <w:rPr>
                <w:rFonts w:eastAsia="Calibri"/>
                <w:sz w:val="20"/>
                <w:lang w:val="fr-CA"/>
              </w:rPr>
            </w:pPr>
            <w:r w:rsidRPr="00BF0708">
              <w:rPr>
                <w:rFonts w:eastAsia="Calibri"/>
                <w:sz w:val="20"/>
                <w:lang w:val="fr-CA"/>
              </w:rPr>
              <w:t>20 janvier 2012</w:t>
            </w:r>
          </w:p>
          <w:p w:rsidR="00E42F15" w:rsidRPr="00BF0708" w:rsidRDefault="00E42F15" w:rsidP="00E42F15">
            <w:pPr>
              <w:jc w:val="both"/>
              <w:rPr>
                <w:rFonts w:eastAsia="Calibri"/>
                <w:sz w:val="20"/>
                <w:lang w:val="fr-CA"/>
              </w:rPr>
            </w:pPr>
            <w:r w:rsidRPr="00BF0708">
              <w:rPr>
                <w:rFonts w:eastAsia="Calibri"/>
                <w:sz w:val="20"/>
                <w:lang w:val="fr-CA"/>
              </w:rPr>
              <w:t>Cour suprême du Canada</w:t>
            </w:r>
          </w:p>
        </w:tc>
        <w:tc>
          <w:tcPr>
            <w:tcW w:w="243" w:type="pct"/>
          </w:tcPr>
          <w:p w:rsidR="00E42F15" w:rsidRPr="00BF0708" w:rsidRDefault="00E42F15" w:rsidP="00E42F15">
            <w:pPr>
              <w:jc w:val="both"/>
              <w:rPr>
                <w:rFonts w:eastAsia="Calibri"/>
                <w:sz w:val="20"/>
                <w:lang w:val="fr-CA"/>
              </w:rPr>
            </w:pPr>
          </w:p>
        </w:tc>
        <w:tc>
          <w:tcPr>
            <w:tcW w:w="2330" w:type="pct"/>
          </w:tcPr>
          <w:p w:rsidR="00E42F15" w:rsidRPr="00BF0708" w:rsidRDefault="00E42F15" w:rsidP="00E42F15">
            <w:pPr>
              <w:jc w:val="both"/>
              <w:rPr>
                <w:rFonts w:eastAsia="Calibri"/>
                <w:sz w:val="20"/>
                <w:lang w:val="fr-CA"/>
              </w:rPr>
            </w:pPr>
            <w:r w:rsidRPr="00BF0708">
              <w:rPr>
                <w:rFonts w:eastAsia="Calibri"/>
                <w:sz w:val="20"/>
                <w:lang w:val="fr-CA"/>
              </w:rPr>
              <w:t>Demande d’autorisation d’appel, déposée</w:t>
            </w:r>
          </w:p>
          <w:p w:rsidR="00E42F15" w:rsidRPr="00BF0708" w:rsidRDefault="00E42F15" w:rsidP="00E42F15">
            <w:pPr>
              <w:jc w:val="both"/>
              <w:rPr>
                <w:rFonts w:eastAsia="Calibri"/>
                <w:sz w:val="20"/>
                <w:lang w:val="fr-CA"/>
              </w:rPr>
            </w:pP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55" style="width:2in;height:1pt" o:hrpct="0" o:hralign="center" o:hrstd="t" o:hrnoshade="t" o:hr="t" fillcolor="black [3213]" stroked="f"/>
        </w:pict>
      </w:r>
    </w:p>
    <w:p w:rsidR="00FD4A4B" w:rsidRDefault="00FD4A4B" w:rsidP="00FD4A4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06378" w:rsidRPr="0037712A" w:rsidTr="003B5095">
        <w:trPr>
          <w:cantSplit/>
        </w:trPr>
        <w:tc>
          <w:tcPr>
            <w:tcW w:w="1458" w:type="dxa"/>
          </w:tcPr>
          <w:p w:rsidR="00C06378" w:rsidRPr="0037712A" w:rsidRDefault="00C06378" w:rsidP="003B5095">
            <w:pPr>
              <w:rPr>
                <w:sz w:val="20"/>
                <w:szCs w:val="20"/>
              </w:rPr>
            </w:pPr>
            <w:r w:rsidRPr="0037712A">
              <w:rPr>
                <w:rStyle w:val="SCCFileNumberChar"/>
                <w:sz w:val="20"/>
                <w:szCs w:val="20"/>
              </w:rPr>
              <w:t>34627</w:t>
            </w:r>
          </w:p>
          <w:p w:rsidR="00C06378" w:rsidRPr="0037712A" w:rsidRDefault="00C06378" w:rsidP="003B5095">
            <w:pPr>
              <w:rPr>
                <w:b/>
                <w:sz w:val="20"/>
                <w:szCs w:val="20"/>
                <w:lang w:val="fr-CA"/>
              </w:rPr>
            </w:pPr>
          </w:p>
        </w:tc>
        <w:tc>
          <w:tcPr>
            <w:tcW w:w="8118" w:type="dxa"/>
          </w:tcPr>
          <w:p w:rsidR="00C06378" w:rsidRPr="0037712A" w:rsidRDefault="00C06378" w:rsidP="003B5095">
            <w:pPr>
              <w:rPr>
                <w:sz w:val="20"/>
                <w:szCs w:val="20"/>
              </w:rPr>
            </w:pPr>
            <w:r w:rsidRPr="00C06378">
              <w:rPr>
                <w:rStyle w:val="SCCLsocChar"/>
                <w:sz w:val="20"/>
                <w:szCs w:val="20"/>
                <w:lang w:val="en-CA"/>
              </w:rPr>
              <w:t>Merck Frosst Canada &amp; Co. v. Apotex Inc.</w:t>
            </w:r>
            <w:r w:rsidRPr="0037712A">
              <w:rPr>
                <w:sz w:val="20"/>
                <w:szCs w:val="20"/>
              </w:rPr>
              <w:t xml:space="preserve"> (F.C.) (Civil) (By Leave)</w:t>
            </w:r>
          </w:p>
          <w:p w:rsidR="00C06378" w:rsidRPr="0037712A" w:rsidRDefault="00C06378" w:rsidP="003B5095">
            <w:pPr>
              <w:rPr>
                <w:sz w:val="20"/>
                <w:szCs w:val="20"/>
              </w:rPr>
            </w:pPr>
          </w:p>
        </w:tc>
      </w:tr>
      <w:tr w:rsidR="00C06378" w:rsidRPr="0037712A" w:rsidTr="003B5095">
        <w:trPr>
          <w:cantSplit/>
        </w:trPr>
        <w:tc>
          <w:tcPr>
            <w:tcW w:w="1458" w:type="dxa"/>
          </w:tcPr>
          <w:p w:rsidR="00C06378" w:rsidRPr="0037712A" w:rsidRDefault="00C06378" w:rsidP="003B5095">
            <w:pPr>
              <w:rPr>
                <w:sz w:val="20"/>
                <w:szCs w:val="20"/>
              </w:rPr>
            </w:pPr>
            <w:r w:rsidRPr="0037712A">
              <w:rPr>
                <w:sz w:val="20"/>
                <w:szCs w:val="20"/>
              </w:rPr>
              <w:t>Coram :</w:t>
            </w:r>
          </w:p>
        </w:tc>
        <w:tc>
          <w:tcPr>
            <w:tcW w:w="8118" w:type="dxa"/>
          </w:tcPr>
          <w:p w:rsidR="00C06378" w:rsidRPr="0037712A" w:rsidRDefault="00C06378" w:rsidP="003B5095">
            <w:pPr>
              <w:rPr>
                <w:sz w:val="20"/>
                <w:szCs w:val="20"/>
              </w:rPr>
            </w:pPr>
            <w:r w:rsidRPr="00C06378">
              <w:rPr>
                <w:rStyle w:val="SCCCoramChar"/>
                <w:sz w:val="20"/>
                <w:szCs w:val="20"/>
                <w:lang w:val="en-CA"/>
              </w:rPr>
              <w:t>LeBel, Abella and Cromwell JJ.</w:t>
            </w:r>
          </w:p>
          <w:p w:rsidR="00C06378" w:rsidRPr="0037712A" w:rsidRDefault="00C06378" w:rsidP="003B5095">
            <w:pPr>
              <w:rPr>
                <w:sz w:val="20"/>
                <w:szCs w:val="20"/>
                <w:u w:val="single"/>
              </w:rPr>
            </w:pPr>
          </w:p>
        </w:tc>
      </w:tr>
      <w:tr w:rsidR="00C06378" w:rsidRPr="0028361F" w:rsidTr="003B5095">
        <w:trPr>
          <w:cantSplit/>
        </w:trPr>
        <w:tc>
          <w:tcPr>
            <w:tcW w:w="9576" w:type="dxa"/>
            <w:gridSpan w:val="2"/>
          </w:tcPr>
          <w:p w:rsidR="00C06378" w:rsidRPr="0037712A" w:rsidRDefault="00C06378" w:rsidP="003B5095">
            <w:pPr>
              <w:pStyle w:val="SCCShortJudgment"/>
              <w:rPr>
                <w:szCs w:val="20"/>
              </w:rPr>
            </w:pPr>
            <w:r w:rsidRPr="0037712A">
              <w:rPr>
                <w:szCs w:val="20"/>
              </w:rPr>
              <w:t>The application for leave to appeal from the judgment of the Federal Court of Appeal, Number A-154-10, 2011 FCA 329, dated November 25, 2011, is dismissed with costs.</w:t>
            </w:r>
          </w:p>
          <w:p w:rsidR="00C06378" w:rsidRPr="0037712A" w:rsidRDefault="00C06378" w:rsidP="003B5095">
            <w:pPr>
              <w:pStyle w:val="SCCShortJudgment"/>
              <w:ind w:firstLine="0"/>
              <w:rPr>
                <w:szCs w:val="20"/>
              </w:rPr>
            </w:pPr>
          </w:p>
          <w:p w:rsidR="00C06378" w:rsidRPr="0037712A" w:rsidRDefault="00C06378" w:rsidP="003B5095">
            <w:pPr>
              <w:pStyle w:val="SCCShortJudgment"/>
              <w:rPr>
                <w:szCs w:val="20"/>
                <w:lang w:val="fr-CA"/>
              </w:rPr>
            </w:pPr>
            <w:r w:rsidRPr="0037712A">
              <w:rPr>
                <w:szCs w:val="20"/>
                <w:lang w:val="fr-CA"/>
              </w:rPr>
              <w:t>La demande d’autorisation d’appel de l’arrêt de la Cour d’appel fédérale, numéro A-154-10, 2011 CAF 329, daté du 25 novembre 2011, est rejetée avec dépens.</w:t>
            </w:r>
          </w:p>
        </w:tc>
      </w:tr>
    </w:tbl>
    <w:p w:rsidR="00FD4A4B" w:rsidRPr="00FD4A4B" w:rsidRDefault="00FD4A4B" w:rsidP="00FD4A4B">
      <w:pPr>
        <w:rPr>
          <w:sz w:val="20"/>
          <w:szCs w:val="20"/>
          <w:lang w:val="fr-CA"/>
        </w:rPr>
      </w:pPr>
    </w:p>
    <w:p w:rsidR="00FD4A4B" w:rsidRPr="001B157C" w:rsidRDefault="00FD4A4B" w:rsidP="00FD4A4B">
      <w:pPr>
        <w:rPr>
          <w:sz w:val="20"/>
          <w:szCs w:val="20"/>
          <w:u w:val="single"/>
        </w:rPr>
      </w:pPr>
      <w:r w:rsidRPr="001B157C">
        <w:rPr>
          <w:sz w:val="20"/>
          <w:szCs w:val="20"/>
          <w:u w:val="single"/>
        </w:rPr>
        <w:t>CASE SUMMARY</w:t>
      </w:r>
    </w:p>
    <w:p w:rsidR="00FD4A4B" w:rsidRDefault="00FD4A4B" w:rsidP="00FD4A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2348D" w:rsidRPr="00BF0708" w:rsidTr="000F4785">
        <w:tc>
          <w:tcPr>
            <w:tcW w:w="5000" w:type="pct"/>
            <w:gridSpan w:val="3"/>
          </w:tcPr>
          <w:p w:rsidR="0052348D" w:rsidRPr="00BF0708" w:rsidRDefault="0052348D" w:rsidP="000F4785">
            <w:pPr>
              <w:jc w:val="both"/>
              <w:rPr>
                <w:rFonts w:eastAsia="Calibri"/>
                <w:sz w:val="20"/>
              </w:rPr>
            </w:pPr>
            <w:r w:rsidRPr="00BF0708">
              <w:rPr>
                <w:sz w:val="20"/>
              </w:rPr>
              <w:t xml:space="preserve">Intellectual property </w:t>
            </w:r>
            <w:r w:rsidRPr="00BF0708">
              <w:rPr>
                <w:sz w:val="20"/>
              </w:rPr>
              <w:noBreakHyphen/>
              <w:t xml:space="preserve"> Patents </w:t>
            </w:r>
            <w:r w:rsidRPr="00BF0708">
              <w:rPr>
                <w:sz w:val="20"/>
              </w:rPr>
              <w:noBreakHyphen/>
              <w:t xml:space="preserve"> Medicines </w:t>
            </w:r>
            <w:r w:rsidRPr="00BF0708">
              <w:rPr>
                <w:sz w:val="20"/>
              </w:rPr>
              <w:noBreakHyphen/>
              <w:t xml:space="preserve"> </w:t>
            </w:r>
            <w:r w:rsidRPr="00BF0708">
              <w:rPr>
                <w:i/>
                <w:sz w:val="20"/>
              </w:rPr>
              <w:t>Patented Medicines (Notice of Compliance) Regulations</w:t>
            </w:r>
            <w:r w:rsidRPr="00BF0708">
              <w:rPr>
                <w:sz w:val="20"/>
              </w:rPr>
              <w:t>, SOR/93</w:t>
            </w:r>
            <w:r w:rsidRPr="00BF0708">
              <w:rPr>
                <w:sz w:val="20"/>
              </w:rPr>
              <w:noBreakHyphen/>
              <w:t xml:space="preserve">133 </w:t>
            </w:r>
            <w:r w:rsidRPr="00BF0708">
              <w:rPr>
                <w:sz w:val="20"/>
              </w:rPr>
              <w:noBreakHyphen/>
              <w:t xml:space="preserve"> Section 8 damages </w:t>
            </w:r>
            <w:r w:rsidRPr="00BF0708">
              <w:rPr>
                <w:sz w:val="20"/>
              </w:rPr>
              <w:noBreakHyphen/>
              <w:t xml:space="preserve"> Whether s. 8 of the 1998 </w:t>
            </w:r>
            <w:r w:rsidRPr="00BF0708">
              <w:rPr>
                <w:i/>
                <w:sz w:val="20"/>
              </w:rPr>
              <w:t>Regulations</w:t>
            </w:r>
            <w:r w:rsidRPr="00BF0708">
              <w:rPr>
                <w:sz w:val="20"/>
              </w:rPr>
              <w:t xml:space="preserve"> has an impermissible retroactive or retrospective effect, or </w:t>
            </w:r>
            <w:r w:rsidRPr="00BF0708">
              <w:rPr>
                <w:sz w:val="20"/>
              </w:rPr>
              <w:lastRenderedPageBreak/>
              <w:t xml:space="preserve">interferes with vested rights, when it is applied to a damages action arising from a proceeding filed under the 1993 </w:t>
            </w:r>
            <w:r w:rsidRPr="00BF0708">
              <w:rPr>
                <w:i/>
                <w:sz w:val="20"/>
              </w:rPr>
              <w:t>Regulations</w:t>
            </w:r>
            <w:r w:rsidRPr="00BF0708">
              <w:rPr>
                <w:sz w:val="20"/>
              </w:rPr>
              <w:t xml:space="preserve"> </w:t>
            </w:r>
            <w:r w:rsidRPr="00BF0708">
              <w:rPr>
                <w:sz w:val="20"/>
              </w:rPr>
              <w:noBreakHyphen/>
              <w:t xml:space="preserve"> Whether principles of statutory interpretation should be expanded to include a “black box” theory of potential liability under which Applicant was deemed to have burden to predict and be bound by a future amendment to old s. 8 and where Federal Court of Appeal abdicated its duty to interpret that provision? </w:t>
            </w:r>
            <w:r w:rsidRPr="00BF0708">
              <w:rPr>
                <w:sz w:val="20"/>
              </w:rPr>
              <w:noBreakHyphen/>
              <w:t xml:space="preserve"> Whether principles of statutory interpretation permit the use of an extrinsic interpretive aid like the 1998 </w:t>
            </w:r>
            <w:r w:rsidRPr="00BF0708">
              <w:rPr>
                <w:i/>
                <w:sz w:val="20"/>
              </w:rPr>
              <w:t>Regulatory Impact Analysis Stat</w:t>
            </w:r>
            <w:r w:rsidRPr="00BF0708">
              <w:rPr>
                <w:sz w:val="20"/>
              </w:rPr>
              <w:t>e</w:t>
            </w:r>
            <w:r w:rsidRPr="00BF0708">
              <w:rPr>
                <w:i/>
                <w:sz w:val="20"/>
              </w:rPr>
              <w:t>ment</w:t>
            </w:r>
            <w:r w:rsidRPr="00BF0708">
              <w:rPr>
                <w:sz w:val="20"/>
              </w:rPr>
              <w:t xml:space="preserve"> as sole method to determine whether law changed from old s. 8 to new s. 8?</w:t>
            </w:r>
          </w:p>
        </w:tc>
      </w:tr>
      <w:tr w:rsidR="0052348D" w:rsidRPr="00BF0708" w:rsidTr="000F4785">
        <w:tc>
          <w:tcPr>
            <w:tcW w:w="5000" w:type="pct"/>
            <w:gridSpan w:val="3"/>
          </w:tcPr>
          <w:p w:rsidR="0052348D" w:rsidRPr="00BF0708" w:rsidRDefault="0052348D" w:rsidP="000F4785">
            <w:pPr>
              <w:jc w:val="both"/>
              <w:rPr>
                <w:rFonts w:eastAsia="Calibri"/>
                <w:sz w:val="20"/>
              </w:rPr>
            </w:pPr>
          </w:p>
        </w:tc>
      </w:tr>
      <w:tr w:rsidR="0052348D" w:rsidRPr="00BF0708" w:rsidTr="000F4785">
        <w:tc>
          <w:tcPr>
            <w:tcW w:w="5000" w:type="pct"/>
            <w:gridSpan w:val="3"/>
          </w:tcPr>
          <w:p w:rsidR="0052348D" w:rsidRPr="00BF0708" w:rsidRDefault="0052348D" w:rsidP="000F4785">
            <w:pPr>
              <w:jc w:val="both"/>
              <w:rPr>
                <w:sz w:val="20"/>
              </w:rPr>
            </w:pPr>
            <w:r w:rsidRPr="00BF0708">
              <w:rPr>
                <w:sz w:val="20"/>
              </w:rPr>
              <w:t xml:space="preserve">The Applicant, Merck Frosst Canada &amp; Co. (”Merck”), holds the patent for a drug, norfloxacin.  In the early 1990s, Apotex Inc. (“Apotex”) tried to enter the market with a generic version of norfloxacin and applied to the Minister of Health for a Notice of Compliance (“NOC”).  Apotex alleged it would not infringe Merck’s patent because it would either use norfloxacin raw material acquired by a third company under licence from Merck or it would produce norfloxacin by a method that would not infringe the patent.  In 1993, Merck filed two applications under the 1993 version of the </w:t>
            </w:r>
            <w:r w:rsidRPr="00BF0708">
              <w:rPr>
                <w:i/>
                <w:sz w:val="20"/>
              </w:rPr>
              <w:t xml:space="preserve">Patented Medicines (Notice of Compliance) Regulations </w:t>
            </w:r>
            <w:r w:rsidRPr="00BF0708">
              <w:rPr>
                <w:sz w:val="20"/>
              </w:rPr>
              <w:t>(“</w:t>
            </w:r>
            <w:r w:rsidRPr="00BF0708">
              <w:rPr>
                <w:i/>
                <w:sz w:val="20"/>
              </w:rPr>
              <w:t>Regulations</w:t>
            </w:r>
            <w:r w:rsidRPr="00BF0708">
              <w:rPr>
                <w:sz w:val="20"/>
              </w:rPr>
              <w:t>”), to prohibit the Minister from issuing a NOC to Apotex.  Merck successfully obtained the prohibition order in relation to the use of a non</w:t>
            </w:r>
            <w:r w:rsidRPr="00BF0708">
              <w:rPr>
                <w:sz w:val="20"/>
              </w:rPr>
              <w:noBreakHyphen/>
              <w:t xml:space="preserve">infringing method allegation.  With respect to the second application, relating to the use of licensed material, Merck was also granted a prohibition order and this decision was upheld on appeal.  Apotex successfully appealed this decision to the Supreme Court of Canada, however, and the prohibition order was set aside on July 9, 1998.  Apotex received its NOC a week later.  Before the judgment was rendered, amendments to the </w:t>
            </w:r>
            <w:r w:rsidRPr="00BF0708">
              <w:rPr>
                <w:i/>
                <w:sz w:val="20"/>
              </w:rPr>
              <w:t>Regulations</w:t>
            </w:r>
            <w:r w:rsidRPr="00BF0708">
              <w:rPr>
                <w:sz w:val="20"/>
              </w:rPr>
              <w:t xml:space="preserve"> came into effect in March, 1998.  Apotex brought an action seeking compensation from Merck under s. 8 of the </w:t>
            </w:r>
            <w:r w:rsidRPr="00BF0708">
              <w:rPr>
                <w:i/>
                <w:sz w:val="20"/>
              </w:rPr>
              <w:t>Regulations</w:t>
            </w:r>
            <w:r w:rsidRPr="00BF0708">
              <w:rPr>
                <w:sz w:val="20"/>
              </w:rPr>
              <w:t xml:space="preserve">, for having been kept out of the norfloxacin market for several years while the parties were in litigation.  At issue was whether the 1993 or the 1998 version of the </w:t>
            </w:r>
            <w:r w:rsidRPr="00BF0708">
              <w:rPr>
                <w:i/>
                <w:sz w:val="20"/>
              </w:rPr>
              <w:t xml:space="preserve">Regulations </w:t>
            </w:r>
            <w:r w:rsidRPr="00BF0708">
              <w:rPr>
                <w:sz w:val="20"/>
              </w:rPr>
              <w:t>applied and whether, if Merck had not sought prohibition orders, Apotex would have been able to get into the market, and if so, when.</w:t>
            </w:r>
          </w:p>
          <w:p w:rsidR="0052348D" w:rsidRPr="00BF0708" w:rsidRDefault="0052348D" w:rsidP="000F4785">
            <w:pPr>
              <w:jc w:val="both"/>
              <w:rPr>
                <w:rFonts w:eastAsia="Calibri"/>
                <w:sz w:val="20"/>
              </w:rPr>
            </w:pPr>
          </w:p>
        </w:tc>
      </w:tr>
      <w:tr w:rsidR="0052348D" w:rsidRPr="00BF0708" w:rsidTr="000F4785">
        <w:tc>
          <w:tcPr>
            <w:tcW w:w="2427" w:type="pct"/>
          </w:tcPr>
          <w:p w:rsidR="0052348D" w:rsidRPr="00BF0708" w:rsidRDefault="0052348D" w:rsidP="000F4785">
            <w:pPr>
              <w:jc w:val="both"/>
              <w:rPr>
                <w:sz w:val="20"/>
              </w:rPr>
            </w:pPr>
            <w:r w:rsidRPr="00BF0708">
              <w:rPr>
                <w:sz w:val="20"/>
              </w:rPr>
              <w:t>March 12, 2010</w:t>
            </w:r>
          </w:p>
          <w:p w:rsidR="0052348D" w:rsidRPr="00BF0708" w:rsidRDefault="0052348D" w:rsidP="000F4785">
            <w:pPr>
              <w:jc w:val="both"/>
              <w:rPr>
                <w:sz w:val="20"/>
              </w:rPr>
            </w:pPr>
            <w:r w:rsidRPr="00BF0708">
              <w:rPr>
                <w:sz w:val="20"/>
              </w:rPr>
              <w:t>Federal Court</w:t>
            </w:r>
          </w:p>
          <w:p w:rsidR="0052348D" w:rsidRPr="00BF0708" w:rsidRDefault="0052348D" w:rsidP="000F4785">
            <w:pPr>
              <w:jc w:val="both"/>
              <w:rPr>
                <w:sz w:val="20"/>
              </w:rPr>
            </w:pPr>
            <w:r w:rsidRPr="00BF0708">
              <w:rPr>
                <w:sz w:val="20"/>
              </w:rPr>
              <w:t>(O’Reilly J.)</w:t>
            </w:r>
          </w:p>
          <w:p w:rsidR="0052348D" w:rsidRPr="00BF0708" w:rsidRDefault="0052348D" w:rsidP="000F4785">
            <w:pPr>
              <w:jc w:val="both"/>
              <w:rPr>
                <w:sz w:val="20"/>
              </w:rPr>
            </w:pPr>
            <w:r w:rsidRPr="00BF0708">
              <w:rPr>
                <w:sz w:val="20"/>
              </w:rPr>
              <w:t>2010 FC 287</w:t>
            </w:r>
          </w:p>
          <w:p w:rsidR="0052348D" w:rsidRPr="00BF0708" w:rsidRDefault="0052348D" w:rsidP="000F4785">
            <w:pPr>
              <w:jc w:val="both"/>
              <w:rPr>
                <w:sz w:val="20"/>
              </w:rPr>
            </w:pPr>
          </w:p>
        </w:tc>
        <w:tc>
          <w:tcPr>
            <w:tcW w:w="243" w:type="pct"/>
          </w:tcPr>
          <w:p w:rsidR="0052348D" w:rsidRPr="00BF0708" w:rsidRDefault="0052348D" w:rsidP="000F4785">
            <w:pPr>
              <w:jc w:val="both"/>
              <w:rPr>
                <w:sz w:val="20"/>
              </w:rPr>
            </w:pPr>
          </w:p>
        </w:tc>
        <w:tc>
          <w:tcPr>
            <w:tcW w:w="2330" w:type="pct"/>
          </w:tcPr>
          <w:p w:rsidR="0052348D" w:rsidRPr="00BF0708" w:rsidRDefault="0052348D" w:rsidP="000F4785">
            <w:pPr>
              <w:jc w:val="both"/>
              <w:rPr>
                <w:i/>
                <w:sz w:val="20"/>
              </w:rPr>
            </w:pPr>
            <w:r w:rsidRPr="00BF0708">
              <w:rPr>
                <w:sz w:val="20"/>
              </w:rPr>
              <w:t xml:space="preserve">Order holding Apotex entitled to be compensated for delay in market entry pursuant to s. 8 of the 1998 version of the </w:t>
            </w:r>
            <w:r w:rsidRPr="00BF0708">
              <w:rPr>
                <w:i/>
                <w:sz w:val="20"/>
              </w:rPr>
              <w:t>Regulations</w:t>
            </w:r>
          </w:p>
          <w:p w:rsidR="0052348D" w:rsidRPr="00BF0708" w:rsidRDefault="0052348D" w:rsidP="000F4785">
            <w:pPr>
              <w:jc w:val="both"/>
              <w:rPr>
                <w:sz w:val="20"/>
              </w:rPr>
            </w:pPr>
          </w:p>
        </w:tc>
      </w:tr>
      <w:tr w:rsidR="0052348D" w:rsidRPr="00BF0708" w:rsidTr="000F4785">
        <w:tc>
          <w:tcPr>
            <w:tcW w:w="2427" w:type="pct"/>
          </w:tcPr>
          <w:p w:rsidR="0052348D" w:rsidRPr="00BF0708" w:rsidRDefault="0052348D" w:rsidP="000F4785">
            <w:pPr>
              <w:jc w:val="both"/>
              <w:rPr>
                <w:sz w:val="20"/>
              </w:rPr>
            </w:pPr>
            <w:r w:rsidRPr="00BF0708">
              <w:rPr>
                <w:sz w:val="20"/>
              </w:rPr>
              <w:t>November 25, 2011</w:t>
            </w:r>
          </w:p>
          <w:p w:rsidR="0052348D" w:rsidRPr="00BF0708" w:rsidRDefault="0052348D" w:rsidP="000F4785">
            <w:pPr>
              <w:jc w:val="both"/>
              <w:rPr>
                <w:sz w:val="20"/>
              </w:rPr>
            </w:pPr>
            <w:r w:rsidRPr="00BF0708">
              <w:rPr>
                <w:sz w:val="20"/>
              </w:rPr>
              <w:t>Federal Court of Appeal</w:t>
            </w:r>
          </w:p>
          <w:p w:rsidR="0052348D" w:rsidRPr="00BF0708" w:rsidRDefault="0052348D" w:rsidP="000F4785">
            <w:pPr>
              <w:jc w:val="both"/>
              <w:rPr>
                <w:sz w:val="20"/>
              </w:rPr>
            </w:pPr>
            <w:r w:rsidRPr="00BF0708">
              <w:rPr>
                <w:sz w:val="20"/>
              </w:rPr>
              <w:t>(Sexton, Layden</w:t>
            </w:r>
            <w:r w:rsidRPr="00BF0708">
              <w:rPr>
                <w:sz w:val="20"/>
              </w:rPr>
              <w:noBreakHyphen/>
              <w:t>Stevenson and Stratas JJ.A.)</w:t>
            </w:r>
          </w:p>
          <w:p w:rsidR="0052348D" w:rsidRPr="00BF0708" w:rsidRDefault="0052348D" w:rsidP="000F4785">
            <w:pPr>
              <w:jc w:val="both"/>
              <w:rPr>
                <w:sz w:val="20"/>
              </w:rPr>
            </w:pPr>
            <w:r w:rsidRPr="00BF0708">
              <w:rPr>
                <w:sz w:val="20"/>
              </w:rPr>
              <w:t>2011 FCA 329</w:t>
            </w:r>
          </w:p>
          <w:p w:rsidR="0052348D" w:rsidRPr="00BF0708" w:rsidRDefault="0052348D" w:rsidP="000F4785">
            <w:pPr>
              <w:jc w:val="both"/>
              <w:rPr>
                <w:sz w:val="20"/>
              </w:rPr>
            </w:pPr>
          </w:p>
        </w:tc>
        <w:tc>
          <w:tcPr>
            <w:tcW w:w="243" w:type="pct"/>
          </w:tcPr>
          <w:p w:rsidR="0052348D" w:rsidRPr="00BF0708" w:rsidRDefault="0052348D" w:rsidP="000F4785">
            <w:pPr>
              <w:jc w:val="both"/>
              <w:rPr>
                <w:sz w:val="20"/>
              </w:rPr>
            </w:pPr>
          </w:p>
        </w:tc>
        <w:tc>
          <w:tcPr>
            <w:tcW w:w="2330" w:type="pct"/>
          </w:tcPr>
          <w:p w:rsidR="0052348D" w:rsidRPr="00BF0708" w:rsidRDefault="0052348D" w:rsidP="000F4785">
            <w:pPr>
              <w:jc w:val="both"/>
              <w:rPr>
                <w:sz w:val="20"/>
              </w:rPr>
            </w:pPr>
            <w:r w:rsidRPr="00BF0708">
              <w:rPr>
                <w:sz w:val="20"/>
              </w:rPr>
              <w:t>Appeal dismissed</w:t>
            </w:r>
          </w:p>
          <w:p w:rsidR="0052348D" w:rsidRPr="00BF0708" w:rsidRDefault="0052348D" w:rsidP="000F4785">
            <w:pPr>
              <w:jc w:val="both"/>
              <w:rPr>
                <w:sz w:val="20"/>
              </w:rPr>
            </w:pPr>
          </w:p>
        </w:tc>
      </w:tr>
      <w:tr w:rsidR="0052348D" w:rsidRPr="00BF0708" w:rsidTr="000F4785">
        <w:tc>
          <w:tcPr>
            <w:tcW w:w="2427" w:type="pct"/>
          </w:tcPr>
          <w:p w:rsidR="0052348D" w:rsidRPr="00BF0708" w:rsidRDefault="0052348D" w:rsidP="000F4785">
            <w:pPr>
              <w:jc w:val="both"/>
              <w:rPr>
                <w:sz w:val="20"/>
              </w:rPr>
            </w:pPr>
            <w:r w:rsidRPr="00BF0708">
              <w:rPr>
                <w:sz w:val="20"/>
              </w:rPr>
              <w:t>January 23, 2012</w:t>
            </w:r>
          </w:p>
          <w:p w:rsidR="0052348D" w:rsidRPr="00BF0708" w:rsidRDefault="0052348D" w:rsidP="000F4785">
            <w:pPr>
              <w:jc w:val="both"/>
              <w:rPr>
                <w:sz w:val="20"/>
              </w:rPr>
            </w:pPr>
            <w:r w:rsidRPr="00BF0708">
              <w:rPr>
                <w:sz w:val="20"/>
              </w:rPr>
              <w:t>Supreme Court of Canada</w:t>
            </w:r>
          </w:p>
        </w:tc>
        <w:tc>
          <w:tcPr>
            <w:tcW w:w="243" w:type="pct"/>
          </w:tcPr>
          <w:p w:rsidR="0052348D" w:rsidRPr="00BF0708" w:rsidRDefault="0052348D" w:rsidP="000F4785">
            <w:pPr>
              <w:jc w:val="both"/>
              <w:rPr>
                <w:sz w:val="20"/>
              </w:rPr>
            </w:pPr>
          </w:p>
        </w:tc>
        <w:tc>
          <w:tcPr>
            <w:tcW w:w="2330" w:type="pct"/>
          </w:tcPr>
          <w:p w:rsidR="0052348D" w:rsidRPr="00BF0708" w:rsidRDefault="0052348D" w:rsidP="000F4785">
            <w:pPr>
              <w:jc w:val="both"/>
              <w:rPr>
                <w:sz w:val="20"/>
              </w:rPr>
            </w:pPr>
            <w:r w:rsidRPr="00BF0708">
              <w:rPr>
                <w:sz w:val="20"/>
              </w:rPr>
              <w:t>Application for leave to appeal filed</w:t>
            </w: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56" style="width:2in;height:1pt" o:hrpct="0" o:hralign="center" o:hrstd="t" o:hrnoshade="t" o:hr="t" fillcolor="black [3213]" stroked="f"/>
        </w:pict>
      </w:r>
    </w:p>
    <w:p w:rsidR="00FD4A4B" w:rsidRDefault="00FD4A4B" w:rsidP="00FD4A4B">
      <w:pPr>
        <w:rPr>
          <w:sz w:val="20"/>
          <w:szCs w:val="20"/>
        </w:rPr>
      </w:pPr>
    </w:p>
    <w:p w:rsidR="00FD4A4B" w:rsidRPr="001B157C" w:rsidRDefault="00FD4A4B" w:rsidP="00FD4A4B">
      <w:pPr>
        <w:rPr>
          <w:sz w:val="20"/>
          <w:szCs w:val="20"/>
          <w:u w:val="single"/>
          <w:lang w:val="fr-CA"/>
        </w:rPr>
      </w:pPr>
      <w:r w:rsidRPr="001B157C">
        <w:rPr>
          <w:sz w:val="20"/>
          <w:szCs w:val="20"/>
          <w:u w:val="single"/>
          <w:lang w:val="fr-CA"/>
        </w:rPr>
        <w:t>RÉSUMÉ DE L’AFFAIRE</w:t>
      </w:r>
    </w:p>
    <w:p w:rsidR="00FD4A4B" w:rsidRDefault="00FD4A4B" w:rsidP="00FD4A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2348D" w:rsidRPr="0028361F" w:rsidTr="000F4785">
        <w:tc>
          <w:tcPr>
            <w:tcW w:w="5000" w:type="pct"/>
            <w:gridSpan w:val="3"/>
          </w:tcPr>
          <w:p w:rsidR="0052348D" w:rsidRPr="00BF0708" w:rsidRDefault="0052348D" w:rsidP="000F4785">
            <w:pPr>
              <w:jc w:val="both"/>
              <w:rPr>
                <w:rFonts w:eastAsia="Calibri"/>
                <w:sz w:val="20"/>
                <w:lang w:val="fr-CA"/>
              </w:rPr>
            </w:pPr>
            <w:r w:rsidRPr="00BF0708">
              <w:rPr>
                <w:sz w:val="20"/>
                <w:lang w:val="fr-CA"/>
              </w:rPr>
              <w:t xml:space="preserve">Propriété intellectuelle </w:t>
            </w:r>
            <w:r w:rsidRPr="00BF0708">
              <w:rPr>
                <w:sz w:val="20"/>
                <w:lang w:val="fr-CA"/>
              </w:rPr>
              <w:noBreakHyphen/>
              <w:t xml:space="preserve"> Brevets </w:t>
            </w:r>
            <w:r w:rsidRPr="00BF0708">
              <w:rPr>
                <w:sz w:val="20"/>
                <w:lang w:val="fr-CA"/>
              </w:rPr>
              <w:noBreakHyphen/>
              <w:t xml:space="preserve"> Médicaments </w:t>
            </w:r>
            <w:r w:rsidRPr="00BF0708">
              <w:rPr>
                <w:sz w:val="20"/>
                <w:lang w:val="fr-CA"/>
              </w:rPr>
              <w:noBreakHyphen/>
            </w:r>
            <w:r w:rsidRPr="00BF0708">
              <w:rPr>
                <w:i/>
                <w:sz w:val="20"/>
                <w:lang w:val="fr-CA"/>
              </w:rPr>
              <w:t xml:space="preserve"> Règlement sur les médicaments brevetés (avis de conformité)</w:t>
            </w:r>
            <w:r w:rsidRPr="00BF0708">
              <w:rPr>
                <w:sz w:val="20"/>
                <w:lang w:val="fr-CA"/>
              </w:rPr>
              <w:t>, DORS/93</w:t>
            </w:r>
            <w:r w:rsidRPr="00BF0708">
              <w:rPr>
                <w:sz w:val="20"/>
                <w:lang w:val="fr-CA"/>
              </w:rPr>
              <w:noBreakHyphen/>
              <w:t xml:space="preserve">133 </w:t>
            </w:r>
            <w:r w:rsidRPr="00BF0708">
              <w:rPr>
                <w:sz w:val="20"/>
                <w:lang w:val="fr-CA"/>
              </w:rPr>
              <w:noBreakHyphen/>
              <w:t xml:space="preserve"> Dommages</w:t>
            </w:r>
            <w:r w:rsidRPr="00BF0708">
              <w:rPr>
                <w:sz w:val="20"/>
                <w:lang w:val="fr-CA"/>
              </w:rPr>
              <w:noBreakHyphen/>
              <w:t xml:space="preserve">intérêts en vertu de 8 </w:t>
            </w:r>
            <w:r w:rsidRPr="00BF0708">
              <w:rPr>
                <w:sz w:val="20"/>
                <w:lang w:val="fr-CA"/>
              </w:rPr>
              <w:noBreakHyphen/>
              <w:t xml:space="preserve"> L’article 8 du</w:t>
            </w:r>
            <w:r w:rsidRPr="00BF0708">
              <w:rPr>
                <w:i/>
                <w:sz w:val="20"/>
                <w:lang w:val="fr-CA"/>
              </w:rPr>
              <w:t xml:space="preserve"> Règlement </w:t>
            </w:r>
            <w:r w:rsidRPr="00BF0708">
              <w:rPr>
                <w:sz w:val="20"/>
                <w:lang w:val="fr-CA"/>
              </w:rPr>
              <w:t>de 1998 a</w:t>
            </w:r>
            <w:r w:rsidRPr="00BF0708">
              <w:rPr>
                <w:sz w:val="20"/>
                <w:lang w:val="fr-CA"/>
              </w:rPr>
              <w:noBreakHyphen/>
              <w:t>t</w:t>
            </w:r>
            <w:r w:rsidRPr="00BF0708">
              <w:rPr>
                <w:sz w:val="20"/>
                <w:lang w:val="fr-CA"/>
              </w:rPr>
              <w:noBreakHyphen/>
              <w:t>il un effet rétroactif ou rétrospectif non autorisé, ou porte</w:t>
            </w:r>
            <w:r w:rsidRPr="00BF0708">
              <w:rPr>
                <w:sz w:val="20"/>
                <w:lang w:val="fr-CA"/>
              </w:rPr>
              <w:noBreakHyphen/>
              <w:t>t</w:t>
            </w:r>
            <w:r w:rsidRPr="00BF0708">
              <w:rPr>
                <w:sz w:val="20"/>
                <w:lang w:val="fr-CA"/>
              </w:rPr>
              <w:noBreakHyphen/>
              <w:t>il atteinte à des droits acquis, lorsqu’il est appliqué à une action en dommages</w:t>
            </w:r>
            <w:r w:rsidRPr="00BF0708">
              <w:rPr>
                <w:sz w:val="20"/>
                <w:lang w:val="fr-CA"/>
              </w:rPr>
              <w:noBreakHyphen/>
              <w:t>intérêts découlant d’une procédure déposée en vertu du</w:t>
            </w:r>
            <w:r w:rsidRPr="00BF0708">
              <w:rPr>
                <w:i/>
                <w:sz w:val="20"/>
                <w:lang w:val="fr-CA"/>
              </w:rPr>
              <w:t xml:space="preserve"> Règlement </w:t>
            </w:r>
            <w:r w:rsidRPr="00BF0708">
              <w:rPr>
                <w:sz w:val="20"/>
                <w:lang w:val="fr-CA"/>
              </w:rPr>
              <w:t xml:space="preserve">de 1993? </w:t>
            </w:r>
            <w:r w:rsidRPr="00BF0708">
              <w:rPr>
                <w:sz w:val="20"/>
                <w:lang w:val="fr-CA"/>
              </w:rPr>
              <w:noBreakHyphen/>
              <w:t xml:space="preserve"> Les principes d’interprétation des lois doivent</w:t>
            </w:r>
            <w:r w:rsidRPr="00BF0708">
              <w:rPr>
                <w:sz w:val="20"/>
                <w:lang w:val="fr-CA"/>
              </w:rPr>
              <w:noBreakHyphen/>
              <w:t>ils être élargis pour comprendre une théorie dite « de la boîte noire » de la responsabilité éventuelle en vertu de laquelle la demanderesse était réputée avoir le fardeau de prévoir une modification future de l’ancien art. 8 et être liée par cette modification et la Cour d’appel fédérale a</w:t>
            </w:r>
            <w:r w:rsidRPr="00BF0708">
              <w:rPr>
                <w:sz w:val="20"/>
                <w:lang w:val="fr-CA"/>
              </w:rPr>
              <w:noBreakHyphen/>
              <w:t>t</w:t>
            </w:r>
            <w:r w:rsidRPr="00BF0708">
              <w:rPr>
                <w:sz w:val="20"/>
                <w:lang w:val="fr-CA"/>
              </w:rPr>
              <w:noBreakHyphen/>
              <w:t xml:space="preserve">elle fait abstraction de son obligation d’interpréter cette disposition? </w:t>
            </w:r>
            <w:r w:rsidRPr="00BF0708">
              <w:rPr>
                <w:sz w:val="20"/>
                <w:lang w:val="fr-CA"/>
              </w:rPr>
              <w:noBreakHyphen/>
              <w:t xml:space="preserve"> Les principes d’interprétation des lois permettent</w:t>
            </w:r>
            <w:r w:rsidRPr="00BF0708">
              <w:rPr>
                <w:sz w:val="20"/>
                <w:lang w:val="fr-CA"/>
              </w:rPr>
              <w:noBreakHyphen/>
              <w:t xml:space="preserve">ils d’avoir recours à un outil d’interprétation extrinsèque comme le </w:t>
            </w:r>
            <w:r w:rsidRPr="00BF0708">
              <w:rPr>
                <w:i/>
                <w:sz w:val="20"/>
                <w:lang w:val="fr-CA"/>
              </w:rPr>
              <w:t xml:space="preserve">Résumé de l’étude d’impact de la réglementation </w:t>
            </w:r>
            <w:r w:rsidRPr="00BF0708">
              <w:rPr>
                <w:sz w:val="20"/>
                <w:lang w:val="fr-CA"/>
              </w:rPr>
              <w:t>de 1998 comme seule méthode pour trancher la question de savoir si le droit avait changé de l’ancien art. 8 au nouvel art. 8?</w:t>
            </w:r>
          </w:p>
        </w:tc>
      </w:tr>
      <w:tr w:rsidR="0052348D" w:rsidRPr="0028361F" w:rsidTr="000F4785">
        <w:tc>
          <w:tcPr>
            <w:tcW w:w="5000" w:type="pct"/>
            <w:gridSpan w:val="3"/>
          </w:tcPr>
          <w:p w:rsidR="0052348D" w:rsidRPr="00BF0708" w:rsidRDefault="0052348D" w:rsidP="000F4785">
            <w:pPr>
              <w:jc w:val="both"/>
              <w:rPr>
                <w:rFonts w:eastAsia="Calibri"/>
                <w:sz w:val="20"/>
                <w:lang w:val="fr-CA"/>
              </w:rPr>
            </w:pPr>
          </w:p>
        </w:tc>
      </w:tr>
      <w:tr w:rsidR="0052348D" w:rsidRPr="0028361F" w:rsidTr="000F4785">
        <w:tc>
          <w:tcPr>
            <w:tcW w:w="5000" w:type="pct"/>
            <w:gridSpan w:val="3"/>
          </w:tcPr>
          <w:p w:rsidR="0052348D" w:rsidRPr="00BF0708" w:rsidRDefault="0052348D" w:rsidP="000F4785">
            <w:pPr>
              <w:jc w:val="both"/>
              <w:rPr>
                <w:sz w:val="20"/>
                <w:lang w:val="fr-CA"/>
              </w:rPr>
            </w:pPr>
            <w:r w:rsidRPr="00BF0708">
              <w:rPr>
                <w:sz w:val="20"/>
                <w:lang w:val="fr-CA"/>
              </w:rPr>
              <w:t xml:space="preserve">La demanderesse, Merck Frosst Canada &amp; Co. (« Merck »), est titulaire du brevet d’un médicament, la norfloxacine.  Au début des années 90, Apotex Inc. (« Apotex ») a tenté d’entrer sur le marché avec une version générique de la norfloxacine et a demandé au ministre de la Santé de lui délivrer un avis de conformité (« AC »).  Apotex affirmait qu’elle ne violerait pas le brevet de Merck car soit elle utiliserait la matière première de la norfloxacine acquise par une société tierce, à la faveur d’une licence obtenue de Merck, soit elle produirait la norfloxacine selon une méthode qui ne violerait pas le brevet.  En 1993, Merck a déposé deux demandes en vertu de la version de 1993 du </w:t>
            </w:r>
            <w:r w:rsidRPr="00BF0708">
              <w:rPr>
                <w:i/>
                <w:sz w:val="20"/>
                <w:lang w:val="fr-CA"/>
              </w:rPr>
              <w:t xml:space="preserve"> Règlement sur les médicaments brevetés (avis de conformité)</w:t>
            </w:r>
            <w:r w:rsidRPr="00BF0708">
              <w:rPr>
                <w:sz w:val="20"/>
                <w:lang w:val="fr-CA"/>
              </w:rPr>
              <w:t xml:space="preserve"> en vue de faire interdire au ministre de délivrer un AC à Apotex.  Merck a obtenu l’ordonnance d’interdiction en lien avec l’allégation de l’emploi d’une méthode qui ne constituait pas une contrefaçon.  Relativement à la deuxième demande, qui concernait l’emploi de matières autorisées, Merck s’est également vu accorder une ordonnance d’interdiction et cette décision a été confirmée en appel.  Toutefois, Apotex a interjeté appel de cette décision avec succès à la Cour suprême du Canada et l’ordonnance d’interdiction a été annulée le 9 juillet 1998.  Apotex a reçu son AC une semaine plus tard.  En mars 1998, avant que le jugement ait été rendu, des modifications au</w:t>
            </w:r>
            <w:r w:rsidRPr="00BF0708">
              <w:rPr>
                <w:i/>
                <w:sz w:val="20"/>
                <w:lang w:val="fr-CA"/>
              </w:rPr>
              <w:t xml:space="preserve"> Règlement</w:t>
            </w:r>
            <w:r w:rsidRPr="00BF0708">
              <w:rPr>
                <w:sz w:val="20"/>
                <w:lang w:val="fr-CA"/>
              </w:rPr>
              <w:t xml:space="preserve"> sont entrées en vigueur.  Apotex a intenté une action en indemnisation contre Merck en vertu de l’art. 8 du </w:t>
            </w:r>
            <w:r w:rsidRPr="00BF0708">
              <w:rPr>
                <w:i/>
                <w:sz w:val="20"/>
                <w:lang w:val="fr-CA"/>
              </w:rPr>
              <w:t>Règlement</w:t>
            </w:r>
            <w:r w:rsidRPr="00BF0708">
              <w:rPr>
                <w:sz w:val="20"/>
                <w:lang w:val="fr-CA"/>
              </w:rPr>
              <w:t xml:space="preserve">, </w:t>
            </w:r>
            <w:r w:rsidRPr="00BF0708">
              <w:rPr>
                <w:rFonts w:ascii="Verdana" w:hAnsi="Verdana"/>
                <w:color w:val="000000"/>
                <w:sz w:val="20"/>
                <w:lang w:val="fr-CA"/>
              </w:rPr>
              <w:t xml:space="preserve"> </w:t>
            </w:r>
            <w:r w:rsidRPr="00BF0708">
              <w:rPr>
                <w:sz w:val="20"/>
                <w:lang w:val="fr-CA"/>
              </w:rPr>
              <w:t xml:space="preserve">pour avoir été tenue à l’écart du marché de la norfloxacine durant plusieurs années alors que les parties étaient en litige.  La question litige était de savoir quelle version du </w:t>
            </w:r>
            <w:r w:rsidRPr="00BF0708">
              <w:rPr>
                <w:i/>
                <w:sz w:val="20"/>
                <w:lang w:val="fr-CA"/>
              </w:rPr>
              <w:t>Règlement</w:t>
            </w:r>
            <w:r w:rsidRPr="00BF0708">
              <w:rPr>
                <w:sz w:val="20"/>
                <w:lang w:val="fr-CA"/>
              </w:rPr>
              <w:t xml:space="preserve"> s’appliquait </w:t>
            </w:r>
            <w:r w:rsidRPr="00BF0708">
              <w:rPr>
                <w:sz w:val="20"/>
                <w:lang w:val="fr-CA"/>
              </w:rPr>
              <w:noBreakHyphen/>
              <w:t xml:space="preserve"> celle de 1993 ou celle de 1998 </w:t>
            </w:r>
            <w:r w:rsidRPr="00BF0708">
              <w:rPr>
                <w:sz w:val="20"/>
                <w:lang w:val="fr-CA"/>
              </w:rPr>
              <w:noBreakHyphen/>
              <w:t xml:space="preserve"> et si, dans l’hypothèse où Merck n’avait pas sollicité les ordonnances d’interdiction, Apotex aurait été en mesure d’entrer sur le marché et, dans l’affirmative, à quelle date.</w:t>
            </w:r>
          </w:p>
          <w:p w:rsidR="0052348D" w:rsidRPr="00BF0708" w:rsidRDefault="0052348D" w:rsidP="000F4785">
            <w:pPr>
              <w:jc w:val="both"/>
              <w:rPr>
                <w:rFonts w:eastAsia="Calibri"/>
                <w:sz w:val="20"/>
                <w:lang w:val="fr-CA"/>
              </w:rPr>
            </w:pPr>
          </w:p>
        </w:tc>
      </w:tr>
      <w:tr w:rsidR="0052348D" w:rsidRPr="0028361F" w:rsidTr="000F4785">
        <w:tc>
          <w:tcPr>
            <w:tcW w:w="2427" w:type="pct"/>
          </w:tcPr>
          <w:p w:rsidR="0052348D" w:rsidRPr="00BF0708" w:rsidRDefault="0052348D" w:rsidP="000F4785">
            <w:pPr>
              <w:jc w:val="both"/>
              <w:rPr>
                <w:sz w:val="20"/>
                <w:lang w:val="fr-CA"/>
              </w:rPr>
            </w:pPr>
            <w:r w:rsidRPr="00BF0708">
              <w:rPr>
                <w:sz w:val="20"/>
                <w:lang w:val="fr-CA"/>
              </w:rPr>
              <w:t>12 mars 2010</w:t>
            </w:r>
          </w:p>
          <w:p w:rsidR="0052348D" w:rsidRPr="00BF0708" w:rsidRDefault="0052348D" w:rsidP="000F4785">
            <w:pPr>
              <w:jc w:val="both"/>
              <w:rPr>
                <w:sz w:val="20"/>
                <w:lang w:val="fr-CA"/>
              </w:rPr>
            </w:pPr>
            <w:r w:rsidRPr="00BF0708">
              <w:rPr>
                <w:sz w:val="20"/>
                <w:lang w:val="fr-CA"/>
              </w:rPr>
              <w:t xml:space="preserve">Cour fédérale </w:t>
            </w:r>
          </w:p>
          <w:p w:rsidR="0052348D" w:rsidRPr="00BF0708" w:rsidRDefault="0052348D" w:rsidP="000F4785">
            <w:pPr>
              <w:jc w:val="both"/>
              <w:rPr>
                <w:sz w:val="20"/>
                <w:lang w:val="fr-CA"/>
              </w:rPr>
            </w:pPr>
            <w:r w:rsidRPr="00BF0708">
              <w:rPr>
                <w:sz w:val="20"/>
                <w:lang w:val="fr-CA"/>
              </w:rPr>
              <w:t>(Juge O’Reilly)</w:t>
            </w:r>
          </w:p>
          <w:p w:rsidR="0052348D" w:rsidRPr="00BF0708" w:rsidRDefault="0052348D" w:rsidP="000F4785">
            <w:pPr>
              <w:jc w:val="both"/>
              <w:rPr>
                <w:sz w:val="20"/>
                <w:lang w:val="fr-CA"/>
              </w:rPr>
            </w:pPr>
            <w:r w:rsidRPr="00BF0708">
              <w:rPr>
                <w:sz w:val="20"/>
                <w:lang w:val="fr-CA"/>
              </w:rPr>
              <w:t>2010 FC 287</w:t>
            </w:r>
          </w:p>
          <w:p w:rsidR="0052348D" w:rsidRPr="00BF0708" w:rsidRDefault="0052348D" w:rsidP="000F4785">
            <w:pPr>
              <w:jc w:val="both"/>
              <w:rPr>
                <w:sz w:val="20"/>
                <w:lang w:val="fr-CA"/>
              </w:rPr>
            </w:pPr>
          </w:p>
        </w:tc>
        <w:tc>
          <w:tcPr>
            <w:tcW w:w="243" w:type="pct"/>
          </w:tcPr>
          <w:p w:rsidR="0052348D" w:rsidRPr="00BF0708" w:rsidRDefault="0052348D" w:rsidP="000F4785">
            <w:pPr>
              <w:jc w:val="both"/>
              <w:rPr>
                <w:sz w:val="20"/>
                <w:lang w:val="fr-CA"/>
              </w:rPr>
            </w:pPr>
          </w:p>
        </w:tc>
        <w:tc>
          <w:tcPr>
            <w:tcW w:w="2330" w:type="pct"/>
          </w:tcPr>
          <w:p w:rsidR="0052348D" w:rsidRPr="00BF0708" w:rsidRDefault="0052348D" w:rsidP="000F4785">
            <w:pPr>
              <w:jc w:val="both"/>
              <w:rPr>
                <w:i/>
                <w:sz w:val="20"/>
                <w:lang w:val="fr-CA"/>
              </w:rPr>
            </w:pPr>
            <w:r w:rsidRPr="00BF0708">
              <w:rPr>
                <w:sz w:val="20"/>
                <w:lang w:val="fr-CA"/>
              </w:rPr>
              <w:t>Ordonnance portant qu’Apotex avait droit d’être indemnisée pour le retard à entrer sur le marché aux termes de l’art. 8 de la version de 1998 du</w:t>
            </w:r>
            <w:r w:rsidRPr="00BF0708">
              <w:rPr>
                <w:i/>
                <w:sz w:val="20"/>
                <w:lang w:val="fr-CA"/>
              </w:rPr>
              <w:t xml:space="preserve"> Règlement</w:t>
            </w:r>
          </w:p>
          <w:p w:rsidR="0052348D" w:rsidRPr="00BF0708" w:rsidRDefault="0052348D" w:rsidP="000F4785">
            <w:pPr>
              <w:jc w:val="both"/>
              <w:rPr>
                <w:sz w:val="20"/>
                <w:lang w:val="fr-CA"/>
              </w:rPr>
            </w:pPr>
          </w:p>
        </w:tc>
      </w:tr>
      <w:tr w:rsidR="0052348D" w:rsidRPr="00BF0708" w:rsidTr="000F4785">
        <w:tc>
          <w:tcPr>
            <w:tcW w:w="2427" w:type="pct"/>
          </w:tcPr>
          <w:p w:rsidR="0052348D" w:rsidRPr="00BF0708" w:rsidRDefault="0052348D" w:rsidP="000F4785">
            <w:pPr>
              <w:jc w:val="both"/>
              <w:rPr>
                <w:sz w:val="20"/>
                <w:lang w:val="fr-CA"/>
              </w:rPr>
            </w:pPr>
            <w:r w:rsidRPr="00BF0708">
              <w:rPr>
                <w:sz w:val="20"/>
                <w:lang w:val="fr-CA"/>
              </w:rPr>
              <w:t>25 novembre 2011</w:t>
            </w:r>
          </w:p>
          <w:p w:rsidR="0052348D" w:rsidRPr="00BF0708" w:rsidRDefault="0052348D" w:rsidP="000F4785">
            <w:pPr>
              <w:jc w:val="both"/>
              <w:rPr>
                <w:sz w:val="20"/>
                <w:lang w:val="fr-CA"/>
              </w:rPr>
            </w:pPr>
            <w:r w:rsidRPr="00BF0708">
              <w:rPr>
                <w:sz w:val="20"/>
                <w:lang w:val="fr-CA"/>
              </w:rPr>
              <w:t xml:space="preserve">Cour d’appel fédérale </w:t>
            </w:r>
          </w:p>
          <w:p w:rsidR="0052348D" w:rsidRPr="00BF0708" w:rsidRDefault="0052348D" w:rsidP="000F4785">
            <w:pPr>
              <w:jc w:val="both"/>
              <w:rPr>
                <w:sz w:val="20"/>
                <w:lang w:val="fr-CA"/>
              </w:rPr>
            </w:pPr>
            <w:r w:rsidRPr="00BF0708">
              <w:rPr>
                <w:sz w:val="20"/>
                <w:lang w:val="fr-CA"/>
              </w:rPr>
              <w:t>(Juges Sexton, Layden</w:t>
            </w:r>
            <w:r w:rsidRPr="00BF0708">
              <w:rPr>
                <w:sz w:val="20"/>
                <w:lang w:val="fr-CA"/>
              </w:rPr>
              <w:noBreakHyphen/>
              <w:t>Stevenson et Stratas)</w:t>
            </w:r>
          </w:p>
          <w:p w:rsidR="0052348D" w:rsidRPr="00BF0708" w:rsidRDefault="0052348D" w:rsidP="000F4785">
            <w:pPr>
              <w:jc w:val="both"/>
              <w:rPr>
                <w:sz w:val="20"/>
                <w:lang w:val="fr-CA"/>
              </w:rPr>
            </w:pPr>
            <w:r w:rsidRPr="00BF0708">
              <w:rPr>
                <w:sz w:val="20"/>
                <w:lang w:val="fr-CA"/>
              </w:rPr>
              <w:t>2011 FCA 329</w:t>
            </w:r>
          </w:p>
          <w:p w:rsidR="0052348D" w:rsidRPr="00BF0708" w:rsidRDefault="0052348D" w:rsidP="000F4785">
            <w:pPr>
              <w:jc w:val="both"/>
              <w:rPr>
                <w:sz w:val="20"/>
                <w:lang w:val="fr-CA"/>
              </w:rPr>
            </w:pPr>
          </w:p>
        </w:tc>
        <w:tc>
          <w:tcPr>
            <w:tcW w:w="243" w:type="pct"/>
          </w:tcPr>
          <w:p w:rsidR="0052348D" w:rsidRPr="00BF0708" w:rsidRDefault="0052348D" w:rsidP="000F4785">
            <w:pPr>
              <w:jc w:val="both"/>
              <w:rPr>
                <w:sz w:val="20"/>
                <w:lang w:val="fr-CA"/>
              </w:rPr>
            </w:pPr>
          </w:p>
        </w:tc>
        <w:tc>
          <w:tcPr>
            <w:tcW w:w="2330" w:type="pct"/>
          </w:tcPr>
          <w:p w:rsidR="0052348D" w:rsidRPr="00BF0708" w:rsidRDefault="0052348D" w:rsidP="000F4785">
            <w:pPr>
              <w:jc w:val="both"/>
              <w:rPr>
                <w:sz w:val="20"/>
                <w:lang w:val="fr-CA"/>
              </w:rPr>
            </w:pPr>
            <w:r w:rsidRPr="00BF0708">
              <w:rPr>
                <w:sz w:val="20"/>
                <w:lang w:val="fr-CA"/>
              </w:rPr>
              <w:t>Appel rejeté</w:t>
            </w:r>
          </w:p>
          <w:p w:rsidR="0052348D" w:rsidRPr="00BF0708" w:rsidRDefault="0052348D" w:rsidP="000F4785">
            <w:pPr>
              <w:jc w:val="both"/>
              <w:rPr>
                <w:sz w:val="20"/>
                <w:lang w:val="fr-CA"/>
              </w:rPr>
            </w:pPr>
          </w:p>
        </w:tc>
      </w:tr>
      <w:tr w:rsidR="0052348D" w:rsidRPr="00BF0708" w:rsidTr="000F4785">
        <w:tc>
          <w:tcPr>
            <w:tcW w:w="2427" w:type="pct"/>
          </w:tcPr>
          <w:p w:rsidR="0052348D" w:rsidRPr="00BF0708" w:rsidRDefault="0052348D" w:rsidP="000F4785">
            <w:pPr>
              <w:jc w:val="both"/>
              <w:rPr>
                <w:sz w:val="20"/>
                <w:lang w:val="fr-CA"/>
              </w:rPr>
            </w:pPr>
            <w:r w:rsidRPr="00BF0708">
              <w:rPr>
                <w:sz w:val="20"/>
                <w:lang w:val="fr-CA"/>
              </w:rPr>
              <w:t>23 janvier 2012</w:t>
            </w:r>
          </w:p>
          <w:p w:rsidR="0052348D" w:rsidRPr="00BF0708" w:rsidRDefault="0052348D" w:rsidP="000F4785">
            <w:pPr>
              <w:jc w:val="both"/>
              <w:rPr>
                <w:sz w:val="20"/>
                <w:lang w:val="fr-CA"/>
              </w:rPr>
            </w:pPr>
            <w:r w:rsidRPr="00BF0708">
              <w:rPr>
                <w:sz w:val="20"/>
                <w:lang w:val="fr-CA"/>
              </w:rPr>
              <w:t>Cour suprême du Canada</w:t>
            </w:r>
          </w:p>
        </w:tc>
        <w:tc>
          <w:tcPr>
            <w:tcW w:w="243" w:type="pct"/>
          </w:tcPr>
          <w:p w:rsidR="0052348D" w:rsidRPr="00BF0708" w:rsidRDefault="0052348D" w:rsidP="000F4785">
            <w:pPr>
              <w:jc w:val="both"/>
              <w:rPr>
                <w:sz w:val="20"/>
                <w:lang w:val="fr-CA"/>
              </w:rPr>
            </w:pPr>
          </w:p>
        </w:tc>
        <w:tc>
          <w:tcPr>
            <w:tcW w:w="2330" w:type="pct"/>
          </w:tcPr>
          <w:p w:rsidR="0052348D" w:rsidRPr="00BF0708" w:rsidRDefault="0052348D" w:rsidP="000F4785">
            <w:pPr>
              <w:jc w:val="both"/>
              <w:rPr>
                <w:sz w:val="20"/>
                <w:lang w:val="fr-CA"/>
              </w:rPr>
            </w:pPr>
            <w:r w:rsidRPr="00BF0708">
              <w:rPr>
                <w:sz w:val="20"/>
                <w:lang w:val="fr-CA"/>
              </w:rPr>
              <w:t>Demande d’autorisation d’appel, déposée</w:t>
            </w: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57" style="width:2in;height:1pt" o:hrpct="0" o:hralign="center" o:hrstd="t" o:hrnoshade="t" o:hr="t" fillcolor="black [3213]" stroked="f"/>
        </w:pict>
      </w:r>
    </w:p>
    <w:p w:rsidR="00FD4A4B" w:rsidRDefault="00FD4A4B" w:rsidP="00FD4A4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5095" w:rsidRPr="009D7F05" w:rsidTr="003B5095">
        <w:trPr>
          <w:cantSplit/>
        </w:trPr>
        <w:tc>
          <w:tcPr>
            <w:tcW w:w="1458" w:type="dxa"/>
          </w:tcPr>
          <w:p w:rsidR="003B5095" w:rsidRPr="0037712A" w:rsidRDefault="003B5095" w:rsidP="003B5095">
            <w:pPr>
              <w:rPr>
                <w:sz w:val="20"/>
                <w:szCs w:val="20"/>
              </w:rPr>
            </w:pPr>
            <w:r w:rsidRPr="0037712A">
              <w:rPr>
                <w:rStyle w:val="SCCFileNumberChar"/>
                <w:sz w:val="20"/>
                <w:szCs w:val="20"/>
              </w:rPr>
              <w:t>34662</w:t>
            </w:r>
          </w:p>
          <w:p w:rsidR="003B5095" w:rsidRPr="0037712A" w:rsidRDefault="003B5095" w:rsidP="003B5095">
            <w:pPr>
              <w:rPr>
                <w:b/>
                <w:sz w:val="20"/>
                <w:szCs w:val="20"/>
                <w:lang w:val="fr-CA"/>
              </w:rPr>
            </w:pPr>
          </w:p>
        </w:tc>
        <w:tc>
          <w:tcPr>
            <w:tcW w:w="8118" w:type="dxa"/>
          </w:tcPr>
          <w:p w:rsidR="003B5095" w:rsidRPr="009D7F05" w:rsidRDefault="003B5095" w:rsidP="009D7F05">
            <w:pPr>
              <w:jc w:val="both"/>
              <w:rPr>
                <w:sz w:val="20"/>
                <w:szCs w:val="20"/>
                <w:lang w:val="fr-CA"/>
              </w:rPr>
            </w:pPr>
            <w:r w:rsidRPr="0037712A">
              <w:rPr>
                <w:rStyle w:val="SCCLsocChar"/>
                <w:sz w:val="20"/>
                <w:szCs w:val="20"/>
              </w:rPr>
              <w:t>Yannick Payette</w:t>
            </w:r>
            <w:r w:rsidR="009D7F05">
              <w:rPr>
                <w:rStyle w:val="SCCLsocChar"/>
                <w:sz w:val="20"/>
                <w:szCs w:val="20"/>
              </w:rPr>
              <w:t xml:space="preserve"> et</w:t>
            </w:r>
            <w:r w:rsidRPr="0037712A">
              <w:rPr>
                <w:rStyle w:val="SCCLsocChar"/>
                <w:sz w:val="20"/>
                <w:szCs w:val="20"/>
              </w:rPr>
              <w:t xml:space="preserve"> Mammoet Canada de l'Est Ltée maintenant aux droits de Mammoet Crane inc. c. Guay inc.</w:t>
            </w:r>
            <w:r w:rsidRPr="0037712A">
              <w:rPr>
                <w:sz w:val="20"/>
                <w:szCs w:val="20"/>
                <w:lang w:val="fr-CA"/>
              </w:rPr>
              <w:t xml:space="preserve"> </w:t>
            </w:r>
            <w:r w:rsidRPr="009D7F05">
              <w:rPr>
                <w:sz w:val="20"/>
                <w:szCs w:val="20"/>
                <w:lang w:val="fr-CA"/>
              </w:rPr>
              <w:t>(Qc) (Civile) (Autorisation)</w:t>
            </w:r>
          </w:p>
          <w:p w:rsidR="003B5095" w:rsidRPr="009D7F05" w:rsidRDefault="003B5095" w:rsidP="003B5095">
            <w:pPr>
              <w:rPr>
                <w:sz w:val="20"/>
                <w:szCs w:val="20"/>
                <w:lang w:val="fr-CA"/>
              </w:rPr>
            </w:pPr>
          </w:p>
        </w:tc>
      </w:tr>
      <w:tr w:rsidR="003B5095" w:rsidRPr="0028361F" w:rsidTr="003B5095">
        <w:trPr>
          <w:cantSplit/>
        </w:trPr>
        <w:tc>
          <w:tcPr>
            <w:tcW w:w="1458" w:type="dxa"/>
          </w:tcPr>
          <w:p w:rsidR="003B5095" w:rsidRPr="0037712A" w:rsidRDefault="003B5095" w:rsidP="003B5095">
            <w:pPr>
              <w:rPr>
                <w:sz w:val="20"/>
                <w:szCs w:val="20"/>
              </w:rPr>
            </w:pPr>
            <w:r w:rsidRPr="0037712A">
              <w:rPr>
                <w:sz w:val="20"/>
                <w:szCs w:val="20"/>
              </w:rPr>
              <w:t>Coram :</w:t>
            </w:r>
          </w:p>
        </w:tc>
        <w:tc>
          <w:tcPr>
            <w:tcW w:w="8118" w:type="dxa"/>
          </w:tcPr>
          <w:p w:rsidR="003B5095" w:rsidRPr="0037712A" w:rsidRDefault="003B5095" w:rsidP="003B5095">
            <w:pPr>
              <w:rPr>
                <w:sz w:val="20"/>
                <w:szCs w:val="20"/>
                <w:lang w:val="fr-CA"/>
              </w:rPr>
            </w:pPr>
            <w:r w:rsidRPr="0037712A">
              <w:rPr>
                <w:rStyle w:val="SCCCoramChar"/>
                <w:sz w:val="20"/>
                <w:szCs w:val="20"/>
              </w:rPr>
              <w:t>Les juges LeBel, Abella et Cromwell</w:t>
            </w:r>
          </w:p>
          <w:p w:rsidR="003B5095" w:rsidRPr="0037712A" w:rsidRDefault="003B5095" w:rsidP="003B5095">
            <w:pPr>
              <w:rPr>
                <w:sz w:val="20"/>
                <w:szCs w:val="20"/>
                <w:u w:val="single"/>
                <w:lang w:val="fr-CA"/>
              </w:rPr>
            </w:pPr>
          </w:p>
        </w:tc>
      </w:tr>
      <w:tr w:rsidR="003B5095" w:rsidRPr="0037712A" w:rsidTr="003B5095">
        <w:trPr>
          <w:cantSplit/>
        </w:trPr>
        <w:tc>
          <w:tcPr>
            <w:tcW w:w="9576" w:type="dxa"/>
            <w:gridSpan w:val="2"/>
          </w:tcPr>
          <w:p w:rsidR="003B5095" w:rsidRPr="0037712A" w:rsidRDefault="003B5095" w:rsidP="003B5095">
            <w:pPr>
              <w:pStyle w:val="SCCShortJudgment"/>
              <w:rPr>
                <w:szCs w:val="20"/>
                <w:lang w:val="fr-CA"/>
              </w:rPr>
            </w:pPr>
            <w:r w:rsidRPr="0037712A">
              <w:rPr>
                <w:szCs w:val="20"/>
                <w:lang w:val="fr-CA"/>
              </w:rPr>
              <w:t xml:space="preserve">La demande d’autorisation d’appel de l’arrêt de la Cour d’appel du Québec (Québec), numéro 200-09-007095-109, 2011 QCCA 2282, daté du 12 décembre 2011, est accordée avec dépens suivant l’issue de la cause. </w:t>
            </w:r>
            <w:r w:rsidR="009D7F05">
              <w:rPr>
                <w:szCs w:val="20"/>
                <w:lang w:val="fr-CA"/>
              </w:rPr>
              <w:t xml:space="preserve"> </w:t>
            </w:r>
            <w:r w:rsidRPr="0037712A">
              <w:rPr>
                <w:szCs w:val="20"/>
                <w:lang w:val="fr-CA"/>
              </w:rPr>
              <w:t>La suspension de l’injonction prononcée par la Cour d’appel est accordée jusqu’au jour du dépôt de l’avis d’appel.</w:t>
            </w:r>
          </w:p>
          <w:p w:rsidR="003B5095" w:rsidRPr="0037712A" w:rsidRDefault="003B5095" w:rsidP="003B5095">
            <w:pPr>
              <w:pStyle w:val="SCCShortJudgment"/>
              <w:ind w:firstLine="0"/>
              <w:rPr>
                <w:szCs w:val="20"/>
                <w:lang w:val="fr-CA"/>
              </w:rPr>
            </w:pPr>
          </w:p>
          <w:p w:rsidR="003B5095" w:rsidRPr="0037712A" w:rsidRDefault="003B5095" w:rsidP="003B5095">
            <w:pPr>
              <w:pStyle w:val="SCCShortJudgment"/>
              <w:rPr>
                <w:szCs w:val="20"/>
              </w:rPr>
            </w:pPr>
            <w:r w:rsidRPr="0037712A">
              <w:rPr>
                <w:szCs w:val="20"/>
              </w:rPr>
              <w:t xml:space="preserve">The application for leave to appeal from the judgment of the Court of Appeal of Quebec (Québec), Number 200-09-007095-109, 2011 QCCA 2282, dated December 12, 2011, is granted with costs in the cause. </w:t>
            </w:r>
            <w:r w:rsidR="009D7F05">
              <w:rPr>
                <w:szCs w:val="20"/>
              </w:rPr>
              <w:t xml:space="preserve"> </w:t>
            </w:r>
            <w:r w:rsidRPr="0037712A">
              <w:rPr>
                <w:szCs w:val="20"/>
              </w:rPr>
              <w:t>The stay of the injunction ordered by the Court of Appeal is granted until the date of filing of the notice of appeal.</w:t>
            </w:r>
          </w:p>
        </w:tc>
      </w:tr>
    </w:tbl>
    <w:p w:rsidR="00FD4A4B" w:rsidRPr="003B5095" w:rsidRDefault="00FD4A4B" w:rsidP="00FD4A4B">
      <w:pPr>
        <w:rPr>
          <w:sz w:val="20"/>
          <w:szCs w:val="20"/>
        </w:rPr>
      </w:pPr>
    </w:p>
    <w:p w:rsidR="00FD4A4B" w:rsidRPr="001B157C" w:rsidRDefault="00FD4A4B" w:rsidP="00FD4A4B">
      <w:pPr>
        <w:rPr>
          <w:sz w:val="20"/>
          <w:szCs w:val="20"/>
          <w:u w:val="single"/>
        </w:rPr>
      </w:pPr>
      <w:r w:rsidRPr="001B157C">
        <w:rPr>
          <w:sz w:val="20"/>
          <w:szCs w:val="20"/>
          <w:u w:val="single"/>
        </w:rPr>
        <w:t>CASE SUMMARY</w:t>
      </w:r>
    </w:p>
    <w:p w:rsidR="00FD4A4B" w:rsidRDefault="00FD4A4B" w:rsidP="00FD4A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11649" w:rsidRPr="00BF0708" w:rsidTr="000F4785">
        <w:tc>
          <w:tcPr>
            <w:tcW w:w="5000" w:type="pct"/>
            <w:gridSpan w:val="3"/>
          </w:tcPr>
          <w:p w:rsidR="00C11649" w:rsidRPr="00BF0708" w:rsidRDefault="00C11649" w:rsidP="000F4785">
            <w:pPr>
              <w:jc w:val="both"/>
              <w:rPr>
                <w:rFonts w:eastAsia="Calibri"/>
                <w:sz w:val="20"/>
              </w:rPr>
            </w:pPr>
            <w:r w:rsidRPr="00BF0708">
              <w:rPr>
                <w:rFonts w:eastAsia="Calibri"/>
                <w:sz w:val="20"/>
              </w:rPr>
              <w:t xml:space="preserve">Sale </w:t>
            </w:r>
            <w:r w:rsidRPr="00BF0708">
              <w:rPr>
                <w:rFonts w:eastAsia="Calibri"/>
                <w:sz w:val="20"/>
              </w:rPr>
              <w:noBreakHyphen/>
              <w:t xml:space="preserve"> Sale of businesses and accessory contract of employment </w:t>
            </w:r>
            <w:r w:rsidRPr="00BF0708">
              <w:rPr>
                <w:rFonts w:eastAsia="Calibri"/>
                <w:sz w:val="20"/>
              </w:rPr>
              <w:noBreakHyphen/>
              <w:t xml:space="preserve"> Non</w:t>
            </w:r>
            <w:r w:rsidRPr="00BF0708">
              <w:rPr>
                <w:rFonts w:eastAsia="Calibri"/>
                <w:sz w:val="20"/>
              </w:rPr>
              <w:noBreakHyphen/>
              <w:t>competition and non</w:t>
            </w:r>
            <w:r w:rsidRPr="00BF0708">
              <w:rPr>
                <w:rFonts w:eastAsia="Calibri"/>
                <w:sz w:val="20"/>
              </w:rPr>
              <w:noBreakHyphen/>
              <w:t xml:space="preserve">solicitation clause </w:t>
            </w:r>
            <w:r w:rsidRPr="00BF0708">
              <w:rPr>
                <w:rFonts w:eastAsia="Calibri"/>
                <w:sz w:val="20"/>
              </w:rPr>
              <w:noBreakHyphen/>
              <w:t xml:space="preserve"> Sale </w:t>
            </w:r>
            <w:r w:rsidRPr="00BF0708">
              <w:rPr>
                <w:rFonts w:eastAsia="Calibri"/>
                <w:sz w:val="20"/>
              </w:rPr>
              <w:lastRenderedPageBreak/>
              <w:t xml:space="preserve">of assets of crane rental companies coupled with contract of employment </w:t>
            </w:r>
            <w:r w:rsidRPr="00BF0708">
              <w:rPr>
                <w:rFonts w:eastAsia="Calibri"/>
                <w:sz w:val="20"/>
              </w:rPr>
              <w:noBreakHyphen/>
              <w:t xml:space="preserve"> Clauses in restraint of trade given in consideration of sale </w:t>
            </w:r>
            <w:r w:rsidRPr="00BF0708">
              <w:rPr>
                <w:rFonts w:eastAsia="Calibri"/>
                <w:sz w:val="20"/>
              </w:rPr>
              <w:noBreakHyphen/>
              <w:t xml:space="preserve"> Accessory employment extended and employee later dismissed </w:t>
            </w:r>
            <w:r w:rsidRPr="00BF0708">
              <w:rPr>
                <w:rFonts w:eastAsia="Calibri"/>
                <w:sz w:val="20"/>
              </w:rPr>
              <w:noBreakHyphen/>
              <w:t xml:space="preserve"> New employment with competitor </w:t>
            </w:r>
            <w:r w:rsidRPr="00BF0708">
              <w:rPr>
                <w:rFonts w:eastAsia="Calibri"/>
                <w:sz w:val="20"/>
              </w:rPr>
              <w:noBreakHyphen/>
              <w:t xml:space="preserve"> Whether Court of Appeal erred in applying non</w:t>
            </w:r>
            <w:r w:rsidRPr="00BF0708">
              <w:rPr>
                <w:rFonts w:eastAsia="Calibri"/>
                <w:sz w:val="20"/>
              </w:rPr>
              <w:noBreakHyphen/>
              <w:t xml:space="preserve">competition clause despite broad scope of clause and wrongful termination of employment relationship </w:t>
            </w:r>
            <w:r w:rsidRPr="00BF0708">
              <w:rPr>
                <w:rFonts w:eastAsia="Calibri"/>
                <w:sz w:val="20"/>
              </w:rPr>
              <w:noBreakHyphen/>
              <w:t xml:space="preserve"> Applicability of </w:t>
            </w:r>
            <w:r w:rsidRPr="00BF0708">
              <w:rPr>
                <w:rFonts w:eastAsia="Calibri"/>
                <w:i/>
                <w:sz w:val="20"/>
              </w:rPr>
              <w:t>Civil Code of  Québec</w:t>
            </w:r>
            <w:r w:rsidRPr="00BF0708">
              <w:rPr>
                <w:rFonts w:eastAsia="Calibri"/>
                <w:sz w:val="20"/>
              </w:rPr>
              <w:t>, S.Q. 1991, c. 64, arts. 2089, 2095.</w:t>
            </w:r>
          </w:p>
        </w:tc>
      </w:tr>
      <w:tr w:rsidR="00C11649" w:rsidRPr="00BF0708" w:rsidTr="000F4785">
        <w:tc>
          <w:tcPr>
            <w:tcW w:w="5000" w:type="pct"/>
            <w:gridSpan w:val="3"/>
          </w:tcPr>
          <w:p w:rsidR="00C11649" w:rsidRPr="00BF0708" w:rsidRDefault="00C11649" w:rsidP="000F4785">
            <w:pPr>
              <w:jc w:val="both"/>
              <w:rPr>
                <w:rFonts w:eastAsia="Calibri"/>
                <w:sz w:val="20"/>
              </w:rPr>
            </w:pPr>
          </w:p>
        </w:tc>
      </w:tr>
      <w:tr w:rsidR="00C11649" w:rsidRPr="00BF0708" w:rsidTr="000F4785">
        <w:tc>
          <w:tcPr>
            <w:tcW w:w="5000" w:type="pct"/>
            <w:gridSpan w:val="3"/>
          </w:tcPr>
          <w:p w:rsidR="00C11649" w:rsidRPr="00BF0708" w:rsidRDefault="00C11649" w:rsidP="000F4785">
            <w:pPr>
              <w:jc w:val="both"/>
              <w:rPr>
                <w:rFonts w:eastAsia="Calibri"/>
                <w:sz w:val="20"/>
              </w:rPr>
            </w:pPr>
            <w:r w:rsidRPr="00BF0708">
              <w:rPr>
                <w:rFonts w:eastAsia="Calibri"/>
                <w:sz w:val="20"/>
              </w:rPr>
              <w:t>The assets of companies controlled by the applicant Mr. Payette were purchased by the respondent Guay inc. in October 2004.  All of those companies worked in the same field, namely crane rental.  The contract of sale provided that Mr. Payette would remain employed by Guay and be bound by a non</w:t>
            </w:r>
            <w:r w:rsidRPr="00BF0708">
              <w:rPr>
                <w:rFonts w:eastAsia="Calibri"/>
                <w:sz w:val="20"/>
              </w:rPr>
              <w:noBreakHyphen/>
              <w:t>competition clause and companion non</w:t>
            </w:r>
            <w:r w:rsidRPr="00BF0708">
              <w:rPr>
                <w:rFonts w:eastAsia="Calibri"/>
                <w:sz w:val="20"/>
              </w:rPr>
              <w:noBreakHyphen/>
              <w:t>solicitation clause for a period of five years after the termination of the employment relationship.  The company dismissed Mr. Payette in August 2009; in March 2010, he began working for the applicant Mammoet, a competitor.  Guay applied for an injunction; pending the trial, Guay was granted a provisional injunction and a safeguard order.  The Superior Court found that the dismissal was wrongful and refused to apply the non</w:t>
            </w:r>
            <w:r w:rsidRPr="00BF0708">
              <w:rPr>
                <w:rFonts w:eastAsia="Calibri"/>
                <w:sz w:val="20"/>
              </w:rPr>
              <w:noBreakHyphen/>
              <w:t>competition clause, which it also found too broad to be valid.  That decision was reversed by a majority of the Court of Appeal.</w:t>
            </w:r>
          </w:p>
          <w:p w:rsidR="00C11649" w:rsidRPr="00BF0708" w:rsidRDefault="00C11649" w:rsidP="000F4785">
            <w:pPr>
              <w:jc w:val="both"/>
              <w:rPr>
                <w:rFonts w:eastAsia="Calibri"/>
                <w:sz w:val="20"/>
              </w:rPr>
            </w:pPr>
          </w:p>
        </w:tc>
      </w:tr>
      <w:tr w:rsidR="00C11649" w:rsidRPr="00BF0708" w:rsidTr="000F4785">
        <w:tc>
          <w:tcPr>
            <w:tcW w:w="2427" w:type="pct"/>
          </w:tcPr>
          <w:p w:rsidR="00C11649" w:rsidRPr="00BF0708" w:rsidRDefault="00C11649" w:rsidP="000F4785">
            <w:pPr>
              <w:jc w:val="both"/>
              <w:rPr>
                <w:rFonts w:eastAsia="Calibri"/>
                <w:sz w:val="20"/>
              </w:rPr>
            </w:pPr>
            <w:r w:rsidRPr="00BF0708">
              <w:rPr>
                <w:rFonts w:eastAsia="Calibri"/>
                <w:sz w:val="20"/>
              </w:rPr>
              <w:t>June 8, 2010</w:t>
            </w:r>
          </w:p>
          <w:p w:rsidR="00C11649" w:rsidRPr="00BF0708" w:rsidRDefault="00C11649" w:rsidP="000F4785">
            <w:pPr>
              <w:jc w:val="both"/>
              <w:rPr>
                <w:rFonts w:eastAsia="Calibri"/>
                <w:sz w:val="20"/>
              </w:rPr>
            </w:pPr>
            <w:r w:rsidRPr="00BF0708">
              <w:rPr>
                <w:rFonts w:eastAsia="Calibri"/>
                <w:sz w:val="20"/>
              </w:rPr>
              <w:t>Quebec Superior Court</w:t>
            </w:r>
          </w:p>
          <w:p w:rsidR="00C11649" w:rsidRPr="00BF0708" w:rsidRDefault="00C11649" w:rsidP="000F4785">
            <w:pPr>
              <w:jc w:val="both"/>
              <w:rPr>
                <w:rFonts w:eastAsia="Calibri"/>
                <w:sz w:val="20"/>
              </w:rPr>
            </w:pPr>
            <w:r w:rsidRPr="00BF0708">
              <w:rPr>
                <w:rFonts w:eastAsia="Calibri"/>
                <w:sz w:val="20"/>
              </w:rPr>
              <w:t>(Lemelin J.)</w:t>
            </w:r>
          </w:p>
          <w:p w:rsidR="00C11649" w:rsidRPr="00BF0708" w:rsidRDefault="00C11649" w:rsidP="000F4785">
            <w:pPr>
              <w:jc w:val="both"/>
              <w:rPr>
                <w:rFonts w:eastAsia="Calibri"/>
                <w:sz w:val="20"/>
              </w:rPr>
            </w:pPr>
            <w:r w:rsidRPr="00BF0708">
              <w:rPr>
                <w:rFonts w:eastAsia="Calibri"/>
                <w:sz w:val="20"/>
              </w:rPr>
              <w:t>Neutral citation: 2010 QCCS 2756</w:t>
            </w:r>
          </w:p>
          <w:p w:rsidR="00C11649" w:rsidRPr="00BF0708" w:rsidRDefault="00C11649" w:rsidP="000F4785">
            <w:pPr>
              <w:jc w:val="both"/>
              <w:rPr>
                <w:rFonts w:eastAsia="Calibri"/>
                <w:sz w:val="20"/>
              </w:rPr>
            </w:pPr>
          </w:p>
        </w:tc>
        <w:tc>
          <w:tcPr>
            <w:tcW w:w="243" w:type="pct"/>
          </w:tcPr>
          <w:p w:rsidR="00C11649" w:rsidRPr="00BF0708" w:rsidRDefault="00C11649" w:rsidP="000F4785">
            <w:pPr>
              <w:jc w:val="both"/>
              <w:rPr>
                <w:rFonts w:eastAsia="Calibri"/>
                <w:sz w:val="20"/>
              </w:rPr>
            </w:pPr>
          </w:p>
        </w:tc>
        <w:tc>
          <w:tcPr>
            <w:tcW w:w="2330" w:type="pct"/>
          </w:tcPr>
          <w:p w:rsidR="00C11649" w:rsidRPr="00BF0708" w:rsidRDefault="00C11649" w:rsidP="000F4785">
            <w:pPr>
              <w:jc w:val="both"/>
              <w:rPr>
                <w:rFonts w:eastAsia="Calibri"/>
                <w:sz w:val="20"/>
              </w:rPr>
            </w:pPr>
            <w:r w:rsidRPr="00BF0708">
              <w:rPr>
                <w:rFonts w:eastAsia="Calibri"/>
                <w:sz w:val="20"/>
              </w:rPr>
              <w:t>Permanent injunction sought by respondent denied</w:t>
            </w:r>
          </w:p>
        </w:tc>
      </w:tr>
      <w:tr w:rsidR="00C11649" w:rsidRPr="00BF0708" w:rsidTr="000F4785">
        <w:tc>
          <w:tcPr>
            <w:tcW w:w="2427" w:type="pct"/>
          </w:tcPr>
          <w:p w:rsidR="00C11649" w:rsidRPr="00BF0708" w:rsidRDefault="00C11649" w:rsidP="000F4785">
            <w:pPr>
              <w:jc w:val="both"/>
              <w:rPr>
                <w:rFonts w:eastAsia="Calibri"/>
                <w:sz w:val="20"/>
              </w:rPr>
            </w:pPr>
            <w:r w:rsidRPr="00BF0708">
              <w:rPr>
                <w:rFonts w:eastAsia="Calibri"/>
                <w:sz w:val="20"/>
              </w:rPr>
              <w:t>December 12, 2011</w:t>
            </w:r>
          </w:p>
          <w:p w:rsidR="00C11649" w:rsidRPr="00BF0708" w:rsidRDefault="00C11649" w:rsidP="000F4785">
            <w:pPr>
              <w:jc w:val="both"/>
              <w:rPr>
                <w:rFonts w:eastAsia="Calibri"/>
                <w:sz w:val="20"/>
              </w:rPr>
            </w:pPr>
            <w:r w:rsidRPr="00BF0708">
              <w:rPr>
                <w:rFonts w:eastAsia="Calibri"/>
                <w:sz w:val="20"/>
              </w:rPr>
              <w:t>Quebec Court of Appeal (Québec)</w:t>
            </w:r>
          </w:p>
          <w:p w:rsidR="00C11649" w:rsidRPr="00BF0708" w:rsidRDefault="00C11649" w:rsidP="000F4785">
            <w:pPr>
              <w:jc w:val="both"/>
              <w:rPr>
                <w:rFonts w:eastAsia="Calibri"/>
                <w:sz w:val="20"/>
              </w:rPr>
            </w:pPr>
            <w:r w:rsidRPr="00BF0708">
              <w:rPr>
                <w:rFonts w:eastAsia="Calibri"/>
                <w:sz w:val="20"/>
              </w:rPr>
              <w:t>(Chamberland, Thibault, dissenting, and Morin JJ.A.)</w:t>
            </w:r>
          </w:p>
          <w:p w:rsidR="00C11649" w:rsidRPr="00BF0708" w:rsidRDefault="00C11649" w:rsidP="000F4785">
            <w:pPr>
              <w:jc w:val="both"/>
              <w:rPr>
                <w:rFonts w:eastAsia="Calibri"/>
                <w:sz w:val="20"/>
              </w:rPr>
            </w:pPr>
          </w:p>
        </w:tc>
        <w:tc>
          <w:tcPr>
            <w:tcW w:w="243" w:type="pct"/>
          </w:tcPr>
          <w:p w:rsidR="00C11649" w:rsidRPr="00BF0708" w:rsidRDefault="00C11649" w:rsidP="000F4785">
            <w:pPr>
              <w:jc w:val="both"/>
              <w:rPr>
                <w:rFonts w:eastAsia="Calibri"/>
                <w:sz w:val="20"/>
              </w:rPr>
            </w:pPr>
          </w:p>
        </w:tc>
        <w:tc>
          <w:tcPr>
            <w:tcW w:w="2330" w:type="pct"/>
          </w:tcPr>
          <w:p w:rsidR="00C11649" w:rsidRPr="00BF0708" w:rsidRDefault="00C11649" w:rsidP="000F4785">
            <w:pPr>
              <w:jc w:val="both"/>
              <w:rPr>
                <w:rFonts w:eastAsia="Calibri"/>
                <w:sz w:val="20"/>
              </w:rPr>
            </w:pPr>
            <w:r w:rsidRPr="00BF0708">
              <w:rPr>
                <w:rFonts w:eastAsia="Calibri"/>
                <w:sz w:val="20"/>
              </w:rPr>
              <w:t>Appeal allowed; injunction issued against applicants until August 3, 2014</w:t>
            </w:r>
          </w:p>
        </w:tc>
      </w:tr>
      <w:tr w:rsidR="00C11649" w:rsidRPr="00BF0708" w:rsidTr="000F4785">
        <w:tc>
          <w:tcPr>
            <w:tcW w:w="2427" w:type="pct"/>
          </w:tcPr>
          <w:p w:rsidR="00C11649" w:rsidRPr="00BF0708" w:rsidRDefault="00C11649" w:rsidP="000F4785">
            <w:pPr>
              <w:jc w:val="both"/>
              <w:rPr>
                <w:rFonts w:eastAsia="Calibri"/>
                <w:sz w:val="20"/>
              </w:rPr>
            </w:pPr>
            <w:r w:rsidRPr="00BF0708">
              <w:rPr>
                <w:rFonts w:eastAsia="Calibri"/>
                <w:sz w:val="20"/>
              </w:rPr>
              <w:t>February 8, 2012</w:t>
            </w:r>
          </w:p>
          <w:p w:rsidR="00C11649" w:rsidRPr="00BF0708" w:rsidRDefault="00C11649" w:rsidP="000F4785">
            <w:pPr>
              <w:jc w:val="both"/>
              <w:rPr>
                <w:rFonts w:eastAsia="Calibri"/>
                <w:sz w:val="20"/>
              </w:rPr>
            </w:pPr>
            <w:r w:rsidRPr="00BF0708">
              <w:rPr>
                <w:rFonts w:eastAsia="Calibri"/>
                <w:sz w:val="20"/>
              </w:rPr>
              <w:t>Supreme Court of Canada</w:t>
            </w:r>
          </w:p>
        </w:tc>
        <w:tc>
          <w:tcPr>
            <w:tcW w:w="243" w:type="pct"/>
          </w:tcPr>
          <w:p w:rsidR="00C11649" w:rsidRPr="00BF0708" w:rsidRDefault="00C11649" w:rsidP="000F4785">
            <w:pPr>
              <w:jc w:val="both"/>
              <w:rPr>
                <w:rFonts w:eastAsia="Calibri"/>
                <w:sz w:val="20"/>
              </w:rPr>
            </w:pPr>
          </w:p>
        </w:tc>
        <w:tc>
          <w:tcPr>
            <w:tcW w:w="2330" w:type="pct"/>
          </w:tcPr>
          <w:p w:rsidR="00C11649" w:rsidRPr="00BF0708" w:rsidRDefault="00C11649" w:rsidP="000F4785">
            <w:pPr>
              <w:jc w:val="both"/>
              <w:rPr>
                <w:rFonts w:eastAsia="Calibri"/>
                <w:sz w:val="20"/>
              </w:rPr>
            </w:pPr>
            <w:r w:rsidRPr="00BF0708">
              <w:rPr>
                <w:rFonts w:eastAsia="Calibri"/>
                <w:sz w:val="20"/>
              </w:rPr>
              <w:t>Application for leave to appeal filed</w:t>
            </w:r>
          </w:p>
          <w:p w:rsidR="00C11649" w:rsidRPr="00BF0708" w:rsidRDefault="00C11649" w:rsidP="000F4785">
            <w:pPr>
              <w:jc w:val="both"/>
              <w:rPr>
                <w:rFonts w:eastAsia="Calibri"/>
                <w:sz w:val="20"/>
              </w:rPr>
            </w:pP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58" style="width:2in;height:1pt" o:hrpct="0" o:hralign="center" o:hrstd="t" o:hrnoshade="t" o:hr="t" fillcolor="black [3213]" stroked="f"/>
        </w:pict>
      </w:r>
    </w:p>
    <w:p w:rsidR="00FD4A4B" w:rsidRDefault="00FD4A4B" w:rsidP="00FD4A4B">
      <w:pPr>
        <w:rPr>
          <w:sz w:val="20"/>
          <w:szCs w:val="20"/>
        </w:rPr>
      </w:pPr>
    </w:p>
    <w:p w:rsidR="00FD4A4B" w:rsidRPr="001B157C" w:rsidRDefault="00FD4A4B" w:rsidP="00FD4A4B">
      <w:pPr>
        <w:rPr>
          <w:sz w:val="20"/>
          <w:szCs w:val="20"/>
          <w:u w:val="single"/>
          <w:lang w:val="fr-CA"/>
        </w:rPr>
      </w:pPr>
      <w:r w:rsidRPr="001B157C">
        <w:rPr>
          <w:sz w:val="20"/>
          <w:szCs w:val="20"/>
          <w:u w:val="single"/>
          <w:lang w:val="fr-CA"/>
        </w:rPr>
        <w:t>RÉSUMÉ DE L’AFFAIRE</w:t>
      </w:r>
    </w:p>
    <w:p w:rsidR="00FD4A4B" w:rsidRDefault="00FD4A4B" w:rsidP="00FD4A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11649" w:rsidRPr="0028361F" w:rsidTr="000F4785">
        <w:tc>
          <w:tcPr>
            <w:tcW w:w="5000" w:type="pct"/>
            <w:gridSpan w:val="3"/>
          </w:tcPr>
          <w:p w:rsidR="00C11649" w:rsidRPr="00BF0708" w:rsidRDefault="00C11649" w:rsidP="000F4785">
            <w:pPr>
              <w:jc w:val="both"/>
              <w:rPr>
                <w:rFonts w:eastAsia="Calibri"/>
                <w:sz w:val="20"/>
                <w:lang w:val="fr-FR"/>
              </w:rPr>
            </w:pPr>
            <w:r w:rsidRPr="00BF0708">
              <w:rPr>
                <w:rFonts w:eastAsia="Calibri"/>
                <w:sz w:val="20"/>
                <w:lang w:val="fr-FR"/>
              </w:rPr>
              <w:t xml:space="preserve">Vente – Vente d’entreprises et contrat de travail accessoire – Clause de non-concurrence et de non-sollicitation – Vente d’actifs de compagnies de location de grues doublée d’un contrat d’emploi - Clauses restrictives du commerce consenties en contrepartie de la vente – Emploi accessoire prolongé suivi de congédiement – Nouvel emploi chez un concurrent - La Cour d’appel a-t-elle erré en appliquant la clause de non-concurrence malgré sa portée large et une rupture abusive du lien d’emploi? – Application ou non du </w:t>
            </w:r>
            <w:r w:rsidRPr="00BF0708">
              <w:rPr>
                <w:rFonts w:eastAsia="Calibri"/>
                <w:i/>
                <w:sz w:val="20"/>
                <w:lang w:val="fr-FR"/>
              </w:rPr>
              <w:t>Code civil du Québec</w:t>
            </w:r>
            <w:r w:rsidRPr="00BF0708">
              <w:rPr>
                <w:rFonts w:eastAsia="Calibri"/>
                <w:sz w:val="20"/>
                <w:lang w:val="fr-FR"/>
              </w:rPr>
              <w:t>, L.Q. 1991, ch. 64, art. 2089, 2095.</w:t>
            </w:r>
          </w:p>
        </w:tc>
      </w:tr>
      <w:tr w:rsidR="00C11649" w:rsidRPr="0028361F" w:rsidTr="000F4785">
        <w:tc>
          <w:tcPr>
            <w:tcW w:w="5000" w:type="pct"/>
            <w:gridSpan w:val="3"/>
          </w:tcPr>
          <w:p w:rsidR="00C11649" w:rsidRPr="00BF0708" w:rsidRDefault="00C11649" w:rsidP="000F4785">
            <w:pPr>
              <w:jc w:val="both"/>
              <w:rPr>
                <w:rFonts w:eastAsia="Calibri"/>
                <w:sz w:val="20"/>
                <w:lang w:val="fr-CA"/>
              </w:rPr>
            </w:pPr>
          </w:p>
        </w:tc>
      </w:tr>
      <w:tr w:rsidR="00C11649" w:rsidRPr="00BF0708" w:rsidTr="000F4785">
        <w:tc>
          <w:tcPr>
            <w:tcW w:w="5000" w:type="pct"/>
            <w:gridSpan w:val="3"/>
          </w:tcPr>
          <w:p w:rsidR="00C11649" w:rsidRDefault="00C11649" w:rsidP="000F4785">
            <w:pPr>
              <w:jc w:val="both"/>
              <w:rPr>
                <w:rFonts w:eastAsia="Calibri"/>
                <w:sz w:val="20"/>
                <w:lang w:val="fr-CA"/>
              </w:rPr>
            </w:pPr>
            <w:r w:rsidRPr="00BF0708">
              <w:rPr>
                <w:rFonts w:eastAsia="Calibri"/>
                <w:sz w:val="20"/>
                <w:lang w:val="fr-CA"/>
              </w:rPr>
              <w:t>Les actifs de compagnies contrôlées par le demandeur Payette ont été achetés par l’intimée Guay inc. en octobre 2004, toutes ces entreprises oeuvrant dans le même domaine, la location de grues. Le contrat de vente prévoit que Payette reste à l’emploi de Guay et qu’il est lié par une clause de non-concurrence et son complément, la non-sollicitation, pour une période de cinq ans après la fin du lien d’emploi. L’entreprise congédie Payette en août 2009; en mars 2010, ce dernier commence un emploi chez la demanderesse Mammoet, une concurrente. Guay demande une injonction; dans l’attente du procès, elle bénéficie d’une injonction provisoire et d’une ordonnance de sauvegarde. La Cour supérieure estime que le congédiement était abusif et refuse d’appliquer la clause de non-concurrence, qu’elle juge par ailleurs trop large pour être valide. La Cour d’appel, à la majorité, renverse cette décision.</w:t>
            </w:r>
          </w:p>
          <w:p w:rsidR="00C11649" w:rsidRPr="00BF0708" w:rsidRDefault="00C11649" w:rsidP="000F4785">
            <w:pPr>
              <w:jc w:val="both"/>
              <w:rPr>
                <w:rFonts w:eastAsia="Calibri"/>
                <w:sz w:val="20"/>
                <w:lang w:val="fr-CA"/>
              </w:rPr>
            </w:pPr>
          </w:p>
        </w:tc>
      </w:tr>
      <w:tr w:rsidR="00C11649" w:rsidRPr="0028361F" w:rsidTr="00F34149">
        <w:trPr>
          <w:cantSplit/>
        </w:trPr>
        <w:tc>
          <w:tcPr>
            <w:tcW w:w="2427" w:type="pct"/>
          </w:tcPr>
          <w:p w:rsidR="00C11649" w:rsidRPr="00BF0708" w:rsidRDefault="00C11649" w:rsidP="000F4785">
            <w:pPr>
              <w:jc w:val="both"/>
              <w:rPr>
                <w:rFonts w:eastAsia="Calibri"/>
                <w:sz w:val="20"/>
                <w:lang w:val="fr-CA"/>
              </w:rPr>
            </w:pPr>
            <w:r w:rsidRPr="00BF0708">
              <w:rPr>
                <w:rFonts w:eastAsia="Calibri"/>
                <w:sz w:val="20"/>
                <w:lang w:val="fr-CA"/>
              </w:rPr>
              <w:lastRenderedPageBreak/>
              <w:t>Le 8 juin 2010</w:t>
            </w:r>
          </w:p>
          <w:p w:rsidR="00C11649" w:rsidRPr="00BF0708" w:rsidRDefault="00C11649" w:rsidP="000F4785">
            <w:pPr>
              <w:jc w:val="both"/>
              <w:rPr>
                <w:rFonts w:eastAsia="Calibri"/>
                <w:sz w:val="20"/>
                <w:lang w:val="fr-CA"/>
              </w:rPr>
            </w:pPr>
            <w:r w:rsidRPr="00BF0708">
              <w:rPr>
                <w:rFonts w:eastAsia="Calibri"/>
                <w:sz w:val="20"/>
                <w:lang w:val="fr-CA"/>
              </w:rPr>
              <w:t>Cour supérieure du Québec</w:t>
            </w:r>
          </w:p>
          <w:p w:rsidR="00C11649" w:rsidRPr="00BF0708" w:rsidRDefault="00C11649" w:rsidP="000F4785">
            <w:pPr>
              <w:jc w:val="both"/>
              <w:rPr>
                <w:rFonts w:eastAsia="Calibri"/>
                <w:sz w:val="20"/>
                <w:lang w:val="fr-CA"/>
              </w:rPr>
            </w:pPr>
            <w:r w:rsidRPr="00BF0708">
              <w:rPr>
                <w:rFonts w:eastAsia="Calibri"/>
                <w:sz w:val="20"/>
                <w:lang w:val="fr-CA"/>
              </w:rPr>
              <w:t>(Le juge Lemelin)</w:t>
            </w:r>
          </w:p>
          <w:p w:rsidR="00C11649" w:rsidRPr="00BF0708" w:rsidRDefault="00C11649" w:rsidP="000F4785">
            <w:pPr>
              <w:jc w:val="both"/>
              <w:rPr>
                <w:rFonts w:eastAsia="Calibri"/>
                <w:sz w:val="20"/>
                <w:lang w:val="fr-CA"/>
              </w:rPr>
            </w:pPr>
            <w:r w:rsidRPr="00BF0708">
              <w:rPr>
                <w:rFonts w:eastAsia="Calibri"/>
                <w:sz w:val="20"/>
                <w:lang w:val="fr-CA"/>
              </w:rPr>
              <w:t>Référence neutre : 2010 QCCS 2756</w:t>
            </w:r>
          </w:p>
          <w:p w:rsidR="00C11649" w:rsidRPr="00BF0708" w:rsidRDefault="00C11649" w:rsidP="000F4785">
            <w:pPr>
              <w:jc w:val="both"/>
              <w:rPr>
                <w:rFonts w:eastAsia="Calibri"/>
                <w:sz w:val="20"/>
                <w:lang w:val="fr-CA"/>
              </w:rPr>
            </w:pPr>
          </w:p>
        </w:tc>
        <w:tc>
          <w:tcPr>
            <w:tcW w:w="243" w:type="pct"/>
          </w:tcPr>
          <w:p w:rsidR="00C11649" w:rsidRPr="00BF0708" w:rsidRDefault="00C11649" w:rsidP="000F4785">
            <w:pPr>
              <w:jc w:val="both"/>
              <w:rPr>
                <w:rFonts w:eastAsia="Calibri"/>
                <w:sz w:val="20"/>
                <w:lang w:val="fr-FR"/>
              </w:rPr>
            </w:pPr>
          </w:p>
        </w:tc>
        <w:tc>
          <w:tcPr>
            <w:tcW w:w="2330" w:type="pct"/>
          </w:tcPr>
          <w:p w:rsidR="00C11649" w:rsidRPr="00BF0708" w:rsidRDefault="00C11649" w:rsidP="000F4785">
            <w:pPr>
              <w:jc w:val="both"/>
              <w:rPr>
                <w:rFonts w:eastAsia="Calibri"/>
                <w:sz w:val="20"/>
                <w:lang w:val="fr-CA"/>
              </w:rPr>
            </w:pPr>
            <w:r w:rsidRPr="00BF0708">
              <w:rPr>
                <w:rFonts w:eastAsia="Calibri"/>
                <w:sz w:val="20"/>
                <w:lang w:val="fr-CA"/>
              </w:rPr>
              <w:t>Injonction permanente réclamée par l’intimée refusée.</w:t>
            </w:r>
          </w:p>
        </w:tc>
      </w:tr>
      <w:tr w:rsidR="00C11649" w:rsidRPr="0028361F" w:rsidTr="00F34149">
        <w:trPr>
          <w:cantSplit/>
        </w:trPr>
        <w:tc>
          <w:tcPr>
            <w:tcW w:w="2427" w:type="pct"/>
          </w:tcPr>
          <w:p w:rsidR="00C11649" w:rsidRPr="00BF0708" w:rsidRDefault="00C11649" w:rsidP="000F4785">
            <w:pPr>
              <w:jc w:val="both"/>
              <w:rPr>
                <w:rFonts w:eastAsia="Calibri"/>
                <w:sz w:val="20"/>
                <w:lang w:val="fr-CA"/>
              </w:rPr>
            </w:pPr>
            <w:r w:rsidRPr="00BF0708">
              <w:rPr>
                <w:rFonts w:eastAsia="Calibri"/>
                <w:sz w:val="20"/>
                <w:lang w:val="fr-CA"/>
              </w:rPr>
              <w:t>Le 12 décembre 2011</w:t>
            </w:r>
          </w:p>
          <w:p w:rsidR="00C11649" w:rsidRPr="00BF0708" w:rsidRDefault="00C11649" w:rsidP="000F4785">
            <w:pPr>
              <w:jc w:val="both"/>
              <w:rPr>
                <w:rFonts w:eastAsia="Calibri"/>
                <w:sz w:val="20"/>
                <w:lang w:val="fr-CA"/>
              </w:rPr>
            </w:pPr>
            <w:r w:rsidRPr="00BF0708">
              <w:rPr>
                <w:rFonts w:eastAsia="Calibri"/>
                <w:sz w:val="20"/>
                <w:lang w:val="fr-CA"/>
              </w:rPr>
              <w:t>Cour d’appel du Québec (Québec)</w:t>
            </w:r>
          </w:p>
          <w:p w:rsidR="00C11649" w:rsidRPr="00BF0708" w:rsidRDefault="00C11649" w:rsidP="000F4785">
            <w:pPr>
              <w:jc w:val="both"/>
              <w:rPr>
                <w:rFonts w:eastAsia="Calibri"/>
                <w:sz w:val="20"/>
                <w:lang w:val="fr-CA"/>
              </w:rPr>
            </w:pPr>
            <w:r w:rsidRPr="00BF0708">
              <w:rPr>
                <w:rFonts w:eastAsia="Calibri"/>
                <w:sz w:val="20"/>
                <w:lang w:val="fr-CA"/>
              </w:rPr>
              <w:t>(Les juges Chamberland, Thibault, dissidente,  et Morin)</w:t>
            </w:r>
          </w:p>
          <w:p w:rsidR="00C11649" w:rsidRPr="00BF0708" w:rsidRDefault="00C11649" w:rsidP="000F4785">
            <w:pPr>
              <w:jc w:val="both"/>
              <w:rPr>
                <w:rFonts w:eastAsia="Calibri"/>
                <w:sz w:val="20"/>
                <w:lang w:val="fr-CA"/>
              </w:rPr>
            </w:pPr>
          </w:p>
        </w:tc>
        <w:tc>
          <w:tcPr>
            <w:tcW w:w="243" w:type="pct"/>
          </w:tcPr>
          <w:p w:rsidR="00C11649" w:rsidRPr="00BF0708" w:rsidRDefault="00C11649" w:rsidP="000F4785">
            <w:pPr>
              <w:jc w:val="both"/>
              <w:rPr>
                <w:rFonts w:eastAsia="Calibri"/>
                <w:sz w:val="20"/>
                <w:lang w:val="fr-FR"/>
              </w:rPr>
            </w:pPr>
          </w:p>
        </w:tc>
        <w:tc>
          <w:tcPr>
            <w:tcW w:w="2330" w:type="pct"/>
          </w:tcPr>
          <w:p w:rsidR="00C11649" w:rsidRPr="00BF0708" w:rsidRDefault="00C11649" w:rsidP="000F4785">
            <w:pPr>
              <w:jc w:val="both"/>
              <w:rPr>
                <w:rFonts w:eastAsia="Calibri"/>
                <w:sz w:val="20"/>
                <w:lang w:val="fr-CA"/>
              </w:rPr>
            </w:pPr>
            <w:r w:rsidRPr="00BF0708">
              <w:rPr>
                <w:rFonts w:eastAsia="Calibri"/>
                <w:sz w:val="20"/>
                <w:lang w:val="fr-CA"/>
              </w:rPr>
              <w:t>Appel accueilli; injonction prononcée contre les demandeurs jusqu’au 3 aoùt 2014.</w:t>
            </w:r>
          </w:p>
        </w:tc>
      </w:tr>
      <w:tr w:rsidR="00C11649" w:rsidRPr="00BF0708" w:rsidTr="00F34149">
        <w:trPr>
          <w:cantSplit/>
        </w:trPr>
        <w:tc>
          <w:tcPr>
            <w:tcW w:w="2427" w:type="pct"/>
          </w:tcPr>
          <w:p w:rsidR="00C11649" w:rsidRPr="00BF0708" w:rsidRDefault="00C11649" w:rsidP="000F4785">
            <w:pPr>
              <w:jc w:val="both"/>
              <w:rPr>
                <w:rFonts w:eastAsia="Calibri"/>
                <w:sz w:val="20"/>
                <w:lang w:val="fr-CA"/>
              </w:rPr>
            </w:pPr>
            <w:r w:rsidRPr="00BF0708">
              <w:rPr>
                <w:rFonts w:eastAsia="Calibri"/>
                <w:sz w:val="20"/>
                <w:lang w:val="fr-CA"/>
              </w:rPr>
              <w:t>Le 8 février 2012</w:t>
            </w:r>
          </w:p>
          <w:p w:rsidR="00C11649" w:rsidRPr="00BF0708" w:rsidRDefault="00C11649" w:rsidP="000F4785">
            <w:pPr>
              <w:jc w:val="both"/>
              <w:rPr>
                <w:rFonts w:eastAsia="Calibri"/>
                <w:sz w:val="20"/>
                <w:lang w:val="fr-FR"/>
              </w:rPr>
            </w:pPr>
            <w:r w:rsidRPr="00BF0708">
              <w:rPr>
                <w:rFonts w:eastAsia="Calibri"/>
                <w:sz w:val="20"/>
                <w:lang w:val="fr-CA"/>
              </w:rPr>
              <w:t>Cour suprême du Canada</w:t>
            </w:r>
          </w:p>
        </w:tc>
        <w:tc>
          <w:tcPr>
            <w:tcW w:w="243" w:type="pct"/>
          </w:tcPr>
          <w:p w:rsidR="00C11649" w:rsidRPr="00BF0708" w:rsidRDefault="00C11649" w:rsidP="000F4785">
            <w:pPr>
              <w:jc w:val="both"/>
              <w:rPr>
                <w:rFonts w:eastAsia="Calibri"/>
                <w:sz w:val="20"/>
                <w:lang w:val="fr-FR"/>
              </w:rPr>
            </w:pPr>
          </w:p>
        </w:tc>
        <w:tc>
          <w:tcPr>
            <w:tcW w:w="2330" w:type="pct"/>
          </w:tcPr>
          <w:p w:rsidR="00C11649" w:rsidRPr="00BF0708" w:rsidRDefault="00C11649" w:rsidP="000F4785">
            <w:pPr>
              <w:jc w:val="both"/>
              <w:rPr>
                <w:rFonts w:eastAsia="Calibri"/>
                <w:sz w:val="20"/>
                <w:lang w:val="fr-CA"/>
              </w:rPr>
            </w:pPr>
            <w:r w:rsidRPr="00BF0708">
              <w:rPr>
                <w:rFonts w:eastAsia="Calibri"/>
                <w:sz w:val="20"/>
                <w:lang w:val="fr-CA"/>
              </w:rPr>
              <w:t>Demande d'autorisation d'appel déposée.</w:t>
            </w:r>
          </w:p>
          <w:p w:rsidR="00C11649" w:rsidRPr="00BF0708" w:rsidRDefault="00C11649" w:rsidP="000F4785">
            <w:pPr>
              <w:jc w:val="both"/>
              <w:rPr>
                <w:rFonts w:eastAsia="Calibri"/>
                <w:sz w:val="20"/>
                <w:lang w:val="fr-CA"/>
              </w:rPr>
            </w:pP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59" style="width:2in;height:1pt" o:hrpct="0" o:hralign="center" o:hrstd="t" o:hrnoshade="t" o:hr="t" fillcolor="black [3213]" stroked="f"/>
        </w:pict>
      </w:r>
    </w:p>
    <w:p w:rsidR="00FD4A4B" w:rsidRDefault="00FD4A4B" w:rsidP="00FD4A4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D4280" w:rsidRPr="006D4280" w:rsidTr="006D4280">
        <w:trPr>
          <w:cantSplit/>
        </w:trPr>
        <w:tc>
          <w:tcPr>
            <w:tcW w:w="1458" w:type="dxa"/>
          </w:tcPr>
          <w:p w:rsidR="006D4280" w:rsidRPr="006D4280" w:rsidRDefault="006D4280" w:rsidP="006D4280">
            <w:pPr>
              <w:rPr>
                <w:sz w:val="20"/>
                <w:szCs w:val="20"/>
              </w:rPr>
            </w:pPr>
            <w:r w:rsidRPr="006D4280">
              <w:rPr>
                <w:rStyle w:val="SCCFileNumberChar"/>
                <w:sz w:val="20"/>
                <w:szCs w:val="20"/>
              </w:rPr>
              <w:t>34669</w:t>
            </w:r>
          </w:p>
          <w:p w:rsidR="006D4280" w:rsidRPr="006D4280" w:rsidRDefault="006D4280" w:rsidP="006D4280">
            <w:pPr>
              <w:rPr>
                <w:b/>
                <w:sz w:val="20"/>
                <w:szCs w:val="20"/>
                <w:lang w:val="fr-CA"/>
              </w:rPr>
            </w:pPr>
          </w:p>
        </w:tc>
        <w:tc>
          <w:tcPr>
            <w:tcW w:w="8118" w:type="dxa"/>
          </w:tcPr>
          <w:p w:rsidR="006D4280" w:rsidRPr="006D4280" w:rsidRDefault="006D4280" w:rsidP="006D4280">
            <w:pPr>
              <w:rPr>
                <w:sz w:val="20"/>
                <w:szCs w:val="20"/>
              </w:rPr>
            </w:pPr>
            <w:r w:rsidRPr="006D4280">
              <w:rPr>
                <w:rStyle w:val="SCCLsocChar"/>
                <w:sz w:val="20"/>
                <w:szCs w:val="20"/>
                <w:lang w:val="en-CA"/>
              </w:rPr>
              <w:t>Apotex Inc. v. Nycomed Canada Inc.</w:t>
            </w:r>
            <w:r>
              <w:rPr>
                <w:rStyle w:val="SCCLsocChar"/>
                <w:sz w:val="20"/>
                <w:szCs w:val="20"/>
                <w:lang w:val="en-CA"/>
              </w:rPr>
              <w:t xml:space="preserve"> and</w:t>
            </w:r>
            <w:r w:rsidRPr="006D4280">
              <w:rPr>
                <w:rStyle w:val="SCCLsocChar"/>
                <w:sz w:val="20"/>
                <w:szCs w:val="20"/>
                <w:lang w:val="en-CA"/>
              </w:rPr>
              <w:t xml:space="preserve"> Nycomed GmbH</w:t>
            </w:r>
            <w:r w:rsidRPr="006D4280">
              <w:rPr>
                <w:sz w:val="20"/>
                <w:szCs w:val="20"/>
              </w:rPr>
              <w:t xml:space="preserve"> (F.C.) (Civil) (By Leave)</w:t>
            </w:r>
          </w:p>
          <w:p w:rsidR="006D4280" w:rsidRPr="006D4280" w:rsidRDefault="006D4280" w:rsidP="006D4280">
            <w:pPr>
              <w:rPr>
                <w:sz w:val="20"/>
                <w:szCs w:val="20"/>
              </w:rPr>
            </w:pPr>
          </w:p>
        </w:tc>
      </w:tr>
      <w:tr w:rsidR="006D4280" w:rsidRPr="006D4280" w:rsidTr="006D4280">
        <w:trPr>
          <w:cantSplit/>
        </w:trPr>
        <w:tc>
          <w:tcPr>
            <w:tcW w:w="1458" w:type="dxa"/>
          </w:tcPr>
          <w:p w:rsidR="006D4280" w:rsidRPr="006D4280" w:rsidRDefault="006D4280" w:rsidP="006D4280">
            <w:pPr>
              <w:rPr>
                <w:sz w:val="20"/>
                <w:szCs w:val="20"/>
              </w:rPr>
            </w:pPr>
            <w:r w:rsidRPr="006D4280">
              <w:rPr>
                <w:sz w:val="20"/>
                <w:szCs w:val="20"/>
              </w:rPr>
              <w:t>Coram :</w:t>
            </w:r>
          </w:p>
        </w:tc>
        <w:tc>
          <w:tcPr>
            <w:tcW w:w="8118" w:type="dxa"/>
          </w:tcPr>
          <w:p w:rsidR="006D4280" w:rsidRPr="006D4280" w:rsidRDefault="006D4280" w:rsidP="006D4280">
            <w:pPr>
              <w:rPr>
                <w:sz w:val="20"/>
                <w:szCs w:val="20"/>
              </w:rPr>
            </w:pPr>
            <w:r w:rsidRPr="006D4280">
              <w:rPr>
                <w:rStyle w:val="SCCCoramChar"/>
                <w:sz w:val="20"/>
                <w:szCs w:val="20"/>
                <w:lang w:val="en-CA"/>
              </w:rPr>
              <w:t>McLachlin C.J. and Rothstein and Moldaver JJ.</w:t>
            </w:r>
          </w:p>
          <w:p w:rsidR="006D4280" w:rsidRPr="006D4280" w:rsidRDefault="006D4280" w:rsidP="006D4280">
            <w:pPr>
              <w:rPr>
                <w:sz w:val="20"/>
                <w:szCs w:val="20"/>
                <w:u w:val="single"/>
              </w:rPr>
            </w:pPr>
          </w:p>
        </w:tc>
      </w:tr>
      <w:tr w:rsidR="006D4280" w:rsidRPr="0028361F" w:rsidTr="006D4280">
        <w:trPr>
          <w:cantSplit/>
        </w:trPr>
        <w:tc>
          <w:tcPr>
            <w:tcW w:w="9576" w:type="dxa"/>
            <w:gridSpan w:val="2"/>
          </w:tcPr>
          <w:p w:rsidR="006D4280" w:rsidRPr="006D4280" w:rsidRDefault="006D4280" w:rsidP="006D4280">
            <w:pPr>
              <w:pStyle w:val="SCCShortJudgment"/>
              <w:rPr>
                <w:szCs w:val="20"/>
              </w:rPr>
            </w:pPr>
            <w:r w:rsidRPr="006D4280">
              <w:rPr>
                <w:szCs w:val="20"/>
              </w:rPr>
              <w:t>The application for leave to appeal from the judgment of the Federal Court of Appeal, Number A-173-11, 2011 FCA 358, dated December 16, 2011, is dismissed with costs.</w:t>
            </w:r>
          </w:p>
          <w:p w:rsidR="006D4280" w:rsidRPr="006D4280" w:rsidRDefault="006D4280" w:rsidP="006D4280">
            <w:pPr>
              <w:pStyle w:val="SCCShortJudgment"/>
              <w:ind w:firstLine="0"/>
              <w:rPr>
                <w:szCs w:val="20"/>
              </w:rPr>
            </w:pPr>
          </w:p>
          <w:p w:rsidR="006D4280" w:rsidRPr="006D4280" w:rsidRDefault="006D4280" w:rsidP="006D4280">
            <w:pPr>
              <w:pStyle w:val="SCCShortJudgment"/>
              <w:rPr>
                <w:szCs w:val="20"/>
                <w:lang w:val="fr-CA"/>
              </w:rPr>
            </w:pPr>
            <w:r w:rsidRPr="006D4280">
              <w:rPr>
                <w:szCs w:val="20"/>
                <w:lang w:val="fr-CA"/>
              </w:rPr>
              <w:t>La demande d’autorisation d’appel de l’arrêt de la Cour d’appel fédérale, numéro A-173-11, 2011 CAF 358, daté du 16 décembre 2011, est rejetée avec dépens.</w:t>
            </w:r>
          </w:p>
        </w:tc>
      </w:tr>
    </w:tbl>
    <w:p w:rsidR="00FD4A4B" w:rsidRPr="00FD4A4B" w:rsidRDefault="00FD4A4B" w:rsidP="00FD4A4B">
      <w:pPr>
        <w:rPr>
          <w:sz w:val="20"/>
          <w:szCs w:val="20"/>
          <w:lang w:val="fr-CA"/>
        </w:rPr>
      </w:pPr>
    </w:p>
    <w:p w:rsidR="00FD4A4B" w:rsidRPr="001B157C" w:rsidRDefault="00FD4A4B" w:rsidP="00FD4A4B">
      <w:pPr>
        <w:rPr>
          <w:sz w:val="20"/>
          <w:szCs w:val="20"/>
          <w:u w:val="single"/>
        </w:rPr>
      </w:pPr>
      <w:r w:rsidRPr="001B157C">
        <w:rPr>
          <w:sz w:val="20"/>
          <w:szCs w:val="20"/>
          <w:u w:val="single"/>
        </w:rPr>
        <w:t>CASE SUMMARY</w:t>
      </w:r>
    </w:p>
    <w:p w:rsidR="00FD4A4B" w:rsidRDefault="00FD4A4B" w:rsidP="00FD4A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11649" w:rsidRPr="00BF0708" w:rsidTr="000F4785">
        <w:tc>
          <w:tcPr>
            <w:tcW w:w="5000" w:type="pct"/>
            <w:gridSpan w:val="3"/>
          </w:tcPr>
          <w:p w:rsidR="00C11649" w:rsidRPr="00BF0708" w:rsidRDefault="00C11649" w:rsidP="000F4785">
            <w:pPr>
              <w:jc w:val="both"/>
              <w:rPr>
                <w:rFonts w:eastAsia="Calibri"/>
                <w:sz w:val="20"/>
              </w:rPr>
            </w:pPr>
            <w:r w:rsidRPr="00BF0708">
              <w:rPr>
                <w:rFonts w:eastAsia="Calibri"/>
                <w:sz w:val="20"/>
              </w:rPr>
              <w:t xml:space="preserve">Intellectual property </w:t>
            </w:r>
            <w:r w:rsidRPr="00BF0708">
              <w:rPr>
                <w:rFonts w:eastAsia="Calibri"/>
                <w:sz w:val="20"/>
              </w:rPr>
              <w:noBreakHyphen/>
              <w:t xml:space="preserve"> Patents </w:t>
            </w:r>
            <w:r w:rsidRPr="00BF0708">
              <w:rPr>
                <w:rFonts w:eastAsia="Calibri"/>
                <w:sz w:val="20"/>
              </w:rPr>
              <w:noBreakHyphen/>
              <w:t xml:space="preserve"> Section 8 damages </w:t>
            </w:r>
            <w:r w:rsidRPr="00BF0708">
              <w:rPr>
                <w:rFonts w:eastAsia="Calibri"/>
                <w:sz w:val="20"/>
              </w:rPr>
              <w:noBreakHyphen/>
              <w:t xml:space="preserve"> Civil procedure </w:t>
            </w:r>
            <w:r w:rsidRPr="00BF0708">
              <w:rPr>
                <w:rFonts w:eastAsia="Calibri"/>
                <w:sz w:val="20"/>
              </w:rPr>
              <w:noBreakHyphen/>
              <w:t xml:space="preserve"> Pleadings </w:t>
            </w:r>
            <w:r w:rsidRPr="00BF0708">
              <w:rPr>
                <w:rFonts w:eastAsia="Calibri"/>
                <w:sz w:val="20"/>
              </w:rPr>
              <w:noBreakHyphen/>
              <w:t xml:space="preserve"> Order striking portions of applicant’s statement of claim </w:t>
            </w:r>
            <w:r w:rsidRPr="00BF0708">
              <w:rPr>
                <w:rFonts w:eastAsia="Calibri"/>
                <w:sz w:val="20"/>
              </w:rPr>
              <w:noBreakHyphen/>
              <w:t xml:space="preserve"> Whether Federal Court of Appeal’s narrow interpretation of remedial provisions available under the </w:t>
            </w:r>
            <w:r w:rsidRPr="00BF0708">
              <w:rPr>
                <w:rFonts w:eastAsia="Calibri"/>
                <w:i/>
                <w:sz w:val="20"/>
              </w:rPr>
              <w:t>Patent Regulations</w:t>
            </w:r>
            <w:r w:rsidRPr="00BF0708">
              <w:rPr>
                <w:rFonts w:eastAsia="Calibri"/>
                <w:sz w:val="20"/>
              </w:rPr>
              <w:t xml:space="preserve"> is consistent with purpose and wording of s. 8, and </w:t>
            </w:r>
            <w:r w:rsidRPr="00BF0708">
              <w:rPr>
                <w:rFonts w:eastAsia="Calibri"/>
                <w:i/>
                <w:sz w:val="20"/>
              </w:rPr>
              <w:t>Patent Regulations</w:t>
            </w:r>
            <w:r w:rsidRPr="00BF0708">
              <w:rPr>
                <w:rFonts w:eastAsia="Calibri"/>
                <w:sz w:val="20"/>
              </w:rPr>
              <w:t xml:space="preserve"> as a whole </w:t>
            </w:r>
            <w:r w:rsidRPr="00BF0708">
              <w:rPr>
                <w:rFonts w:eastAsia="Calibri"/>
                <w:sz w:val="20"/>
              </w:rPr>
              <w:noBreakHyphen/>
              <w:t xml:space="preserve"> Whether interpretation strikes right balance between the competing interests of patentees and generic manufacturers? </w:t>
            </w:r>
            <w:r w:rsidRPr="00BF0708">
              <w:rPr>
                <w:rFonts w:eastAsia="Calibri"/>
                <w:sz w:val="20"/>
              </w:rPr>
              <w:noBreakHyphen/>
              <w:t xml:space="preserve"> Whether s. 8 is a complete remedial code, such that all causes of action are ousted in the absence of explicit statutory language? </w:t>
            </w:r>
            <w:r w:rsidRPr="00BF0708">
              <w:rPr>
                <w:rFonts w:eastAsia="Calibri"/>
                <w:sz w:val="20"/>
              </w:rPr>
              <w:noBreakHyphen/>
              <w:t xml:space="preserve"> Whether actions taken pursuant to a permissive statute that are found to be unjustified constitute a disposition of law for the purpose of the juristic reason branch of unjust enrichment test? </w:t>
            </w:r>
            <w:r w:rsidRPr="00BF0708">
              <w:rPr>
                <w:rFonts w:eastAsia="Calibri"/>
                <w:sz w:val="20"/>
              </w:rPr>
              <w:noBreakHyphen/>
              <w:t xml:space="preserve"> Whether it is important for this Court to resolve these issues in light of recent, conflicting decisions of the Ontario Courts and public interest in timely access to generic medications?</w:t>
            </w:r>
          </w:p>
          <w:p w:rsidR="00C11649" w:rsidRPr="00BF0708" w:rsidRDefault="00C11649" w:rsidP="000F4785">
            <w:pPr>
              <w:jc w:val="both"/>
              <w:rPr>
                <w:rFonts w:eastAsia="Calibri"/>
                <w:sz w:val="20"/>
              </w:rPr>
            </w:pPr>
          </w:p>
        </w:tc>
      </w:tr>
      <w:tr w:rsidR="00C11649" w:rsidRPr="00BF0708" w:rsidTr="000F4785">
        <w:tc>
          <w:tcPr>
            <w:tcW w:w="5000" w:type="pct"/>
            <w:gridSpan w:val="3"/>
          </w:tcPr>
          <w:p w:rsidR="00C11649" w:rsidRPr="00BF0708" w:rsidRDefault="00C11649" w:rsidP="000F4785">
            <w:pPr>
              <w:jc w:val="both"/>
              <w:rPr>
                <w:rFonts w:eastAsia="Calibri"/>
                <w:sz w:val="20"/>
              </w:rPr>
            </w:pPr>
            <w:r w:rsidRPr="00BF0708">
              <w:rPr>
                <w:rFonts w:eastAsia="Calibri"/>
                <w:sz w:val="20"/>
              </w:rPr>
              <w:t xml:space="preserve">Apotex Inc. brought an action under s. 8 of </w:t>
            </w:r>
            <w:r w:rsidRPr="00BF0708">
              <w:rPr>
                <w:rFonts w:eastAsia="Calibri"/>
                <w:i/>
                <w:sz w:val="20"/>
              </w:rPr>
              <w:t>the Patented Medicines (Notice of Compliance) Regulations</w:t>
            </w:r>
            <w:r w:rsidRPr="00BF0708">
              <w:rPr>
                <w:rFonts w:eastAsia="Calibri"/>
                <w:sz w:val="20"/>
              </w:rPr>
              <w:t>, SOR/93</w:t>
            </w:r>
            <w:r w:rsidRPr="00BF0708">
              <w:rPr>
                <w:rFonts w:eastAsia="Calibri"/>
                <w:sz w:val="20"/>
              </w:rPr>
              <w:noBreakHyphen/>
              <w:t xml:space="preserve">133, for damages caused by the delay in issuance to Apotex of a Notice of Compliance for its generic version of pantoprazole tablets after the Respondents’ application for a prohibition order was dismissed.  Apotex sought, </w:t>
            </w:r>
            <w:r w:rsidRPr="00BF0708">
              <w:rPr>
                <w:rFonts w:eastAsia="Calibri"/>
                <w:i/>
                <w:sz w:val="20"/>
              </w:rPr>
              <w:t>inter alia</w:t>
            </w:r>
            <w:r w:rsidRPr="00BF0708">
              <w:rPr>
                <w:rFonts w:eastAsia="Calibri"/>
                <w:sz w:val="20"/>
              </w:rPr>
              <w:t>, a disgorgement of the excess revenues realized by the Respondents during the statutory stay period.  The Respondents brought a motion to strike the portions of Apotex’s statement of claim relating to disgorgement of profits.</w:t>
            </w:r>
          </w:p>
          <w:p w:rsidR="00C11649" w:rsidRPr="00BF0708" w:rsidRDefault="00C11649" w:rsidP="000F4785">
            <w:pPr>
              <w:jc w:val="both"/>
              <w:rPr>
                <w:rFonts w:eastAsia="Calibri"/>
                <w:sz w:val="20"/>
              </w:rPr>
            </w:pPr>
          </w:p>
        </w:tc>
      </w:tr>
      <w:tr w:rsidR="00C11649" w:rsidRPr="00BF0708" w:rsidTr="006D4280">
        <w:trPr>
          <w:cantSplit/>
        </w:trPr>
        <w:tc>
          <w:tcPr>
            <w:tcW w:w="2427" w:type="pct"/>
          </w:tcPr>
          <w:p w:rsidR="00C11649" w:rsidRPr="00BF0708" w:rsidRDefault="00C11649" w:rsidP="000F4785">
            <w:pPr>
              <w:jc w:val="both"/>
              <w:rPr>
                <w:rFonts w:eastAsia="Calibri"/>
                <w:sz w:val="20"/>
              </w:rPr>
            </w:pPr>
            <w:r w:rsidRPr="00BF0708">
              <w:rPr>
                <w:rFonts w:eastAsia="Calibri"/>
                <w:sz w:val="20"/>
              </w:rPr>
              <w:t>June 19, 2009</w:t>
            </w:r>
          </w:p>
          <w:p w:rsidR="00C11649" w:rsidRPr="00BF0708" w:rsidRDefault="00C11649" w:rsidP="000F4785">
            <w:pPr>
              <w:jc w:val="both"/>
              <w:rPr>
                <w:rFonts w:eastAsia="Calibri"/>
                <w:sz w:val="20"/>
              </w:rPr>
            </w:pPr>
            <w:r w:rsidRPr="00BF0708">
              <w:rPr>
                <w:rFonts w:eastAsia="Calibri"/>
                <w:sz w:val="20"/>
              </w:rPr>
              <w:t>Federal Court</w:t>
            </w:r>
          </w:p>
          <w:p w:rsidR="00C11649" w:rsidRPr="00BF0708" w:rsidRDefault="00C11649" w:rsidP="000F4785">
            <w:pPr>
              <w:jc w:val="both"/>
              <w:rPr>
                <w:rFonts w:eastAsia="Calibri"/>
                <w:sz w:val="20"/>
              </w:rPr>
            </w:pPr>
            <w:r w:rsidRPr="00BF0708">
              <w:rPr>
                <w:rFonts w:eastAsia="Calibri"/>
                <w:sz w:val="20"/>
              </w:rPr>
              <w:t>Milczynski, Prothonotary</w:t>
            </w:r>
          </w:p>
          <w:p w:rsidR="00C11649" w:rsidRPr="00BF0708" w:rsidRDefault="00C11649" w:rsidP="000F4785">
            <w:pPr>
              <w:jc w:val="both"/>
              <w:rPr>
                <w:rFonts w:eastAsia="Calibri"/>
                <w:sz w:val="20"/>
              </w:rPr>
            </w:pPr>
            <w:r w:rsidRPr="00BF0708">
              <w:rPr>
                <w:rFonts w:eastAsia="Calibri"/>
                <w:sz w:val="20"/>
              </w:rPr>
              <w:t>Unreported</w:t>
            </w:r>
          </w:p>
          <w:p w:rsidR="00C11649" w:rsidRPr="00BF0708" w:rsidRDefault="00C11649" w:rsidP="000F4785">
            <w:pPr>
              <w:jc w:val="both"/>
              <w:rPr>
                <w:rFonts w:eastAsia="Calibri"/>
                <w:sz w:val="20"/>
              </w:rPr>
            </w:pPr>
          </w:p>
        </w:tc>
        <w:tc>
          <w:tcPr>
            <w:tcW w:w="243" w:type="pct"/>
          </w:tcPr>
          <w:p w:rsidR="00C11649" w:rsidRPr="00BF0708" w:rsidRDefault="00C11649" w:rsidP="000F4785">
            <w:pPr>
              <w:jc w:val="both"/>
              <w:rPr>
                <w:rFonts w:eastAsia="Calibri"/>
                <w:sz w:val="20"/>
              </w:rPr>
            </w:pPr>
          </w:p>
        </w:tc>
        <w:tc>
          <w:tcPr>
            <w:tcW w:w="2330" w:type="pct"/>
          </w:tcPr>
          <w:p w:rsidR="00C11649" w:rsidRPr="00BF0708" w:rsidRDefault="00C11649" w:rsidP="000F4785">
            <w:pPr>
              <w:jc w:val="both"/>
              <w:rPr>
                <w:rFonts w:eastAsia="Calibri"/>
                <w:sz w:val="20"/>
              </w:rPr>
            </w:pPr>
            <w:r w:rsidRPr="00BF0708">
              <w:rPr>
                <w:rFonts w:eastAsia="Calibri"/>
                <w:sz w:val="20"/>
              </w:rPr>
              <w:t>Respondent’s motion to strike portions of Applicant’s statement of claim seeking disgorgement of patentee’s profits granted.</w:t>
            </w:r>
          </w:p>
        </w:tc>
      </w:tr>
      <w:tr w:rsidR="00C11649" w:rsidRPr="00BF0708" w:rsidTr="006D4280">
        <w:trPr>
          <w:cantSplit/>
        </w:trPr>
        <w:tc>
          <w:tcPr>
            <w:tcW w:w="2427" w:type="pct"/>
          </w:tcPr>
          <w:p w:rsidR="00C11649" w:rsidRPr="00BF0708" w:rsidRDefault="00C11649" w:rsidP="000F4785">
            <w:pPr>
              <w:jc w:val="both"/>
              <w:rPr>
                <w:rFonts w:eastAsia="Calibri"/>
                <w:sz w:val="20"/>
              </w:rPr>
            </w:pPr>
            <w:r w:rsidRPr="00BF0708">
              <w:rPr>
                <w:rFonts w:eastAsia="Calibri"/>
                <w:sz w:val="20"/>
              </w:rPr>
              <w:lastRenderedPageBreak/>
              <w:t>April 18, 2011</w:t>
            </w:r>
          </w:p>
          <w:p w:rsidR="00C11649" w:rsidRPr="00BF0708" w:rsidRDefault="00C11649" w:rsidP="000F4785">
            <w:pPr>
              <w:jc w:val="both"/>
              <w:rPr>
                <w:rFonts w:eastAsia="Calibri"/>
                <w:sz w:val="20"/>
              </w:rPr>
            </w:pPr>
            <w:r w:rsidRPr="00BF0708">
              <w:rPr>
                <w:rFonts w:eastAsia="Calibri"/>
                <w:sz w:val="20"/>
              </w:rPr>
              <w:t>Federal Court</w:t>
            </w:r>
          </w:p>
          <w:p w:rsidR="00C11649" w:rsidRPr="00BF0708" w:rsidRDefault="00C11649" w:rsidP="000F4785">
            <w:pPr>
              <w:jc w:val="both"/>
              <w:rPr>
                <w:rFonts w:eastAsia="Calibri"/>
                <w:sz w:val="20"/>
              </w:rPr>
            </w:pPr>
            <w:r w:rsidRPr="00BF0708">
              <w:rPr>
                <w:rFonts w:eastAsia="Calibri"/>
                <w:sz w:val="20"/>
              </w:rPr>
              <w:t>(Heneghan J.)</w:t>
            </w:r>
          </w:p>
          <w:p w:rsidR="00C11649" w:rsidRPr="00BF0708" w:rsidRDefault="00C11649" w:rsidP="000F4785">
            <w:pPr>
              <w:jc w:val="both"/>
              <w:rPr>
                <w:rFonts w:eastAsia="Calibri"/>
                <w:sz w:val="20"/>
              </w:rPr>
            </w:pPr>
            <w:r w:rsidRPr="00BF0708">
              <w:rPr>
                <w:rFonts w:eastAsia="Calibri"/>
                <w:sz w:val="20"/>
              </w:rPr>
              <w:t>Unreported</w:t>
            </w:r>
          </w:p>
          <w:p w:rsidR="00C11649" w:rsidRPr="00BF0708" w:rsidRDefault="00C11649" w:rsidP="000F4785">
            <w:pPr>
              <w:jc w:val="both"/>
              <w:rPr>
                <w:rFonts w:eastAsia="Calibri"/>
                <w:sz w:val="20"/>
              </w:rPr>
            </w:pPr>
          </w:p>
        </w:tc>
        <w:tc>
          <w:tcPr>
            <w:tcW w:w="243" w:type="pct"/>
          </w:tcPr>
          <w:p w:rsidR="00C11649" w:rsidRPr="00BF0708" w:rsidRDefault="00C11649" w:rsidP="000F4785">
            <w:pPr>
              <w:jc w:val="both"/>
              <w:rPr>
                <w:rFonts w:eastAsia="Calibri"/>
                <w:sz w:val="20"/>
              </w:rPr>
            </w:pPr>
          </w:p>
        </w:tc>
        <w:tc>
          <w:tcPr>
            <w:tcW w:w="2330" w:type="pct"/>
          </w:tcPr>
          <w:p w:rsidR="00C11649" w:rsidRPr="00BF0708" w:rsidRDefault="00C11649" w:rsidP="000F4785">
            <w:pPr>
              <w:jc w:val="both"/>
              <w:rPr>
                <w:rFonts w:eastAsia="Calibri"/>
                <w:sz w:val="20"/>
              </w:rPr>
            </w:pPr>
            <w:r w:rsidRPr="00BF0708">
              <w:rPr>
                <w:rFonts w:eastAsia="Calibri"/>
                <w:sz w:val="20"/>
              </w:rPr>
              <w:t>Appeal dismissed</w:t>
            </w:r>
          </w:p>
          <w:p w:rsidR="00C11649" w:rsidRPr="00BF0708" w:rsidRDefault="00C11649" w:rsidP="000F4785">
            <w:pPr>
              <w:jc w:val="both"/>
              <w:rPr>
                <w:rFonts w:eastAsia="Calibri"/>
                <w:sz w:val="20"/>
              </w:rPr>
            </w:pPr>
          </w:p>
        </w:tc>
      </w:tr>
      <w:tr w:rsidR="00C11649" w:rsidRPr="00BF0708" w:rsidTr="006D4280">
        <w:trPr>
          <w:cantSplit/>
        </w:trPr>
        <w:tc>
          <w:tcPr>
            <w:tcW w:w="2427" w:type="pct"/>
          </w:tcPr>
          <w:p w:rsidR="00C11649" w:rsidRPr="00BF0708" w:rsidRDefault="00C11649" w:rsidP="000F4785">
            <w:pPr>
              <w:jc w:val="both"/>
              <w:rPr>
                <w:rFonts w:eastAsia="Calibri"/>
                <w:sz w:val="20"/>
              </w:rPr>
            </w:pPr>
            <w:r w:rsidRPr="00BF0708">
              <w:rPr>
                <w:rFonts w:eastAsia="Calibri"/>
                <w:sz w:val="20"/>
              </w:rPr>
              <w:t>December 16, 2011</w:t>
            </w:r>
          </w:p>
          <w:p w:rsidR="00C11649" w:rsidRPr="00BF0708" w:rsidRDefault="00C11649" w:rsidP="000F4785">
            <w:pPr>
              <w:jc w:val="both"/>
              <w:rPr>
                <w:rFonts w:eastAsia="Calibri"/>
                <w:sz w:val="20"/>
              </w:rPr>
            </w:pPr>
            <w:r w:rsidRPr="00BF0708">
              <w:rPr>
                <w:rFonts w:eastAsia="Calibri"/>
                <w:sz w:val="20"/>
              </w:rPr>
              <w:t>Federal Court of Appeal</w:t>
            </w:r>
          </w:p>
          <w:p w:rsidR="00C11649" w:rsidRPr="00BF0708" w:rsidRDefault="00C11649" w:rsidP="000F4785">
            <w:pPr>
              <w:jc w:val="both"/>
              <w:rPr>
                <w:rFonts w:eastAsia="Calibri"/>
                <w:sz w:val="20"/>
              </w:rPr>
            </w:pPr>
            <w:r w:rsidRPr="00BF0708">
              <w:rPr>
                <w:rFonts w:eastAsia="Calibri"/>
                <w:sz w:val="20"/>
              </w:rPr>
              <w:t>(Noël Marc, Dawson, Trudel Johanne)</w:t>
            </w:r>
          </w:p>
          <w:p w:rsidR="00C11649" w:rsidRPr="00BF0708" w:rsidRDefault="00C11649" w:rsidP="000F4785">
            <w:pPr>
              <w:jc w:val="both"/>
              <w:rPr>
                <w:rFonts w:eastAsia="Calibri"/>
                <w:sz w:val="20"/>
              </w:rPr>
            </w:pPr>
            <w:r w:rsidRPr="00BF0708">
              <w:rPr>
                <w:rFonts w:eastAsia="Calibri"/>
                <w:sz w:val="20"/>
              </w:rPr>
              <w:t>2011 FCA 358</w:t>
            </w:r>
          </w:p>
          <w:p w:rsidR="00C11649" w:rsidRPr="00BF0708" w:rsidRDefault="00C11649" w:rsidP="000F4785">
            <w:pPr>
              <w:jc w:val="both"/>
              <w:rPr>
                <w:rFonts w:eastAsia="Calibri"/>
                <w:sz w:val="20"/>
              </w:rPr>
            </w:pPr>
          </w:p>
        </w:tc>
        <w:tc>
          <w:tcPr>
            <w:tcW w:w="243" w:type="pct"/>
          </w:tcPr>
          <w:p w:rsidR="00C11649" w:rsidRPr="00BF0708" w:rsidRDefault="00C11649" w:rsidP="000F4785">
            <w:pPr>
              <w:jc w:val="both"/>
              <w:rPr>
                <w:rFonts w:eastAsia="Calibri"/>
                <w:sz w:val="20"/>
              </w:rPr>
            </w:pPr>
          </w:p>
        </w:tc>
        <w:tc>
          <w:tcPr>
            <w:tcW w:w="2330" w:type="pct"/>
          </w:tcPr>
          <w:p w:rsidR="00C11649" w:rsidRPr="00BF0708" w:rsidRDefault="00C11649" w:rsidP="000F4785">
            <w:pPr>
              <w:jc w:val="both"/>
              <w:rPr>
                <w:rFonts w:eastAsia="Calibri"/>
                <w:sz w:val="20"/>
              </w:rPr>
            </w:pPr>
            <w:r w:rsidRPr="00BF0708">
              <w:rPr>
                <w:rFonts w:eastAsia="Calibri"/>
                <w:sz w:val="20"/>
              </w:rPr>
              <w:t>Appeal dismissed</w:t>
            </w:r>
          </w:p>
          <w:p w:rsidR="00C11649" w:rsidRPr="00BF0708" w:rsidRDefault="00C11649" w:rsidP="000F4785">
            <w:pPr>
              <w:jc w:val="both"/>
              <w:rPr>
                <w:rFonts w:eastAsia="Calibri"/>
                <w:sz w:val="20"/>
              </w:rPr>
            </w:pPr>
          </w:p>
        </w:tc>
      </w:tr>
      <w:tr w:rsidR="00C11649" w:rsidRPr="00BF0708" w:rsidTr="006D4280">
        <w:trPr>
          <w:cantSplit/>
        </w:trPr>
        <w:tc>
          <w:tcPr>
            <w:tcW w:w="2427" w:type="pct"/>
          </w:tcPr>
          <w:p w:rsidR="00C11649" w:rsidRPr="00BF0708" w:rsidRDefault="00C11649" w:rsidP="000F4785">
            <w:pPr>
              <w:jc w:val="both"/>
              <w:rPr>
                <w:rFonts w:eastAsia="Calibri"/>
                <w:sz w:val="20"/>
              </w:rPr>
            </w:pPr>
            <w:r w:rsidRPr="00BF0708">
              <w:rPr>
                <w:rFonts w:eastAsia="Calibri"/>
                <w:sz w:val="20"/>
              </w:rPr>
              <w:t>February 14, 2012</w:t>
            </w:r>
          </w:p>
          <w:p w:rsidR="00C11649" w:rsidRPr="00BF0708" w:rsidRDefault="00C11649" w:rsidP="000F4785">
            <w:pPr>
              <w:jc w:val="both"/>
              <w:rPr>
                <w:rFonts w:eastAsia="Calibri"/>
                <w:sz w:val="20"/>
              </w:rPr>
            </w:pPr>
            <w:r w:rsidRPr="00BF0708">
              <w:rPr>
                <w:rFonts w:eastAsia="Calibri"/>
                <w:sz w:val="20"/>
              </w:rPr>
              <w:t>Supreme Court of Canada</w:t>
            </w:r>
          </w:p>
        </w:tc>
        <w:tc>
          <w:tcPr>
            <w:tcW w:w="243" w:type="pct"/>
          </w:tcPr>
          <w:p w:rsidR="00C11649" w:rsidRPr="00BF0708" w:rsidRDefault="00C11649" w:rsidP="000F4785">
            <w:pPr>
              <w:jc w:val="both"/>
              <w:rPr>
                <w:rFonts w:eastAsia="Calibri"/>
                <w:sz w:val="20"/>
              </w:rPr>
            </w:pPr>
          </w:p>
        </w:tc>
        <w:tc>
          <w:tcPr>
            <w:tcW w:w="2330" w:type="pct"/>
          </w:tcPr>
          <w:p w:rsidR="00C11649" w:rsidRPr="00BF0708" w:rsidRDefault="00C11649" w:rsidP="000F4785">
            <w:pPr>
              <w:jc w:val="both"/>
              <w:rPr>
                <w:rFonts w:eastAsia="Calibri"/>
                <w:sz w:val="20"/>
              </w:rPr>
            </w:pPr>
            <w:r w:rsidRPr="00BF0708">
              <w:rPr>
                <w:rFonts w:eastAsia="Calibri"/>
                <w:sz w:val="20"/>
              </w:rPr>
              <w:t>Application for leave to appeal filed</w:t>
            </w:r>
          </w:p>
          <w:p w:rsidR="00C11649" w:rsidRPr="00BF0708" w:rsidRDefault="00C11649" w:rsidP="000F4785">
            <w:pPr>
              <w:jc w:val="both"/>
              <w:rPr>
                <w:rFonts w:eastAsia="Calibri"/>
                <w:sz w:val="20"/>
              </w:rPr>
            </w:pP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60" style="width:2in;height:1pt" o:hrpct="0" o:hralign="center" o:hrstd="t" o:hrnoshade="t" o:hr="t" fillcolor="black [3213]" stroked="f"/>
        </w:pict>
      </w:r>
    </w:p>
    <w:p w:rsidR="00FD4A4B" w:rsidRDefault="00FD4A4B" w:rsidP="00FD4A4B">
      <w:pPr>
        <w:rPr>
          <w:sz w:val="20"/>
          <w:szCs w:val="20"/>
        </w:rPr>
      </w:pPr>
    </w:p>
    <w:p w:rsidR="00FD4A4B" w:rsidRPr="001B157C" w:rsidRDefault="00FD4A4B" w:rsidP="00FD4A4B">
      <w:pPr>
        <w:rPr>
          <w:sz w:val="20"/>
          <w:szCs w:val="20"/>
          <w:u w:val="single"/>
          <w:lang w:val="fr-CA"/>
        </w:rPr>
      </w:pPr>
      <w:r w:rsidRPr="001B157C">
        <w:rPr>
          <w:sz w:val="20"/>
          <w:szCs w:val="20"/>
          <w:u w:val="single"/>
          <w:lang w:val="fr-CA"/>
        </w:rPr>
        <w:t>RÉSUMÉ DE L’AFFAIRE</w:t>
      </w:r>
    </w:p>
    <w:p w:rsidR="00FD4A4B" w:rsidRDefault="00FD4A4B" w:rsidP="00FD4A4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11649" w:rsidRPr="0028361F" w:rsidTr="000F4785">
        <w:tc>
          <w:tcPr>
            <w:tcW w:w="5000" w:type="pct"/>
            <w:gridSpan w:val="3"/>
          </w:tcPr>
          <w:p w:rsidR="00C11649" w:rsidRPr="00BF0708" w:rsidRDefault="00C11649" w:rsidP="000F4785">
            <w:pPr>
              <w:jc w:val="both"/>
              <w:rPr>
                <w:rFonts w:eastAsia="Calibri"/>
                <w:sz w:val="20"/>
                <w:lang w:val="fr-CA"/>
              </w:rPr>
            </w:pPr>
            <w:r w:rsidRPr="00BF0708">
              <w:rPr>
                <w:rFonts w:eastAsia="Calibri"/>
                <w:sz w:val="20"/>
                <w:lang w:val="fr-CA"/>
              </w:rPr>
              <w:t xml:space="preserve">Propriété intellectuelle </w:t>
            </w:r>
            <w:r w:rsidRPr="00BF0708">
              <w:rPr>
                <w:rFonts w:eastAsia="Calibri"/>
                <w:sz w:val="20"/>
                <w:lang w:val="fr-CA"/>
              </w:rPr>
              <w:noBreakHyphen/>
              <w:t xml:space="preserve"> Brevets </w:t>
            </w:r>
            <w:r w:rsidRPr="00BF0708">
              <w:rPr>
                <w:rFonts w:eastAsia="Calibri"/>
                <w:sz w:val="20"/>
                <w:lang w:val="fr-CA"/>
              </w:rPr>
              <w:noBreakHyphen/>
              <w:t xml:space="preserve"> Dommages</w:t>
            </w:r>
            <w:r w:rsidRPr="00BF0708">
              <w:rPr>
                <w:rFonts w:eastAsia="Calibri"/>
                <w:sz w:val="20"/>
                <w:lang w:val="fr-CA"/>
              </w:rPr>
              <w:noBreakHyphen/>
              <w:t xml:space="preserve">intérêts en vertu de l'article 8 </w:t>
            </w:r>
            <w:r w:rsidRPr="00BF0708">
              <w:rPr>
                <w:rFonts w:eastAsia="Calibri"/>
                <w:sz w:val="20"/>
                <w:lang w:val="fr-CA"/>
              </w:rPr>
              <w:noBreakHyphen/>
              <w:t xml:space="preserve"> Procédure civile </w:t>
            </w:r>
            <w:r w:rsidRPr="00BF0708">
              <w:rPr>
                <w:rFonts w:eastAsia="Calibri"/>
                <w:sz w:val="20"/>
                <w:lang w:val="fr-CA"/>
              </w:rPr>
              <w:noBreakHyphen/>
              <w:t xml:space="preserve"> Actes de procédure </w:t>
            </w:r>
            <w:r w:rsidRPr="00BF0708">
              <w:rPr>
                <w:rFonts w:eastAsia="Calibri"/>
                <w:sz w:val="20"/>
                <w:lang w:val="fr-CA"/>
              </w:rPr>
              <w:noBreakHyphen/>
              <w:t xml:space="preserve"> Ordonnance de radiation de certaines parties de la déclaration de la demanderesse </w:t>
            </w:r>
            <w:r w:rsidRPr="00BF0708">
              <w:rPr>
                <w:rFonts w:eastAsia="Calibri"/>
                <w:sz w:val="20"/>
                <w:lang w:val="fr-CA"/>
              </w:rPr>
              <w:noBreakHyphen/>
              <w:t xml:space="preserve"> L'interprétation stricte par la Cour d'appel fédérale des dispositions réparatrices disponibles en vertu du</w:t>
            </w:r>
            <w:r w:rsidRPr="00BF0708">
              <w:rPr>
                <w:rFonts w:eastAsia="Calibri"/>
                <w:i/>
                <w:sz w:val="20"/>
                <w:lang w:val="fr-CA"/>
              </w:rPr>
              <w:t xml:space="preserve"> Règlement sur les brevets </w:t>
            </w:r>
            <w:r w:rsidRPr="00BF0708">
              <w:rPr>
                <w:rFonts w:eastAsia="Calibri"/>
                <w:sz w:val="20"/>
                <w:lang w:val="fr-CA"/>
              </w:rPr>
              <w:t>est</w:t>
            </w:r>
            <w:r w:rsidRPr="00BF0708">
              <w:rPr>
                <w:rFonts w:eastAsia="Calibri"/>
                <w:sz w:val="20"/>
                <w:lang w:val="fr-CA"/>
              </w:rPr>
              <w:noBreakHyphen/>
              <w:t xml:space="preserve">elle compatible avec l'objet et le texte de l'art. 8 et du </w:t>
            </w:r>
            <w:r w:rsidRPr="00BF0708">
              <w:rPr>
                <w:rFonts w:eastAsia="Calibri"/>
                <w:i/>
                <w:sz w:val="20"/>
                <w:lang w:val="fr-CA"/>
              </w:rPr>
              <w:t>Règlement sur les brevets</w:t>
            </w:r>
            <w:r w:rsidRPr="00BF0708">
              <w:rPr>
                <w:rFonts w:eastAsia="Calibri"/>
                <w:sz w:val="20"/>
                <w:lang w:val="fr-CA"/>
              </w:rPr>
              <w:t xml:space="preserve"> dans son ensemble? </w:t>
            </w:r>
            <w:r w:rsidRPr="00BF0708">
              <w:rPr>
                <w:rFonts w:eastAsia="Calibri"/>
                <w:sz w:val="20"/>
                <w:lang w:val="fr-CA"/>
              </w:rPr>
              <w:noBreakHyphen/>
              <w:t xml:space="preserve"> Cette interprétation établit</w:t>
            </w:r>
            <w:r w:rsidRPr="00BF0708">
              <w:rPr>
                <w:rFonts w:eastAsia="Calibri"/>
                <w:sz w:val="20"/>
                <w:lang w:val="fr-CA"/>
              </w:rPr>
              <w:noBreakHyphen/>
              <w:t xml:space="preserve">elle un juste équilibre entre les intérêts divergents des brevetés et des fabricants de médicaments génériques? </w:t>
            </w:r>
            <w:r w:rsidRPr="00BF0708">
              <w:rPr>
                <w:rFonts w:eastAsia="Calibri"/>
                <w:sz w:val="20"/>
                <w:lang w:val="fr-CA"/>
              </w:rPr>
              <w:noBreakHyphen/>
              <w:t xml:space="preserve"> L'art. 8 est</w:t>
            </w:r>
            <w:r w:rsidRPr="00BF0708">
              <w:rPr>
                <w:rFonts w:eastAsia="Calibri"/>
                <w:sz w:val="20"/>
                <w:lang w:val="fr-CA"/>
              </w:rPr>
              <w:noBreakHyphen/>
              <w:t xml:space="preserve">il un code complet de mesures réparatrices, si bien que toutes les causes d'action sont écartées en l'absence de disposition législative explicite? </w:t>
            </w:r>
            <w:r w:rsidRPr="00BF0708">
              <w:rPr>
                <w:rFonts w:eastAsia="Calibri"/>
                <w:sz w:val="20"/>
                <w:lang w:val="fr-CA"/>
              </w:rPr>
              <w:noBreakHyphen/>
              <w:t xml:space="preserve"> Les actions intentées en vertu d'une disposition législative facultative et qui sont jugés injustifiées constituent</w:t>
            </w:r>
            <w:r w:rsidRPr="00BF0708">
              <w:rPr>
                <w:rFonts w:eastAsia="Calibri"/>
                <w:sz w:val="20"/>
                <w:lang w:val="fr-CA"/>
              </w:rPr>
              <w:noBreakHyphen/>
              <w:t>t</w:t>
            </w:r>
            <w:r w:rsidRPr="00BF0708">
              <w:rPr>
                <w:rFonts w:eastAsia="Calibri"/>
                <w:sz w:val="20"/>
                <w:lang w:val="fr-CA"/>
              </w:rPr>
              <w:noBreakHyphen/>
              <w:t xml:space="preserve">elle une disposition légale aux fins du volet relatif au motif juridique du critère applicable en matière d’enrichissement sans cause? </w:t>
            </w:r>
            <w:r w:rsidRPr="00BF0708">
              <w:rPr>
                <w:rFonts w:eastAsia="Calibri"/>
                <w:sz w:val="20"/>
                <w:lang w:val="fr-CA"/>
              </w:rPr>
              <w:noBreakHyphen/>
              <w:t xml:space="preserve"> Est</w:t>
            </w:r>
            <w:r w:rsidRPr="00BF0708">
              <w:rPr>
                <w:rFonts w:eastAsia="Calibri"/>
                <w:sz w:val="20"/>
                <w:lang w:val="fr-CA"/>
              </w:rPr>
              <w:noBreakHyphen/>
              <w:t>il important que cette Cour tranche ces questions à la lumière d'arrêts récents et contradictoires des tribunaux de l’Ontario et de l'intérêt public à avoir accès à des médicaments génériques en temps opportun?</w:t>
            </w:r>
          </w:p>
          <w:p w:rsidR="00C11649" w:rsidRPr="00BF0708" w:rsidRDefault="00C11649" w:rsidP="000F4785">
            <w:pPr>
              <w:jc w:val="both"/>
              <w:rPr>
                <w:rFonts w:eastAsia="Calibri"/>
                <w:sz w:val="20"/>
                <w:lang w:val="fr-CA"/>
              </w:rPr>
            </w:pPr>
          </w:p>
        </w:tc>
      </w:tr>
      <w:tr w:rsidR="00C11649" w:rsidRPr="0028361F" w:rsidTr="000F4785">
        <w:tc>
          <w:tcPr>
            <w:tcW w:w="5000" w:type="pct"/>
            <w:gridSpan w:val="3"/>
          </w:tcPr>
          <w:p w:rsidR="00C11649" w:rsidRPr="00BF0708" w:rsidRDefault="00C11649" w:rsidP="000F4785">
            <w:pPr>
              <w:jc w:val="both"/>
              <w:rPr>
                <w:rFonts w:eastAsia="Calibri"/>
                <w:sz w:val="20"/>
                <w:lang w:val="fr-CA"/>
              </w:rPr>
            </w:pPr>
            <w:r w:rsidRPr="00BF0708">
              <w:rPr>
                <w:rFonts w:eastAsia="Calibri"/>
                <w:sz w:val="20"/>
                <w:lang w:val="fr-CA"/>
              </w:rPr>
              <w:t>Apotex Inc. a intenté une action en dommages</w:t>
            </w:r>
            <w:r w:rsidRPr="00BF0708">
              <w:rPr>
                <w:rFonts w:eastAsia="Calibri"/>
                <w:sz w:val="20"/>
                <w:lang w:val="fr-CA"/>
              </w:rPr>
              <w:noBreakHyphen/>
              <w:t>intérêts en vertu de l'art. 8 du</w:t>
            </w:r>
            <w:r w:rsidRPr="00BF0708">
              <w:rPr>
                <w:rFonts w:eastAsia="Calibri"/>
                <w:i/>
                <w:sz w:val="20"/>
                <w:lang w:val="fr-CA"/>
              </w:rPr>
              <w:t xml:space="preserve"> Règlement sur les médicaments brevetés (avis de conformité)</w:t>
            </w:r>
            <w:r w:rsidRPr="00BF0708">
              <w:rPr>
                <w:rFonts w:eastAsia="Calibri"/>
                <w:sz w:val="20"/>
                <w:lang w:val="fr-CA"/>
              </w:rPr>
              <w:t>, DORS/93</w:t>
            </w:r>
            <w:r w:rsidRPr="00BF0708">
              <w:rPr>
                <w:rFonts w:eastAsia="Calibri"/>
                <w:sz w:val="20"/>
                <w:lang w:val="fr-CA"/>
              </w:rPr>
              <w:noBreakHyphen/>
              <w:t>133, pour le préjudice causé par le retard dans la délivrance à Apotex d'un avis de conformité pour sa version générique des comprimés de pantoprazole après que la demande d'ordonnance d'interdiction présentée par les intimées a été rejetée.  Apotex demandait notamment la restitution des profits excédentaires réalisés par les intimées pendant la période de sursis prévue par la loi.  Les intimées ont présenté une requête en radiation de certaines parties de la déclaration d’Apotex relatives à la restitution de profits.</w:t>
            </w:r>
          </w:p>
          <w:p w:rsidR="00C11649" w:rsidRPr="00BF0708" w:rsidRDefault="00C11649" w:rsidP="000F4785">
            <w:pPr>
              <w:jc w:val="both"/>
              <w:rPr>
                <w:rFonts w:eastAsia="Calibri"/>
                <w:sz w:val="20"/>
                <w:lang w:val="fr-CA"/>
              </w:rPr>
            </w:pPr>
          </w:p>
        </w:tc>
      </w:tr>
      <w:tr w:rsidR="00C11649" w:rsidRPr="0028361F" w:rsidTr="000F4785">
        <w:tc>
          <w:tcPr>
            <w:tcW w:w="2427" w:type="pct"/>
          </w:tcPr>
          <w:p w:rsidR="00C11649" w:rsidRPr="00BF0708" w:rsidRDefault="00C11649" w:rsidP="000F4785">
            <w:pPr>
              <w:jc w:val="both"/>
              <w:rPr>
                <w:rFonts w:eastAsia="Calibri"/>
                <w:sz w:val="20"/>
                <w:lang w:val="fr-CA"/>
              </w:rPr>
            </w:pPr>
            <w:r w:rsidRPr="00BF0708">
              <w:rPr>
                <w:rFonts w:eastAsia="Calibri"/>
                <w:sz w:val="20"/>
                <w:lang w:val="fr-CA"/>
              </w:rPr>
              <w:t>19 juin 2009</w:t>
            </w:r>
          </w:p>
          <w:p w:rsidR="00C11649" w:rsidRPr="00BF0708" w:rsidRDefault="00C11649" w:rsidP="000F4785">
            <w:pPr>
              <w:jc w:val="both"/>
              <w:rPr>
                <w:rFonts w:eastAsia="Calibri"/>
                <w:sz w:val="20"/>
                <w:lang w:val="fr-CA"/>
              </w:rPr>
            </w:pPr>
            <w:r w:rsidRPr="00BF0708">
              <w:rPr>
                <w:rFonts w:eastAsia="Calibri"/>
                <w:sz w:val="20"/>
                <w:lang w:val="fr-CA"/>
              </w:rPr>
              <w:t xml:space="preserve">Cour fédérale </w:t>
            </w:r>
          </w:p>
          <w:p w:rsidR="00C11649" w:rsidRPr="00BF0708" w:rsidRDefault="00C11649" w:rsidP="000F4785">
            <w:pPr>
              <w:jc w:val="both"/>
              <w:rPr>
                <w:rFonts w:eastAsia="Calibri"/>
                <w:sz w:val="20"/>
                <w:lang w:val="fr-CA"/>
              </w:rPr>
            </w:pPr>
            <w:r w:rsidRPr="00BF0708">
              <w:rPr>
                <w:rFonts w:eastAsia="Calibri"/>
                <w:sz w:val="20"/>
                <w:lang w:val="fr-CA"/>
              </w:rPr>
              <w:t>Protonotaire Milczynski</w:t>
            </w:r>
          </w:p>
          <w:p w:rsidR="00C11649" w:rsidRPr="00BF0708" w:rsidRDefault="00C11649" w:rsidP="000F4785">
            <w:pPr>
              <w:jc w:val="both"/>
              <w:rPr>
                <w:rFonts w:eastAsia="Calibri"/>
                <w:sz w:val="20"/>
                <w:lang w:val="fr-CA"/>
              </w:rPr>
            </w:pPr>
            <w:r w:rsidRPr="00BF0708">
              <w:rPr>
                <w:rFonts w:eastAsia="Calibri"/>
                <w:sz w:val="20"/>
                <w:lang w:val="fr-CA"/>
              </w:rPr>
              <w:t>Non publié</w:t>
            </w:r>
          </w:p>
          <w:p w:rsidR="00C11649" w:rsidRPr="00BF0708" w:rsidRDefault="00C11649" w:rsidP="000F4785">
            <w:pPr>
              <w:jc w:val="both"/>
              <w:rPr>
                <w:rFonts w:eastAsia="Calibri"/>
                <w:sz w:val="20"/>
                <w:lang w:val="fr-CA"/>
              </w:rPr>
            </w:pPr>
          </w:p>
        </w:tc>
        <w:tc>
          <w:tcPr>
            <w:tcW w:w="243" w:type="pct"/>
          </w:tcPr>
          <w:p w:rsidR="00C11649" w:rsidRPr="00BF0708" w:rsidRDefault="00C11649" w:rsidP="000F4785">
            <w:pPr>
              <w:jc w:val="both"/>
              <w:rPr>
                <w:rFonts w:eastAsia="Calibri"/>
                <w:sz w:val="20"/>
                <w:lang w:val="fr-CA"/>
              </w:rPr>
            </w:pPr>
          </w:p>
        </w:tc>
        <w:tc>
          <w:tcPr>
            <w:tcW w:w="2330" w:type="pct"/>
          </w:tcPr>
          <w:p w:rsidR="00C11649" w:rsidRPr="00BF0708" w:rsidRDefault="00C11649" w:rsidP="000F4785">
            <w:pPr>
              <w:jc w:val="both"/>
              <w:rPr>
                <w:rFonts w:eastAsia="Calibri"/>
                <w:sz w:val="20"/>
                <w:lang w:val="fr-CA"/>
              </w:rPr>
            </w:pPr>
            <w:r w:rsidRPr="00BF0708">
              <w:rPr>
                <w:rFonts w:eastAsia="Calibri"/>
                <w:sz w:val="20"/>
                <w:lang w:val="fr-CA"/>
              </w:rPr>
              <w:t>Requête des intimées en radiation de certaines parties de la déclaration de la demanderesse en vue d'obtenir la restitution des profits du breveté, accueillie.</w:t>
            </w:r>
          </w:p>
        </w:tc>
      </w:tr>
      <w:tr w:rsidR="00C11649" w:rsidRPr="00BF0708" w:rsidTr="0095513F">
        <w:trPr>
          <w:cantSplit/>
        </w:trPr>
        <w:tc>
          <w:tcPr>
            <w:tcW w:w="2427" w:type="pct"/>
          </w:tcPr>
          <w:p w:rsidR="00C11649" w:rsidRPr="00BF0708" w:rsidRDefault="00C11649" w:rsidP="000F4785">
            <w:pPr>
              <w:jc w:val="both"/>
              <w:rPr>
                <w:rFonts w:eastAsia="Calibri"/>
                <w:sz w:val="20"/>
                <w:lang w:val="fr-CA"/>
              </w:rPr>
            </w:pPr>
            <w:r w:rsidRPr="00BF0708">
              <w:rPr>
                <w:rFonts w:eastAsia="Calibri"/>
                <w:sz w:val="20"/>
                <w:lang w:val="fr-CA"/>
              </w:rPr>
              <w:t>18 avril 2011</w:t>
            </w:r>
          </w:p>
          <w:p w:rsidR="00C11649" w:rsidRPr="00BF0708" w:rsidRDefault="00C11649" w:rsidP="000F4785">
            <w:pPr>
              <w:jc w:val="both"/>
              <w:rPr>
                <w:rFonts w:eastAsia="Calibri"/>
                <w:sz w:val="20"/>
                <w:lang w:val="fr-CA"/>
              </w:rPr>
            </w:pPr>
            <w:r w:rsidRPr="00BF0708">
              <w:rPr>
                <w:rFonts w:eastAsia="Calibri"/>
                <w:sz w:val="20"/>
                <w:lang w:val="fr-CA"/>
              </w:rPr>
              <w:t xml:space="preserve">Cour fédérale </w:t>
            </w:r>
          </w:p>
          <w:p w:rsidR="00C11649" w:rsidRPr="00BF0708" w:rsidRDefault="00C11649" w:rsidP="000F4785">
            <w:pPr>
              <w:jc w:val="both"/>
              <w:rPr>
                <w:rFonts w:eastAsia="Calibri"/>
                <w:sz w:val="20"/>
                <w:lang w:val="fr-CA"/>
              </w:rPr>
            </w:pPr>
            <w:r w:rsidRPr="00BF0708">
              <w:rPr>
                <w:rFonts w:eastAsia="Calibri"/>
                <w:sz w:val="20"/>
                <w:lang w:val="fr-CA"/>
              </w:rPr>
              <w:t>(Juge Heneghan)</w:t>
            </w:r>
          </w:p>
          <w:p w:rsidR="00C11649" w:rsidRPr="00BF0708" w:rsidRDefault="00C11649" w:rsidP="000F4785">
            <w:pPr>
              <w:jc w:val="both"/>
              <w:rPr>
                <w:rFonts w:eastAsia="Calibri"/>
                <w:sz w:val="20"/>
                <w:lang w:val="fr-CA"/>
              </w:rPr>
            </w:pPr>
            <w:r w:rsidRPr="00BF0708">
              <w:rPr>
                <w:rFonts w:eastAsia="Calibri"/>
                <w:sz w:val="20"/>
                <w:lang w:val="fr-CA"/>
              </w:rPr>
              <w:t>Non publié</w:t>
            </w:r>
          </w:p>
          <w:p w:rsidR="00C11649" w:rsidRPr="00BF0708" w:rsidRDefault="00C11649" w:rsidP="000F4785">
            <w:pPr>
              <w:jc w:val="both"/>
              <w:rPr>
                <w:rFonts w:eastAsia="Calibri"/>
                <w:sz w:val="20"/>
                <w:lang w:val="fr-CA"/>
              </w:rPr>
            </w:pPr>
          </w:p>
        </w:tc>
        <w:tc>
          <w:tcPr>
            <w:tcW w:w="243" w:type="pct"/>
          </w:tcPr>
          <w:p w:rsidR="00C11649" w:rsidRPr="00BF0708" w:rsidRDefault="00C11649" w:rsidP="000F4785">
            <w:pPr>
              <w:jc w:val="both"/>
              <w:rPr>
                <w:rFonts w:eastAsia="Calibri"/>
                <w:sz w:val="20"/>
                <w:lang w:val="fr-CA"/>
              </w:rPr>
            </w:pPr>
          </w:p>
        </w:tc>
        <w:tc>
          <w:tcPr>
            <w:tcW w:w="2330" w:type="pct"/>
          </w:tcPr>
          <w:p w:rsidR="00C11649" w:rsidRPr="00BF0708" w:rsidRDefault="00C11649" w:rsidP="000F4785">
            <w:pPr>
              <w:jc w:val="both"/>
              <w:rPr>
                <w:rFonts w:eastAsia="Calibri"/>
                <w:sz w:val="20"/>
                <w:lang w:val="fr-CA"/>
              </w:rPr>
            </w:pPr>
            <w:r w:rsidRPr="00BF0708">
              <w:rPr>
                <w:rFonts w:eastAsia="Calibri"/>
                <w:sz w:val="20"/>
                <w:lang w:val="fr-CA"/>
              </w:rPr>
              <w:t>Appel rejeté</w:t>
            </w:r>
          </w:p>
          <w:p w:rsidR="00C11649" w:rsidRPr="00BF0708" w:rsidRDefault="00C11649" w:rsidP="000F4785">
            <w:pPr>
              <w:jc w:val="both"/>
              <w:rPr>
                <w:rFonts w:eastAsia="Calibri"/>
                <w:sz w:val="20"/>
                <w:lang w:val="fr-CA"/>
              </w:rPr>
            </w:pPr>
          </w:p>
        </w:tc>
      </w:tr>
      <w:tr w:rsidR="00C11649" w:rsidRPr="00BF0708" w:rsidTr="0095513F">
        <w:trPr>
          <w:cantSplit/>
        </w:trPr>
        <w:tc>
          <w:tcPr>
            <w:tcW w:w="2427" w:type="pct"/>
          </w:tcPr>
          <w:p w:rsidR="00C11649" w:rsidRPr="00BF0708" w:rsidRDefault="00C11649" w:rsidP="000F4785">
            <w:pPr>
              <w:jc w:val="both"/>
              <w:rPr>
                <w:rFonts w:eastAsia="Calibri"/>
                <w:sz w:val="20"/>
                <w:lang w:val="fr-CA"/>
              </w:rPr>
            </w:pPr>
            <w:r w:rsidRPr="00BF0708">
              <w:rPr>
                <w:rFonts w:eastAsia="Calibri"/>
                <w:sz w:val="20"/>
                <w:lang w:val="fr-CA"/>
              </w:rPr>
              <w:t>16 décembre 2011</w:t>
            </w:r>
          </w:p>
          <w:p w:rsidR="00C11649" w:rsidRPr="00BF0708" w:rsidRDefault="00C11649" w:rsidP="000F4785">
            <w:pPr>
              <w:jc w:val="both"/>
              <w:rPr>
                <w:rFonts w:eastAsia="Calibri"/>
                <w:sz w:val="20"/>
                <w:lang w:val="fr-CA"/>
              </w:rPr>
            </w:pPr>
            <w:r w:rsidRPr="00BF0708">
              <w:rPr>
                <w:rFonts w:eastAsia="Calibri"/>
                <w:sz w:val="20"/>
                <w:lang w:val="fr-CA"/>
              </w:rPr>
              <w:t xml:space="preserve">Cour d'appel fédérale </w:t>
            </w:r>
          </w:p>
          <w:p w:rsidR="00C11649" w:rsidRPr="00BF0708" w:rsidRDefault="00C11649" w:rsidP="000F4785">
            <w:pPr>
              <w:jc w:val="both"/>
              <w:rPr>
                <w:rFonts w:eastAsia="Calibri"/>
                <w:sz w:val="20"/>
                <w:lang w:val="fr-CA"/>
              </w:rPr>
            </w:pPr>
            <w:r w:rsidRPr="00BF0708">
              <w:rPr>
                <w:rFonts w:eastAsia="Calibri"/>
                <w:sz w:val="20"/>
                <w:lang w:val="fr-CA"/>
              </w:rPr>
              <w:t>(Juges Noël, Dawson et Trudel)</w:t>
            </w:r>
          </w:p>
          <w:p w:rsidR="00C11649" w:rsidRPr="00BF0708" w:rsidRDefault="00C11649" w:rsidP="000F4785">
            <w:pPr>
              <w:jc w:val="both"/>
              <w:rPr>
                <w:rFonts w:eastAsia="Calibri"/>
                <w:sz w:val="20"/>
                <w:lang w:val="fr-CA"/>
              </w:rPr>
            </w:pPr>
            <w:r w:rsidRPr="00BF0708">
              <w:rPr>
                <w:rFonts w:eastAsia="Calibri"/>
                <w:sz w:val="20"/>
                <w:lang w:val="fr-CA"/>
              </w:rPr>
              <w:t>2011 FCA 358</w:t>
            </w:r>
          </w:p>
          <w:p w:rsidR="00C11649" w:rsidRPr="00BF0708" w:rsidRDefault="00C11649" w:rsidP="000F4785">
            <w:pPr>
              <w:jc w:val="both"/>
              <w:rPr>
                <w:rFonts w:eastAsia="Calibri"/>
                <w:sz w:val="20"/>
                <w:lang w:val="fr-CA"/>
              </w:rPr>
            </w:pPr>
          </w:p>
        </w:tc>
        <w:tc>
          <w:tcPr>
            <w:tcW w:w="243" w:type="pct"/>
          </w:tcPr>
          <w:p w:rsidR="00C11649" w:rsidRPr="00BF0708" w:rsidRDefault="00C11649" w:rsidP="000F4785">
            <w:pPr>
              <w:jc w:val="both"/>
              <w:rPr>
                <w:rFonts w:eastAsia="Calibri"/>
                <w:sz w:val="20"/>
                <w:lang w:val="fr-CA"/>
              </w:rPr>
            </w:pPr>
          </w:p>
        </w:tc>
        <w:tc>
          <w:tcPr>
            <w:tcW w:w="2330" w:type="pct"/>
          </w:tcPr>
          <w:p w:rsidR="00C11649" w:rsidRPr="00BF0708" w:rsidRDefault="00C11649" w:rsidP="000F4785">
            <w:pPr>
              <w:jc w:val="both"/>
              <w:rPr>
                <w:rFonts w:eastAsia="Calibri"/>
                <w:sz w:val="20"/>
                <w:lang w:val="fr-CA"/>
              </w:rPr>
            </w:pPr>
            <w:r w:rsidRPr="00BF0708">
              <w:rPr>
                <w:rFonts w:eastAsia="Calibri"/>
                <w:sz w:val="20"/>
                <w:lang w:val="fr-CA"/>
              </w:rPr>
              <w:t>Appel rejeté</w:t>
            </w:r>
          </w:p>
          <w:p w:rsidR="00C11649" w:rsidRPr="00BF0708" w:rsidRDefault="00C11649" w:rsidP="000F4785">
            <w:pPr>
              <w:jc w:val="both"/>
              <w:rPr>
                <w:rFonts w:eastAsia="Calibri"/>
                <w:sz w:val="20"/>
                <w:lang w:val="fr-CA"/>
              </w:rPr>
            </w:pPr>
          </w:p>
        </w:tc>
      </w:tr>
      <w:tr w:rsidR="00C11649" w:rsidRPr="00BF0708" w:rsidTr="0095513F">
        <w:trPr>
          <w:cantSplit/>
        </w:trPr>
        <w:tc>
          <w:tcPr>
            <w:tcW w:w="2427" w:type="pct"/>
          </w:tcPr>
          <w:p w:rsidR="00C11649" w:rsidRPr="00BF0708" w:rsidRDefault="00C11649" w:rsidP="000F4785">
            <w:pPr>
              <w:jc w:val="both"/>
              <w:rPr>
                <w:rFonts w:eastAsia="Calibri"/>
                <w:sz w:val="20"/>
                <w:lang w:val="fr-CA"/>
              </w:rPr>
            </w:pPr>
            <w:r w:rsidRPr="00BF0708">
              <w:rPr>
                <w:rFonts w:eastAsia="Calibri"/>
                <w:sz w:val="20"/>
                <w:lang w:val="fr-CA"/>
              </w:rPr>
              <w:lastRenderedPageBreak/>
              <w:t>14 février 2012</w:t>
            </w:r>
          </w:p>
          <w:p w:rsidR="00C11649" w:rsidRPr="00BF0708" w:rsidRDefault="00C11649" w:rsidP="000F4785">
            <w:pPr>
              <w:jc w:val="both"/>
              <w:rPr>
                <w:rFonts w:eastAsia="Calibri"/>
                <w:sz w:val="20"/>
                <w:lang w:val="fr-CA"/>
              </w:rPr>
            </w:pPr>
            <w:r w:rsidRPr="00BF0708">
              <w:rPr>
                <w:rFonts w:eastAsia="Calibri"/>
                <w:sz w:val="20"/>
                <w:lang w:val="fr-CA"/>
              </w:rPr>
              <w:t>Cour suprême du Canada</w:t>
            </w:r>
          </w:p>
        </w:tc>
        <w:tc>
          <w:tcPr>
            <w:tcW w:w="243" w:type="pct"/>
          </w:tcPr>
          <w:p w:rsidR="00C11649" w:rsidRPr="00BF0708" w:rsidRDefault="00C11649" w:rsidP="000F4785">
            <w:pPr>
              <w:jc w:val="both"/>
              <w:rPr>
                <w:rFonts w:eastAsia="Calibri"/>
                <w:sz w:val="20"/>
                <w:lang w:val="fr-CA"/>
              </w:rPr>
            </w:pPr>
          </w:p>
        </w:tc>
        <w:tc>
          <w:tcPr>
            <w:tcW w:w="2330" w:type="pct"/>
          </w:tcPr>
          <w:p w:rsidR="00C11649" w:rsidRPr="00BF0708" w:rsidRDefault="00C11649" w:rsidP="000F4785">
            <w:pPr>
              <w:jc w:val="both"/>
              <w:rPr>
                <w:rFonts w:eastAsia="Calibri"/>
                <w:sz w:val="20"/>
                <w:lang w:val="fr-CA"/>
              </w:rPr>
            </w:pPr>
            <w:r w:rsidRPr="00BF0708">
              <w:rPr>
                <w:rFonts w:eastAsia="Calibri"/>
                <w:sz w:val="20"/>
                <w:lang w:val="fr-CA"/>
              </w:rPr>
              <w:t>Demande d'autorisation d'appel, déposée</w:t>
            </w:r>
          </w:p>
          <w:p w:rsidR="00C11649" w:rsidRPr="00BF0708" w:rsidRDefault="00C11649" w:rsidP="000F4785">
            <w:pPr>
              <w:jc w:val="both"/>
              <w:rPr>
                <w:rFonts w:eastAsia="Calibri"/>
                <w:sz w:val="20"/>
                <w:lang w:val="fr-CA"/>
              </w:rPr>
            </w:pP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61" style="width:2in;height:1pt" o:hrpct="0" o:hralign="center" o:hrstd="t" o:hrnoshade="t" o:hr="t" fillcolor="black [3213]" stroked="f"/>
        </w:pict>
      </w:r>
    </w:p>
    <w:p w:rsidR="00FD4A4B" w:rsidRDefault="00FD4A4B" w:rsidP="00FD4A4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5513F" w:rsidRPr="00DF3508" w:rsidTr="00E44C31">
        <w:trPr>
          <w:cantSplit/>
        </w:trPr>
        <w:tc>
          <w:tcPr>
            <w:tcW w:w="1458" w:type="dxa"/>
          </w:tcPr>
          <w:p w:rsidR="0095513F" w:rsidRPr="00DF3508" w:rsidRDefault="0095513F" w:rsidP="00E44C31">
            <w:pPr>
              <w:rPr>
                <w:sz w:val="20"/>
                <w:szCs w:val="20"/>
              </w:rPr>
            </w:pPr>
            <w:r w:rsidRPr="00DF3508">
              <w:rPr>
                <w:rStyle w:val="SCCFileNumberChar"/>
                <w:sz w:val="20"/>
                <w:szCs w:val="20"/>
              </w:rPr>
              <w:t>34670</w:t>
            </w:r>
          </w:p>
          <w:p w:rsidR="0095513F" w:rsidRPr="00DF3508" w:rsidRDefault="0095513F" w:rsidP="00E44C31">
            <w:pPr>
              <w:rPr>
                <w:b/>
                <w:sz w:val="20"/>
                <w:szCs w:val="20"/>
                <w:lang w:val="fr-CA"/>
              </w:rPr>
            </w:pPr>
          </w:p>
        </w:tc>
        <w:tc>
          <w:tcPr>
            <w:tcW w:w="8118" w:type="dxa"/>
          </w:tcPr>
          <w:p w:rsidR="0095513F" w:rsidRPr="00DF3508" w:rsidRDefault="0095513F" w:rsidP="00E44C31">
            <w:pPr>
              <w:rPr>
                <w:sz w:val="20"/>
                <w:szCs w:val="20"/>
              </w:rPr>
            </w:pPr>
            <w:r w:rsidRPr="0095513F">
              <w:rPr>
                <w:rStyle w:val="SCCLsocChar"/>
                <w:sz w:val="20"/>
                <w:szCs w:val="20"/>
                <w:lang w:val="en-CA"/>
              </w:rPr>
              <w:t>Apotex Inc. v. Eli Lilly Canada Inc.</w:t>
            </w:r>
            <w:r w:rsidRPr="00DF3508">
              <w:rPr>
                <w:sz w:val="20"/>
                <w:szCs w:val="20"/>
              </w:rPr>
              <w:t xml:space="preserve"> (F.C.) (Civil) (By Leave)</w:t>
            </w:r>
          </w:p>
          <w:p w:rsidR="0095513F" w:rsidRPr="00DF3508" w:rsidRDefault="0095513F" w:rsidP="00E44C31">
            <w:pPr>
              <w:rPr>
                <w:sz w:val="20"/>
                <w:szCs w:val="20"/>
              </w:rPr>
            </w:pPr>
          </w:p>
        </w:tc>
      </w:tr>
      <w:tr w:rsidR="0095513F" w:rsidRPr="00DF3508" w:rsidTr="00E44C31">
        <w:trPr>
          <w:cantSplit/>
        </w:trPr>
        <w:tc>
          <w:tcPr>
            <w:tcW w:w="1458" w:type="dxa"/>
          </w:tcPr>
          <w:p w:rsidR="0095513F" w:rsidRPr="00DF3508" w:rsidRDefault="0095513F" w:rsidP="00E44C31">
            <w:pPr>
              <w:rPr>
                <w:sz w:val="20"/>
                <w:szCs w:val="20"/>
              </w:rPr>
            </w:pPr>
            <w:r w:rsidRPr="00DF3508">
              <w:rPr>
                <w:sz w:val="20"/>
                <w:szCs w:val="20"/>
              </w:rPr>
              <w:t>Coram :</w:t>
            </w:r>
          </w:p>
        </w:tc>
        <w:tc>
          <w:tcPr>
            <w:tcW w:w="8118" w:type="dxa"/>
          </w:tcPr>
          <w:p w:rsidR="0095513F" w:rsidRPr="00DF3508" w:rsidRDefault="0095513F" w:rsidP="00E44C31">
            <w:pPr>
              <w:rPr>
                <w:sz w:val="20"/>
                <w:szCs w:val="20"/>
              </w:rPr>
            </w:pPr>
            <w:r w:rsidRPr="0095513F">
              <w:rPr>
                <w:rStyle w:val="SCCCoramChar"/>
                <w:sz w:val="20"/>
                <w:szCs w:val="20"/>
                <w:lang w:val="en-CA"/>
              </w:rPr>
              <w:t>McLachlin C.J. and Rothstein and Moldaver JJ.</w:t>
            </w:r>
          </w:p>
          <w:p w:rsidR="0095513F" w:rsidRPr="00DF3508" w:rsidRDefault="0095513F" w:rsidP="00E44C31">
            <w:pPr>
              <w:rPr>
                <w:sz w:val="20"/>
                <w:szCs w:val="20"/>
                <w:u w:val="single"/>
              </w:rPr>
            </w:pPr>
          </w:p>
        </w:tc>
      </w:tr>
      <w:tr w:rsidR="0095513F" w:rsidRPr="0028361F" w:rsidTr="00E44C31">
        <w:trPr>
          <w:cantSplit/>
        </w:trPr>
        <w:tc>
          <w:tcPr>
            <w:tcW w:w="9576" w:type="dxa"/>
            <w:gridSpan w:val="2"/>
          </w:tcPr>
          <w:p w:rsidR="0095513F" w:rsidRPr="00DF3508" w:rsidRDefault="0095513F" w:rsidP="00E44C31">
            <w:pPr>
              <w:pStyle w:val="SCCShortJudgment"/>
              <w:rPr>
                <w:szCs w:val="20"/>
              </w:rPr>
            </w:pPr>
            <w:r w:rsidRPr="00DF3508">
              <w:rPr>
                <w:szCs w:val="20"/>
              </w:rPr>
              <w:t>The application for leave to appeal from the judgment of the Federal Court of Appeal, Number A-172-11, 2011 FCA 358, dated December 16, 2011, is dismissed with costs.</w:t>
            </w:r>
          </w:p>
          <w:p w:rsidR="0095513F" w:rsidRPr="00DF3508" w:rsidRDefault="0095513F" w:rsidP="00E44C31">
            <w:pPr>
              <w:pStyle w:val="SCCShortJudgment"/>
              <w:ind w:firstLine="0"/>
              <w:rPr>
                <w:szCs w:val="20"/>
              </w:rPr>
            </w:pPr>
          </w:p>
          <w:p w:rsidR="0095513F" w:rsidRPr="00DF3508" w:rsidRDefault="0095513F" w:rsidP="00E44C31">
            <w:pPr>
              <w:pStyle w:val="SCCShortJudgment"/>
              <w:rPr>
                <w:szCs w:val="20"/>
                <w:lang w:val="fr-CA"/>
              </w:rPr>
            </w:pPr>
            <w:r w:rsidRPr="00DF3508">
              <w:rPr>
                <w:szCs w:val="20"/>
                <w:lang w:val="fr-CA"/>
              </w:rPr>
              <w:t>La demande d’autorisation d’appel de l’arrêt de la Cour d’appel fédérale, numéro A-172-11, 2011 CAF 358, daté du 16 décembre 2011, est rejetée sans dépens.</w:t>
            </w:r>
          </w:p>
        </w:tc>
      </w:tr>
    </w:tbl>
    <w:p w:rsidR="00FD4A4B" w:rsidRPr="00FD4A4B" w:rsidRDefault="00FD4A4B" w:rsidP="00FD4A4B">
      <w:pPr>
        <w:rPr>
          <w:sz w:val="20"/>
          <w:szCs w:val="20"/>
          <w:lang w:val="fr-CA"/>
        </w:rPr>
      </w:pPr>
    </w:p>
    <w:p w:rsidR="00FD4A4B" w:rsidRPr="001B157C" w:rsidRDefault="00FD4A4B" w:rsidP="00FD4A4B">
      <w:pPr>
        <w:rPr>
          <w:sz w:val="20"/>
          <w:szCs w:val="20"/>
          <w:u w:val="single"/>
        </w:rPr>
      </w:pPr>
      <w:r w:rsidRPr="001B157C">
        <w:rPr>
          <w:sz w:val="20"/>
          <w:szCs w:val="20"/>
          <w:u w:val="single"/>
        </w:rPr>
        <w:t>CASE SUMMARY</w:t>
      </w:r>
    </w:p>
    <w:p w:rsidR="00FD4A4B" w:rsidRDefault="00FD4A4B" w:rsidP="00FD4A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11649" w:rsidRPr="00BF0708" w:rsidTr="000F4785">
        <w:tc>
          <w:tcPr>
            <w:tcW w:w="5000" w:type="pct"/>
            <w:gridSpan w:val="3"/>
          </w:tcPr>
          <w:p w:rsidR="00C11649" w:rsidRPr="00BF0708" w:rsidRDefault="00C11649" w:rsidP="000F4785">
            <w:pPr>
              <w:jc w:val="both"/>
              <w:rPr>
                <w:rFonts w:eastAsia="Calibri"/>
                <w:sz w:val="20"/>
              </w:rPr>
            </w:pPr>
            <w:r w:rsidRPr="00BF0708">
              <w:rPr>
                <w:rFonts w:eastAsia="Calibri"/>
                <w:sz w:val="20"/>
              </w:rPr>
              <w:t xml:space="preserve">Intellectual property </w:t>
            </w:r>
            <w:r w:rsidRPr="00BF0708">
              <w:rPr>
                <w:rFonts w:eastAsia="Calibri"/>
                <w:sz w:val="20"/>
              </w:rPr>
              <w:noBreakHyphen/>
              <w:t xml:space="preserve"> Patents </w:t>
            </w:r>
            <w:r w:rsidRPr="00BF0708">
              <w:rPr>
                <w:rFonts w:eastAsia="Calibri"/>
                <w:sz w:val="20"/>
              </w:rPr>
              <w:noBreakHyphen/>
              <w:t xml:space="preserve"> Section 8 damages </w:t>
            </w:r>
            <w:r w:rsidRPr="00BF0708">
              <w:rPr>
                <w:rFonts w:eastAsia="Calibri"/>
                <w:sz w:val="20"/>
              </w:rPr>
              <w:noBreakHyphen/>
              <w:t xml:space="preserve"> Civil procedure </w:t>
            </w:r>
            <w:r w:rsidRPr="00BF0708">
              <w:rPr>
                <w:rFonts w:eastAsia="Calibri"/>
                <w:sz w:val="20"/>
              </w:rPr>
              <w:noBreakHyphen/>
              <w:t xml:space="preserve"> Pleadings </w:t>
            </w:r>
            <w:r w:rsidRPr="00BF0708">
              <w:rPr>
                <w:rFonts w:eastAsia="Calibri"/>
                <w:sz w:val="20"/>
              </w:rPr>
              <w:noBreakHyphen/>
              <w:t xml:space="preserve"> Respondent’s motion to have portions of Applicant’s statement of claim seeking disgorgement of profits struck, granted </w:t>
            </w:r>
            <w:r w:rsidRPr="00BF0708">
              <w:rPr>
                <w:rFonts w:eastAsia="Calibri"/>
                <w:sz w:val="20"/>
              </w:rPr>
              <w:noBreakHyphen/>
              <w:t xml:space="preserve"> Is s. 8 a complete remedial code that impliedly ousts all other causes of action, and is such a restrictive interpretation of the remedies available following the dismissal of an application consistent with the purpose and wording of s. 8, and </w:t>
            </w:r>
            <w:r w:rsidRPr="00BF0708">
              <w:rPr>
                <w:rFonts w:eastAsia="Calibri"/>
                <w:i/>
                <w:sz w:val="20"/>
              </w:rPr>
              <w:t>Patent Regulations</w:t>
            </w:r>
            <w:r w:rsidRPr="00BF0708">
              <w:rPr>
                <w:rFonts w:eastAsia="Calibri"/>
                <w:sz w:val="20"/>
              </w:rPr>
              <w:t xml:space="preserve"> as a whole? </w:t>
            </w:r>
            <w:r w:rsidRPr="00BF0708">
              <w:rPr>
                <w:rFonts w:eastAsia="Calibri"/>
                <w:sz w:val="20"/>
              </w:rPr>
              <w:noBreakHyphen/>
              <w:t xml:space="preserve"> Can action taken pursuant to a permissive statute that is found to be unjustified constitute a disposition of law for purpose of the juristic reason branch of unjust enrichment test? </w:t>
            </w:r>
            <w:r w:rsidRPr="00BF0708">
              <w:rPr>
                <w:rFonts w:eastAsia="Calibri"/>
                <w:sz w:val="20"/>
              </w:rPr>
              <w:noBreakHyphen/>
              <w:t xml:space="preserve"> Should a finding that a patentee’s application was unjustified nevertheless allow the patentee to be enriched as a result? </w:t>
            </w:r>
            <w:r w:rsidRPr="00BF0708">
              <w:rPr>
                <w:rFonts w:eastAsia="Calibri"/>
                <w:sz w:val="20"/>
              </w:rPr>
              <w:noBreakHyphen/>
              <w:t xml:space="preserve"> Is it important for this Court to resolve these issues in light of the recent, conflicting decisions of the Ontario courts and the public interest in timely access to generic medications?</w:t>
            </w:r>
          </w:p>
          <w:p w:rsidR="00C11649" w:rsidRPr="00BF0708" w:rsidRDefault="00C11649" w:rsidP="000F4785">
            <w:pPr>
              <w:jc w:val="both"/>
              <w:rPr>
                <w:rFonts w:eastAsia="Calibri"/>
                <w:sz w:val="20"/>
              </w:rPr>
            </w:pPr>
          </w:p>
        </w:tc>
      </w:tr>
      <w:tr w:rsidR="00C11649" w:rsidRPr="00BF0708" w:rsidTr="000F4785">
        <w:trPr>
          <w:trHeight w:val="1305"/>
        </w:trPr>
        <w:tc>
          <w:tcPr>
            <w:tcW w:w="5000" w:type="pct"/>
            <w:gridSpan w:val="3"/>
          </w:tcPr>
          <w:p w:rsidR="00C11649" w:rsidRPr="00BF0708" w:rsidRDefault="00C11649" w:rsidP="000F4785">
            <w:pPr>
              <w:jc w:val="both"/>
              <w:rPr>
                <w:rFonts w:eastAsia="Calibri"/>
                <w:sz w:val="20"/>
              </w:rPr>
            </w:pPr>
            <w:r w:rsidRPr="00BF0708">
              <w:rPr>
                <w:rFonts w:eastAsia="Calibri"/>
                <w:sz w:val="20"/>
              </w:rPr>
              <w:t xml:space="preserve">Apotex Inc. brought an action against Eli Lilly Canada Inc. (“Lilly”) for damages under s. 8 of the </w:t>
            </w:r>
            <w:r w:rsidRPr="00BF0708">
              <w:rPr>
                <w:rFonts w:eastAsia="Calibri"/>
                <w:i/>
                <w:sz w:val="20"/>
              </w:rPr>
              <w:t>Patented Medicines (Notice of Compliance Regulations</w:t>
            </w:r>
            <w:r w:rsidRPr="00BF0708">
              <w:rPr>
                <w:rFonts w:eastAsia="Calibri"/>
                <w:sz w:val="20"/>
              </w:rPr>
              <w:t xml:space="preserve"> (“</w:t>
            </w:r>
            <w:r w:rsidRPr="00BF0708">
              <w:rPr>
                <w:rFonts w:eastAsia="Calibri"/>
                <w:i/>
                <w:sz w:val="20"/>
              </w:rPr>
              <w:t>Regulations</w:t>
            </w:r>
            <w:r w:rsidRPr="00BF0708">
              <w:rPr>
                <w:rFonts w:eastAsia="Calibri"/>
                <w:sz w:val="20"/>
              </w:rPr>
              <w:t>”), SOR/93</w:t>
            </w:r>
            <w:r w:rsidRPr="00BF0708">
              <w:rPr>
                <w:rFonts w:eastAsia="Calibri"/>
                <w:sz w:val="20"/>
              </w:rPr>
              <w:noBreakHyphen/>
              <w:t>133 and pursuant to principles of unjust enrichment for the delay in issuance of a Notice of Compliance to Apotex to enable it to market its generic product.  Lilly’s application for a prohibition order had been dismissed and that application caused the delay in Apotex’s market entry.  Apotex sought a disgorgement of Lilly’s revenues as a remedy.  Lilly brought a motion to strike portions of Apotex’s statement of claim relating to disgorgement or an accounting of profits.</w:t>
            </w:r>
          </w:p>
          <w:p w:rsidR="00C11649" w:rsidRPr="00BF0708" w:rsidRDefault="00C11649" w:rsidP="000F4785">
            <w:pPr>
              <w:jc w:val="both"/>
              <w:rPr>
                <w:rFonts w:eastAsia="Calibri"/>
                <w:sz w:val="20"/>
              </w:rPr>
            </w:pPr>
          </w:p>
        </w:tc>
      </w:tr>
      <w:tr w:rsidR="00C11649" w:rsidRPr="00BF0708" w:rsidTr="000F4785">
        <w:tc>
          <w:tcPr>
            <w:tcW w:w="2427" w:type="pct"/>
          </w:tcPr>
          <w:p w:rsidR="00C11649" w:rsidRPr="00BF0708" w:rsidRDefault="00C11649" w:rsidP="000F4785">
            <w:pPr>
              <w:jc w:val="both"/>
              <w:rPr>
                <w:rFonts w:eastAsia="Calibri"/>
                <w:sz w:val="20"/>
              </w:rPr>
            </w:pPr>
            <w:r w:rsidRPr="00BF0708">
              <w:rPr>
                <w:rFonts w:eastAsia="Calibri"/>
                <w:sz w:val="20"/>
              </w:rPr>
              <w:t>July 3, 2009</w:t>
            </w:r>
          </w:p>
          <w:p w:rsidR="00C11649" w:rsidRPr="00BF0708" w:rsidRDefault="00C11649" w:rsidP="000F4785">
            <w:pPr>
              <w:jc w:val="both"/>
              <w:rPr>
                <w:rFonts w:eastAsia="Calibri"/>
                <w:sz w:val="20"/>
              </w:rPr>
            </w:pPr>
            <w:r w:rsidRPr="00BF0708">
              <w:rPr>
                <w:rFonts w:eastAsia="Calibri"/>
                <w:sz w:val="20"/>
              </w:rPr>
              <w:t>Federal Court</w:t>
            </w:r>
          </w:p>
          <w:p w:rsidR="00C11649" w:rsidRPr="00BF0708" w:rsidRDefault="00C11649" w:rsidP="000F4785">
            <w:pPr>
              <w:jc w:val="both"/>
              <w:rPr>
                <w:rFonts w:eastAsia="Calibri"/>
                <w:sz w:val="20"/>
              </w:rPr>
            </w:pPr>
            <w:r w:rsidRPr="00BF0708">
              <w:rPr>
                <w:rFonts w:eastAsia="Calibri"/>
                <w:sz w:val="20"/>
              </w:rPr>
              <w:t>Tabib, Prothonotary</w:t>
            </w:r>
          </w:p>
          <w:p w:rsidR="00C11649" w:rsidRPr="00BF0708" w:rsidRDefault="00C11649" w:rsidP="000F4785">
            <w:pPr>
              <w:jc w:val="both"/>
              <w:rPr>
                <w:rFonts w:eastAsia="Calibri"/>
                <w:sz w:val="20"/>
              </w:rPr>
            </w:pPr>
            <w:r w:rsidRPr="00BF0708">
              <w:rPr>
                <w:rFonts w:eastAsia="Calibri"/>
                <w:sz w:val="20"/>
              </w:rPr>
              <w:t>2009 FC 693</w:t>
            </w:r>
          </w:p>
          <w:p w:rsidR="00C11649" w:rsidRPr="00BF0708" w:rsidRDefault="00C11649" w:rsidP="000F4785">
            <w:pPr>
              <w:jc w:val="both"/>
              <w:rPr>
                <w:rFonts w:eastAsia="Calibri"/>
                <w:sz w:val="20"/>
              </w:rPr>
            </w:pPr>
          </w:p>
        </w:tc>
        <w:tc>
          <w:tcPr>
            <w:tcW w:w="243" w:type="pct"/>
          </w:tcPr>
          <w:p w:rsidR="00C11649" w:rsidRPr="00BF0708" w:rsidRDefault="00C11649" w:rsidP="000F4785">
            <w:pPr>
              <w:jc w:val="both"/>
              <w:rPr>
                <w:rFonts w:eastAsia="Calibri"/>
                <w:sz w:val="20"/>
              </w:rPr>
            </w:pPr>
          </w:p>
        </w:tc>
        <w:tc>
          <w:tcPr>
            <w:tcW w:w="2330" w:type="pct"/>
          </w:tcPr>
          <w:p w:rsidR="00C11649" w:rsidRPr="00BF0708" w:rsidRDefault="00C11649" w:rsidP="000F4785">
            <w:pPr>
              <w:jc w:val="both"/>
              <w:rPr>
                <w:rFonts w:eastAsia="Calibri"/>
                <w:sz w:val="20"/>
              </w:rPr>
            </w:pPr>
            <w:r w:rsidRPr="00BF0708">
              <w:rPr>
                <w:rFonts w:eastAsia="Calibri"/>
                <w:sz w:val="20"/>
              </w:rPr>
              <w:t>Respondent’s motion to have portions of Applicant’s statement of claim seeking disgorgement of patentee’s profits struck, granted</w:t>
            </w:r>
          </w:p>
        </w:tc>
      </w:tr>
      <w:tr w:rsidR="00C11649" w:rsidRPr="00BF0708" w:rsidTr="000F4785">
        <w:tc>
          <w:tcPr>
            <w:tcW w:w="2427" w:type="pct"/>
          </w:tcPr>
          <w:p w:rsidR="00C11649" w:rsidRPr="00BF0708" w:rsidRDefault="00C11649" w:rsidP="000F4785">
            <w:pPr>
              <w:jc w:val="both"/>
              <w:rPr>
                <w:rFonts w:eastAsia="Calibri"/>
                <w:sz w:val="20"/>
              </w:rPr>
            </w:pPr>
            <w:r w:rsidRPr="00BF0708">
              <w:rPr>
                <w:rFonts w:eastAsia="Calibri"/>
                <w:sz w:val="20"/>
              </w:rPr>
              <w:t>April 18, 2011</w:t>
            </w:r>
          </w:p>
          <w:p w:rsidR="00C11649" w:rsidRPr="00BF0708" w:rsidRDefault="00C11649" w:rsidP="000F4785">
            <w:pPr>
              <w:jc w:val="both"/>
              <w:rPr>
                <w:rFonts w:eastAsia="Calibri"/>
                <w:sz w:val="20"/>
              </w:rPr>
            </w:pPr>
            <w:r w:rsidRPr="00BF0708">
              <w:rPr>
                <w:rFonts w:eastAsia="Calibri"/>
                <w:sz w:val="20"/>
              </w:rPr>
              <w:t>Federal Court</w:t>
            </w:r>
          </w:p>
          <w:p w:rsidR="00C11649" w:rsidRPr="00BF0708" w:rsidRDefault="00C11649" w:rsidP="000F4785">
            <w:pPr>
              <w:jc w:val="both"/>
              <w:rPr>
                <w:rFonts w:eastAsia="Calibri"/>
                <w:sz w:val="20"/>
              </w:rPr>
            </w:pPr>
            <w:r w:rsidRPr="00BF0708">
              <w:rPr>
                <w:rFonts w:eastAsia="Calibri"/>
                <w:sz w:val="20"/>
              </w:rPr>
              <w:t>(Heneghan J.)</w:t>
            </w:r>
          </w:p>
          <w:p w:rsidR="00C11649" w:rsidRPr="00BF0708" w:rsidRDefault="00C11649" w:rsidP="000F4785">
            <w:pPr>
              <w:jc w:val="both"/>
              <w:rPr>
                <w:rFonts w:eastAsia="Calibri"/>
                <w:sz w:val="20"/>
              </w:rPr>
            </w:pPr>
            <w:r w:rsidRPr="00BF0708">
              <w:rPr>
                <w:rFonts w:eastAsia="Calibri"/>
                <w:sz w:val="20"/>
              </w:rPr>
              <w:t>Unreported</w:t>
            </w:r>
          </w:p>
          <w:p w:rsidR="00C11649" w:rsidRPr="00BF0708" w:rsidRDefault="00C11649" w:rsidP="000F4785">
            <w:pPr>
              <w:jc w:val="both"/>
              <w:rPr>
                <w:rFonts w:eastAsia="Calibri"/>
                <w:sz w:val="20"/>
              </w:rPr>
            </w:pPr>
          </w:p>
        </w:tc>
        <w:tc>
          <w:tcPr>
            <w:tcW w:w="243" w:type="pct"/>
          </w:tcPr>
          <w:p w:rsidR="00C11649" w:rsidRPr="00BF0708" w:rsidRDefault="00C11649" w:rsidP="000F4785">
            <w:pPr>
              <w:jc w:val="both"/>
              <w:rPr>
                <w:rFonts w:eastAsia="Calibri"/>
                <w:sz w:val="20"/>
              </w:rPr>
            </w:pPr>
          </w:p>
        </w:tc>
        <w:tc>
          <w:tcPr>
            <w:tcW w:w="2330" w:type="pct"/>
          </w:tcPr>
          <w:p w:rsidR="00C11649" w:rsidRPr="00BF0708" w:rsidRDefault="00C11649" w:rsidP="000F4785">
            <w:pPr>
              <w:jc w:val="both"/>
              <w:rPr>
                <w:rFonts w:eastAsia="Calibri"/>
                <w:sz w:val="20"/>
              </w:rPr>
            </w:pPr>
            <w:r w:rsidRPr="00BF0708">
              <w:rPr>
                <w:rFonts w:eastAsia="Calibri"/>
                <w:sz w:val="20"/>
              </w:rPr>
              <w:t>Appeal dismissed</w:t>
            </w:r>
          </w:p>
          <w:p w:rsidR="00C11649" w:rsidRPr="00BF0708" w:rsidRDefault="00C11649" w:rsidP="000F4785">
            <w:pPr>
              <w:jc w:val="both"/>
              <w:rPr>
                <w:rFonts w:eastAsia="Calibri"/>
                <w:sz w:val="20"/>
              </w:rPr>
            </w:pPr>
          </w:p>
        </w:tc>
      </w:tr>
      <w:tr w:rsidR="00C11649" w:rsidRPr="00BF0708" w:rsidTr="0095513F">
        <w:trPr>
          <w:cantSplit/>
        </w:trPr>
        <w:tc>
          <w:tcPr>
            <w:tcW w:w="2427" w:type="pct"/>
          </w:tcPr>
          <w:p w:rsidR="00C11649" w:rsidRPr="00BF0708" w:rsidRDefault="00C11649" w:rsidP="000F4785">
            <w:pPr>
              <w:jc w:val="both"/>
              <w:rPr>
                <w:rFonts w:eastAsia="Calibri"/>
                <w:sz w:val="20"/>
              </w:rPr>
            </w:pPr>
            <w:r w:rsidRPr="00BF0708">
              <w:rPr>
                <w:rFonts w:eastAsia="Calibri"/>
                <w:sz w:val="20"/>
              </w:rPr>
              <w:t>December 16, 2011</w:t>
            </w:r>
          </w:p>
          <w:p w:rsidR="00C11649" w:rsidRPr="00BF0708" w:rsidRDefault="00C11649" w:rsidP="000F4785">
            <w:pPr>
              <w:jc w:val="both"/>
              <w:rPr>
                <w:rFonts w:eastAsia="Calibri"/>
                <w:sz w:val="20"/>
              </w:rPr>
            </w:pPr>
            <w:r w:rsidRPr="00BF0708">
              <w:rPr>
                <w:rFonts w:eastAsia="Calibri"/>
                <w:sz w:val="20"/>
              </w:rPr>
              <w:t>Federal Court of Appeal</w:t>
            </w:r>
          </w:p>
          <w:p w:rsidR="00C11649" w:rsidRPr="00BF0708" w:rsidRDefault="00C11649" w:rsidP="000F4785">
            <w:pPr>
              <w:jc w:val="both"/>
              <w:rPr>
                <w:rFonts w:eastAsia="Calibri"/>
                <w:sz w:val="20"/>
              </w:rPr>
            </w:pPr>
            <w:r w:rsidRPr="00BF0708">
              <w:rPr>
                <w:rFonts w:eastAsia="Calibri"/>
                <w:sz w:val="20"/>
              </w:rPr>
              <w:t>(Noël, Dawson and Trudel JJ.A.)</w:t>
            </w:r>
          </w:p>
          <w:p w:rsidR="00C11649" w:rsidRPr="00BF0708" w:rsidRDefault="00C11649" w:rsidP="000F4785">
            <w:pPr>
              <w:jc w:val="both"/>
              <w:rPr>
                <w:rFonts w:eastAsia="Calibri"/>
                <w:sz w:val="20"/>
              </w:rPr>
            </w:pPr>
            <w:r w:rsidRPr="00BF0708">
              <w:rPr>
                <w:rFonts w:eastAsia="Calibri"/>
                <w:sz w:val="20"/>
              </w:rPr>
              <w:t>2011 FCA 358</w:t>
            </w:r>
          </w:p>
          <w:p w:rsidR="00C11649" w:rsidRPr="00BF0708" w:rsidRDefault="00C11649" w:rsidP="000F4785">
            <w:pPr>
              <w:jc w:val="both"/>
              <w:rPr>
                <w:rFonts w:eastAsia="Calibri"/>
                <w:sz w:val="20"/>
              </w:rPr>
            </w:pPr>
          </w:p>
        </w:tc>
        <w:tc>
          <w:tcPr>
            <w:tcW w:w="243" w:type="pct"/>
          </w:tcPr>
          <w:p w:rsidR="00C11649" w:rsidRPr="00BF0708" w:rsidRDefault="00C11649" w:rsidP="000F4785">
            <w:pPr>
              <w:jc w:val="both"/>
              <w:rPr>
                <w:rFonts w:eastAsia="Calibri"/>
                <w:sz w:val="20"/>
              </w:rPr>
            </w:pPr>
          </w:p>
        </w:tc>
        <w:tc>
          <w:tcPr>
            <w:tcW w:w="2330" w:type="pct"/>
          </w:tcPr>
          <w:p w:rsidR="00C11649" w:rsidRPr="00BF0708" w:rsidRDefault="00C11649" w:rsidP="000F4785">
            <w:pPr>
              <w:jc w:val="both"/>
              <w:rPr>
                <w:rFonts w:eastAsia="Calibri"/>
                <w:sz w:val="20"/>
              </w:rPr>
            </w:pPr>
            <w:r w:rsidRPr="00BF0708">
              <w:rPr>
                <w:rFonts w:eastAsia="Calibri"/>
                <w:sz w:val="20"/>
              </w:rPr>
              <w:t>Appeal dismissed</w:t>
            </w:r>
          </w:p>
          <w:p w:rsidR="00C11649" w:rsidRPr="00BF0708" w:rsidRDefault="00C11649" w:rsidP="000F4785">
            <w:pPr>
              <w:jc w:val="both"/>
              <w:rPr>
                <w:rFonts w:eastAsia="Calibri"/>
                <w:sz w:val="20"/>
              </w:rPr>
            </w:pPr>
          </w:p>
        </w:tc>
      </w:tr>
      <w:tr w:rsidR="00C11649" w:rsidRPr="00BF0708" w:rsidTr="0095513F">
        <w:trPr>
          <w:cantSplit/>
        </w:trPr>
        <w:tc>
          <w:tcPr>
            <w:tcW w:w="2427" w:type="pct"/>
          </w:tcPr>
          <w:p w:rsidR="00C11649" w:rsidRPr="00BF0708" w:rsidRDefault="00C11649" w:rsidP="000F4785">
            <w:pPr>
              <w:jc w:val="both"/>
              <w:rPr>
                <w:rFonts w:eastAsia="Calibri"/>
                <w:sz w:val="20"/>
              </w:rPr>
            </w:pPr>
            <w:r w:rsidRPr="00BF0708">
              <w:rPr>
                <w:rFonts w:eastAsia="Calibri"/>
                <w:sz w:val="20"/>
              </w:rPr>
              <w:lastRenderedPageBreak/>
              <w:t>February 14, 2012</w:t>
            </w:r>
          </w:p>
          <w:p w:rsidR="00C11649" w:rsidRPr="00BF0708" w:rsidRDefault="00C11649" w:rsidP="000F4785">
            <w:pPr>
              <w:jc w:val="both"/>
              <w:rPr>
                <w:rFonts w:eastAsia="Calibri"/>
                <w:sz w:val="20"/>
              </w:rPr>
            </w:pPr>
            <w:r w:rsidRPr="00BF0708">
              <w:rPr>
                <w:rFonts w:eastAsia="Calibri"/>
                <w:sz w:val="20"/>
              </w:rPr>
              <w:t>Supreme Court of Canada</w:t>
            </w:r>
          </w:p>
        </w:tc>
        <w:tc>
          <w:tcPr>
            <w:tcW w:w="243" w:type="pct"/>
          </w:tcPr>
          <w:p w:rsidR="00C11649" w:rsidRPr="00BF0708" w:rsidRDefault="00C11649" w:rsidP="000F4785">
            <w:pPr>
              <w:jc w:val="both"/>
              <w:rPr>
                <w:rFonts w:eastAsia="Calibri"/>
                <w:sz w:val="20"/>
              </w:rPr>
            </w:pPr>
          </w:p>
        </w:tc>
        <w:tc>
          <w:tcPr>
            <w:tcW w:w="2330" w:type="pct"/>
          </w:tcPr>
          <w:p w:rsidR="00C11649" w:rsidRPr="00BF0708" w:rsidRDefault="00C11649" w:rsidP="000F4785">
            <w:pPr>
              <w:jc w:val="both"/>
              <w:rPr>
                <w:rFonts w:eastAsia="Calibri"/>
                <w:sz w:val="20"/>
              </w:rPr>
            </w:pPr>
            <w:r w:rsidRPr="00BF0708">
              <w:rPr>
                <w:rFonts w:eastAsia="Calibri"/>
                <w:sz w:val="20"/>
              </w:rPr>
              <w:t>Application for leave to appeal filed</w:t>
            </w:r>
          </w:p>
          <w:p w:rsidR="00C11649" w:rsidRPr="00BF0708" w:rsidRDefault="00C11649" w:rsidP="000F4785">
            <w:pPr>
              <w:jc w:val="both"/>
              <w:rPr>
                <w:rFonts w:eastAsia="Calibri"/>
                <w:sz w:val="20"/>
              </w:rPr>
            </w:pP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62" style="width:2in;height:1pt" o:hrpct="0" o:hralign="center" o:hrstd="t" o:hrnoshade="t" o:hr="t" fillcolor="black [3213]" stroked="f"/>
        </w:pict>
      </w:r>
    </w:p>
    <w:p w:rsidR="00FD4A4B" w:rsidRDefault="00FD4A4B" w:rsidP="00FD4A4B">
      <w:pPr>
        <w:rPr>
          <w:sz w:val="20"/>
          <w:szCs w:val="20"/>
        </w:rPr>
      </w:pPr>
    </w:p>
    <w:p w:rsidR="00FD4A4B" w:rsidRPr="001B157C" w:rsidRDefault="00FD4A4B" w:rsidP="00FD4A4B">
      <w:pPr>
        <w:rPr>
          <w:sz w:val="20"/>
          <w:szCs w:val="20"/>
          <w:u w:val="single"/>
          <w:lang w:val="fr-CA"/>
        </w:rPr>
      </w:pPr>
      <w:r w:rsidRPr="001B157C">
        <w:rPr>
          <w:sz w:val="20"/>
          <w:szCs w:val="20"/>
          <w:u w:val="single"/>
          <w:lang w:val="fr-CA"/>
        </w:rPr>
        <w:t>RÉSUMÉ DE L’AFFAIRE</w:t>
      </w:r>
    </w:p>
    <w:p w:rsidR="00FD4A4B" w:rsidRDefault="00FD4A4B" w:rsidP="00FD4A4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11649" w:rsidRPr="0028361F" w:rsidTr="000F4785">
        <w:tc>
          <w:tcPr>
            <w:tcW w:w="5000" w:type="pct"/>
            <w:gridSpan w:val="3"/>
          </w:tcPr>
          <w:p w:rsidR="00C11649" w:rsidRPr="00BF0708" w:rsidRDefault="00C11649" w:rsidP="000F4785">
            <w:pPr>
              <w:jc w:val="both"/>
              <w:rPr>
                <w:sz w:val="20"/>
                <w:lang w:val="fr-CA"/>
              </w:rPr>
            </w:pPr>
            <w:r w:rsidRPr="00BF0708">
              <w:rPr>
                <w:sz w:val="20"/>
                <w:lang w:val="fr-CA"/>
              </w:rPr>
              <w:t xml:space="preserve">Propriété intellectuelle </w:t>
            </w:r>
            <w:r w:rsidRPr="00BF0708">
              <w:rPr>
                <w:sz w:val="20"/>
                <w:lang w:val="fr-CA"/>
              </w:rPr>
              <w:noBreakHyphen/>
              <w:t xml:space="preserve"> Brevets </w:t>
            </w:r>
            <w:r w:rsidRPr="00BF0708">
              <w:rPr>
                <w:sz w:val="20"/>
                <w:lang w:val="fr-CA"/>
              </w:rPr>
              <w:noBreakHyphen/>
              <w:t xml:space="preserve"> Dommages</w:t>
            </w:r>
            <w:r w:rsidRPr="00BF0708">
              <w:rPr>
                <w:sz w:val="20"/>
                <w:lang w:val="fr-CA"/>
              </w:rPr>
              <w:noBreakHyphen/>
              <w:t xml:space="preserve">intérêts en vertu de l'article 8 </w:t>
            </w:r>
            <w:r w:rsidRPr="00BF0708">
              <w:rPr>
                <w:sz w:val="20"/>
                <w:lang w:val="fr-CA"/>
              </w:rPr>
              <w:noBreakHyphen/>
              <w:t xml:space="preserve"> Procédure civile </w:t>
            </w:r>
            <w:r w:rsidRPr="00BF0708">
              <w:rPr>
                <w:sz w:val="20"/>
                <w:lang w:val="fr-CA"/>
              </w:rPr>
              <w:noBreakHyphen/>
              <w:t xml:space="preserve"> Actes de procédure </w:t>
            </w:r>
            <w:r w:rsidRPr="00BF0708">
              <w:rPr>
                <w:sz w:val="20"/>
                <w:lang w:val="fr-CA"/>
              </w:rPr>
              <w:noBreakHyphen/>
              <w:t xml:space="preserve"> Requête de l'intimée en radiation de certaines parties de la déclaration de la demanderesse en vue d'obtenir la restitution de profits, accueillie </w:t>
            </w:r>
            <w:r w:rsidRPr="00BF0708">
              <w:rPr>
                <w:sz w:val="20"/>
                <w:lang w:val="fr-CA"/>
              </w:rPr>
              <w:noBreakHyphen/>
              <w:t xml:space="preserve"> L'art. 8 est</w:t>
            </w:r>
            <w:r w:rsidRPr="00BF0708">
              <w:rPr>
                <w:sz w:val="20"/>
                <w:lang w:val="fr-CA"/>
              </w:rPr>
              <w:noBreakHyphen/>
              <w:t>il un code complet de mesures réparatrices qui écarte implicitement toutes les autres causes d'action et une telle interprétation restrictive des réparations disponibles après le rejet d'une demande est</w:t>
            </w:r>
            <w:r w:rsidRPr="00BF0708">
              <w:rPr>
                <w:sz w:val="20"/>
                <w:lang w:val="fr-CA"/>
              </w:rPr>
              <w:noBreakHyphen/>
              <w:t xml:space="preserve">elle compatible avec l'objet et le texte de l'art. 8 et du </w:t>
            </w:r>
            <w:r w:rsidRPr="00BF0708">
              <w:rPr>
                <w:i/>
                <w:sz w:val="20"/>
                <w:lang w:val="fr-CA"/>
              </w:rPr>
              <w:t>Règlement sur les brevets</w:t>
            </w:r>
            <w:r w:rsidRPr="00BF0708">
              <w:rPr>
                <w:sz w:val="20"/>
                <w:lang w:val="fr-CA"/>
              </w:rPr>
              <w:t xml:space="preserve"> dans son ensemble? </w:t>
            </w:r>
            <w:r w:rsidRPr="00BF0708">
              <w:rPr>
                <w:sz w:val="20"/>
                <w:lang w:val="fr-CA"/>
              </w:rPr>
              <w:noBreakHyphen/>
              <w:t xml:space="preserve"> Une action intentée en vertu d'une disposition législative facultative et qui est jugée injustifiée constitue</w:t>
            </w:r>
            <w:r w:rsidRPr="00BF0708">
              <w:rPr>
                <w:sz w:val="20"/>
                <w:lang w:val="fr-CA"/>
              </w:rPr>
              <w:noBreakHyphen/>
              <w:t>t</w:t>
            </w:r>
            <w:r w:rsidRPr="00BF0708">
              <w:rPr>
                <w:sz w:val="20"/>
                <w:lang w:val="fr-CA"/>
              </w:rPr>
              <w:noBreakHyphen/>
              <w:t xml:space="preserve">elle une disposition légale aux fins du volet relatif au motif juridique du critère applicable en matière d’enrichissement sans cause? </w:t>
            </w:r>
            <w:r w:rsidRPr="00BF0708">
              <w:rPr>
                <w:sz w:val="20"/>
                <w:lang w:val="fr-CA"/>
              </w:rPr>
              <w:noBreakHyphen/>
              <w:t xml:space="preserve"> La conclusion selon laquelle la demande d'un breveté était injustifiée permet</w:t>
            </w:r>
            <w:r w:rsidRPr="00BF0708">
              <w:rPr>
                <w:sz w:val="20"/>
                <w:lang w:val="fr-CA"/>
              </w:rPr>
              <w:noBreakHyphen/>
              <w:t xml:space="preserve">elle néanmoins au breveté de s'enrichir en conséquence? </w:t>
            </w:r>
            <w:r w:rsidRPr="00BF0708">
              <w:rPr>
                <w:sz w:val="20"/>
                <w:lang w:val="fr-CA"/>
              </w:rPr>
              <w:noBreakHyphen/>
              <w:t xml:space="preserve"> Est</w:t>
            </w:r>
            <w:r w:rsidRPr="00BF0708">
              <w:rPr>
                <w:sz w:val="20"/>
                <w:lang w:val="fr-CA"/>
              </w:rPr>
              <w:noBreakHyphen/>
              <w:t>il important que cette Cour tranche ces questions à la lumière d'arrêts récents et contradictoires des tribunaux de l’Ontario et de l'intérêt public à avoir accès à des médicaments génériques en temps opportun?</w:t>
            </w:r>
          </w:p>
          <w:p w:rsidR="00C11649" w:rsidRPr="00BF0708" w:rsidRDefault="00C11649" w:rsidP="000F4785">
            <w:pPr>
              <w:jc w:val="both"/>
              <w:rPr>
                <w:sz w:val="20"/>
                <w:lang w:val="fr-CA"/>
              </w:rPr>
            </w:pPr>
          </w:p>
        </w:tc>
      </w:tr>
      <w:tr w:rsidR="00C11649" w:rsidRPr="0028361F" w:rsidTr="000F4785">
        <w:trPr>
          <w:trHeight w:val="1305"/>
        </w:trPr>
        <w:tc>
          <w:tcPr>
            <w:tcW w:w="5000" w:type="pct"/>
            <w:gridSpan w:val="3"/>
          </w:tcPr>
          <w:p w:rsidR="00C11649" w:rsidRPr="00BF0708" w:rsidRDefault="00C11649" w:rsidP="000F4785">
            <w:pPr>
              <w:jc w:val="both"/>
              <w:rPr>
                <w:sz w:val="20"/>
                <w:lang w:val="fr-CA"/>
              </w:rPr>
            </w:pPr>
            <w:r w:rsidRPr="00BF0708">
              <w:rPr>
                <w:sz w:val="20"/>
                <w:lang w:val="fr-CA"/>
              </w:rPr>
              <w:t>Apotex Inc. a intenté une action en dommages</w:t>
            </w:r>
            <w:r w:rsidRPr="00BF0708">
              <w:rPr>
                <w:sz w:val="20"/>
                <w:lang w:val="fr-CA"/>
              </w:rPr>
              <w:noBreakHyphen/>
              <w:t>intérêts contre Eli Lilly Canada Inc. (« Lilly ») en vertu de l'art. 8 du</w:t>
            </w:r>
            <w:r w:rsidRPr="00BF0708">
              <w:rPr>
                <w:i/>
                <w:sz w:val="20"/>
                <w:lang w:val="fr-CA"/>
              </w:rPr>
              <w:t xml:space="preserve"> Règlement sur les médicaments brevetés (avis de conformité) </w:t>
            </w:r>
            <w:r w:rsidRPr="00BF0708">
              <w:rPr>
                <w:sz w:val="20"/>
                <w:lang w:val="fr-CA"/>
              </w:rPr>
              <w:t>(le « </w:t>
            </w:r>
            <w:r w:rsidRPr="00BF0708">
              <w:rPr>
                <w:i/>
                <w:sz w:val="20"/>
                <w:lang w:val="fr-CA"/>
              </w:rPr>
              <w:t>règlement</w:t>
            </w:r>
            <w:r w:rsidRPr="00BF0708">
              <w:rPr>
                <w:sz w:val="20"/>
                <w:lang w:val="fr-CA"/>
              </w:rPr>
              <w:t> »), DORS/93</w:t>
            </w:r>
            <w:r w:rsidRPr="00BF0708">
              <w:rPr>
                <w:sz w:val="20"/>
                <w:lang w:val="fr-CA"/>
              </w:rPr>
              <w:noBreakHyphen/>
              <w:t>133 et en vertu des principes de l'enrichissement sans cause fondé sur le retard dans la délivrance d'un avis de conformité à Apotex pour lui permettre de commercialiser son produit générique.  La demande d'ordonnance d'interdiction présentée par Lilly avait été rejetée et cette demande a retardé la mise en marché du produit d’Apotex.  Apotex a demandé la restitution des recettes de Lilly comme mesure de réparation.  Lilly a présenté une requête en radiation de certaines parties de la déclaration d’Apotex relatives à la restitution ou à la comptabilisation des profits.</w:t>
            </w:r>
          </w:p>
          <w:p w:rsidR="00C11649" w:rsidRPr="00BF0708" w:rsidRDefault="00C11649" w:rsidP="000F4785">
            <w:pPr>
              <w:jc w:val="both"/>
              <w:rPr>
                <w:sz w:val="20"/>
                <w:lang w:val="fr-CA"/>
              </w:rPr>
            </w:pPr>
          </w:p>
        </w:tc>
      </w:tr>
      <w:tr w:rsidR="00C11649" w:rsidRPr="0028361F" w:rsidTr="000F4785">
        <w:tc>
          <w:tcPr>
            <w:tcW w:w="2427" w:type="pct"/>
          </w:tcPr>
          <w:p w:rsidR="00C11649" w:rsidRPr="00BF0708" w:rsidRDefault="00C11649" w:rsidP="000F4785">
            <w:pPr>
              <w:jc w:val="both"/>
              <w:rPr>
                <w:sz w:val="20"/>
                <w:lang w:val="fr-CA"/>
              </w:rPr>
            </w:pPr>
            <w:r w:rsidRPr="00BF0708">
              <w:rPr>
                <w:sz w:val="20"/>
                <w:lang w:val="fr-CA"/>
              </w:rPr>
              <w:t>3 juillet 2009</w:t>
            </w:r>
          </w:p>
          <w:p w:rsidR="00C11649" w:rsidRPr="00BF0708" w:rsidRDefault="00C11649" w:rsidP="000F4785">
            <w:pPr>
              <w:jc w:val="both"/>
              <w:rPr>
                <w:sz w:val="20"/>
                <w:lang w:val="fr-CA"/>
              </w:rPr>
            </w:pPr>
            <w:r w:rsidRPr="00BF0708">
              <w:rPr>
                <w:sz w:val="20"/>
                <w:lang w:val="fr-CA"/>
              </w:rPr>
              <w:t>Cour fédérale</w:t>
            </w:r>
          </w:p>
          <w:p w:rsidR="00C11649" w:rsidRPr="00BF0708" w:rsidRDefault="00C11649" w:rsidP="000F4785">
            <w:pPr>
              <w:jc w:val="both"/>
              <w:rPr>
                <w:sz w:val="20"/>
                <w:lang w:val="fr-CA"/>
              </w:rPr>
            </w:pPr>
            <w:r w:rsidRPr="00BF0708">
              <w:rPr>
                <w:sz w:val="20"/>
                <w:lang w:val="fr-CA"/>
              </w:rPr>
              <w:t>Protonotaire Tabib</w:t>
            </w:r>
          </w:p>
          <w:p w:rsidR="00C11649" w:rsidRPr="00BF0708" w:rsidRDefault="00C11649" w:rsidP="000F4785">
            <w:pPr>
              <w:jc w:val="both"/>
              <w:rPr>
                <w:sz w:val="20"/>
                <w:lang w:val="fr-CA"/>
              </w:rPr>
            </w:pPr>
            <w:r w:rsidRPr="00BF0708">
              <w:rPr>
                <w:sz w:val="20"/>
                <w:lang w:val="fr-CA"/>
              </w:rPr>
              <w:t>2009 FC 693</w:t>
            </w:r>
          </w:p>
          <w:p w:rsidR="00C11649" w:rsidRPr="00BF0708" w:rsidRDefault="00C11649" w:rsidP="000F4785">
            <w:pPr>
              <w:jc w:val="both"/>
              <w:rPr>
                <w:sz w:val="20"/>
                <w:lang w:val="fr-CA"/>
              </w:rPr>
            </w:pPr>
          </w:p>
        </w:tc>
        <w:tc>
          <w:tcPr>
            <w:tcW w:w="243" w:type="pct"/>
          </w:tcPr>
          <w:p w:rsidR="00C11649" w:rsidRPr="00BF0708" w:rsidRDefault="00C11649" w:rsidP="000F4785">
            <w:pPr>
              <w:jc w:val="both"/>
              <w:rPr>
                <w:sz w:val="20"/>
                <w:lang w:val="fr-CA"/>
              </w:rPr>
            </w:pPr>
          </w:p>
        </w:tc>
        <w:tc>
          <w:tcPr>
            <w:tcW w:w="2330" w:type="pct"/>
          </w:tcPr>
          <w:p w:rsidR="00C11649" w:rsidRPr="00BF0708" w:rsidRDefault="00C11649" w:rsidP="000F4785">
            <w:pPr>
              <w:jc w:val="both"/>
              <w:rPr>
                <w:sz w:val="20"/>
                <w:lang w:val="fr-CA"/>
              </w:rPr>
            </w:pPr>
            <w:r w:rsidRPr="00BF0708">
              <w:rPr>
                <w:sz w:val="20"/>
                <w:lang w:val="fr-CA"/>
              </w:rPr>
              <w:t>Requête de l'intimée en radiation de certaines parties de la déclaration de la demanderesse en vue d'obtenir la restitution des profits du breveté, accueillie</w:t>
            </w:r>
          </w:p>
        </w:tc>
      </w:tr>
      <w:tr w:rsidR="00C11649" w:rsidRPr="00BF0708" w:rsidTr="000F4785">
        <w:tc>
          <w:tcPr>
            <w:tcW w:w="2427" w:type="pct"/>
          </w:tcPr>
          <w:p w:rsidR="00C11649" w:rsidRPr="00BF0708" w:rsidRDefault="00C11649" w:rsidP="000F4785">
            <w:pPr>
              <w:jc w:val="both"/>
              <w:rPr>
                <w:sz w:val="20"/>
                <w:lang w:val="fr-CA"/>
              </w:rPr>
            </w:pPr>
            <w:r w:rsidRPr="00BF0708">
              <w:rPr>
                <w:sz w:val="20"/>
                <w:lang w:val="fr-CA"/>
              </w:rPr>
              <w:t>18 avril 2011</w:t>
            </w:r>
          </w:p>
          <w:p w:rsidR="00C11649" w:rsidRPr="00BF0708" w:rsidRDefault="00C11649" w:rsidP="000F4785">
            <w:pPr>
              <w:jc w:val="both"/>
              <w:rPr>
                <w:sz w:val="20"/>
                <w:lang w:val="fr-CA"/>
              </w:rPr>
            </w:pPr>
            <w:r w:rsidRPr="00BF0708">
              <w:rPr>
                <w:sz w:val="20"/>
                <w:lang w:val="fr-CA"/>
              </w:rPr>
              <w:t xml:space="preserve">Cour fédérale </w:t>
            </w:r>
          </w:p>
          <w:p w:rsidR="00C11649" w:rsidRPr="00BF0708" w:rsidRDefault="00C11649" w:rsidP="000F4785">
            <w:pPr>
              <w:jc w:val="both"/>
              <w:rPr>
                <w:sz w:val="20"/>
                <w:lang w:val="fr-CA"/>
              </w:rPr>
            </w:pPr>
            <w:r w:rsidRPr="00BF0708">
              <w:rPr>
                <w:sz w:val="20"/>
                <w:lang w:val="fr-CA"/>
              </w:rPr>
              <w:t>(Juge Heneghan)</w:t>
            </w:r>
          </w:p>
          <w:p w:rsidR="00C11649" w:rsidRPr="00BF0708" w:rsidRDefault="00C11649" w:rsidP="000F4785">
            <w:pPr>
              <w:jc w:val="both"/>
              <w:rPr>
                <w:sz w:val="20"/>
                <w:lang w:val="fr-CA"/>
              </w:rPr>
            </w:pPr>
            <w:r w:rsidRPr="00BF0708">
              <w:rPr>
                <w:sz w:val="20"/>
                <w:lang w:val="fr-CA"/>
              </w:rPr>
              <w:t>Non publié</w:t>
            </w:r>
          </w:p>
          <w:p w:rsidR="00C11649" w:rsidRPr="00BF0708" w:rsidRDefault="00C11649" w:rsidP="000F4785">
            <w:pPr>
              <w:jc w:val="both"/>
              <w:rPr>
                <w:sz w:val="20"/>
                <w:lang w:val="fr-CA"/>
              </w:rPr>
            </w:pPr>
          </w:p>
        </w:tc>
        <w:tc>
          <w:tcPr>
            <w:tcW w:w="243" w:type="pct"/>
          </w:tcPr>
          <w:p w:rsidR="00C11649" w:rsidRPr="00BF0708" w:rsidRDefault="00C11649" w:rsidP="000F4785">
            <w:pPr>
              <w:jc w:val="both"/>
              <w:rPr>
                <w:sz w:val="20"/>
                <w:lang w:val="fr-CA"/>
              </w:rPr>
            </w:pPr>
          </w:p>
        </w:tc>
        <w:tc>
          <w:tcPr>
            <w:tcW w:w="2330" w:type="pct"/>
          </w:tcPr>
          <w:p w:rsidR="00C11649" w:rsidRPr="00BF0708" w:rsidRDefault="00C11649" w:rsidP="000F4785">
            <w:pPr>
              <w:jc w:val="both"/>
              <w:rPr>
                <w:sz w:val="20"/>
                <w:lang w:val="fr-CA"/>
              </w:rPr>
            </w:pPr>
            <w:r w:rsidRPr="00BF0708">
              <w:rPr>
                <w:sz w:val="20"/>
                <w:lang w:val="fr-CA"/>
              </w:rPr>
              <w:t>Appel rejeté</w:t>
            </w:r>
          </w:p>
          <w:p w:rsidR="00C11649" w:rsidRPr="00BF0708" w:rsidRDefault="00C11649" w:rsidP="000F4785">
            <w:pPr>
              <w:jc w:val="both"/>
              <w:rPr>
                <w:sz w:val="20"/>
                <w:lang w:val="fr-CA"/>
              </w:rPr>
            </w:pPr>
          </w:p>
        </w:tc>
      </w:tr>
      <w:tr w:rsidR="00C11649" w:rsidRPr="00BF0708" w:rsidTr="000F4785">
        <w:tc>
          <w:tcPr>
            <w:tcW w:w="2427" w:type="pct"/>
          </w:tcPr>
          <w:p w:rsidR="00C11649" w:rsidRPr="00BF0708" w:rsidRDefault="00C11649" w:rsidP="000F4785">
            <w:pPr>
              <w:jc w:val="both"/>
              <w:rPr>
                <w:sz w:val="20"/>
                <w:lang w:val="fr-CA"/>
              </w:rPr>
            </w:pPr>
            <w:r w:rsidRPr="00BF0708">
              <w:rPr>
                <w:sz w:val="20"/>
                <w:lang w:val="fr-CA"/>
              </w:rPr>
              <w:t>16 décembre 2011</w:t>
            </w:r>
          </w:p>
          <w:p w:rsidR="00C11649" w:rsidRPr="00BF0708" w:rsidRDefault="00C11649" w:rsidP="000F4785">
            <w:pPr>
              <w:jc w:val="both"/>
              <w:rPr>
                <w:sz w:val="20"/>
                <w:lang w:val="fr-CA"/>
              </w:rPr>
            </w:pPr>
            <w:r w:rsidRPr="00BF0708">
              <w:rPr>
                <w:sz w:val="20"/>
                <w:lang w:val="fr-CA"/>
              </w:rPr>
              <w:t xml:space="preserve">Cour d'appel fédérale </w:t>
            </w:r>
          </w:p>
          <w:p w:rsidR="00C11649" w:rsidRPr="00BF0708" w:rsidRDefault="00C11649" w:rsidP="000F4785">
            <w:pPr>
              <w:jc w:val="both"/>
              <w:rPr>
                <w:sz w:val="20"/>
                <w:lang w:val="fr-CA"/>
              </w:rPr>
            </w:pPr>
            <w:r w:rsidRPr="00BF0708">
              <w:rPr>
                <w:sz w:val="20"/>
                <w:lang w:val="fr-CA"/>
              </w:rPr>
              <w:t>(Juges Noël, Dawson et Trudel)</w:t>
            </w:r>
          </w:p>
          <w:p w:rsidR="00C11649" w:rsidRPr="00BF0708" w:rsidRDefault="00C11649" w:rsidP="000F4785">
            <w:pPr>
              <w:jc w:val="both"/>
              <w:rPr>
                <w:sz w:val="20"/>
                <w:lang w:val="fr-CA"/>
              </w:rPr>
            </w:pPr>
            <w:r w:rsidRPr="00BF0708">
              <w:rPr>
                <w:sz w:val="20"/>
                <w:lang w:val="fr-CA"/>
              </w:rPr>
              <w:t>2011 FCA 358</w:t>
            </w:r>
          </w:p>
          <w:p w:rsidR="00C11649" w:rsidRPr="00BF0708" w:rsidRDefault="00C11649" w:rsidP="000F4785">
            <w:pPr>
              <w:jc w:val="both"/>
              <w:rPr>
                <w:sz w:val="20"/>
                <w:lang w:val="fr-CA"/>
              </w:rPr>
            </w:pPr>
          </w:p>
        </w:tc>
        <w:tc>
          <w:tcPr>
            <w:tcW w:w="243" w:type="pct"/>
          </w:tcPr>
          <w:p w:rsidR="00C11649" w:rsidRPr="00BF0708" w:rsidRDefault="00C11649" w:rsidP="000F4785">
            <w:pPr>
              <w:jc w:val="both"/>
              <w:rPr>
                <w:sz w:val="20"/>
                <w:lang w:val="fr-CA"/>
              </w:rPr>
            </w:pPr>
          </w:p>
        </w:tc>
        <w:tc>
          <w:tcPr>
            <w:tcW w:w="2330" w:type="pct"/>
          </w:tcPr>
          <w:p w:rsidR="00C11649" w:rsidRPr="00BF0708" w:rsidRDefault="00C11649" w:rsidP="000F4785">
            <w:pPr>
              <w:jc w:val="both"/>
              <w:rPr>
                <w:sz w:val="20"/>
                <w:lang w:val="fr-CA"/>
              </w:rPr>
            </w:pPr>
            <w:r w:rsidRPr="00BF0708">
              <w:rPr>
                <w:sz w:val="20"/>
                <w:lang w:val="fr-CA"/>
              </w:rPr>
              <w:t>Appel rejeté</w:t>
            </w:r>
          </w:p>
          <w:p w:rsidR="00C11649" w:rsidRPr="00BF0708" w:rsidRDefault="00C11649" w:rsidP="000F4785">
            <w:pPr>
              <w:jc w:val="both"/>
              <w:rPr>
                <w:sz w:val="20"/>
                <w:lang w:val="fr-CA"/>
              </w:rPr>
            </w:pPr>
          </w:p>
        </w:tc>
      </w:tr>
      <w:tr w:rsidR="00C11649" w:rsidRPr="00BF0708" w:rsidTr="000F4785">
        <w:tc>
          <w:tcPr>
            <w:tcW w:w="2427" w:type="pct"/>
          </w:tcPr>
          <w:p w:rsidR="00C11649" w:rsidRPr="00BF0708" w:rsidRDefault="00C11649" w:rsidP="000F4785">
            <w:pPr>
              <w:jc w:val="both"/>
              <w:rPr>
                <w:sz w:val="20"/>
                <w:lang w:val="fr-CA"/>
              </w:rPr>
            </w:pPr>
            <w:r w:rsidRPr="00BF0708">
              <w:rPr>
                <w:sz w:val="20"/>
                <w:lang w:val="fr-CA"/>
              </w:rPr>
              <w:t>14 février 2012</w:t>
            </w:r>
          </w:p>
          <w:p w:rsidR="00C11649" w:rsidRPr="00BF0708" w:rsidRDefault="00C11649" w:rsidP="000F4785">
            <w:pPr>
              <w:jc w:val="both"/>
              <w:rPr>
                <w:sz w:val="20"/>
                <w:lang w:val="fr-CA"/>
              </w:rPr>
            </w:pPr>
            <w:r w:rsidRPr="00BF0708">
              <w:rPr>
                <w:sz w:val="20"/>
                <w:lang w:val="fr-CA"/>
              </w:rPr>
              <w:t>Cour suprême du Canada</w:t>
            </w:r>
          </w:p>
        </w:tc>
        <w:tc>
          <w:tcPr>
            <w:tcW w:w="243" w:type="pct"/>
          </w:tcPr>
          <w:p w:rsidR="00C11649" w:rsidRPr="00BF0708" w:rsidRDefault="00C11649" w:rsidP="000F4785">
            <w:pPr>
              <w:jc w:val="both"/>
              <w:rPr>
                <w:sz w:val="20"/>
                <w:lang w:val="fr-CA"/>
              </w:rPr>
            </w:pPr>
          </w:p>
        </w:tc>
        <w:tc>
          <w:tcPr>
            <w:tcW w:w="2330" w:type="pct"/>
          </w:tcPr>
          <w:p w:rsidR="00C11649" w:rsidRPr="00BF0708" w:rsidRDefault="00C11649" w:rsidP="000F4785">
            <w:pPr>
              <w:jc w:val="both"/>
              <w:rPr>
                <w:sz w:val="20"/>
                <w:lang w:val="fr-CA"/>
              </w:rPr>
            </w:pPr>
            <w:r w:rsidRPr="00BF0708">
              <w:rPr>
                <w:sz w:val="20"/>
                <w:lang w:val="fr-CA"/>
              </w:rPr>
              <w:t>Demande d'autorisation d'appel, déposée</w:t>
            </w:r>
          </w:p>
          <w:p w:rsidR="00C11649" w:rsidRPr="00BF0708" w:rsidRDefault="00C11649" w:rsidP="000F4785">
            <w:pPr>
              <w:jc w:val="both"/>
              <w:rPr>
                <w:sz w:val="20"/>
                <w:lang w:val="fr-CA"/>
              </w:rPr>
            </w:pP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63" style="width:2in;height:1pt" o:hrpct="0" o:hralign="center" o:hrstd="t" o:hrnoshade="t" o:hr="t" fillcolor="black [3213]" stroked="f"/>
        </w:pict>
      </w:r>
    </w:p>
    <w:p w:rsidR="007F5815" w:rsidRDefault="007F5815">
      <w:pPr>
        <w:rPr>
          <w:sz w:val="20"/>
          <w:szCs w:val="20"/>
        </w:rPr>
      </w:pPr>
    </w:p>
    <w:p w:rsidR="007F5815" w:rsidRDefault="007F5815">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5513F" w:rsidRPr="00DF3508" w:rsidTr="00E44C31">
        <w:trPr>
          <w:cantSplit/>
        </w:trPr>
        <w:tc>
          <w:tcPr>
            <w:tcW w:w="1458" w:type="dxa"/>
          </w:tcPr>
          <w:p w:rsidR="0095513F" w:rsidRPr="00DF3508" w:rsidRDefault="0095513F" w:rsidP="00E44C31">
            <w:pPr>
              <w:rPr>
                <w:sz w:val="20"/>
                <w:szCs w:val="20"/>
              </w:rPr>
            </w:pPr>
            <w:r w:rsidRPr="00DF3508">
              <w:rPr>
                <w:rStyle w:val="SCCFileNumberChar"/>
                <w:sz w:val="20"/>
                <w:szCs w:val="20"/>
              </w:rPr>
              <w:lastRenderedPageBreak/>
              <w:t>34690</w:t>
            </w:r>
          </w:p>
          <w:p w:rsidR="0095513F" w:rsidRPr="00DF3508" w:rsidRDefault="0095513F" w:rsidP="00E44C31">
            <w:pPr>
              <w:rPr>
                <w:b/>
                <w:sz w:val="20"/>
                <w:szCs w:val="20"/>
                <w:lang w:val="fr-CA"/>
              </w:rPr>
            </w:pPr>
          </w:p>
        </w:tc>
        <w:tc>
          <w:tcPr>
            <w:tcW w:w="8118" w:type="dxa"/>
          </w:tcPr>
          <w:p w:rsidR="0095513F" w:rsidRPr="00DF3508" w:rsidRDefault="0095513F" w:rsidP="00E44C31">
            <w:pPr>
              <w:jc w:val="both"/>
              <w:rPr>
                <w:sz w:val="20"/>
                <w:szCs w:val="20"/>
              </w:rPr>
            </w:pPr>
            <w:r w:rsidRPr="0095513F">
              <w:rPr>
                <w:rStyle w:val="SCCLsocChar"/>
                <w:sz w:val="20"/>
                <w:szCs w:val="20"/>
                <w:lang w:val="en-CA"/>
              </w:rPr>
              <w:t>Greenway Estates Homes Ltd. v. William McDonald</w:t>
            </w:r>
            <w:r>
              <w:rPr>
                <w:rStyle w:val="SCCLsocChar"/>
                <w:sz w:val="20"/>
                <w:szCs w:val="20"/>
                <w:lang w:val="en-CA"/>
              </w:rPr>
              <w:t xml:space="preserve"> and</w:t>
            </w:r>
            <w:r w:rsidRPr="0095513F">
              <w:rPr>
                <w:rStyle w:val="SCCLsocChar"/>
                <w:sz w:val="20"/>
                <w:szCs w:val="20"/>
                <w:lang w:val="en-CA"/>
              </w:rPr>
              <w:t xml:space="preserve"> Ruthann McDonald</w:t>
            </w:r>
            <w:r w:rsidRPr="00DF3508">
              <w:rPr>
                <w:sz w:val="20"/>
                <w:szCs w:val="20"/>
              </w:rPr>
              <w:t xml:space="preserve"> (Ont.) (Civil) (By</w:t>
            </w:r>
            <w:r w:rsidRPr="0095513F">
              <w:rPr>
                <w:sz w:val="20"/>
                <w:szCs w:val="20"/>
              </w:rPr>
              <w:t> </w:t>
            </w:r>
            <w:r w:rsidRPr="00DF3508">
              <w:rPr>
                <w:sz w:val="20"/>
                <w:szCs w:val="20"/>
              </w:rPr>
              <w:t>Leave)</w:t>
            </w:r>
          </w:p>
          <w:p w:rsidR="0095513F" w:rsidRPr="00DF3508" w:rsidRDefault="0095513F" w:rsidP="00E44C31">
            <w:pPr>
              <w:rPr>
                <w:sz w:val="20"/>
                <w:szCs w:val="20"/>
              </w:rPr>
            </w:pPr>
          </w:p>
        </w:tc>
      </w:tr>
      <w:tr w:rsidR="0095513F" w:rsidRPr="00DF3508" w:rsidTr="00E44C31">
        <w:trPr>
          <w:cantSplit/>
        </w:trPr>
        <w:tc>
          <w:tcPr>
            <w:tcW w:w="1458" w:type="dxa"/>
          </w:tcPr>
          <w:p w:rsidR="0095513F" w:rsidRPr="00DF3508" w:rsidRDefault="0095513F" w:rsidP="00E44C31">
            <w:pPr>
              <w:rPr>
                <w:sz w:val="20"/>
                <w:szCs w:val="20"/>
              </w:rPr>
            </w:pPr>
            <w:r w:rsidRPr="00DF3508">
              <w:rPr>
                <w:sz w:val="20"/>
                <w:szCs w:val="20"/>
              </w:rPr>
              <w:t>Coram :</w:t>
            </w:r>
          </w:p>
        </w:tc>
        <w:tc>
          <w:tcPr>
            <w:tcW w:w="8118" w:type="dxa"/>
          </w:tcPr>
          <w:p w:rsidR="0095513F" w:rsidRPr="00DF3508" w:rsidRDefault="0095513F" w:rsidP="00E44C31">
            <w:pPr>
              <w:rPr>
                <w:sz w:val="20"/>
                <w:szCs w:val="20"/>
              </w:rPr>
            </w:pPr>
            <w:r w:rsidRPr="0095513F">
              <w:rPr>
                <w:rStyle w:val="SCCCoramChar"/>
                <w:sz w:val="20"/>
                <w:szCs w:val="20"/>
                <w:lang w:val="en-CA"/>
              </w:rPr>
              <w:t>LeBel, Abella and Cromwell JJ.</w:t>
            </w:r>
          </w:p>
          <w:p w:rsidR="0095513F" w:rsidRPr="00DF3508" w:rsidRDefault="0095513F" w:rsidP="00E44C31">
            <w:pPr>
              <w:rPr>
                <w:sz w:val="20"/>
                <w:szCs w:val="20"/>
                <w:u w:val="single"/>
              </w:rPr>
            </w:pPr>
          </w:p>
        </w:tc>
      </w:tr>
      <w:tr w:rsidR="0095513F" w:rsidRPr="0028361F" w:rsidTr="00E44C31">
        <w:trPr>
          <w:cantSplit/>
        </w:trPr>
        <w:tc>
          <w:tcPr>
            <w:tcW w:w="9576" w:type="dxa"/>
            <w:gridSpan w:val="2"/>
          </w:tcPr>
          <w:p w:rsidR="0095513F" w:rsidRPr="00DF3508" w:rsidRDefault="0095513F" w:rsidP="00E44C31">
            <w:pPr>
              <w:pStyle w:val="SCCShortJudgment"/>
              <w:rPr>
                <w:szCs w:val="20"/>
              </w:rPr>
            </w:pPr>
            <w:r w:rsidRPr="00DF3508">
              <w:rPr>
                <w:szCs w:val="20"/>
              </w:rPr>
              <w:t>The application for leave to appeal from the judgment of the Court of Appeal for Ontario, Number M40486, dated December 5, 2011, is dismissed with costs.</w:t>
            </w:r>
          </w:p>
          <w:p w:rsidR="0095513F" w:rsidRPr="00DF3508" w:rsidRDefault="0095513F" w:rsidP="00E44C31">
            <w:pPr>
              <w:pStyle w:val="SCCShortJudgment"/>
              <w:ind w:firstLine="0"/>
              <w:rPr>
                <w:szCs w:val="20"/>
              </w:rPr>
            </w:pPr>
          </w:p>
          <w:p w:rsidR="0095513F" w:rsidRPr="00DF3508" w:rsidRDefault="0095513F" w:rsidP="00E44C31">
            <w:pPr>
              <w:pStyle w:val="SCCShortJudgment"/>
              <w:rPr>
                <w:szCs w:val="20"/>
                <w:lang w:val="fr-CA"/>
              </w:rPr>
            </w:pPr>
            <w:r w:rsidRPr="00DF3508">
              <w:rPr>
                <w:szCs w:val="20"/>
                <w:lang w:val="fr-CA"/>
              </w:rPr>
              <w:t>La demande d’autorisation d’appel de l’arrêt de la Cour d’appel de l’Ontario, numéro M40486, daté du 5 décembre 2011, est rejetée avec dépens.</w:t>
            </w:r>
          </w:p>
        </w:tc>
      </w:tr>
    </w:tbl>
    <w:p w:rsidR="00FD4A4B" w:rsidRPr="00FD4A4B" w:rsidRDefault="00FD4A4B" w:rsidP="00FD4A4B">
      <w:pPr>
        <w:rPr>
          <w:sz w:val="20"/>
          <w:szCs w:val="20"/>
          <w:lang w:val="fr-CA"/>
        </w:rPr>
      </w:pPr>
    </w:p>
    <w:p w:rsidR="00FD4A4B" w:rsidRPr="001B157C" w:rsidRDefault="00FD4A4B" w:rsidP="00FD4A4B">
      <w:pPr>
        <w:rPr>
          <w:sz w:val="20"/>
          <w:szCs w:val="20"/>
          <w:u w:val="single"/>
        </w:rPr>
      </w:pPr>
      <w:r w:rsidRPr="001B157C">
        <w:rPr>
          <w:sz w:val="20"/>
          <w:szCs w:val="20"/>
          <w:u w:val="single"/>
        </w:rPr>
        <w:t>CASE SUMMARY</w:t>
      </w:r>
    </w:p>
    <w:p w:rsidR="00FD4A4B" w:rsidRDefault="00FD4A4B" w:rsidP="00FD4A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11649" w:rsidRPr="00BF0708" w:rsidTr="000F4785">
        <w:tc>
          <w:tcPr>
            <w:tcW w:w="5000" w:type="pct"/>
            <w:gridSpan w:val="3"/>
          </w:tcPr>
          <w:p w:rsidR="00C11649" w:rsidRPr="00BF0708" w:rsidRDefault="00C11649" w:rsidP="000F4785">
            <w:pPr>
              <w:jc w:val="both"/>
              <w:rPr>
                <w:rFonts w:eastAsia="Calibri"/>
                <w:sz w:val="20"/>
              </w:rPr>
            </w:pPr>
            <w:r w:rsidRPr="00BF0708">
              <w:rPr>
                <w:rFonts w:eastAsia="Calibri"/>
                <w:sz w:val="20"/>
              </w:rPr>
              <w:t xml:space="preserve">Judgments and orders </w:t>
            </w:r>
            <w:r w:rsidRPr="00BF0708">
              <w:rPr>
                <w:rFonts w:eastAsia="Calibri"/>
                <w:sz w:val="20"/>
              </w:rPr>
              <w:noBreakHyphen/>
              <w:t xml:space="preserve"> Summary judgment </w:t>
            </w:r>
            <w:r w:rsidRPr="00BF0708">
              <w:rPr>
                <w:rFonts w:eastAsia="Calibri"/>
                <w:sz w:val="20"/>
              </w:rPr>
              <w:noBreakHyphen/>
              <w:t xml:space="preserve"> Real estate agreement between Applicant and Respondents for the purchase and sale of land failing to close </w:t>
            </w:r>
            <w:r w:rsidRPr="00BF0708">
              <w:rPr>
                <w:rFonts w:eastAsia="Calibri"/>
                <w:sz w:val="20"/>
              </w:rPr>
              <w:noBreakHyphen/>
              <w:t xml:space="preserve"> Whether motions judge erred in finding that the Applicant did not have the financing in place to close the transaction.</w:t>
            </w:r>
          </w:p>
          <w:p w:rsidR="00C11649" w:rsidRPr="00BF0708" w:rsidRDefault="00C11649" w:rsidP="000F4785">
            <w:pPr>
              <w:jc w:val="both"/>
              <w:rPr>
                <w:rFonts w:eastAsia="Calibri"/>
                <w:sz w:val="20"/>
              </w:rPr>
            </w:pPr>
          </w:p>
        </w:tc>
      </w:tr>
      <w:tr w:rsidR="00C11649" w:rsidRPr="00BF0708" w:rsidTr="000F4785">
        <w:tc>
          <w:tcPr>
            <w:tcW w:w="5000" w:type="pct"/>
            <w:gridSpan w:val="3"/>
          </w:tcPr>
          <w:p w:rsidR="00C11649" w:rsidRPr="00BF0708" w:rsidRDefault="00C11649" w:rsidP="000F4785">
            <w:pPr>
              <w:jc w:val="both"/>
              <w:rPr>
                <w:color w:val="000000"/>
                <w:sz w:val="20"/>
              </w:rPr>
            </w:pPr>
            <w:r w:rsidRPr="00BF0708">
              <w:rPr>
                <w:color w:val="000000"/>
                <w:sz w:val="20"/>
              </w:rPr>
              <w:t xml:space="preserve">In 2005, Greenway Estate Homes Ltd. (“Greenway”), entered into an agreement for the purchase and sale of farmland owned by the Respondents.  Greenway’s principal, Mr. Vacca, planned to use the land for a condominium hotel development.  The agreement described the size of the property as "approximately 26 acres".  In fact, it was later determined that the parcel of land was 23.86 acres.  The agreement was amended several times with a final agreement signed in December, 2007.  The purchase price was $827,000 with a closing date of May 30, 2008.  The sale did not close.  Mr. Vacca brought an action seeking specific performance with an abatement in the purchase price of $87,336.88.  The defendants brought a motion for summary judgment dismissing the action. </w:t>
            </w:r>
          </w:p>
          <w:p w:rsidR="00C11649" w:rsidRPr="00BF0708" w:rsidRDefault="00C11649" w:rsidP="000F4785">
            <w:pPr>
              <w:jc w:val="both"/>
              <w:rPr>
                <w:rFonts w:eastAsia="Calibri"/>
                <w:sz w:val="20"/>
              </w:rPr>
            </w:pPr>
          </w:p>
        </w:tc>
      </w:tr>
      <w:tr w:rsidR="00C11649" w:rsidRPr="00BF0708" w:rsidTr="000F4785">
        <w:tc>
          <w:tcPr>
            <w:tcW w:w="2427" w:type="pct"/>
          </w:tcPr>
          <w:p w:rsidR="00C11649" w:rsidRPr="00BF0708" w:rsidRDefault="00C11649" w:rsidP="000F4785">
            <w:pPr>
              <w:jc w:val="both"/>
              <w:rPr>
                <w:rFonts w:eastAsia="Calibri"/>
                <w:sz w:val="20"/>
              </w:rPr>
            </w:pPr>
            <w:r w:rsidRPr="00BF0708">
              <w:rPr>
                <w:rFonts w:eastAsia="Calibri"/>
                <w:sz w:val="20"/>
              </w:rPr>
              <w:t>May 30, 2011</w:t>
            </w:r>
          </w:p>
          <w:p w:rsidR="00C11649" w:rsidRPr="00BF0708" w:rsidRDefault="00C11649" w:rsidP="000F4785">
            <w:pPr>
              <w:jc w:val="both"/>
              <w:rPr>
                <w:rFonts w:eastAsia="Calibri"/>
                <w:sz w:val="20"/>
              </w:rPr>
            </w:pPr>
            <w:r w:rsidRPr="00BF0708">
              <w:rPr>
                <w:rFonts w:eastAsia="Calibri"/>
                <w:sz w:val="20"/>
              </w:rPr>
              <w:t>Ontario Superior Court of Justice</w:t>
            </w:r>
          </w:p>
          <w:p w:rsidR="00C11649" w:rsidRPr="00BF0708" w:rsidRDefault="00C11649" w:rsidP="000F4785">
            <w:pPr>
              <w:jc w:val="both"/>
              <w:rPr>
                <w:rFonts w:eastAsia="Calibri"/>
                <w:sz w:val="20"/>
              </w:rPr>
            </w:pPr>
            <w:r w:rsidRPr="00BF0708">
              <w:rPr>
                <w:rFonts w:eastAsia="Calibri"/>
                <w:sz w:val="20"/>
              </w:rPr>
              <w:t>(Edwards J.)</w:t>
            </w:r>
          </w:p>
          <w:p w:rsidR="00C11649" w:rsidRPr="00BF0708" w:rsidRDefault="00C11649" w:rsidP="000F4785">
            <w:pPr>
              <w:jc w:val="both"/>
              <w:rPr>
                <w:rFonts w:eastAsia="Calibri"/>
                <w:sz w:val="20"/>
              </w:rPr>
            </w:pPr>
            <w:r w:rsidRPr="00BF0708">
              <w:rPr>
                <w:rFonts w:eastAsia="Calibri"/>
                <w:sz w:val="20"/>
              </w:rPr>
              <w:t>2011 ONSC 1705</w:t>
            </w:r>
          </w:p>
          <w:p w:rsidR="00C11649" w:rsidRPr="00BF0708" w:rsidRDefault="00C11649" w:rsidP="000F4785">
            <w:pPr>
              <w:jc w:val="both"/>
              <w:rPr>
                <w:rFonts w:eastAsia="Calibri"/>
                <w:sz w:val="20"/>
              </w:rPr>
            </w:pPr>
          </w:p>
        </w:tc>
        <w:tc>
          <w:tcPr>
            <w:tcW w:w="243" w:type="pct"/>
          </w:tcPr>
          <w:p w:rsidR="00C11649" w:rsidRPr="00BF0708" w:rsidRDefault="00C11649" w:rsidP="000F4785">
            <w:pPr>
              <w:jc w:val="both"/>
              <w:rPr>
                <w:rFonts w:eastAsia="Calibri"/>
                <w:sz w:val="20"/>
              </w:rPr>
            </w:pPr>
          </w:p>
        </w:tc>
        <w:tc>
          <w:tcPr>
            <w:tcW w:w="2330" w:type="pct"/>
          </w:tcPr>
          <w:p w:rsidR="00C11649" w:rsidRPr="00BF0708" w:rsidRDefault="00C11649" w:rsidP="000F4785">
            <w:pPr>
              <w:jc w:val="both"/>
              <w:rPr>
                <w:rFonts w:eastAsia="Calibri"/>
                <w:sz w:val="20"/>
              </w:rPr>
            </w:pPr>
            <w:r w:rsidRPr="00BF0708">
              <w:rPr>
                <w:rFonts w:eastAsia="Calibri"/>
                <w:color w:val="000000"/>
                <w:sz w:val="20"/>
              </w:rPr>
              <w:t xml:space="preserve">The </w:t>
            </w:r>
            <w:r w:rsidRPr="00BF0708">
              <w:rPr>
                <w:rFonts w:eastAsia="Calibri"/>
                <w:sz w:val="20"/>
              </w:rPr>
              <w:t>motion for summary judgment granted; Mr. Vacca’s action dismissed</w:t>
            </w:r>
          </w:p>
          <w:p w:rsidR="00C11649" w:rsidRPr="00BF0708" w:rsidRDefault="00C11649" w:rsidP="000F4785">
            <w:pPr>
              <w:ind w:left="-828"/>
              <w:jc w:val="both"/>
              <w:rPr>
                <w:rFonts w:eastAsia="Calibri"/>
                <w:sz w:val="20"/>
              </w:rPr>
            </w:pPr>
          </w:p>
        </w:tc>
      </w:tr>
      <w:tr w:rsidR="00C11649" w:rsidRPr="00BF0708" w:rsidTr="000F4785">
        <w:tc>
          <w:tcPr>
            <w:tcW w:w="2427" w:type="pct"/>
          </w:tcPr>
          <w:p w:rsidR="00C11649" w:rsidRPr="00BF0708" w:rsidRDefault="00C11649" w:rsidP="000F4785">
            <w:pPr>
              <w:jc w:val="both"/>
              <w:rPr>
                <w:rFonts w:eastAsia="Calibri"/>
                <w:sz w:val="20"/>
              </w:rPr>
            </w:pPr>
            <w:r w:rsidRPr="00BF0708">
              <w:rPr>
                <w:rFonts w:eastAsia="Calibri"/>
                <w:sz w:val="20"/>
              </w:rPr>
              <w:t>July 22, 2011</w:t>
            </w:r>
          </w:p>
          <w:p w:rsidR="00C11649" w:rsidRPr="00BF0708" w:rsidRDefault="00C11649" w:rsidP="000F4785">
            <w:pPr>
              <w:jc w:val="both"/>
              <w:rPr>
                <w:rFonts w:eastAsia="Calibri"/>
                <w:sz w:val="20"/>
              </w:rPr>
            </w:pPr>
            <w:r w:rsidRPr="00BF0708">
              <w:rPr>
                <w:rFonts w:eastAsia="Calibri"/>
                <w:sz w:val="20"/>
              </w:rPr>
              <w:t>Court of Appeal for Ontario</w:t>
            </w:r>
          </w:p>
          <w:p w:rsidR="00C11649" w:rsidRPr="00BF0708" w:rsidRDefault="00C11649" w:rsidP="000F4785">
            <w:pPr>
              <w:jc w:val="both"/>
              <w:rPr>
                <w:rFonts w:eastAsia="Calibri"/>
                <w:sz w:val="20"/>
              </w:rPr>
            </w:pPr>
            <w:r w:rsidRPr="00BF0708">
              <w:rPr>
                <w:rFonts w:eastAsia="Calibri"/>
                <w:sz w:val="20"/>
              </w:rPr>
              <w:t>(LaForme J.A.)</w:t>
            </w:r>
          </w:p>
          <w:p w:rsidR="00C11649" w:rsidRPr="00BF0708" w:rsidRDefault="00C11649" w:rsidP="000F4785">
            <w:pPr>
              <w:jc w:val="both"/>
              <w:rPr>
                <w:rFonts w:eastAsia="Calibri"/>
                <w:sz w:val="20"/>
              </w:rPr>
            </w:pPr>
            <w:r w:rsidRPr="00BF0708">
              <w:rPr>
                <w:rFonts w:eastAsia="Calibri"/>
                <w:sz w:val="20"/>
              </w:rPr>
              <w:t>Unreported</w:t>
            </w:r>
          </w:p>
          <w:p w:rsidR="00C11649" w:rsidRPr="00BF0708" w:rsidRDefault="00C11649" w:rsidP="000F4785">
            <w:pPr>
              <w:jc w:val="both"/>
              <w:rPr>
                <w:rFonts w:eastAsia="Calibri"/>
                <w:sz w:val="20"/>
              </w:rPr>
            </w:pPr>
          </w:p>
        </w:tc>
        <w:tc>
          <w:tcPr>
            <w:tcW w:w="243" w:type="pct"/>
          </w:tcPr>
          <w:p w:rsidR="00C11649" w:rsidRPr="00BF0708" w:rsidRDefault="00C11649" w:rsidP="000F4785">
            <w:pPr>
              <w:jc w:val="both"/>
              <w:rPr>
                <w:rFonts w:eastAsia="Calibri"/>
                <w:sz w:val="20"/>
              </w:rPr>
            </w:pPr>
          </w:p>
        </w:tc>
        <w:tc>
          <w:tcPr>
            <w:tcW w:w="2330" w:type="pct"/>
          </w:tcPr>
          <w:p w:rsidR="00C11649" w:rsidRPr="00BF0708" w:rsidRDefault="00C11649" w:rsidP="000F4785">
            <w:pPr>
              <w:jc w:val="both"/>
              <w:rPr>
                <w:rFonts w:eastAsia="Calibri"/>
                <w:sz w:val="20"/>
              </w:rPr>
            </w:pPr>
            <w:r w:rsidRPr="00BF0708">
              <w:rPr>
                <w:rFonts w:eastAsia="Calibri"/>
                <w:sz w:val="20"/>
              </w:rPr>
              <w:t>Mr. Vacca’s motion for leave to act as legal representative of Greenway Estate Homes Ltd. denied.  Order requiring Mr. Vacca to retain counsel within thirty days or the Respondents would be entitled to have the appeal dismissed</w:t>
            </w:r>
          </w:p>
          <w:p w:rsidR="00C11649" w:rsidRPr="00BF0708" w:rsidRDefault="00C11649" w:rsidP="000F4785">
            <w:pPr>
              <w:jc w:val="both"/>
              <w:rPr>
                <w:rFonts w:eastAsia="Calibri"/>
                <w:sz w:val="20"/>
              </w:rPr>
            </w:pPr>
          </w:p>
        </w:tc>
      </w:tr>
      <w:tr w:rsidR="00C11649" w:rsidRPr="00BF0708" w:rsidTr="000F4785">
        <w:tc>
          <w:tcPr>
            <w:tcW w:w="2427" w:type="pct"/>
          </w:tcPr>
          <w:p w:rsidR="00C11649" w:rsidRPr="00BF0708" w:rsidRDefault="00C11649" w:rsidP="000F4785">
            <w:pPr>
              <w:jc w:val="both"/>
              <w:rPr>
                <w:rFonts w:eastAsia="Calibri"/>
                <w:sz w:val="20"/>
              </w:rPr>
            </w:pPr>
            <w:r w:rsidRPr="00BF0708">
              <w:rPr>
                <w:rFonts w:eastAsia="Calibri"/>
                <w:sz w:val="20"/>
              </w:rPr>
              <w:t>September 8, 2011</w:t>
            </w:r>
          </w:p>
          <w:p w:rsidR="00C11649" w:rsidRPr="00BF0708" w:rsidRDefault="00C11649" w:rsidP="000F4785">
            <w:pPr>
              <w:jc w:val="both"/>
              <w:rPr>
                <w:rFonts w:eastAsia="Calibri"/>
                <w:sz w:val="20"/>
              </w:rPr>
            </w:pPr>
            <w:r w:rsidRPr="00BF0708">
              <w:rPr>
                <w:rFonts w:eastAsia="Calibri"/>
                <w:sz w:val="20"/>
              </w:rPr>
              <w:t>Court of Appeal for Ontario</w:t>
            </w:r>
          </w:p>
          <w:p w:rsidR="00C11649" w:rsidRPr="00BF0708" w:rsidRDefault="00C11649" w:rsidP="000F4785">
            <w:pPr>
              <w:jc w:val="both"/>
              <w:rPr>
                <w:rFonts w:eastAsia="Calibri"/>
                <w:sz w:val="20"/>
              </w:rPr>
            </w:pPr>
            <w:r w:rsidRPr="00BF0708">
              <w:rPr>
                <w:rFonts w:eastAsia="Calibri"/>
                <w:sz w:val="20"/>
              </w:rPr>
              <w:t>(Juriansz J.A.)</w:t>
            </w:r>
          </w:p>
          <w:p w:rsidR="00C11649" w:rsidRDefault="00C11649" w:rsidP="000F4785">
            <w:pPr>
              <w:jc w:val="both"/>
              <w:rPr>
                <w:rFonts w:eastAsia="Calibri"/>
                <w:sz w:val="20"/>
              </w:rPr>
            </w:pPr>
            <w:r w:rsidRPr="00BF0708">
              <w:rPr>
                <w:rFonts w:eastAsia="Calibri"/>
                <w:sz w:val="20"/>
              </w:rPr>
              <w:t>Unreported</w:t>
            </w:r>
          </w:p>
          <w:p w:rsidR="00C11649" w:rsidRPr="00BF0708" w:rsidRDefault="00C11649" w:rsidP="000F4785">
            <w:pPr>
              <w:jc w:val="both"/>
              <w:rPr>
                <w:rFonts w:eastAsia="Calibri"/>
                <w:sz w:val="20"/>
              </w:rPr>
            </w:pPr>
          </w:p>
        </w:tc>
        <w:tc>
          <w:tcPr>
            <w:tcW w:w="243" w:type="pct"/>
          </w:tcPr>
          <w:p w:rsidR="00C11649" w:rsidRPr="00BF0708" w:rsidRDefault="00C11649" w:rsidP="000F4785">
            <w:pPr>
              <w:jc w:val="both"/>
              <w:rPr>
                <w:rFonts w:eastAsia="Calibri"/>
                <w:sz w:val="20"/>
              </w:rPr>
            </w:pPr>
          </w:p>
        </w:tc>
        <w:tc>
          <w:tcPr>
            <w:tcW w:w="2330" w:type="pct"/>
          </w:tcPr>
          <w:p w:rsidR="00C11649" w:rsidRPr="00BF0708" w:rsidRDefault="00C11649" w:rsidP="000F4785">
            <w:pPr>
              <w:jc w:val="both"/>
              <w:rPr>
                <w:rFonts w:eastAsia="Calibri"/>
                <w:sz w:val="20"/>
              </w:rPr>
            </w:pPr>
            <w:r w:rsidRPr="00BF0708">
              <w:rPr>
                <w:rFonts w:eastAsia="Calibri"/>
                <w:sz w:val="20"/>
              </w:rPr>
              <w:t>Order directing Registrar to dismiss Mr. Vacca’s appeal</w:t>
            </w:r>
          </w:p>
          <w:p w:rsidR="00C11649" w:rsidRPr="00BF0708" w:rsidRDefault="00C11649" w:rsidP="000F4785">
            <w:pPr>
              <w:jc w:val="both"/>
              <w:rPr>
                <w:rFonts w:eastAsia="Calibri"/>
                <w:sz w:val="20"/>
              </w:rPr>
            </w:pPr>
          </w:p>
        </w:tc>
      </w:tr>
      <w:tr w:rsidR="00C11649" w:rsidRPr="00BF0708" w:rsidTr="000F4785">
        <w:tc>
          <w:tcPr>
            <w:tcW w:w="2427" w:type="pct"/>
          </w:tcPr>
          <w:p w:rsidR="00C11649" w:rsidRPr="00BF0708" w:rsidRDefault="00C11649" w:rsidP="000F4785">
            <w:pPr>
              <w:jc w:val="both"/>
              <w:rPr>
                <w:rFonts w:eastAsia="Calibri"/>
                <w:sz w:val="20"/>
              </w:rPr>
            </w:pPr>
            <w:r w:rsidRPr="00BF0708">
              <w:rPr>
                <w:rFonts w:eastAsia="Calibri"/>
                <w:sz w:val="20"/>
              </w:rPr>
              <w:t>December 5, 2011</w:t>
            </w:r>
          </w:p>
          <w:p w:rsidR="00C11649" w:rsidRPr="00BF0708" w:rsidRDefault="00C11649" w:rsidP="000F4785">
            <w:pPr>
              <w:jc w:val="both"/>
              <w:rPr>
                <w:rFonts w:eastAsia="Calibri"/>
                <w:sz w:val="20"/>
              </w:rPr>
            </w:pPr>
            <w:r w:rsidRPr="00BF0708">
              <w:rPr>
                <w:rFonts w:eastAsia="Calibri"/>
                <w:sz w:val="20"/>
              </w:rPr>
              <w:t>Court of Appeal for Ontario</w:t>
            </w:r>
          </w:p>
          <w:p w:rsidR="00C11649" w:rsidRPr="00BF0708" w:rsidRDefault="00C11649" w:rsidP="000F4785">
            <w:pPr>
              <w:jc w:val="both"/>
              <w:rPr>
                <w:rFonts w:eastAsia="Calibri"/>
                <w:sz w:val="20"/>
              </w:rPr>
            </w:pPr>
            <w:r w:rsidRPr="00BF0708">
              <w:rPr>
                <w:rFonts w:eastAsia="Calibri"/>
                <w:sz w:val="20"/>
              </w:rPr>
              <w:t>(Rosenberg, Cronk and Watt J.J.A.)</w:t>
            </w:r>
          </w:p>
          <w:p w:rsidR="00C11649" w:rsidRPr="00BF0708" w:rsidRDefault="00C11649" w:rsidP="000F4785">
            <w:pPr>
              <w:jc w:val="both"/>
              <w:rPr>
                <w:rFonts w:eastAsia="Calibri"/>
                <w:sz w:val="20"/>
              </w:rPr>
            </w:pPr>
          </w:p>
        </w:tc>
        <w:tc>
          <w:tcPr>
            <w:tcW w:w="243" w:type="pct"/>
          </w:tcPr>
          <w:p w:rsidR="00C11649" w:rsidRPr="00BF0708" w:rsidRDefault="00C11649" w:rsidP="000F4785">
            <w:pPr>
              <w:jc w:val="both"/>
              <w:rPr>
                <w:rFonts w:eastAsia="Calibri"/>
                <w:sz w:val="20"/>
              </w:rPr>
            </w:pPr>
          </w:p>
        </w:tc>
        <w:tc>
          <w:tcPr>
            <w:tcW w:w="2330" w:type="pct"/>
          </w:tcPr>
          <w:p w:rsidR="00C11649" w:rsidRPr="00BF0708" w:rsidRDefault="00C11649" w:rsidP="000F4785">
            <w:pPr>
              <w:jc w:val="both"/>
              <w:rPr>
                <w:rFonts w:eastAsia="Calibri"/>
                <w:sz w:val="20"/>
              </w:rPr>
            </w:pPr>
            <w:r w:rsidRPr="00BF0708">
              <w:rPr>
                <w:rFonts w:eastAsia="Calibri"/>
                <w:sz w:val="20"/>
              </w:rPr>
              <w:t>Applicant’s motion have order of Juriansz J.A. reviewed, dismissed</w:t>
            </w:r>
          </w:p>
          <w:p w:rsidR="00C11649" w:rsidRPr="00BF0708" w:rsidRDefault="00C11649" w:rsidP="000F4785">
            <w:pPr>
              <w:jc w:val="both"/>
              <w:rPr>
                <w:rFonts w:eastAsia="Calibri"/>
                <w:sz w:val="20"/>
              </w:rPr>
            </w:pPr>
          </w:p>
          <w:p w:rsidR="00C11649" w:rsidRPr="00BF0708" w:rsidRDefault="00C11649" w:rsidP="000F4785">
            <w:pPr>
              <w:jc w:val="both"/>
              <w:rPr>
                <w:rFonts w:eastAsia="Calibri"/>
                <w:sz w:val="20"/>
              </w:rPr>
            </w:pPr>
          </w:p>
        </w:tc>
      </w:tr>
      <w:tr w:rsidR="00C11649" w:rsidRPr="00BF0708" w:rsidTr="000F4785">
        <w:tc>
          <w:tcPr>
            <w:tcW w:w="2427" w:type="pct"/>
          </w:tcPr>
          <w:p w:rsidR="00C11649" w:rsidRPr="00BF0708" w:rsidRDefault="00C11649" w:rsidP="000F4785">
            <w:pPr>
              <w:jc w:val="both"/>
              <w:rPr>
                <w:rFonts w:eastAsia="Calibri"/>
                <w:sz w:val="20"/>
              </w:rPr>
            </w:pPr>
            <w:r w:rsidRPr="00BF0708">
              <w:rPr>
                <w:rFonts w:eastAsia="Calibri"/>
                <w:sz w:val="20"/>
              </w:rPr>
              <w:t>February 3, 2012</w:t>
            </w:r>
          </w:p>
          <w:p w:rsidR="00C11649" w:rsidRPr="00BF0708" w:rsidRDefault="00C11649" w:rsidP="000F4785">
            <w:pPr>
              <w:jc w:val="both"/>
              <w:rPr>
                <w:rFonts w:eastAsia="Calibri"/>
                <w:sz w:val="20"/>
              </w:rPr>
            </w:pPr>
            <w:r w:rsidRPr="00BF0708">
              <w:rPr>
                <w:rFonts w:eastAsia="Calibri"/>
                <w:sz w:val="20"/>
              </w:rPr>
              <w:t>Supreme Court of Canada</w:t>
            </w:r>
          </w:p>
        </w:tc>
        <w:tc>
          <w:tcPr>
            <w:tcW w:w="243" w:type="pct"/>
          </w:tcPr>
          <w:p w:rsidR="00C11649" w:rsidRPr="00BF0708" w:rsidRDefault="00C11649" w:rsidP="000F4785">
            <w:pPr>
              <w:jc w:val="both"/>
              <w:rPr>
                <w:rFonts w:eastAsia="Calibri"/>
                <w:sz w:val="20"/>
              </w:rPr>
            </w:pPr>
          </w:p>
        </w:tc>
        <w:tc>
          <w:tcPr>
            <w:tcW w:w="2330" w:type="pct"/>
          </w:tcPr>
          <w:p w:rsidR="00C11649" w:rsidRPr="00BF0708" w:rsidRDefault="00C11649" w:rsidP="000F4785">
            <w:pPr>
              <w:jc w:val="both"/>
              <w:rPr>
                <w:rFonts w:eastAsia="Calibri"/>
                <w:sz w:val="20"/>
              </w:rPr>
            </w:pPr>
            <w:r w:rsidRPr="00BF0708">
              <w:rPr>
                <w:rFonts w:eastAsia="Calibri"/>
                <w:sz w:val="20"/>
              </w:rPr>
              <w:t>Application for leave to appeal filed</w:t>
            </w: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64" style="width:2in;height:1pt" o:hrpct="0" o:hralign="center" o:hrstd="t" o:hrnoshade="t" o:hr="t" fillcolor="black [3213]" stroked="f"/>
        </w:pict>
      </w:r>
    </w:p>
    <w:p w:rsidR="00FD4A4B" w:rsidRDefault="00FD4A4B" w:rsidP="00FD4A4B">
      <w:pPr>
        <w:rPr>
          <w:sz w:val="20"/>
          <w:szCs w:val="20"/>
        </w:rPr>
      </w:pPr>
    </w:p>
    <w:p w:rsidR="00FD4A4B" w:rsidRPr="001B157C" w:rsidRDefault="00FD4A4B" w:rsidP="00FD4A4B">
      <w:pPr>
        <w:rPr>
          <w:sz w:val="20"/>
          <w:szCs w:val="20"/>
          <w:u w:val="single"/>
          <w:lang w:val="fr-CA"/>
        </w:rPr>
      </w:pPr>
      <w:r w:rsidRPr="001B157C">
        <w:rPr>
          <w:sz w:val="20"/>
          <w:szCs w:val="20"/>
          <w:u w:val="single"/>
          <w:lang w:val="fr-CA"/>
        </w:rPr>
        <w:lastRenderedPageBreak/>
        <w:t>RÉSUMÉ DE L’AFFAIRE</w:t>
      </w:r>
    </w:p>
    <w:p w:rsidR="00FD4A4B" w:rsidRDefault="00FD4A4B" w:rsidP="00FD4A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11649" w:rsidRPr="0028361F" w:rsidTr="000F4785">
        <w:tc>
          <w:tcPr>
            <w:tcW w:w="5000" w:type="pct"/>
            <w:gridSpan w:val="3"/>
          </w:tcPr>
          <w:p w:rsidR="00C11649" w:rsidRPr="00BF0708" w:rsidRDefault="00C11649" w:rsidP="000F4785">
            <w:pPr>
              <w:jc w:val="both"/>
              <w:rPr>
                <w:rFonts w:eastAsia="Calibri"/>
                <w:sz w:val="20"/>
                <w:lang w:val="fr-FR"/>
              </w:rPr>
            </w:pPr>
            <w:r w:rsidRPr="00BF0708">
              <w:rPr>
                <w:rFonts w:eastAsia="Calibri"/>
                <w:sz w:val="20"/>
                <w:lang w:val="fr-FR"/>
              </w:rPr>
              <w:t xml:space="preserve">Jugements et ordonnances </w:t>
            </w:r>
            <w:r w:rsidRPr="00BF0708">
              <w:rPr>
                <w:rFonts w:eastAsia="Calibri"/>
                <w:sz w:val="20"/>
                <w:lang w:val="fr-FR"/>
              </w:rPr>
              <w:noBreakHyphen/>
              <w:t xml:space="preserve"> Jugement sommaire </w:t>
            </w:r>
            <w:r w:rsidRPr="00BF0708">
              <w:rPr>
                <w:rFonts w:eastAsia="Calibri"/>
                <w:sz w:val="20"/>
                <w:lang w:val="fr-FR"/>
              </w:rPr>
              <w:noBreakHyphen/>
              <w:t xml:space="preserve"> Avortement d’une transaction immobilière entre la demanderesse et les intimés visant la vente d’un terrain </w:t>
            </w:r>
            <w:r w:rsidRPr="00BF0708">
              <w:rPr>
                <w:rFonts w:eastAsia="Calibri"/>
                <w:sz w:val="20"/>
                <w:lang w:val="fr-FR"/>
              </w:rPr>
              <w:noBreakHyphen/>
              <w:t xml:space="preserve"> Le juge des requêtes a</w:t>
            </w:r>
            <w:r w:rsidRPr="00BF0708">
              <w:rPr>
                <w:rFonts w:eastAsia="Calibri"/>
                <w:sz w:val="20"/>
                <w:lang w:val="fr-FR"/>
              </w:rPr>
              <w:noBreakHyphen/>
              <w:t>t</w:t>
            </w:r>
            <w:r w:rsidRPr="00BF0708">
              <w:rPr>
                <w:rFonts w:eastAsia="Calibri"/>
                <w:sz w:val="20"/>
                <w:lang w:val="fr-FR"/>
              </w:rPr>
              <w:noBreakHyphen/>
              <w:t>il conclu à tort que la demanderesse ne disposait pas du financement nécessaire pour clore la  transaction?</w:t>
            </w:r>
          </w:p>
          <w:p w:rsidR="00C11649" w:rsidRPr="00BF0708" w:rsidRDefault="00C11649" w:rsidP="000F4785">
            <w:pPr>
              <w:jc w:val="both"/>
              <w:rPr>
                <w:rFonts w:eastAsia="Calibri"/>
                <w:sz w:val="20"/>
                <w:lang w:val="fr-FR"/>
              </w:rPr>
            </w:pPr>
          </w:p>
        </w:tc>
      </w:tr>
      <w:tr w:rsidR="00C11649" w:rsidRPr="0028361F" w:rsidTr="000F4785">
        <w:tc>
          <w:tcPr>
            <w:tcW w:w="5000" w:type="pct"/>
            <w:gridSpan w:val="3"/>
          </w:tcPr>
          <w:p w:rsidR="00C11649" w:rsidRPr="00BF0708" w:rsidRDefault="00C11649" w:rsidP="000F4785">
            <w:pPr>
              <w:jc w:val="both"/>
              <w:rPr>
                <w:color w:val="000000"/>
                <w:sz w:val="20"/>
                <w:lang w:val="fr-FR"/>
              </w:rPr>
            </w:pPr>
            <w:r w:rsidRPr="00BF0708">
              <w:rPr>
                <w:color w:val="000000"/>
                <w:sz w:val="20"/>
              </w:rPr>
              <w:t xml:space="preserve">En 2005, Greenway Estate Homes Ltd. </w:t>
            </w:r>
            <w:r w:rsidRPr="00BF0708">
              <w:rPr>
                <w:color w:val="000000"/>
                <w:sz w:val="20"/>
                <w:lang w:val="fr-FR"/>
              </w:rPr>
              <w:t xml:space="preserve">(« Greenway ») a signé un accord visant la vente de terres agricoles appartenant aux intimés.  Le mandant de Greenway, M. Vacca, comptait utiliser le terrain pour y construire une copropriété hôtelière.  L’accord indiquait que la propriété mesurait « environ 26 acres ».  On a constaté par la suite que le terrain mesurait en fait 23,86 acres.  L’accord a été modifié plusieurs fois, et sa version définitive a été signée en décembre 2007.  Le prix d’achat était de 827 000 $ et la date de transfert de la propriété avait été fixée au 30 mai 2008.  </w:t>
            </w:r>
            <w:r w:rsidRPr="00BF0708">
              <w:rPr>
                <w:color w:val="000000"/>
                <w:sz w:val="20"/>
                <w:lang w:val="fr-CA"/>
              </w:rPr>
              <w:t xml:space="preserve">La transaction a avorté.  </w:t>
            </w:r>
            <w:r w:rsidRPr="00BF0708">
              <w:rPr>
                <w:color w:val="000000"/>
                <w:sz w:val="20"/>
                <w:lang w:val="fr-FR"/>
              </w:rPr>
              <w:t xml:space="preserve">M. Vacca a intenté une action en vue d’obtenir l’exécution en nature de la transaction et une réduction de 87 336,88 $ du prix d’achat.  Les défendeurs ont présenté une requête en jugement sommaire rejetant l’action.  </w:t>
            </w:r>
          </w:p>
          <w:p w:rsidR="00C11649" w:rsidRPr="00BF0708" w:rsidRDefault="00C11649" w:rsidP="000F4785">
            <w:pPr>
              <w:jc w:val="both"/>
              <w:rPr>
                <w:rFonts w:eastAsia="Calibri"/>
                <w:sz w:val="20"/>
                <w:lang w:val="fr-FR"/>
              </w:rPr>
            </w:pPr>
          </w:p>
        </w:tc>
      </w:tr>
      <w:tr w:rsidR="00C11649" w:rsidRPr="0028361F" w:rsidTr="000F4785">
        <w:tc>
          <w:tcPr>
            <w:tcW w:w="2427" w:type="pct"/>
          </w:tcPr>
          <w:p w:rsidR="00C11649" w:rsidRPr="00BF0708" w:rsidRDefault="00C11649" w:rsidP="000F4785">
            <w:pPr>
              <w:jc w:val="both"/>
              <w:rPr>
                <w:rFonts w:eastAsia="Calibri"/>
                <w:sz w:val="20"/>
                <w:lang w:val="fr-FR"/>
              </w:rPr>
            </w:pPr>
            <w:r w:rsidRPr="00BF0708">
              <w:rPr>
                <w:rFonts w:eastAsia="Calibri"/>
                <w:sz w:val="20"/>
                <w:lang w:val="fr-FR"/>
              </w:rPr>
              <w:t>30 mai 2011</w:t>
            </w:r>
          </w:p>
          <w:p w:rsidR="00C11649" w:rsidRPr="00BF0708" w:rsidRDefault="00C11649" w:rsidP="000F4785">
            <w:pPr>
              <w:jc w:val="both"/>
              <w:rPr>
                <w:rFonts w:eastAsia="Calibri"/>
                <w:sz w:val="20"/>
                <w:lang w:val="fr-FR"/>
              </w:rPr>
            </w:pPr>
            <w:r w:rsidRPr="00BF0708">
              <w:rPr>
                <w:rFonts w:eastAsia="Calibri"/>
                <w:sz w:val="20"/>
                <w:lang w:val="fr-FR"/>
              </w:rPr>
              <w:t xml:space="preserve">Cour supérieure de justice de l’Ontario </w:t>
            </w:r>
          </w:p>
          <w:p w:rsidR="00C11649" w:rsidRPr="00BF0708" w:rsidRDefault="00C11649" w:rsidP="000F4785">
            <w:pPr>
              <w:jc w:val="both"/>
              <w:rPr>
                <w:rFonts w:eastAsia="Calibri"/>
                <w:sz w:val="20"/>
              </w:rPr>
            </w:pPr>
            <w:r w:rsidRPr="00BF0708">
              <w:rPr>
                <w:rFonts w:eastAsia="Calibri"/>
                <w:sz w:val="20"/>
              </w:rPr>
              <w:t>(Juge Edwards)</w:t>
            </w:r>
          </w:p>
          <w:p w:rsidR="00C11649" w:rsidRPr="00BF0708" w:rsidRDefault="00C11649" w:rsidP="000F4785">
            <w:pPr>
              <w:jc w:val="both"/>
              <w:rPr>
                <w:rFonts w:eastAsia="Calibri"/>
                <w:sz w:val="20"/>
              </w:rPr>
            </w:pPr>
            <w:r w:rsidRPr="00BF0708">
              <w:rPr>
                <w:rFonts w:eastAsia="Calibri"/>
                <w:sz w:val="20"/>
              </w:rPr>
              <w:t>2011 ONSC 1705</w:t>
            </w:r>
          </w:p>
          <w:p w:rsidR="00C11649" w:rsidRPr="00BF0708" w:rsidRDefault="00C11649" w:rsidP="000F4785">
            <w:pPr>
              <w:jc w:val="both"/>
              <w:rPr>
                <w:rFonts w:eastAsia="Calibri"/>
                <w:sz w:val="20"/>
              </w:rPr>
            </w:pPr>
          </w:p>
        </w:tc>
        <w:tc>
          <w:tcPr>
            <w:tcW w:w="243" w:type="pct"/>
          </w:tcPr>
          <w:p w:rsidR="00C11649" w:rsidRPr="00BF0708" w:rsidRDefault="00C11649" w:rsidP="000F4785">
            <w:pPr>
              <w:jc w:val="both"/>
              <w:rPr>
                <w:rFonts w:eastAsia="Calibri"/>
                <w:sz w:val="20"/>
              </w:rPr>
            </w:pPr>
          </w:p>
        </w:tc>
        <w:tc>
          <w:tcPr>
            <w:tcW w:w="2330" w:type="pct"/>
          </w:tcPr>
          <w:p w:rsidR="00C11649" w:rsidRPr="00BF0708" w:rsidRDefault="00C11649" w:rsidP="000F4785">
            <w:pPr>
              <w:jc w:val="both"/>
              <w:rPr>
                <w:rFonts w:eastAsia="Calibri"/>
                <w:sz w:val="20"/>
                <w:lang w:val="fr-FR"/>
              </w:rPr>
            </w:pPr>
            <w:r w:rsidRPr="00BF0708">
              <w:rPr>
                <w:rFonts w:eastAsia="Calibri"/>
                <w:color w:val="000000"/>
                <w:sz w:val="20"/>
                <w:lang w:val="fr-FR"/>
              </w:rPr>
              <w:t>Requête en jugement sommaire accueillie</w:t>
            </w:r>
            <w:r w:rsidRPr="00BF0708">
              <w:rPr>
                <w:rFonts w:eastAsia="Calibri"/>
                <w:sz w:val="20"/>
                <w:lang w:val="fr-FR"/>
              </w:rPr>
              <w:t>; action de M. Vacca rejetée</w:t>
            </w:r>
          </w:p>
          <w:p w:rsidR="00C11649" w:rsidRPr="00BF0708" w:rsidRDefault="00C11649" w:rsidP="000F4785">
            <w:pPr>
              <w:ind w:left="-828"/>
              <w:jc w:val="both"/>
              <w:rPr>
                <w:rFonts w:eastAsia="Calibri"/>
                <w:sz w:val="20"/>
                <w:lang w:val="fr-FR"/>
              </w:rPr>
            </w:pPr>
          </w:p>
        </w:tc>
      </w:tr>
      <w:tr w:rsidR="00C11649" w:rsidRPr="0028361F" w:rsidTr="000F4785">
        <w:trPr>
          <w:trHeight w:val="1428"/>
        </w:trPr>
        <w:tc>
          <w:tcPr>
            <w:tcW w:w="2427" w:type="pct"/>
          </w:tcPr>
          <w:p w:rsidR="00C11649" w:rsidRPr="00BF0708" w:rsidRDefault="00C11649" w:rsidP="000F4785">
            <w:pPr>
              <w:jc w:val="both"/>
              <w:rPr>
                <w:rFonts w:eastAsia="Calibri"/>
                <w:sz w:val="20"/>
                <w:lang w:val="fr-FR"/>
              </w:rPr>
            </w:pPr>
            <w:r w:rsidRPr="00BF0708">
              <w:rPr>
                <w:rFonts w:eastAsia="Calibri"/>
                <w:sz w:val="20"/>
                <w:lang w:val="fr-FR"/>
              </w:rPr>
              <w:t>22 juillet 2011</w:t>
            </w:r>
          </w:p>
          <w:p w:rsidR="00C11649" w:rsidRPr="00BF0708" w:rsidRDefault="00C11649" w:rsidP="000F4785">
            <w:pPr>
              <w:jc w:val="both"/>
              <w:rPr>
                <w:rFonts w:eastAsia="Calibri"/>
                <w:sz w:val="20"/>
                <w:lang w:val="fr-FR"/>
              </w:rPr>
            </w:pPr>
            <w:r w:rsidRPr="00BF0708">
              <w:rPr>
                <w:rFonts w:eastAsia="Calibri"/>
                <w:sz w:val="20"/>
                <w:lang w:val="fr-FR"/>
              </w:rPr>
              <w:t>Cour d’appel de l’Ontario</w:t>
            </w:r>
          </w:p>
          <w:p w:rsidR="00C11649" w:rsidRPr="00BF0708" w:rsidRDefault="00C11649" w:rsidP="000F4785">
            <w:pPr>
              <w:jc w:val="both"/>
              <w:rPr>
                <w:rFonts w:eastAsia="Calibri"/>
                <w:sz w:val="20"/>
                <w:lang w:val="fr-FR"/>
              </w:rPr>
            </w:pPr>
            <w:r w:rsidRPr="00BF0708">
              <w:rPr>
                <w:rFonts w:eastAsia="Calibri"/>
                <w:sz w:val="20"/>
                <w:lang w:val="fr-FR"/>
              </w:rPr>
              <w:t>(Juge LaForme)</w:t>
            </w:r>
          </w:p>
          <w:p w:rsidR="00C11649" w:rsidRPr="00BF0708" w:rsidRDefault="00C11649" w:rsidP="000F4785">
            <w:pPr>
              <w:jc w:val="both"/>
              <w:rPr>
                <w:rFonts w:eastAsia="Calibri"/>
                <w:sz w:val="20"/>
                <w:lang w:val="fr-FR"/>
              </w:rPr>
            </w:pPr>
            <w:r w:rsidRPr="00BF0708">
              <w:rPr>
                <w:rFonts w:eastAsia="Calibri"/>
                <w:sz w:val="20"/>
                <w:lang w:val="fr-FR"/>
              </w:rPr>
              <w:t>Non publié</w:t>
            </w:r>
          </w:p>
          <w:p w:rsidR="00C11649" w:rsidRPr="00BF0708" w:rsidRDefault="00C11649" w:rsidP="000F4785">
            <w:pPr>
              <w:jc w:val="both"/>
              <w:rPr>
                <w:rFonts w:eastAsia="Calibri"/>
                <w:sz w:val="20"/>
              </w:rPr>
            </w:pPr>
          </w:p>
        </w:tc>
        <w:tc>
          <w:tcPr>
            <w:tcW w:w="243" w:type="pct"/>
          </w:tcPr>
          <w:p w:rsidR="00C11649" w:rsidRPr="00BF0708" w:rsidRDefault="00C11649" w:rsidP="000F4785">
            <w:pPr>
              <w:jc w:val="both"/>
              <w:rPr>
                <w:rFonts w:eastAsia="Calibri"/>
                <w:sz w:val="20"/>
              </w:rPr>
            </w:pPr>
          </w:p>
        </w:tc>
        <w:tc>
          <w:tcPr>
            <w:tcW w:w="2330" w:type="pct"/>
          </w:tcPr>
          <w:p w:rsidR="00C11649" w:rsidRPr="00BF0708" w:rsidRDefault="00C11649" w:rsidP="000F4785">
            <w:pPr>
              <w:jc w:val="both"/>
              <w:rPr>
                <w:rFonts w:eastAsia="Calibri"/>
                <w:sz w:val="20"/>
                <w:lang w:val="fr-FR"/>
              </w:rPr>
            </w:pPr>
            <w:r w:rsidRPr="00BF0708">
              <w:rPr>
                <w:rFonts w:eastAsia="Calibri"/>
                <w:sz w:val="20"/>
                <w:lang w:val="fr-FR"/>
              </w:rPr>
              <w:t>Requête de M. Vacca en vue d’obtenir l’autorisation d’agir comme représentant juridique de Greenway Estate Homes Ltd. rejetée.  Ordonnance contraignant M. Vacca à retenir les services d’un avocat dans un délai de trente jours, faute de quoi les intimés auraient droit au rejet de l’appel</w:t>
            </w:r>
          </w:p>
          <w:p w:rsidR="00C11649" w:rsidRPr="00BF0708" w:rsidRDefault="00C11649" w:rsidP="000F4785">
            <w:pPr>
              <w:jc w:val="both"/>
              <w:rPr>
                <w:rFonts w:eastAsia="Calibri"/>
                <w:sz w:val="20"/>
                <w:lang w:val="fr-CA"/>
              </w:rPr>
            </w:pPr>
          </w:p>
        </w:tc>
      </w:tr>
      <w:tr w:rsidR="00C11649" w:rsidRPr="0028361F" w:rsidTr="000F4785">
        <w:trPr>
          <w:trHeight w:val="144"/>
        </w:trPr>
        <w:tc>
          <w:tcPr>
            <w:tcW w:w="2427" w:type="pct"/>
          </w:tcPr>
          <w:p w:rsidR="00C11649" w:rsidRPr="00BF0708" w:rsidRDefault="00C11649" w:rsidP="000F4785">
            <w:pPr>
              <w:jc w:val="both"/>
              <w:rPr>
                <w:rFonts w:eastAsia="Calibri"/>
                <w:sz w:val="20"/>
                <w:lang w:val="fr-FR"/>
              </w:rPr>
            </w:pPr>
            <w:r w:rsidRPr="00BF0708">
              <w:rPr>
                <w:rFonts w:eastAsia="Calibri"/>
                <w:sz w:val="20"/>
                <w:lang w:val="fr-FR"/>
              </w:rPr>
              <w:t>8 septembre 2011</w:t>
            </w:r>
          </w:p>
          <w:p w:rsidR="00C11649" w:rsidRPr="00BF0708" w:rsidRDefault="00C11649" w:rsidP="000F4785">
            <w:pPr>
              <w:jc w:val="both"/>
              <w:rPr>
                <w:rFonts w:eastAsia="Calibri"/>
                <w:sz w:val="20"/>
                <w:lang w:val="fr-FR"/>
              </w:rPr>
            </w:pPr>
            <w:r w:rsidRPr="00BF0708">
              <w:rPr>
                <w:rFonts w:eastAsia="Calibri"/>
                <w:sz w:val="20"/>
                <w:lang w:val="fr-FR"/>
              </w:rPr>
              <w:t>Cour d’appel de l’Ontario</w:t>
            </w:r>
          </w:p>
          <w:p w:rsidR="00C11649" w:rsidRPr="00BF0708" w:rsidRDefault="00C11649" w:rsidP="000F4785">
            <w:pPr>
              <w:jc w:val="both"/>
              <w:rPr>
                <w:rFonts w:eastAsia="Calibri"/>
                <w:sz w:val="20"/>
                <w:lang w:val="fr-CA"/>
              </w:rPr>
            </w:pPr>
            <w:r w:rsidRPr="00BF0708">
              <w:rPr>
                <w:rFonts w:eastAsia="Calibri"/>
                <w:sz w:val="20"/>
                <w:lang w:val="fr-CA"/>
              </w:rPr>
              <w:t>(Juge Juriansz)</w:t>
            </w:r>
          </w:p>
          <w:p w:rsidR="00C11649" w:rsidRPr="00BF0708" w:rsidRDefault="00C11649" w:rsidP="000F4785">
            <w:pPr>
              <w:jc w:val="both"/>
              <w:rPr>
                <w:rFonts w:eastAsia="Calibri"/>
                <w:sz w:val="20"/>
              </w:rPr>
            </w:pPr>
            <w:r w:rsidRPr="00BF0708">
              <w:rPr>
                <w:rFonts w:eastAsia="Calibri"/>
                <w:sz w:val="20"/>
              </w:rPr>
              <w:t>Non publié</w:t>
            </w:r>
          </w:p>
          <w:p w:rsidR="00C11649" w:rsidRPr="00BF0708" w:rsidRDefault="00C11649" w:rsidP="000F4785">
            <w:pPr>
              <w:jc w:val="both"/>
              <w:rPr>
                <w:rFonts w:eastAsia="Calibri"/>
                <w:sz w:val="20"/>
                <w:lang w:val="fr-FR"/>
              </w:rPr>
            </w:pPr>
          </w:p>
        </w:tc>
        <w:tc>
          <w:tcPr>
            <w:tcW w:w="243" w:type="pct"/>
          </w:tcPr>
          <w:p w:rsidR="00C11649" w:rsidRPr="00BF0708" w:rsidRDefault="00C11649" w:rsidP="000F4785">
            <w:pPr>
              <w:jc w:val="both"/>
              <w:rPr>
                <w:rFonts w:eastAsia="Calibri"/>
                <w:sz w:val="20"/>
              </w:rPr>
            </w:pPr>
          </w:p>
        </w:tc>
        <w:tc>
          <w:tcPr>
            <w:tcW w:w="2330" w:type="pct"/>
          </w:tcPr>
          <w:p w:rsidR="00C11649" w:rsidRPr="00BF0708" w:rsidRDefault="00C11649" w:rsidP="000F4785">
            <w:pPr>
              <w:jc w:val="both"/>
              <w:rPr>
                <w:rFonts w:eastAsia="Calibri"/>
                <w:sz w:val="20"/>
                <w:lang w:val="fr-CA"/>
              </w:rPr>
            </w:pPr>
            <w:r w:rsidRPr="00BF0708">
              <w:rPr>
                <w:rFonts w:eastAsia="Calibri"/>
                <w:sz w:val="20"/>
                <w:lang w:val="fr-CA"/>
              </w:rPr>
              <w:t>Ordonnance enjoignant au greffier de rejeter l’appel formé par M. Vacca</w:t>
            </w:r>
          </w:p>
          <w:p w:rsidR="00C11649" w:rsidRPr="00BF0708" w:rsidRDefault="00C11649" w:rsidP="000F4785">
            <w:pPr>
              <w:jc w:val="both"/>
              <w:rPr>
                <w:rFonts w:eastAsia="Calibri"/>
                <w:sz w:val="20"/>
                <w:lang w:val="fr-FR"/>
              </w:rPr>
            </w:pPr>
          </w:p>
        </w:tc>
      </w:tr>
      <w:tr w:rsidR="00C11649" w:rsidRPr="0028361F" w:rsidTr="000F4785">
        <w:tc>
          <w:tcPr>
            <w:tcW w:w="2427" w:type="pct"/>
          </w:tcPr>
          <w:p w:rsidR="00C11649" w:rsidRPr="00BF0708" w:rsidRDefault="00C11649" w:rsidP="000F4785">
            <w:pPr>
              <w:jc w:val="both"/>
              <w:rPr>
                <w:rFonts w:eastAsia="Calibri"/>
                <w:sz w:val="20"/>
                <w:lang w:val="fr-CA"/>
              </w:rPr>
            </w:pPr>
            <w:r w:rsidRPr="00BF0708">
              <w:rPr>
                <w:rFonts w:eastAsia="Calibri"/>
                <w:sz w:val="20"/>
                <w:lang w:val="fr-CA"/>
              </w:rPr>
              <w:t>5 décembre 2011</w:t>
            </w:r>
          </w:p>
          <w:p w:rsidR="00C11649" w:rsidRPr="00BF0708" w:rsidRDefault="00C11649" w:rsidP="000F4785">
            <w:pPr>
              <w:jc w:val="both"/>
              <w:rPr>
                <w:rFonts w:eastAsia="Calibri"/>
                <w:sz w:val="20"/>
                <w:lang w:val="fr-FR"/>
              </w:rPr>
            </w:pPr>
            <w:r w:rsidRPr="00BF0708">
              <w:rPr>
                <w:rFonts w:eastAsia="Calibri"/>
                <w:sz w:val="20"/>
                <w:lang w:val="fr-CA"/>
              </w:rPr>
              <w:t xml:space="preserve">Cour d’appel de </w:t>
            </w:r>
            <w:r w:rsidRPr="00BF0708">
              <w:rPr>
                <w:rFonts w:eastAsia="Calibri"/>
                <w:sz w:val="20"/>
                <w:lang w:val="fr-FR"/>
              </w:rPr>
              <w:t>l’Ontario</w:t>
            </w:r>
          </w:p>
          <w:p w:rsidR="00C11649" w:rsidRPr="00BF0708" w:rsidRDefault="00C11649" w:rsidP="000F4785">
            <w:pPr>
              <w:jc w:val="both"/>
              <w:rPr>
                <w:rFonts w:eastAsia="Calibri"/>
                <w:sz w:val="20"/>
                <w:lang w:val="fr-FR"/>
              </w:rPr>
            </w:pPr>
            <w:r w:rsidRPr="00BF0708">
              <w:rPr>
                <w:rFonts w:eastAsia="Calibri"/>
                <w:sz w:val="20"/>
                <w:lang w:val="fr-FR"/>
              </w:rPr>
              <w:t>(Juges Rosenberg, Cronk et Watt)</w:t>
            </w:r>
          </w:p>
          <w:p w:rsidR="00C11649" w:rsidRPr="00BF0708" w:rsidRDefault="00C11649" w:rsidP="000F4785">
            <w:pPr>
              <w:jc w:val="both"/>
              <w:rPr>
                <w:rFonts w:eastAsia="Calibri"/>
                <w:sz w:val="20"/>
                <w:lang w:val="fr-FR"/>
              </w:rPr>
            </w:pPr>
          </w:p>
        </w:tc>
        <w:tc>
          <w:tcPr>
            <w:tcW w:w="243" w:type="pct"/>
          </w:tcPr>
          <w:p w:rsidR="00C11649" w:rsidRPr="00BF0708" w:rsidRDefault="00C11649" w:rsidP="000F4785">
            <w:pPr>
              <w:jc w:val="both"/>
              <w:rPr>
                <w:rFonts w:eastAsia="Calibri"/>
                <w:sz w:val="20"/>
                <w:lang w:val="fr-FR"/>
              </w:rPr>
            </w:pPr>
          </w:p>
        </w:tc>
        <w:tc>
          <w:tcPr>
            <w:tcW w:w="2330" w:type="pct"/>
          </w:tcPr>
          <w:p w:rsidR="00C11649" w:rsidRPr="00BF0708" w:rsidRDefault="00C11649" w:rsidP="000F4785">
            <w:pPr>
              <w:jc w:val="both"/>
              <w:rPr>
                <w:rFonts w:eastAsia="Calibri"/>
                <w:sz w:val="20"/>
                <w:lang w:val="fr-FR"/>
              </w:rPr>
            </w:pPr>
            <w:r w:rsidRPr="00BF0708">
              <w:rPr>
                <w:rFonts w:eastAsia="Calibri"/>
                <w:sz w:val="20"/>
                <w:lang w:val="fr-FR"/>
              </w:rPr>
              <w:t>Requête de la demanderesse en révision de l’ordonnance du juge Juriansz, rejetée</w:t>
            </w:r>
          </w:p>
          <w:p w:rsidR="00C11649" w:rsidRPr="00BF0708" w:rsidRDefault="00C11649" w:rsidP="000F4785">
            <w:pPr>
              <w:jc w:val="both"/>
              <w:rPr>
                <w:rFonts w:eastAsia="Calibri"/>
                <w:sz w:val="20"/>
                <w:lang w:val="fr-FR"/>
              </w:rPr>
            </w:pPr>
          </w:p>
        </w:tc>
      </w:tr>
      <w:tr w:rsidR="00C11649" w:rsidRPr="00BF0708" w:rsidTr="000F4785">
        <w:tc>
          <w:tcPr>
            <w:tcW w:w="2427" w:type="pct"/>
          </w:tcPr>
          <w:p w:rsidR="00C11649" w:rsidRPr="00C11649" w:rsidRDefault="00C11649" w:rsidP="000F4785">
            <w:pPr>
              <w:jc w:val="both"/>
              <w:rPr>
                <w:rFonts w:eastAsia="Calibri"/>
                <w:sz w:val="20"/>
                <w:lang w:val="fr-CA"/>
              </w:rPr>
            </w:pPr>
            <w:r w:rsidRPr="00C11649">
              <w:rPr>
                <w:rFonts w:eastAsia="Calibri"/>
                <w:sz w:val="20"/>
                <w:lang w:val="fr-CA"/>
              </w:rPr>
              <w:t>3 février 2012</w:t>
            </w:r>
          </w:p>
          <w:p w:rsidR="00C11649" w:rsidRPr="00C11649" w:rsidRDefault="00C11649" w:rsidP="000F4785">
            <w:pPr>
              <w:jc w:val="both"/>
              <w:rPr>
                <w:rFonts w:eastAsia="Calibri"/>
                <w:sz w:val="20"/>
                <w:lang w:val="fr-CA"/>
              </w:rPr>
            </w:pPr>
            <w:r w:rsidRPr="00C11649">
              <w:rPr>
                <w:rFonts w:eastAsia="Calibri"/>
                <w:sz w:val="20"/>
                <w:lang w:val="fr-CA"/>
              </w:rPr>
              <w:t>Cour suprême du Canada</w:t>
            </w:r>
          </w:p>
        </w:tc>
        <w:tc>
          <w:tcPr>
            <w:tcW w:w="243" w:type="pct"/>
          </w:tcPr>
          <w:p w:rsidR="00C11649" w:rsidRPr="00C11649" w:rsidRDefault="00C11649" w:rsidP="000F4785">
            <w:pPr>
              <w:jc w:val="both"/>
              <w:rPr>
                <w:rFonts w:eastAsia="Calibri"/>
                <w:sz w:val="20"/>
                <w:lang w:val="fr-CA"/>
              </w:rPr>
            </w:pPr>
          </w:p>
        </w:tc>
        <w:tc>
          <w:tcPr>
            <w:tcW w:w="2330" w:type="pct"/>
          </w:tcPr>
          <w:p w:rsidR="00C11649" w:rsidRPr="00BF0708" w:rsidRDefault="00C11649" w:rsidP="000F4785">
            <w:pPr>
              <w:jc w:val="both"/>
              <w:rPr>
                <w:rFonts w:eastAsia="Calibri"/>
                <w:sz w:val="20"/>
              </w:rPr>
            </w:pPr>
            <w:r w:rsidRPr="00BF0708">
              <w:rPr>
                <w:rFonts w:eastAsia="Calibri"/>
                <w:sz w:val="20"/>
              </w:rPr>
              <w:t>Demande d’autorisation d’appel déposée</w:t>
            </w:r>
          </w:p>
        </w:tc>
      </w:tr>
    </w:tbl>
    <w:p w:rsidR="00FD4A4B" w:rsidRDefault="00FD4A4B" w:rsidP="00FD4A4B">
      <w:pPr>
        <w:rPr>
          <w:sz w:val="20"/>
          <w:szCs w:val="20"/>
        </w:rPr>
      </w:pPr>
    </w:p>
    <w:p w:rsidR="00FD4A4B" w:rsidRPr="00C50A5C" w:rsidRDefault="00414F7B" w:rsidP="00FD4A4B">
      <w:pPr>
        <w:rPr>
          <w:sz w:val="20"/>
          <w:szCs w:val="20"/>
        </w:rPr>
      </w:pPr>
      <w:r w:rsidRPr="00414F7B">
        <w:rPr>
          <w:sz w:val="20"/>
          <w:szCs w:val="20"/>
          <w:lang w:val="fr-CA"/>
        </w:rPr>
        <w:pict>
          <v:rect id="_x0000_i1065" style="width:2in;height:1pt" o:hrpct="0" o:hralign="center" o:hrstd="t" o:hrnoshade="t" o:hr="t" fillcolor="black [3213]" stroked="f"/>
        </w:pict>
      </w:r>
    </w:p>
    <w:p w:rsidR="00FD4A4B" w:rsidRDefault="00FD4A4B" w:rsidP="00FD4A4B">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F37384" w:rsidRPr="003717E5" w:rsidRDefault="00F37384" w:rsidP="00F37384">
      <w:pPr>
        <w:tabs>
          <w:tab w:val="left" w:pos="-1440"/>
          <w:tab w:val="left" w:pos="-720"/>
        </w:tabs>
        <w:jc w:val="both"/>
        <w:rPr>
          <w:rFonts w:cs="Times New Roman"/>
          <w:sz w:val="20"/>
          <w:szCs w:val="20"/>
          <w:lang w:val="fr-CA"/>
        </w:rPr>
      </w:pPr>
      <w:r w:rsidRPr="003717E5">
        <w:rPr>
          <w:rFonts w:cs="Times New Roman"/>
          <w:sz w:val="20"/>
          <w:szCs w:val="20"/>
          <w:lang w:val="fr-CA"/>
        </w:rPr>
        <w:t>04.05.2012</w:t>
      </w:r>
    </w:p>
    <w:p w:rsidR="00F37384" w:rsidRPr="003717E5" w:rsidRDefault="00F37384" w:rsidP="00F37384">
      <w:pPr>
        <w:tabs>
          <w:tab w:val="left" w:pos="-1440"/>
          <w:tab w:val="left" w:pos="-720"/>
        </w:tabs>
        <w:jc w:val="both"/>
        <w:rPr>
          <w:rFonts w:cs="Times New Roman"/>
          <w:sz w:val="20"/>
          <w:szCs w:val="20"/>
          <w:lang w:val="fr-CA"/>
        </w:rPr>
      </w:pPr>
    </w:p>
    <w:p w:rsidR="00F37384" w:rsidRPr="003717E5" w:rsidRDefault="00F37384" w:rsidP="00F37384">
      <w:pPr>
        <w:tabs>
          <w:tab w:val="left" w:pos="-1440"/>
          <w:tab w:val="left" w:pos="-720"/>
        </w:tabs>
        <w:jc w:val="both"/>
        <w:rPr>
          <w:rFonts w:cs="Times New Roman"/>
          <w:sz w:val="20"/>
          <w:szCs w:val="20"/>
          <w:lang w:val="fr-CA"/>
        </w:rPr>
      </w:pPr>
      <w:r w:rsidRPr="003717E5">
        <w:rPr>
          <w:rFonts w:cs="Times New Roman"/>
          <w:sz w:val="20"/>
          <w:szCs w:val="20"/>
          <w:lang w:val="fr-CA"/>
        </w:rPr>
        <w:t>Before / Devant :   FISH J. / LE JUGE FISH</w:t>
      </w:r>
    </w:p>
    <w:p w:rsidR="00F37384" w:rsidRPr="003717E5" w:rsidRDefault="00F37384" w:rsidP="00F37384">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F37384" w:rsidRPr="003717E5" w:rsidTr="008440EE">
        <w:tc>
          <w:tcPr>
            <w:tcW w:w="4338" w:type="dxa"/>
            <w:gridSpan w:val="2"/>
          </w:tcPr>
          <w:p w:rsidR="00F37384" w:rsidRPr="003717E5" w:rsidRDefault="00F37384" w:rsidP="008440EE">
            <w:pPr>
              <w:jc w:val="both"/>
              <w:rPr>
                <w:rFonts w:cs="Times New Roman"/>
                <w:b/>
                <w:sz w:val="20"/>
                <w:szCs w:val="20"/>
              </w:rPr>
            </w:pPr>
            <w:r w:rsidRPr="003717E5">
              <w:rPr>
                <w:rFonts w:cs="Times New Roman"/>
                <w:b/>
                <w:sz w:val="20"/>
                <w:szCs w:val="20"/>
              </w:rPr>
              <w:t>Motion for leave to intervene</w:t>
            </w:r>
            <w:r w:rsidRPr="003717E5">
              <w:rPr>
                <w:rFonts w:cs="Times New Roman"/>
                <w:sz w:val="20"/>
                <w:szCs w:val="20"/>
              </w:rPr>
              <w:t xml:space="preserve"> </w:t>
            </w:r>
            <w:r w:rsidR="00414F7B" w:rsidRPr="003717E5">
              <w:rPr>
                <w:rFonts w:cs="Times New Roman"/>
                <w:b/>
                <w:sz w:val="20"/>
                <w:szCs w:val="20"/>
              </w:rPr>
              <w:fldChar w:fldCharType="begin"/>
            </w:r>
            <w:r w:rsidRPr="003717E5">
              <w:rPr>
                <w:rFonts w:cs="Times New Roman"/>
                <w:b/>
                <w:sz w:val="20"/>
                <w:szCs w:val="20"/>
              </w:rPr>
              <w:instrText xml:space="preserve"> SEQ CHAPTER \h \r 1</w:instrText>
            </w:r>
            <w:r w:rsidR="00414F7B" w:rsidRPr="003717E5">
              <w:rPr>
                <w:rFonts w:cs="Times New Roman"/>
                <w:b/>
                <w:sz w:val="20"/>
                <w:szCs w:val="20"/>
              </w:rPr>
              <w:fldChar w:fldCharType="end"/>
            </w:r>
          </w:p>
        </w:tc>
        <w:tc>
          <w:tcPr>
            <w:tcW w:w="1170" w:type="dxa"/>
          </w:tcPr>
          <w:p w:rsidR="00F37384" w:rsidRPr="003717E5" w:rsidRDefault="00F37384" w:rsidP="008440EE">
            <w:pPr>
              <w:rPr>
                <w:rFonts w:cs="Times New Roman"/>
                <w:sz w:val="20"/>
                <w:szCs w:val="20"/>
              </w:rPr>
            </w:pPr>
          </w:p>
          <w:p w:rsidR="00F37384" w:rsidRPr="003717E5" w:rsidRDefault="00F37384" w:rsidP="008440EE">
            <w:pPr>
              <w:rPr>
                <w:rFonts w:cs="Times New Roman"/>
                <w:sz w:val="20"/>
                <w:szCs w:val="20"/>
              </w:rPr>
            </w:pPr>
          </w:p>
        </w:tc>
        <w:tc>
          <w:tcPr>
            <w:tcW w:w="4327" w:type="dxa"/>
          </w:tcPr>
          <w:p w:rsidR="00F37384" w:rsidRPr="003717E5" w:rsidRDefault="00F37384" w:rsidP="008440EE">
            <w:pPr>
              <w:jc w:val="both"/>
              <w:rPr>
                <w:rFonts w:cs="Times New Roman"/>
                <w:b/>
                <w:sz w:val="20"/>
                <w:szCs w:val="20"/>
                <w:lang w:val="fr-CA"/>
              </w:rPr>
            </w:pPr>
            <w:r w:rsidRPr="003717E5">
              <w:rPr>
                <w:rFonts w:cs="Times New Roman"/>
                <w:b/>
                <w:bCs/>
                <w:sz w:val="20"/>
                <w:szCs w:val="20"/>
                <w:lang w:val="fr-CA"/>
              </w:rPr>
              <w:t>Requête en autorisation d’intervenir</w:t>
            </w:r>
            <w:r w:rsidRPr="003717E5">
              <w:rPr>
                <w:rFonts w:cs="Times New Roman"/>
                <w:sz w:val="20"/>
                <w:szCs w:val="20"/>
              </w:rPr>
              <w:t xml:space="preserve"> </w:t>
            </w:r>
            <w:r w:rsidR="00414F7B" w:rsidRPr="003717E5">
              <w:rPr>
                <w:rFonts w:cs="Times New Roman"/>
                <w:b/>
                <w:sz w:val="20"/>
                <w:szCs w:val="20"/>
              </w:rPr>
              <w:fldChar w:fldCharType="begin"/>
            </w:r>
            <w:r w:rsidRPr="003717E5">
              <w:rPr>
                <w:rFonts w:cs="Times New Roman"/>
                <w:b/>
                <w:sz w:val="20"/>
                <w:szCs w:val="20"/>
                <w:lang w:val="fr-CA"/>
              </w:rPr>
              <w:instrText xml:space="preserve"> SEQ CHAPTER \h \r 1</w:instrText>
            </w:r>
            <w:r w:rsidR="00414F7B" w:rsidRPr="003717E5">
              <w:rPr>
                <w:rFonts w:cs="Times New Roman"/>
                <w:b/>
                <w:sz w:val="20"/>
                <w:szCs w:val="20"/>
              </w:rPr>
              <w:fldChar w:fldCharType="end"/>
            </w:r>
          </w:p>
        </w:tc>
      </w:tr>
      <w:tr w:rsidR="00F37384" w:rsidRPr="0028361F" w:rsidTr="008440EE">
        <w:tc>
          <w:tcPr>
            <w:tcW w:w="1368" w:type="dxa"/>
          </w:tcPr>
          <w:p w:rsidR="00F37384" w:rsidRPr="003717E5" w:rsidRDefault="00F37384" w:rsidP="008440EE">
            <w:pPr>
              <w:rPr>
                <w:rFonts w:cs="Times New Roman"/>
                <w:sz w:val="20"/>
                <w:szCs w:val="20"/>
              </w:rPr>
            </w:pPr>
            <w:r w:rsidRPr="003717E5">
              <w:rPr>
                <w:rFonts w:cs="Times New Roman"/>
                <w:sz w:val="20"/>
                <w:szCs w:val="20"/>
              </w:rPr>
              <w:t>BY / PAR :</w:t>
            </w:r>
          </w:p>
        </w:tc>
        <w:tc>
          <w:tcPr>
            <w:tcW w:w="2970" w:type="dxa"/>
          </w:tcPr>
          <w:p w:rsidR="00F37384" w:rsidRPr="003717E5" w:rsidRDefault="00F37384" w:rsidP="008440EE">
            <w:pPr>
              <w:rPr>
                <w:rFonts w:cs="Times New Roman"/>
                <w:sz w:val="20"/>
                <w:szCs w:val="20"/>
                <w:lang w:val="fr-CA"/>
              </w:rPr>
            </w:pPr>
            <w:r w:rsidRPr="003717E5">
              <w:rPr>
                <w:rFonts w:cs="Times New Roman"/>
                <w:sz w:val="20"/>
                <w:szCs w:val="20"/>
                <w:lang w:val="fr-CA"/>
              </w:rPr>
              <w:t>Directeur des poursuites pénales du Canada</w:t>
            </w:r>
          </w:p>
        </w:tc>
        <w:tc>
          <w:tcPr>
            <w:tcW w:w="1170" w:type="dxa"/>
          </w:tcPr>
          <w:p w:rsidR="00F37384" w:rsidRPr="003717E5" w:rsidRDefault="00F37384" w:rsidP="008440EE">
            <w:pPr>
              <w:rPr>
                <w:rFonts w:cs="Times New Roman"/>
                <w:sz w:val="20"/>
                <w:szCs w:val="20"/>
                <w:lang w:val="fr-CA"/>
              </w:rPr>
            </w:pPr>
          </w:p>
        </w:tc>
        <w:tc>
          <w:tcPr>
            <w:tcW w:w="4327" w:type="dxa"/>
          </w:tcPr>
          <w:p w:rsidR="00F37384" w:rsidRPr="003717E5" w:rsidRDefault="00F37384" w:rsidP="008440EE">
            <w:pPr>
              <w:rPr>
                <w:rFonts w:cs="Times New Roman"/>
                <w:sz w:val="20"/>
                <w:szCs w:val="20"/>
                <w:lang w:val="fr-CA"/>
              </w:rPr>
            </w:pPr>
          </w:p>
        </w:tc>
      </w:tr>
      <w:tr w:rsidR="00F37384" w:rsidRPr="0028361F" w:rsidTr="008440EE">
        <w:tc>
          <w:tcPr>
            <w:tcW w:w="1368" w:type="dxa"/>
          </w:tcPr>
          <w:p w:rsidR="00F37384" w:rsidRPr="003717E5" w:rsidRDefault="00F37384" w:rsidP="008440EE">
            <w:pPr>
              <w:rPr>
                <w:rFonts w:cs="Times New Roman"/>
                <w:sz w:val="20"/>
                <w:szCs w:val="20"/>
                <w:lang w:val="fr-CA"/>
              </w:rPr>
            </w:pPr>
          </w:p>
        </w:tc>
        <w:tc>
          <w:tcPr>
            <w:tcW w:w="2970" w:type="dxa"/>
          </w:tcPr>
          <w:p w:rsidR="00F37384" w:rsidRPr="003717E5" w:rsidRDefault="00F37384" w:rsidP="008440EE">
            <w:pPr>
              <w:rPr>
                <w:rFonts w:cs="Times New Roman"/>
                <w:sz w:val="20"/>
                <w:szCs w:val="20"/>
                <w:lang w:val="fr-CA"/>
              </w:rPr>
            </w:pPr>
          </w:p>
        </w:tc>
        <w:tc>
          <w:tcPr>
            <w:tcW w:w="1170" w:type="dxa"/>
          </w:tcPr>
          <w:p w:rsidR="00F37384" w:rsidRPr="003717E5" w:rsidRDefault="00F37384" w:rsidP="008440EE">
            <w:pPr>
              <w:rPr>
                <w:rFonts w:cs="Times New Roman"/>
                <w:sz w:val="20"/>
                <w:szCs w:val="20"/>
                <w:lang w:val="fr-CA"/>
              </w:rPr>
            </w:pPr>
          </w:p>
        </w:tc>
        <w:tc>
          <w:tcPr>
            <w:tcW w:w="4327" w:type="dxa"/>
          </w:tcPr>
          <w:p w:rsidR="00F37384" w:rsidRPr="003717E5" w:rsidRDefault="00F37384" w:rsidP="008440EE">
            <w:pPr>
              <w:rPr>
                <w:rFonts w:cs="Times New Roman"/>
                <w:sz w:val="20"/>
                <w:szCs w:val="20"/>
                <w:lang w:val="fr-CA"/>
              </w:rPr>
            </w:pPr>
          </w:p>
        </w:tc>
      </w:tr>
      <w:tr w:rsidR="00F37384" w:rsidRPr="003717E5" w:rsidTr="008440EE">
        <w:tc>
          <w:tcPr>
            <w:tcW w:w="1368" w:type="dxa"/>
          </w:tcPr>
          <w:p w:rsidR="00F37384" w:rsidRPr="003717E5" w:rsidRDefault="00F37384" w:rsidP="008440EE">
            <w:pPr>
              <w:rPr>
                <w:rFonts w:cs="Times New Roman"/>
                <w:sz w:val="20"/>
                <w:szCs w:val="20"/>
              </w:rPr>
            </w:pPr>
            <w:r w:rsidRPr="003717E5">
              <w:rPr>
                <w:rFonts w:cs="Times New Roman"/>
                <w:sz w:val="20"/>
                <w:szCs w:val="20"/>
              </w:rPr>
              <w:t>IN / DANS :</w:t>
            </w:r>
          </w:p>
        </w:tc>
        <w:tc>
          <w:tcPr>
            <w:tcW w:w="2970" w:type="dxa"/>
          </w:tcPr>
          <w:p w:rsidR="00F37384" w:rsidRPr="003717E5" w:rsidRDefault="00F37384" w:rsidP="008440EE">
            <w:pPr>
              <w:rPr>
                <w:rFonts w:cs="Times New Roman"/>
                <w:sz w:val="20"/>
                <w:szCs w:val="20"/>
              </w:rPr>
            </w:pPr>
            <w:r w:rsidRPr="003717E5">
              <w:rPr>
                <w:rFonts w:cs="Times New Roman"/>
                <w:sz w:val="20"/>
                <w:szCs w:val="20"/>
              </w:rPr>
              <w:t>Sa Majesté la Reine</w:t>
            </w:r>
          </w:p>
          <w:p w:rsidR="00F37384" w:rsidRPr="003717E5" w:rsidRDefault="00F37384" w:rsidP="008440EE">
            <w:pPr>
              <w:rPr>
                <w:rFonts w:cs="Times New Roman"/>
                <w:sz w:val="20"/>
                <w:szCs w:val="20"/>
              </w:rPr>
            </w:pPr>
          </w:p>
        </w:tc>
        <w:tc>
          <w:tcPr>
            <w:tcW w:w="1170" w:type="dxa"/>
          </w:tcPr>
          <w:p w:rsidR="00F37384" w:rsidRPr="003717E5" w:rsidRDefault="00F37384" w:rsidP="008440EE">
            <w:pPr>
              <w:rPr>
                <w:rFonts w:cs="Times New Roman"/>
                <w:sz w:val="20"/>
                <w:szCs w:val="20"/>
              </w:rPr>
            </w:pPr>
          </w:p>
        </w:tc>
        <w:tc>
          <w:tcPr>
            <w:tcW w:w="4327" w:type="dxa"/>
          </w:tcPr>
          <w:p w:rsidR="00F37384" w:rsidRPr="003717E5" w:rsidRDefault="00F37384" w:rsidP="008440EE">
            <w:pPr>
              <w:rPr>
                <w:rFonts w:cs="Times New Roman"/>
                <w:sz w:val="20"/>
                <w:szCs w:val="20"/>
              </w:rPr>
            </w:pPr>
          </w:p>
        </w:tc>
      </w:tr>
      <w:tr w:rsidR="00F37384" w:rsidRPr="003717E5" w:rsidTr="008440EE">
        <w:tc>
          <w:tcPr>
            <w:tcW w:w="1368" w:type="dxa"/>
          </w:tcPr>
          <w:p w:rsidR="00F37384" w:rsidRPr="003717E5" w:rsidRDefault="00F37384" w:rsidP="008440EE">
            <w:pPr>
              <w:rPr>
                <w:rFonts w:cs="Times New Roman"/>
                <w:sz w:val="20"/>
                <w:szCs w:val="20"/>
              </w:rPr>
            </w:pPr>
          </w:p>
        </w:tc>
        <w:tc>
          <w:tcPr>
            <w:tcW w:w="2970" w:type="dxa"/>
          </w:tcPr>
          <w:p w:rsidR="00F37384" w:rsidRPr="003717E5" w:rsidRDefault="00F37384" w:rsidP="008440EE">
            <w:pPr>
              <w:rPr>
                <w:rFonts w:cs="Times New Roman"/>
                <w:sz w:val="20"/>
                <w:szCs w:val="20"/>
              </w:rPr>
            </w:pPr>
            <w:r w:rsidRPr="003717E5">
              <w:rPr>
                <w:rFonts w:cs="Times New Roman"/>
                <w:sz w:val="20"/>
                <w:szCs w:val="20"/>
              </w:rPr>
              <w:tab/>
              <w:t>c. (34557)</w:t>
            </w:r>
          </w:p>
          <w:p w:rsidR="00F37384" w:rsidRPr="003717E5" w:rsidRDefault="00F37384" w:rsidP="008440EE">
            <w:pPr>
              <w:rPr>
                <w:rFonts w:cs="Times New Roman"/>
                <w:sz w:val="20"/>
                <w:szCs w:val="20"/>
              </w:rPr>
            </w:pPr>
          </w:p>
        </w:tc>
        <w:tc>
          <w:tcPr>
            <w:tcW w:w="1170" w:type="dxa"/>
          </w:tcPr>
          <w:p w:rsidR="00F37384" w:rsidRPr="003717E5" w:rsidRDefault="00F37384" w:rsidP="008440EE">
            <w:pPr>
              <w:rPr>
                <w:rFonts w:cs="Times New Roman"/>
                <w:sz w:val="20"/>
                <w:szCs w:val="20"/>
              </w:rPr>
            </w:pPr>
          </w:p>
        </w:tc>
        <w:tc>
          <w:tcPr>
            <w:tcW w:w="4327" w:type="dxa"/>
          </w:tcPr>
          <w:p w:rsidR="00F37384" w:rsidRPr="003717E5" w:rsidRDefault="00F37384" w:rsidP="008440EE">
            <w:pPr>
              <w:rPr>
                <w:rFonts w:cs="Times New Roman"/>
                <w:sz w:val="20"/>
                <w:szCs w:val="20"/>
              </w:rPr>
            </w:pPr>
          </w:p>
        </w:tc>
      </w:tr>
      <w:tr w:rsidR="00F37384" w:rsidRPr="003717E5" w:rsidTr="008440EE">
        <w:tc>
          <w:tcPr>
            <w:tcW w:w="1368" w:type="dxa"/>
          </w:tcPr>
          <w:p w:rsidR="00F37384" w:rsidRPr="003717E5" w:rsidRDefault="00F37384" w:rsidP="008440EE">
            <w:pPr>
              <w:rPr>
                <w:rFonts w:cs="Times New Roman"/>
                <w:sz w:val="20"/>
                <w:szCs w:val="20"/>
              </w:rPr>
            </w:pPr>
          </w:p>
        </w:tc>
        <w:tc>
          <w:tcPr>
            <w:tcW w:w="2970" w:type="dxa"/>
          </w:tcPr>
          <w:p w:rsidR="00F37384" w:rsidRPr="003717E5" w:rsidRDefault="00F37384" w:rsidP="008440EE">
            <w:pPr>
              <w:jc w:val="both"/>
              <w:rPr>
                <w:rFonts w:cs="Times New Roman"/>
                <w:sz w:val="20"/>
                <w:szCs w:val="20"/>
                <w:lang w:val="fr-CA"/>
              </w:rPr>
            </w:pPr>
            <w:r w:rsidRPr="003717E5">
              <w:rPr>
                <w:rFonts w:cs="Times New Roman"/>
                <w:sz w:val="20"/>
                <w:szCs w:val="20"/>
                <w:lang w:val="fr-CA"/>
              </w:rPr>
              <w:t>Nicole Rochon (Crim.) (Qc)</w:t>
            </w:r>
          </w:p>
        </w:tc>
        <w:tc>
          <w:tcPr>
            <w:tcW w:w="1170" w:type="dxa"/>
          </w:tcPr>
          <w:p w:rsidR="00F37384" w:rsidRPr="003717E5" w:rsidRDefault="00F37384" w:rsidP="008440EE">
            <w:pPr>
              <w:rPr>
                <w:rFonts w:cs="Times New Roman"/>
                <w:sz w:val="20"/>
                <w:szCs w:val="20"/>
                <w:lang w:val="fr-CA"/>
              </w:rPr>
            </w:pPr>
          </w:p>
        </w:tc>
        <w:tc>
          <w:tcPr>
            <w:tcW w:w="4327" w:type="dxa"/>
          </w:tcPr>
          <w:p w:rsidR="00F37384" w:rsidRPr="003717E5" w:rsidRDefault="00F37384" w:rsidP="008440EE">
            <w:pPr>
              <w:rPr>
                <w:rFonts w:cs="Times New Roman"/>
                <w:sz w:val="20"/>
                <w:szCs w:val="20"/>
                <w:lang w:val="fr-CA"/>
              </w:rPr>
            </w:pPr>
          </w:p>
        </w:tc>
      </w:tr>
    </w:tbl>
    <w:p w:rsidR="00F37384" w:rsidRPr="003717E5" w:rsidRDefault="00F37384" w:rsidP="00F37384">
      <w:pPr>
        <w:tabs>
          <w:tab w:val="left" w:pos="-1440"/>
          <w:tab w:val="left" w:pos="-720"/>
        </w:tabs>
        <w:jc w:val="both"/>
        <w:rPr>
          <w:rFonts w:cs="Times New Roman"/>
          <w:sz w:val="20"/>
          <w:szCs w:val="20"/>
          <w:lang w:val="fr-CA"/>
        </w:rPr>
      </w:pPr>
    </w:p>
    <w:p w:rsidR="00F37384" w:rsidRPr="003717E5" w:rsidRDefault="00F37384" w:rsidP="00F37384">
      <w:pPr>
        <w:tabs>
          <w:tab w:val="left" w:pos="-1440"/>
          <w:tab w:val="left" w:pos="-720"/>
        </w:tabs>
        <w:jc w:val="both"/>
        <w:rPr>
          <w:rFonts w:cs="Times New Roman"/>
          <w:b/>
          <w:sz w:val="20"/>
          <w:szCs w:val="20"/>
          <w:lang w:val="fr-CA"/>
        </w:rPr>
      </w:pPr>
      <w:r w:rsidRPr="003717E5">
        <w:rPr>
          <w:rFonts w:cs="Times New Roman"/>
          <w:b/>
          <w:sz w:val="20"/>
          <w:szCs w:val="20"/>
          <w:lang w:val="fr-CA"/>
        </w:rPr>
        <w:t>GRANTED / ACCORDÉE</w:t>
      </w:r>
    </w:p>
    <w:p w:rsidR="00F37384" w:rsidRPr="003717E5" w:rsidRDefault="00F37384" w:rsidP="00F37384">
      <w:pPr>
        <w:tabs>
          <w:tab w:val="left" w:pos="-1440"/>
          <w:tab w:val="left" w:pos="-720"/>
        </w:tabs>
        <w:jc w:val="both"/>
        <w:rPr>
          <w:rFonts w:cs="Times New Roman"/>
          <w:sz w:val="20"/>
          <w:szCs w:val="20"/>
          <w:lang w:val="fr-CA"/>
        </w:rPr>
      </w:pPr>
    </w:p>
    <w:p w:rsidR="00F37384" w:rsidRPr="003717E5" w:rsidRDefault="00F37384" w:rsidP="00F37384">
      <w:pPr>
        <w:spacing w:line="233" w:lineRule="auto"/>
        <w:jc w:val="both"/>
        <w:rPr>
          <w:rFonts w:cs="Times New Roman"/>
          <w:sz w:val="20"/>
          <w:szCs w:val="20"/>
          <w:lang w:val="fr-FR"/>
        </w:rPr>
      </w:pPr>
      <w:r w:rsidRPr="003717E5">
        <w:rPr>
          <w:rFonts w:cs="Times New Roman"/>
          <w:b/>
          <w:bCs/>
          <w:sz w:val="20"/>
          <w:szCs w:val="20"/>
          <w:lang w:val="fr-CA"/>
        </w:rPr>
        <w:t xml:space="preserve">À LA SUITE DE LA REQUÊTE </w:t>
      </w:r>
      <w:r w:rsidRPr="003717E5">
        <w:rPr>
          <w:rFonts w:cs="Times New Roman"/>
          <w:sz w:val="20"/>
          <w:szCs w:val="20"/>
          <w:lang w:val="fr-CA"/>
        </w:rPr>
        <w:t>présentée par le</w:t>
      </w:r>
      <w:r w:rsidRPr="003717E5">
        <w:rPr>
          <w:rFonts w:cs="Times New Roman"/>
          <w:sz w:val="20"/>
          <w:szCs w:val="20"/>
          <w:lang w:val="fr-FR"/>
        </w:rPr>
        <w:t xml:space="preserve"> </w:t>
      </w:r>
      <w:r w:rsidRPr="003717E5">
        <w:rPr>
          <w:rFonts w:cs="Times New Roman"/>
          <w:sz w:val="20"/>
          <w:szCs w:val="20"/>
          <w:lang w:val="fr-CA"/>
        </w:rPr>
        <w:t xml:space="preserve">Directeur des poursuites pénales </w:t>
      </w:r>
      <w:r w:rsidRPr="003717E5">
        <w:rPr>
          <w:rFonts w:cs="Times New Roman"/>
          <w:sz w:val="20"/>
          <w:szCs w:val="20"/>
          <w:lang w:val="fr-FR"/>
        </w:rPr>
        <w:t>pour obtenir l’autorisation d’intervenir dans le présent appel</w:t>
      </w:r>
      <w:r w:rsidRPr="003717E5">
        <w:rPr>
          <w:rFonts w:cs="Times New Roman"/>
          <w:sz w:val="20"/>
          <w:szCs w:val="20"/>
          <w:lang w:val="fr-CA"/>
        </w:rPr>
        <w:t>;</w:t>
      </w:r>
    </w:p>
    <w:p w:rsidR="00F37384" w:rsidRPr="003717E5" w:rsidRDefault="00F37384" w:rsidP="00F37384">
      <w:pPr>
        <w:spacing w:line="233" w:lineRule="auto"/>
        <w:jc w:val="both"/>
        <w:rPr>
          <w:rFonts w:cs="Times New Roman"/>
          <w:sz w:val="20"/>
          <w:szCs w:val="20"/>
          <w:lang w:val="fr-CA"/>
        </w:rPr>
      </w:pPr>
    </w:p>
    <w:p w:rsidR="00F37384" w:rsidRPr="003717E5" w:rsidRDefault="00F37384" w:rsidP="00F37384">
      <w:pPr>
        <w:spacing w:line="233" w:lineRule="auto"/>
        <w:jc w:val="both"/>
        <w:rPr>
          <w:rFonts w:cs="Times New Roman"/>
          <w:sz w:val="20"/>
          <w:szCs w:val="20"/>
          <w:lang w:val="fr-CA"/>
        </w:rPr>
      </w:pPr>
      <w:r w:rsidRPr="003717E5">
        <w:rPr>
          <w:rFonts w:cs="Times New Roman"/>
          <w:b/>
          <w:bCs/>
          <w:sz w:val="20"/>
          <w:szCs w:val="20"/>
          <w:lang w:val="fr-CA"/>
        </w:rPr>
        <w:t xml:space="preserve">ET APRÈS EXAMEN </w:t>
      </w:r>
      <w:r w:rsidRPr="003717E5">
        <w:rPr>
          <w:rFonts w:cs="Times New Roman"/>
          <w:sz w:val="20"/>
          <w:szCs w:val="20"/>
          <w:lang w:val="fr-CA"/>
        </w:rPr>
        <w:t xml:space="preserve">des documents déposés; </w:t>
      </w:r>
    </w:p>
    <w:p w:rsidR="00F37384" w:rsidRPr="003717E5" w:rsidRDefault="00F37384" w:rsidP="00F37384">
      <w:pPr>
        <w:spacing w:line="233" w:lineRule="auto"/>
        <w:jc w:val="both"/>
        <w:rPr>
          <w:rFonts w:cs="Times New Roman"/>
          <w:sz w:val="20"/>
          <w:szCs w:val="20"/>
          <w:lang w:val="fr-CA"/>
        </w:rPr>
      </w:pPr>
    </w:p>
    <w:p w:rsidR="00F37384" w:rsidRPr="003717E5" w:rsidRDefault="00F37384" w:rsidP="00F37384">
      <w:pPr>
        <w:spacing w:line="233" w:lineRule="auto"/>
        <w:jc w:val="both"/>
        <w:rPr>
          <w:rFonts w:cs="Times New Roman"/>
          <w:sz w:val="20"/>
          <w:szCs w:val="20"/>
          <w:lang w:val="fr-CA"/>
        </w:rPr>
      </w:pPr>
      <w:r w:rsidRPr="003717E5">
        <w:rPr>
          <w:rFonts w:cs="Times New Roman"/>
          <w:b/>
          <w:bCs/>
          <w:sz w:val="20"/>
          <w:szCs w:val="20"/>
          <w:lang w:val="fr-CA"/>
        </w:rPr>
        <w:t xml:space="preserve">IL EST ORDONNÉ CE QUI SUIT : </w:t>
      </w:r>
    </w:p>
    <w:p w:rsidR="00F37384" w:rsidRPr="003717E5" w:rsidRDefault="00F37384" w:rsidP="00F37384">
      <w:pPr>
        <w:spacing w:line="233" w:lineRule="auto"/>
        <w:jc w:val="both"/>
        <w:rPr>
          <w:rFonts w:cs="Times New Roman"/>
          <w:sz w:val="20"/>
          <w:szCs w:val="20"/>
          <w:lang w:val="fr-CA"/>
        </w:rPr>
      </w:pPr>
    </w:p>
    <w:p w:rsidR="00F37384" w:rsidRPr="003717E5" w:rsidRDefault="00F37384" w:rsidP="00F37384">
      <w:pPr>
        <w:spacing w:line="233" w:lineRule="auto"/>
        <w:jc w:val="both"/>
        <w:rPr>
          <w:rFonts w:cs="Times New Roman"/>
          <w:sz w:val="20"/>
          <w:szCs w:val="20"/>
          <w:lang w:val="fr-CA"/>
        </w:rPr>
      </w:pPr>
      <w:r w:rsidRPr="003717E5">
        <w:rPr>
          <w:rFonts w:cs="Times New Roman"/>
          <w:sz w:val="20"/>
          <w:szCs w:val="20"/>
          <w:lang w:val="fr-CA"/>
        </w:rPr>
        <w:t xml:space="preserve">La requête </w:t>
      </w:r>
      <w:r w:rsidR="00414F7B" w:rsidRPr="003717E5">
        <w:rPr>
          <w:rFonts w:cs="Times New Roman"/>
          <w:sz w:val="20"/>
          <w:szCs w:val="20"/>
        </w:rPr>
        <w:fldChar w:fldCharType="begin"/>
      </w:r>
      <w:r w:rsidRPr="003717E5">
        <w:rPr>
          <w:rFonts w:cs="Times New Roman"/>
          <w:sz w:val="20"/>
          <w:szCs w:val="20"/>
          <w:lang w:val="fr-FR"/>
        </w:rPr>
        <w:instrText xml:space="preserve"> SEQ CHAPTER \h \r 1</w:instrText>
      </w:r>
      <w:r w:rsidR="00414F7B" w:rsidRPr="003717E5">
        <w:rPr>
          <w:rFonts w:cs="Times New Roman"/>
          <w:sz w:val="20"/>
          <w:szCs w:val="20"/>
        </w:rPr>
        <w:fldChar w:fldCharType="end"/>
      </w:r>
      <w:r w:rsidRPr="003717E5">
        <w:rPr>
          <w:rFonts w:cs="Times New Roman"/>
          <w:sz w:val="20"/>
          <w:szCs w:val="20"/>
          <w:lang w:val="fr-CA"/>
        </w:rPr>
        <w:t xml:space="preserve">en autorisation d’intervenir du </w:t>
      </w:r>
      <w:r w:rsidR="00414F7B" w:rsidRPr="003717E5">
        <w:rPr>
          <w:rFonts w:cs="Times New Roman"/>
          <w:sz w:val="20"/>
          <w:szCs w:val="20"/>
        </w:rPr>
        <w:fldChar w:fldCharType="begin"/>
      </w:r>
      <w:r w:rsidRPr="003717E5">
        <w:rPr>
          <w:rFonts w:cs="Times New Roman"/>
          <w:sz w:val="20"/>
          <w:szCs w:val="20"/>
          <w:lang w:val="fr-FR"/>
        </w:rPr>
        <w:instrText xml:space="preserve"> SEQ CHAPTER \h \r 1</w:instrText>
      </w:r>
      <w:r w:rsidR="00414F7B" w:rsidRPr="003717E5">
        <w:rPr>
          <w:rFonts w:cs="Times New Roman"/>
          <w:sz w:val="20"/>
          <w:szCs w:val="20"/>
        </w:rPr>
        <w:fldChar w:fldCharType="end"/>
      </w:r>
      <w:r w:rsidRPr="003717E5">
        <w:rPr>
          <w:rFonts w:cs="Times New Roman"/>
          <w:sz w:val="20"/>
          <w:szCs w:val="20"/>
          <w:lang w:val="fr-FR"/>
        </w:rPr>
        <w:t xml:space="preserve">Directeur des poursuites pénales </w:t>
      </w:r>
      <w:r w:rsidRPr="003717E5">
        <w:rPr>
          <w:rFonts w:cs="Times New Roman"/>
          <w:sz w:val="20"/>
          <w:szCs w:val="20"/>
          <w:lang w:val="fr-CA"/>
        </w:rPr>
        <w:t>est acceuillie et cet intervenant est autorisé à signifier et déposer un mémoire d’au plus 10 pages au plus tard le 29 juin 2012.</w:t>
      </w:r>
    </w:p>
    <w:p w:rsidR="00F37384" w:rsidRPr="003717E5" w:rsidRDefault="00F37384" w:rsidP="00F37384">
      <w:pPr>
        <w:spacing w:line="233" w:lineRule="auto"/>
        <w:jc w:val="both"/>
        <w:rPr>
          <w:rFonts w:cs="Times New Roman"/>
          <w:sz w:val="20"/>
          <w:szCs w:val="20"/>
          <w:lang w:val="fr-CA"/>
        </w:rPr>
      </w:pPr>
    </w:p>
    <w:p w:rsidR="00F37384" w:rsidRPr="003717E5" w:rsidRDefault="00F37384" w:rsidP="00F37384">
      <w:pPr>
        <w:spacing w:line="233" w:lineRule="auto"/>
        <w:jc w:val="both"/>
        <w:rPr>
          <w:rFonts w:cs="Times New Roman"/>
          <w:sz w:val="20"/>
          <w:szCs w:val="20"/>
          <w:lang w:val="fr-CA"/>
        </w:rPr>
      </w:pPr>
      <w:r w:rsidRPr="003717E5">
        <w:rPr>
          <w:rFonts w:cs="Times New Roman"/>
          <w:sz w:val="20"/>
          <w:szCs w:val="20"/>
          <w:lang w:val="fr-CA"/>
        </w:rPr>
        <w:t>La décision sur la demande en vue de présenter une plaidoirie orale sera rendue après réception et examen des arguments écrits des parties et de l’intervenant.</w:t>
      </w:r>
    </w:p>
    <w:p w:rsidR="00F37384" w:rsidRPr="003717E5" w:rsidRDefault="00F37384" w:rsidP="00F37384">
      <w:pPr>
        <w:spacing w:line="233" w:lineRule="auto"/>
        <w:jc w:val="both"/>
        <w:rPr>
          <w:rFonts w:cs="Times New Roman"/>
          <w:sz w:val="20"/>
          <w:szCs w:val="20"/>
          <w:lang w:val="fr-CA"/>
        </w:rPr>
      </w:pPr>
    </w:p>
    <w:p w:rsidR="00F37384" w:rsidRPr="003717E5" w:rsidRDefault="00F37384" w:rsidP="00F37384">
      <w:pPr>
        <w:shd w:val="clear" w:color="auto" w:fill="FFFFFF"/>
        <w:jc w:val="both"/>
        <w:rPr>
          <w:rFonts w:cs="Times New Roman"/>
          <w:bCs/>
          <w:sz w:val="20"/>
          <w:szCs w:val="20"/>
          <w:lang w:val="fr-FR"/>
        </w:rPr>
      </w:pPr>
      <w:r w:rsidRPr="003717E5">
        <w:rPr>
          <w:rFonts w:cs="Times New Roman"/>
          <w:bCs/>
          <w:sz w:val="20"/>
          <w:szCs w:val="20"/>
          <w:lang w:val="fr-FR"/>
        </w:rPr>
        <w:t>L’intervenant n'a pas le droit de soulever de nouvelles questions, de produire d'autres éléments de preuve ni de compléter de quelque autre façon le dossier des parties.</w:t>
      </w:r>
    </w:p>
    <w:p w:rsidR="00F37384" w:rsidRPr="003717E5" w:rsidRDefault="00F37384" w:rsidP="00F37384">
      <w:pPr>
        <w:shd w:val="clear" w:color="auto" w:fill="FFFFFF"/>
        <w:jc w:val="both"/>
        <w:rPr>
          <w:rFonts w:cs="Times New Roman"/>
          <w:sz w:val="20"/>
          <w:szCs w:val="20"/>
          <w:lang w:val="fr-FR"/>
        </w:rPr>
      </w:pPr>
    </w:p>
    <w:p w:rsidR="00F37384" w:rsidRPr="003717E5" w:rsidRDefault="00F37384" w:rsidP="00F37384">
      <w:pPr>
        <w:spacing w:line="233" w:lineRule="auto"/>
        <w:jc w:val="both"/>
        <w:rPr>
          <w:rFonts w:cs="Times New Roman"/>
          <w:sz w:val="20"/>
          <w:szCs w:val="20"/>
          <w:lang w:val="fr-CA"/>
        </w:rPr>
      </w:pPr>
      <w:r w:rsidRPr="003717E5">
        <w:rPr>
          <w:rFonts w:cs="Times New Roman"/>
          <w:sz w:val="20"/>
          <w:szCs w:val="20"/>
          <w:lang w:val="fr-CA"/>
        </w:rPr>
        <w:t>Conformément à l’al. 59(1)</w:t>
      </w:r>
      <w:r w:rsidRPr="003717E5">
        <w:rPr>
          <w:rFonts w:cs="Times New Roman"/>
          <w:i/>
          <w:iCs/>
          <w:sz w:val="20"/>
          <w:szCs w:val="20"/>
          <w:lang w:val="fr-CA"/>
        </w:rPr>
        <w:t>a</w:t>
      </w:r>
      <w:r w:rsidRPr="003717E5">
        <w:rPr>
          <w:rFonts w:cs="Times New Roman"/>
          <w:sz w:val="20"/>
          <w:szCs w:val="20"/>
          <w:lang w:val="fr-CA"/>
        </w:rPr>
        <w:t xml:space="preserve">) des </w:t>
      </w:r>
      <w:r w:rsidRPr="003717E5">
        <w:rPr>
          <w:rFonts w:cs="Times New Roman"/>
          <w:i/>
          <w:iCs/>
          <w:sz w:val="20"/>
          <w:szCs w:val="20"/>
          <w:lang w:val="fr-CA"/>
        </w:rPr>
        <w:t>Règles de la Cour suprême du Canada</w:t>
      </w:r>
      <w:r w:rsidRPr="003717E5">
        <w:rPr>
          <w:rFonts w:cs="Times New Roman"/>
          <w:sz w:val="20"/>
          <w:szCs w:val="20"/>
          <w:lang w:val="fr-CA"/>
        </w:rPr>
        <w:t>, l’intervenant paiera à l’appelante et à l’intimée tous les débours supplémentaires résultant de son intervention.</w:t>
      </w:r>
    </w:p>
    <w:p w:rsidR="00F37384" w:rsidRPr="003717E5" w:rsidRDefault="00F37384" w:rsidP="00F37384">
      <w:pPr>
        <w:tabs>
          <w:tab w:val="left" w:pos="-1440"/>
          <w:tab w:val="left" w:pos="-720"/>
        </w:tabs>
        <w:jc w:val="both"/>
        <w:rPr>
          <w:rFonts w:cs="Times New Roman"/>
          <w:sz w:val="20"/>
          <w:szCs w:val="20"/>
          <w:lang w:val="fr-CA"/>
        </w:rPr>
      </w:pPr>
    </w:p>
    <w:p w:rsidR="00F37384" w:rsidRPr="003717E5" w:rsidRDefault="00F37384" w:rsidP="00F37384">
      <w:pPr>
        <w:tabs>
          <w:tab w:val="left" w:pos="-1440"/>
          <w:tab w:val="left" w:pos="-720"/>
        </w:tabs>
        <w:jc w:val="both"/>
        <w:rPr>
          <w:rFonts w:cs="Times New Roman"/>
          <w:sz w:val="20"/>
          <w:szCs w:val="20"/>
          <w:lang w:val="fr-CA"/>
        </w:rPr>
      </w:pPr>
    </w:p>
    <w:p w:rsidR="00F37384" w:rsidRPr="003717E5" w:rsidRDefault="00F37384" w:rsidP="00F37384">
      <w:pPr>
        <w:tabs>
          <w:tab w:val="left" w:pos="-1440"/>
          <w:tab w:val="left" w:pos="-720"/>
        </w:tabs>
        <w:jc w:val="both"/>
        <w:rPr>
          <w:rFonts w:cs="Times New Roman"/>
          <w:sz w:val="20"/>
          <w:szCs w:val="20"/>
          <w:lang w:val="fr-CA"/>
        </w:rPr>
      </w:pPr>
    </w:p>
    <w:p w:rsidR="00F37384" w:rsidRPr="003717E5" w:rsidRDefault="00F37384" w:rsidP="00F37384">
      <w:pPr>
        <w:spacing w:line="233" w:lineRule="auto"/>
        <w:jc w:val="both"/>
        <w:rPr>
          <w:rFonts w:cs="Times New Roman"/>
          <w:sz w:val="20"/>
          <w:szCs w:val="20"/>
        </w:rPr>
      </w:pPr>
      <w:r w:rsidRPr="003717E5">
        <w:rPr>
          <w:rFonts w:cs="Times New Roman"/>
          <w:b/>
          <w:bCs/>
          <w:sz w:val="20"/>
          <w:szCs w:val="20"/>
        </w:rPr>
        <w:t xml:space="preserve">UPON A MOTION </w:t>
      </w:r>
      <w:r w:rsidRPr="003717E5">
        <w:rPr>
          <w:rFonts w:cs="Times New Roman"/>
          <w:sz w:val="20"/>
          <w:szCs w:val="20"/>
        </w:rPr>
        <w:t>by the Director of Public Prosecutions for leave to intervene in the above appeal;</w:t>
      </w:r>
    </w:p>
    <w:p w:rsidR="00F37384" w:rsidRPr="003717E5" w:rsidRDefault="00F37384" w:rsidP="00F37384">
      <w:pPr>
        <w:spacing w:line="233" w:lineRule="auto"/>
        <w:jc w:val="both"/>
        <w:rPr>
          <w:rFonts w:cs="Times New Roman"/>
          <w:sz w:val="20"/>
          <w:szCs w:val="20"/>
        </w:rPr>
      </w:pPr>
    </w:p>
    <w:p w:rsidR="00F37384" w:rsidRPr="003717E5" w:rsidRDefault="00F37384" w:rsidP="00F37384">
      <w:pPr>
        <w:spacing w:line="233" w:lineRule="auto"/>
        <w:jc w:val="both"/>
        <w:rPr>
          <w:rFonts w:cs="Times New Roman"/>
          <w:sz w:val="20"/>
          <w:szCs w:val="20"/>
        </w:rPr>
      </w:pPr>
      <w:r w:rsidRPr="003717E5">
        <w:rPr>
          <w:rFonts w:cs="Times New Roman"/>
          <w:b/>
          <w:bCs/>
          <w:sz w:val="20"/>
          <w:szCs w:val="20"/>
        </w:rPr>
        <w:t xml:space="preserve">AND THE MATERIAL FILED </w:t>
      </w:r>
      <w:r w:rsidRPr="003717E5">
        <w:rPr>
          <w:rFonts w:cs="Times New Roman"/>
          <w:sz w:val="20"/>
          <w:szCs w:val="20"/>
        </w:rPr>
        <w:t xml:space="preserve">having been read; </w:t>
      </w:r>
    </w:p>
    <w:p w:rsidR="00F37384" w:rsidRPr="003717E5" w:rsidRDefault="00F37384" w:rsidP="00F37384">
      <w:pPr>
        <w:spacing w:line="233" w:lineRule="auto"/>
        <w:jc w:val="both"/>
        <w:rPr>
          <w:rFonts w:cs="Times New Roman"/>
          <w:sz w:val="20"/>
          <w:szCs w:val="20"/>
        </w:rPr>
      </w:pPr>
    </w:p>
    <w:p w:rsidR="00F37384" w:rsidRPr="003717E5" w:rsidRDefault="00F37384" w:rsidP="00F37384">
      <w:pPr>
        <w:spacing w:line="233" w:lineRule="auto"/>
        <w:jc w:val="both"/>
        <w:rPr>
          <w:rFonts w:cs="Times New Roman"/>
          <w:sz w:val="20"/>
          <w:szCs w:val="20"/>
        </w:rPr>
      </w:pPr>
      <w:r w:rsidRPr="003717E5">
        <w:rPr>
          <w:rFonts w:cs="Times New Roman"/>
          <w:b/>
          <w:bCs/>
          <w:sz w:val="20"/>
          <w:szCs w:val="20"/>
        </w:rPr>
        <w:t xml:space="preserve">IT IS HEREBY ORDERED THAT: </w:t>
      </w:r>
    </w:p>
    <w:p w:rsidR="00F37384" w:rsidRPr="003717E5" w:rsidRDefault="00F37384" w:rsidP="00F37384">
      <w:pPr>
        <w:spacing w:line="233" w:lineRule="auto"/>
        <w:jc w:val="both"/>
        <w:rPr>
          <w:rFonts w:cs="Times New Roman"/>
          <w:sz w:val="20"/>
          <w:szCs w:val="20"/>
        </w:rPr>
      </w:pPr>
    </w:p>
    <w:p w:rsidR="00F37384" w:rsidRPr="003717E5" w:rsidRDefault="00F37384" w:rsidP="00F37384">
      <w:pPr>
        <w:spacing w:line="233" w:lineRule="auto"/>
        <w:jc w:val="both"/>
        <w:rPr>
          <w:rFonts w:cs="Times New Roman"/>
          <w:sz w:val="20"/>
          <w:szCs w:val="20"/>
        </w:rPr>
      </w:pPr>
      <w:r w:rsidRPr="003717E5">
        <w:rPr>
          <w:rFonts w:cs="Times New Roman"/>
          <w:sz w:val="20"/>
          <w:szCs w:val="20"/>
        </w:rPr>
        <w:t>The motion for leave to intervene by the Director of Public Prosecutions is granted and the said intervener shall be entitled to serve and file a factum not to exceed 10 pages in length on or before June 29, 2012.</w:t>
      </w:r>
    </w:p>
    <w:p w:rsidR="00F37384" w:rsidRPr="003717E5" w:rsidRDefault="00F37384" w:rsidP="00F37384">
      <w:pPr>
        <w:spacing w:line="233" w:lineRule="auto"/>
        <w:jc w:val="both"/>
        <w:rPr>
          <w:rFonts w:cs="Times New Roman"/>
          <w:sz w:val="20"/>
          <w:szCs w:val="20"/>
        </w:rPr>
      </w:pPr>
    </w:p>
    <w:p w:rsidR="00F37384" w:rsidRPr="003717E5" w:rsidRDefault="00F37384" w:rsidP="00F37384">
      <w:pPr>
        <w:spacing w:line="233" w:lineRule="auto"/>
        <w:jc w:val="both"/>
        <w:rPr>
          <w:rFonts w:cs="Times New Roman"/>
          <w:sz w:val="20"/>
          <w:szCs w:val="20"/>
        </w:rPr>
      </w:pPr>
      <w:r w:rsidRPr="003717E5">
        <w:rPr>
          <w:rFonts w:cs="Times New Roman"/>
          <w:sz w:val="20"/>
          <w:szCs w:val="20"/>
        </w:rPr>
        <w:t>The request to present oral argument is deferred to a date following receipt and consideration of the written arguments of the parties and the intervener.</w:t>
      </w:r>
    </w:p>
    <w:p w:rsidR="00F37384" w:rsidRPr="003717E5" w:rsidRDefault="00F37384" w:rsidP="00F37384">
      <w:pPr>
        <w:spacing w:line="233" w:lineRule="auto"/>
        <w:jc w:val="both"/>
        <w:rPr>
          <w:rFonts w:cs="Times New Roman"/>
          <w:sz w:val="20"/>
          <w:szCs w:val="20"/>
        </w:rPr>
      </w:pPr>
    </w:p>
    <w:p w:rsidR="00F37384" w:rsidRPr="003717E5" w:rsidRDefault="00F37384" w:rsidP="00F37384">
      <w:pPr>
        <w:shd w:val="clear" w:color="auto" w:fill="FFFFFF"/>
        <w:jc w:val="both"/>
        <w:rPr>
          <w:rFonts w:cs="Times New Roman"/>
          <w:bCs/>
          <w:sz w:val="20"/>
          <w:szCs w:val="20"/>
        </w:rPr>
      </w:pPr>
      <w:r w:rsidRPr="003717E5">
        <w:rPr>
          <w:rFonts w:cs="Times New Roman"/>
          <w:bCs/>
          <w:sz w:val="20"/>
          <w:szCs w:val="20"/>
        </w:rPr>
        <w:t>The intervener shall not be entitled to raise new issues or to adduce further evidence or otherwise to supplement the record of the parties.</w:t>
      </w:r>
    </w:p>
    <w:p w:rsidR="00F37384" w:rsidRPr="003717E5" w:rsidRDefault="00F37384" w:rsidP="00F37384">
      <w:pPr>
        <w:shd w:val="clear" w:color="auto" w:fill="FFFFFF"/>
        <w:jc w:val="both"/>
        <w:rPr>
          <w:rFonts w:cs="Times New Roman"/>
          <w:sz w:val="20"/>
          <w:szCs w:val="20"/>
        </w:rPr>
      </w:pPr>
    </w:p>
    <w:p w:rsidR="00F37384" w:rsidRPr="003717E5" w:rsidRDefault="00F37384" w:rsidP="00F37384">
      <w:pPr>
        <w:rPr>
          <w:rFonts w:cs="Times New Roman"/>
          <w:sz w:val="20"/>
          <w:szCs w:val="20"/>
        </w:rPr>
      </w:pPr>
      <w:r w:rsidRPr="003717E5">
        <w:rPr>
          <w:rFonts w:cs="Times New Roman"/>
          <w:sz w:val="20"/>
          <w:szCs w:val="20"/>
        </w:rPr>
        <w:br w:type="page"/>
      </w:r>
    </w:p>
    <w:p w:rsidR="00F37384" w:rsidRPr="003717E5" w:rsidRDefault="00F37384" w:rsidP="00F37384">
      <w:pPr>
        <w:spacing w:line="233" w:lineRule="auto"/>
        <w:jc w:val="both"/>
        <w:rPr>
          <w:rFonts w:cs="Times New Roman"/>
          <w:sz w:val="20"/>
          <w:szCs w:val="20"/>
        </w:rPr>
      </w:pPr>
      <w:r w:rsidRPr="003717E5">
        <w:rPr>
          <w:rFonts w:cs="Times New Roman"/>
          <w:sz w:val="20"/>
          <w:szCs w:val="20"/>
        </w:rPr>
        <w:lastRenderedPageBreak/>
        <w:t>Pursuant to Rule 59(1)(</w:t>
      </w:r>
      <w:r w:rsidRPr="003717E5">
        <w:rPr>
          <w:rFonts w:cs="Times New Roman"/>
          <w:i/>
          <w:sz w:val="20"/>
          <w:szCs w:val="20"/>
        </w:rPr>
        <w:t>a</w:t>
      </w:r>
      <w:r w:rsidRPr="003717E5">
        <w:rPr>
          <w:rFonts w:cs="Times New Roman"/>
          <w:sz w:val="20"/>
          <w:szCs w:val="20"/>
        </w:rPr>
        <w:t xml:space="preserve">) of the </w:t>
      </w:r>
      <w:r w:rsidRPr="003717E5">
        <w:rPr>
          <w:rFonts w:cs="Times New Roman"/>
          <w:i/>
          <w:sz w:val="20"/>
          <w:szCs w:val="20"/>
        </w:rPr>
        <w:t>Rules of the Supreme Court of Canada</w:t>
      </w:r>
      <w:r w:rsidRPr="003717E5">
        <w:rPr>
          <w:rFonts w:cs="Times New Roman"/>
          <w:sz w:val="20"/>
          <w:szCs w:val="20"/>
        </w:rPr>
        <w:t>, the intervener shall pay to the appellant and respondent any additional disbursements occasioned to the appellant and respondent by its intervention.</w:t>
      </w:r>
    </w:p>
    <w:p w:rsidR="00F37384" w:rsidRPr="003717E5" w:rsidRDefault="00F37384" w:rsidP="00F37384">
      <w:pPr>
        <w:tabs>
          <w:tab w:val="left" w:pos="-1440"/>
          <w:tab w:val="left" w:pos="-720"/>
        </w:tabs>
        <w:jc w:val="both"/>
        <w:rPr>
          <w:rFonts w:cs="Times New Roman"/>
          <w:sz w:val="20"/>
          <w:szCs w:val="20"/>
        </w:rPr>
      </w:pPr>
    </w:p>
    <w:p w:rsidR="00F37384" w:rsidRPr="003717E5" w:rsidRDefault="00414F7B" w:rsidP="00F37384">
      <w:pPr>
        <w:tabs>
          <w:tab w:val="left" w:pos="-1440"/>
          <w:tab w:val="left" w:pos="-720"/>
        </w:tabs>
        <w:jc w:val="both"/>
        <w:rPr>
          <w:rFonts w:cs="Times New Roman"/>
          <w:sz w:val="20"/>
          <w:szCs w:val="20"/>
          <w:lang w:val="fr-CA"/>
        </w:rPr>
      </w:pPr>
      <w:r w:rsidRPr="00414F7B">
        <w:rPr>
          <w:rFonts w:cs="Times New Roman"/>
          <w:sz w:val="20"/>
          <w:szCs w:val="20"/>
          <w:lang w:val="fr-CA"/>
        </w:rPr>
        <w:pict>
          <v:rect id="_x0000_i1068" style="width:2in;height:1pt" o:hrpct="0" o:hralign="center" o:hrstd="t" o:hrnoshade="t" o:hr="t" fillcolor="black [3213]" stroked="f"/>
        </w:pict>
      </w:r>
    </w:p>
    <w:p w:rsidR="00F37384" w:rsidRPr="003717E5" w:rsidRDefault="00F37384" w:rsidP="00F37384">
      <w:pPr>
        <w:tabs>
          <w:tab w:val="left" w:pos="-1440"/>
          <w:tab w:val="left" w:pos="-720"/>
        </w:tabs>
        <w:jc w:val="both"/>
        <w:rPr>
          <w:rFonts w:cs="Times New Roman"/>
          <w:sz w:val="20"/>
          <w:szCs w:val="20"/>
          <w:lang w:val="fr-CA"/>
        </w:rPr>
      </w:pPr>
    </w:p>
    <w:p w:rsidR="00F37384" w:rsidRPr="003717E5" w:rsidRDefault="00F37384" w:rsidP="00F37384">
      <w:pPr>
        <w:tabs>
          <w:tab w:val="left" w:pos="-1440"/>
          <w:tab w:val="left" w:pos="-720"/>
        </w:tabs>
        <w:jc w:val="both"/>
        <w:rPr>
          <w:rFonts w:cs="Times New Roman"/>
          <w:sz w:val="20"/>
          <w:szCs w:val="20"/>
          <w:lang w:val="fr-CA"/>
        </w:rPr>
      </w:pPr>
      <w:r w:rsidRPr="003717E5">
        <w:rPr>
          <w:rFonts w:cs="Times New Roman"/>
          <w:sz w:val="20"/>
          <w:szCs w:val="20"/>
          <w:lang w:val="fr-CA"/>
        </w:rPr>
        <w:t>04.05.2012</w:t>
      </w:r>
    </w:p>
    <w:p w:rsidR="00F37384" w:rsidRPr="003717E5" w:rsidRDefault="00F37384" w:rsidP="00F37384">
      <w:pPr>
        <w:tabs>
          <w:tab w:val="left" w:pos="-1440"/>
          <w:tab w:val="left" w:pos="-720"/>
        </w:tabs>
        <w:jc w:val="both"/>
        <w:rPr>
          <w:rFonts w:cs="Times New Roman"/>
          <w:sz w:val="20"/>
          <w:szCs w:val="20"/>
          <w:lang w:val="fr-CA"/>
        </w:rPr>
      </w:pPr>
    </w:p>
    <w:p w:rsidR="00F37384" w:rsidRPr="003717E5" w:rsidRDefault="00F37384" w:rsidP="00F37384">
      <w:pPr>
        <w:tabs>
          <w:tab w:val="left" w:pos="-1440"/>
          <w:tab w:val="left" w:pos="-720"/>
        </w:tabs>
        <w:jc w:val="both"/>
        <w:rPr>
          <w:rFonts w:cs="Times New Roman"/>
          <w:sz w:val="20"/>
          <w:szCs w:val="20"/>
          <w:lang w:val="fr-CA"/>
        </w:rPr>
      </w:pPr>
      <w:r w:rsidRPr="003717E5">
        <w:rPr>
          <w:rFonts w:cs="Times New Roman"/>
          <w:sz w:val="20"/>
          <w:szCs w:val="20"/>
          <w:lang w:val="fr-CA"/>
        </w:rPr>
        <w:t>Before / Devant :   FISH J. / LE JUGE FISH</w:t>
      </w:r>
    </w:p>
    <w:p w:rsidR="00F37384" w:rsidRPr="003717E5" w:rsidRDefault="00F37384" w:rsidP="00F37384">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F37384" w:rsidRPr="003717E5" w:rsidTr="008440EE">
        <w:tc>
          <w:tcPr>
            <w:tcW w:w="4338" w:type="dxa"/>
            <w:gridSpan w:val="2"/>
          </w:tcPr>
          <w:p w:rsidR="00F37384" w:rsidRPr="003717E5" w:rsidRDefault="00F37384" w:rsidP="008440EE">
            <w:pPr>
              <w:jc w:val="both"/>
              <w:rPr>
                <w:rFonts w:cs="Times New Roman"/>
                <w:b/>
                <w:sz w:val="20"/>
                <w:szCs w:val="20"/>
              </w:rPr>
            </w:pPr>
            <w:r w:rsidRPr="003717E5">
              <w:rPr>
                <w:rFonts w:cs="Times New Roman"/>
                <w:b/>
                <w:sz w:val="20"/>
                <w:szCs w:val="20"/>
              </w:rPr>
              <w:t>Motion for leave to intervene</w:t>
            </w:r>
            <w:r w:rsidRPr="003717E5">
              <w:rPr>
                <w:rFonts w:cs="Times New Roman"/>
                <w:sz w:val="20"/>
                <w:szCs w:val="20"/>
              </w:rPr>
              <w:t xml:space="preserve"> </w:t>
            </w:r>
            <w:r w:rsidR="00414F7B" w:rsidRPr="003717E5">
              <w:rPr>
                <w:rFonts w:cs="Times New Roman"/>
                <w:b/>
                <w:sz w:val="20"/>
                <w:szCs w:val="20"/>
              </w:rPr>
              <w:fldChar w:fldCharType="begin"/>
            </w:r>
            <w:r w:rsidRPr="003717E5">
              <w:rPr>
                <w:rFonts w:cs="Times New Roman"/>
                <w:b/>
                <w:sz w:val="20"/>
                <w:szCs w:val="20"/>
              </w:rPr>
              <w:instrText xml:space="preserve"> SEQ CHAPTER \h \r 1</w:instrText>
            </w:r>
            <w:r w:rsidR="00414F7B" w:rsidRPr="003717E5">
              <w:rPr>
                <w:rFonts w:cs="Times New Roman"/>
                <w:b/>
                <w:sz w:val="20"/>
                <w:szCs w:val="20"/>
              </w:rPr>
              <w:fldChar w:fldCharType="end"/>
            </w:r>
          </w:p>
        </w:tc>
        <w:tc>
          <w:tcPr>
            <w:tcW w:w="1170" w:type="dxa"/>
          </w:tcPr>
          <w:p w:rsidR="00F37384" w:rsidRPr="003717E5" w:rsidRDefault="00F37384" w:rsidP="008440EE">
            <w:pPr>
              <w:rPr>
                <w:rFonts w:cs="Times New Roman"/>
                <w:sz w:val="20"/>
                <w:szCs w:val="20"/>
              </w:rPr>
            </w:pPr>
          </w:p>
          <w:p w:rsidR="00F37384" w:rsidRPr="003717E5" w:rsidRDefault="00F37384" w:rsidP="008440EE">
            <w:pPr>
              <w:rPr>
                <w:rFonts w:cs="Times New Roman"/>
                <w:sz w:val="20"/>
                <w:szCs w:val="20"/>
              </w:rPr>
            </w:pPr>
          </w:p>
        </w:tc>
        <w:tc>
          <w:tcPr>
            <w:tcW w:w="4327" w:type="dxa"/>
          </w:tcPr>
          <w:p w:rsidR="00F37384" w:rsidRPr="003717E5" w:rsidRDefault="00F37384" w:rsidP="008440EE">
            <w:pPr>
              <w:jc w:val="both"/>
              <w:rPr>
                <w:rFonts w:cs="Times New Roman"/>
                <w:b/>
                <w:sz w:val="20"/>
                <w:szCs w:val="20"/>
              </w:rPr>
            </w:pPr>
            <w:r w:rsidRPr="003717E5">
              <w:rPr>
                <w:rFonts w:cs="Times New Roman"/>
                <w:b/>
                <w:bCs/>
                <w:sz w:val="20"/>
                <w:szCs w:val="20"/>
                <w:lang w:val="fr-CA"/>
              </w:rPr>
              <w:t>Requête en autorisation d’intervenir</w:t>
            </w:r>
            <w:r w:rsidRPr="003717E5">
              <w:rPr>
                <w:rFonts w:cs="Times New Roman"/>
                <w:sz w:val="20"/>
                <w:szCs w:val="20"/>
              </w:rPr>
              <w:t xml:space="preserve"> </w:t>
            </w:r>
            <w:r w:rsidR="00414F7B" w:rsidRPr="003717E5">
              <w:rPr>
                <w:rFonts w:cs="Times New Roman"/>
                <w:b/>
                <w:sz w:val="20"/>
                <w:szCs w:val="20"/>
              </w:rPr>
              <w:fldChar w:fldCharType="begin"/>
            </w:r>
            <w:r w:rsidRPr="003717E5">
              <w:rPr>
                <w:rFonts w:cs="Times New Roman"/>
                <w:b/>
                <w:sz w:val="20"/>
                <w:szCs w:val="20"/>
              </w:rPr>
              <w:instrText xml:space="preserve"> SEQ CHAPTER \h \r 1</w:instrText>
            </w:r>
            <w:r w:rsidR="00414F7B" w:rsidRPr="003717E5">
              <w:rPr>
                <w:rFonts w:cs="Times New Roman"/>
                <w:b/>
                <w:sz w:val="20"/>
                <w:szCs w:val="20"/>
              </w:rPr>
              <w:fldChar w:fldCharType="end"/>
            </w:r>
          </w:p>
        </w:tc>
      </w:tr>
      <w:tr w:rsidR="00F37384" w:rsidRPr="003717E5" w:rsidTr="008440EE">
        <w:tc>
          <w:tcPr>
            <w:tcW w:w="1368" w:type="dxa"/>
          </w:tcPr>
          <w:p w:rsidR="00F37384" w:rsidRPr="003717E5" w:rsidRDefault="00F37384" w:rsidP="008440EE">
            <w:pPr>
              <w:rPr>
                <w:rFonts w:cs="Times New Roman"/>
                <w:sz w:val="20"/>
                <w:szCs w:val="20"/>
              </w:rPr>
            </w:pPr>
            <w:r w:rsidRPr="003717E5">
              <w:rPr>
                <w:rFonts w:cs="Times New Roman"/>
                <w:sz w:val="20"/>
                <w:szCs w:val="20"/>
              </w:rPr>
              <w:t>BY / PAR :</w:t>
            </w:r>
          </w:p>
        </w:tc>
        <w:tc>
          <w:tcPr>
            <w:tcW w:w="2970" w:type="dxa"/>
          </w:tcPr>
          <w:p w:rsidR="00F37384" w:rsidRPr="003717E5" w:rsidRDefault="00F37384" w:rsidP="008440EE">
            <w:pPr>
              <w:rPr>
                <w:rFonts w:cs="Times New Roman"/>
                <w:sz w:val="20"/>
                <w:szCs w:val="20"/>
              </w:rPr>
            </w:pPr>
            <w:r w:rsidRPr="003717E5">
              <w:rPr>
                <w:rFonts w:cs="Times New Roman"/>
                <w:sz w:val="20"/>
                <w:szCs w:val="20"/>
                <w:lang w:val="fr-CA"/>
              </w:rPr>
              <w:t>Procureur général du Canada</w:t>
            </w:r>
          </w:p>
        </w:tc>
        <w:tc>
          <w:tcPr>
            <w:tcW w:w="1170" w:type="dxa"/>
          </w:tcPr>
          <w:p w:rsidR="00F37384" w:rsidRPr="003717E5" w:rsidRDefault="00F37384" w:rsidP="008440EE">
            <w:pPr>
              <w:rPr>
                <w:rFonts w:cs="Times New Roman"/>
                <w:sz w:val="20"/>
                <w:szCs w:val="20"/>
              </w:rPr>
            </w:pPr>
          </w:p>
        </w:tc>
        <w:tc>
          <w:tcPr>
            <w:tcW w:w="4327" w:type="dxa"/>
          </w:tcPr>
          <w:p w:rsidR="00F37384" w:rsidRPr="003717E5" w:rsidRDefault="00F37384" w:rsidP="008440EE">
            <w:pPr>
              <w:rPr>
                <w:rFonts w:cs="Times New Roman"/>
                <w:sz w:val="20"/>
                <w:szCs w:val="20"/>
              </w:rPr>
            </w:pPr>
          </w:p>
        </w:tc>
      </w:tr>
      <w:tr w:rsidR="00F37384" w:rsidRPr="003717E5" w:rsidTr="008440EE">
        <w:tc>
          <w:tcPr>
            <w:tcW w:w="1368" w:type="dxa"/>
          </w:tcPr>
          <w:p w:rsidR="00F37384" w:rsidRPr="003717E5" w:rsidRDefault="00F37384" w:rsidP="008440EE">
            <w:pPr>
              <w:rPr>
                <w:rFonts w:cs="Times New Roman"/>
                <w:sz w:val="20"/>
                <w:szCs w:val="20"/>
              </w:rPr>
            </w:pPr>
          </w:p>
        </w:tc>
        <w:tc>
          <w:tcPr>
            <w:tcW w:w="2970" w:type="dxa"/>
          </w:tcPr>
          <w:p w:rsidR="00F37384" w:rsidRPr="003717E5" w:rsidRDefault="00F37384" w:rsidP="008440EE">
            <w:pPr>
              <w:rPr>
                <w:rFonts w:cs="Times New Roman"/>
                <w:sz w:val="20"/>
                <w:szCs w:val="20"/>
              </w:rPr>
            </w:pPr>
          </w:p>
        </w:tc>
        <w:tc>
          <w:tcPr>
            <w:tcW w:w="1170" w:type="dxa"/>
          </w:tcPr>
          <w:p w:rsidR="00F37384" w:rsidRPr="003717E5" w:rsidRDefault="00F37384" w:rsidP="008440EE">
            <w:pPr>
              <w:rPr>
                <w:rFonts w:cs="Times New Roman"/>
                <w:sz w:val="20"/>
                <w:szCs w:val="20"/>
              </w:rPr>
            </w:pPr>
          </w:p>
        </w:tc>
        <w:tc>
          <w:tcPr>
            <w:tcW w:w="4327" w:type="dxa"/>
          </w:tcPr>
          <w:p w:rsidR="00F37384" w:rsidRPr="003717E5" w:rsidRDefault="00F37384" w:rsidP="008440EE">
            <w:pPr>
              <w:rPr>
                <w:rFonts w:cs="Times New Roman"/>
                <w:sz w:val="20"/>
                <w:szCs w:val="20"/>
              </w:rPr>
            </w:pPr>
          </w:p>
        </w:tc>
      </w:tr>
      <w:tr w:rsidR="00F37384" w:rsidRPr="0028361F" w:rsidTr="008440EE">
        <w:tc>
          <w:tcPr>
            <w:tcW w:w="1368" w:type="dxa"/>
          </w:tcPr>
          <w:p w:rsidR="00F37384" w:rsidRPr="003717E5" w:rsidRDefault="00F37384" w:rsidP="008440EE">
            <w:pPr>
              <w:rPr>
                <w:rFonts w:cs="Times New Roman"/>
                <w:sz w:val="20"/>
                <w:szCs w:val="20"/>
              </w:rPr>
            </w:pPr>
            <w:r w:rsidRPr="003717E5">
              <w:rPr>
                <w:rFonts w:cs="Times New Roman"/>
                <w:sz w:val="20"/>
                <w:szCs w:val="20"/>
              </w:rPr>
              <w:t>IN / DANS :</w:t>
            </w:r>
          </w:p>
        </w:tc>
        <w:tc>
          <w:tcPr>
            <w:tcW w:w="2970" w:type="dxa"/>
          </w:tcPr>
          <w:p w:rsidR="00F37384" w:rsidRPr="003717E5" w:rsidRDefault="00F37384" w:rsidP="008440EE">
            <w:pPr>
              <w:rPr>
                <w:rFonts w:cs="Times New Roman"/>
                <w:sz w:val="20"/>
                <w:szCs w:val="20"/>
                <w:lang w:val="fr-CA"/>
              </w:rPr>
            </w:pPr>
            <w:r w:rsidRPr="003717E5">
              <w:rPr>
                <w:rFonts w:cs="Times New Roman"/>
                <w:sz w:val="20"/>
                <w:szCs w:val="20"/>
                <w:lang w:val="fr-CA"/>
              </w:rPr>
              <w:t>Agence du Revenu du Québec (anciennement le Sous-ministre du Revenu du Québec)</w:t>
            </w:r>
          </w:p>
          <w:p w:rsidR="00F37384" w:rsidRPr="003717E5" w:rsidRDefault="00F37384" w:rsidP="008440EE">
            <w:pPr>
              <w:rPr>
                <w:rFonts w:cs="Times New Roman"/>
                <w:sz w:val="20"/>
                <w:szCs w:val="20"/>
                <w:lang w:val="fr-CA"/>
              </w:rPr>
            </w:pPr>
          </w:p>
        </w:tc>
        <w:tc>
          <w:tcPr>
            <w:tcW w:w="1170" w:type="dxa"/>
          </w:tcPr>
          <w:p w:rsidR="00F37384" w:rsidRPr="003717E5" w:rsidRDefault="00F37384" w:rsidP="008440EE">
            <w:pPr>
              <w:rPr>
                <w:rFonts w:cs="Times New Roman"/>
                <w:sz w:val="20"/>
                <w:szCs w:val="20"/>
                <w:lang w:val="fr-CA"/>
              </w:rPr>
            </w:pPr>
          </w:p>
        </w:tc>
        <w:tc>
          <w:tcPr>
            <w:tcW w:w="4327" w:type="dxa"/>
          </w:tcPr>
          <w:p w:rsidR="00F37384" w:rsidRPr="003717E5" w:rsidRDefault="00F37384" w:rsidP="008440EE">
            <w:pPr>
              <w:rPr>
                <w:rFonts w:cs="Times New Roman"/>
                <w:sz w:val="20"/>
                <w:szCs w:val="20"/>
                <w:lang w:val="fr-CA"/>
              </w:rPr>
            </w:pPr>
          </w:p>
        </w:tc>
      </w:tr>
      <w:tr w:rsidR="00F37384" w:rsidRPr="003717E5" w:rsidTr="008440EE">
        <w:tc>
          <w:tcPr>
            <w:tcW w:w="1368" w:type="dxa"/>
          </w:tcPr>
          <w:p w:rsidR="00F37384" w:rsidRPr="003717E5" w:rsidRDefault="00F37384" w:rsidP="008440EE">
            <w:pPr>
              <w:rPr>
                <w:rFonts w:cs="Times New Roman"/>
                <w:sz w:val="20"/>
                <w:szCs w:val="20"/>
                <w:lang w:val="fr-CA"/>
              </w:rPr>
            </w:pPr>
          </w:p>
        </w:tc>
        <w:tc>
          <w:tcPr>
            <w:tcW w:w="2970" w:type="dxa"/>
          </w:tcPr>
          <w:p w:rsidR="00F37384" w:rsidRPr="003717E5" w:rsidRDefault="00F37384" w:rsidP="008440EE">
            <w:pPr>
              <w:rPr>
                <w:rFonts w:cs="Times New Roman"/>
                <w:sz w:val="20"/>
                <w:szCs w:val="20"/>
              </w:rPr>
            </w:pPr>
            <w:r w:rsidRPr="003717E5">
              <w:rPr>
                <w:rFonts w:cs="Times New Roman"/>
                <w:sz w:val="20"/>
                <w:szCs w:val="20"/>
                <w:lang w:val="fr-CA"/>
              </w:rPr>
              <w:tab/>
            </w:r>
            <w:r w:rsidRPr="003717E5">
              <w:rPr>
                <w:rFonts w:cs="Times New Roman"/>
                <w:sz w:val="20"/>
                <w:szCs w:val="20"/>
              </w:rPr>
              <w:t>c. (34235)</w:t>
            </w:r>
          </w:p>
          <w:p w:rsidR="00F37384" w:rsidRPr="003717E5" w:rsidRDefault="00F37384" w:rsidP="008440EE">
            <w:pPr>
              <w:rPr>
                <w:rFonts w:cs="Times New Roman"/>
                <w:sz w:val="20"/>
                <w:szCs w:val="20"/>
              </w:rPr>
            </w:pPr>
          </w:p>
        </w:tc>
        <w:tc>
          <w:tcPr>
            <w:tcW w:w="1170" w:type="dxa"/>
          </w:tcPr>
          <w:p w:rsidR="00F37384" w:rsidRPr="003717E5" w:rsidRDefault="00F37384" w:rsidP="008440EE">
            <w:pPr>
              <w:rPr>
                <w:rFonts w:cs="Times New Roman"/>
                <w:sz w:val="20"/>
                <w:szCs w:val="20"/>
              </w:rPr>
            </w:pPr>
          </w:p>
        </w:tc>
        <w:tc>
          <w:tcPr>
            <w:tcW w:w="4327" w:type="dxa"/>
          </w:tcPr>
          <w:p w:rsidR="00F37384" w:rsidRPr="003717E5" w:rsidRDefault="00F37384" w:rsidP="008440EE">
            <w:pPr>
              <w:rPr>
                <w:rFonts w:cs="Times New Roman"/>
                <w:sz w:val="20"/>
                <w:szCs w:val="20"/>
              </w:rPr>
            </w:pPr>
          </w:p>
        </w:tc>
      </w:tr>
      <w:tr w:rsidR="00F37384" w:rsidRPr="0028361F" w:rsidTr="008440EE">
        <w:tc>
          <w:tcPr>
            <w:tcW w:w="1368" w:type="dxa"/>
          </w:tcPr>
          <w:p w:rsidR="00F37384" w:rsidRPr="003717E5" w:rsidRDefault="00F37384" w:rsidP="008440EE">
            <w:pPr>
              <w:rPr>
                <w:rFonts w:cs="Times New Roman"/>
                <w:sz w:val="20"/>
                <w:szCs w:val="20"/>
              </w:rPr>
            </w:pPr>
          </w:p>
        </w:tc>
        <w:tc>
          <w:tcPr>
            <w:tcW w:w="2970" w:type="dxa"/>
          </w:tcPr>
          <w:p w:rsidR="00F37384" w:rsidRPr="003717E5" w:rsidRDefault="00F37384" w:rsidP="008440EE">
            <w:pPr>
              <w:jc w:val="both"/>
              <w:rPr>
                <w:rFonts w:cs="Times New Roman"/>
                <w:sz w:val="20"/>
                <w:szCs w:val="20"/>
                <w:lang w:val="fr-CA"/>
              </w:rPr>
            </w:pPr>
            <w:r w:rsidRPr="003717E5">
              <w:rPr>
                <w:rFonts w:cs="Times New Roman"/>
                <w:sz w:val="20"/>
                <w:szCs w:val="20"/>
                <w:lang w:val="fr-CA"/>
              </w:rPr>
              <w:t>Services Environnementaux AES Inc. et autre (Qc)</w:t>
            </w:r>
          </w:p>
        </w:tc>
        <w:tc>
          <w:tcPr>
            <w:tcW w:w="1170" w:type="dxa"/>
          </w:tcPr>
          <w:p w:rsidR="00F37384" w:rsidRPr="003717E5" w:rsidRDefault="00F37384" w:rsidP="008440EE">
            <w:pPr>
              <w:rPr>
                <w:rFonts w:cs="Times New Roman"/>
                <w:sz w:val="20"/>
                <w:szCs w:val="20"/>
                <w:lang w:val="fr-CA"/>
              </w:rPr>
            </w:pPr>
          </w:p>
        </w:tc>
        <w:tc>
          <w:tcPr>
            <w:tcW w:w="4327" w:type="dxa"/>
          </w:tcPr>
          <w:p w:rsidR="00F37384" w:rsidRPr="003717E5" w:rsidRDefault="00F37384" w:rsidP="008440EE">
            <w:pPr>
              <w:rPr>
                <w:rFonts w:cs="Times New Roman"/>
                <w:sz w:val="20"/>
                <w:szCs w:val="20"/>
                <w:lang w:val="fr-CA"/>
              </w:rPr>
            </w:pPr>
          </w:p>
        </w:tc>
      </w:tr>
    </w:tbl>
    <w:p w:rsidR="00F37384" w:rsidRPr="003717E5" w:rsidRDefault="00F37384" w:rsidP="00F37384">
      <w:pPr>
        <w:tabs>
          <w:tab w:val="left" w:pos="-1440"/>
          <w:tab w:val="left" w:pos="-720"/>
        </w:tabs>
        <w:jc w:val="both"/>
        <w:rPr>
          <w:rFonts w:cs="Times New Roman"/>
          <w:sz w:val="20"/>
          <w:szCs w:val="20"/>
          <w:lang w:val="fr-CA"/>
        </w:rPr>
      </w:pPr>
    </w:p>
    <w:p w:rsidR="00F37384" w:rsidRPr="003717E5" w:rsidRDefault="00F37384" w:rsidP="00F37384">
      <w:pPr>
        <w:spacing w:line="233" w:lineRule="auto"/>
        <w:jc w:val="both"/>
        <w:rPr>
          <w:rFonts w:cs="Times New Roman"/>
          <w:b/>
          <w:bCs/>
          <w:sz w:val="20"/>
          <w:szCs w:val="20"/>
          <w:lang w:val="fr-CA"/>
        </w:rPr>
      </w:pPr>
      <w:r w:rsidRPr="003717E5">
        <w:rPr>
          <w:rFonts w:cs="Times New Roman"/>
          <w:b/>
          <w:bCs/>
          <w:sz w:val="20"/>
          <w:szCs w:val="20"/>
          <w:lang w:val="fr-CA"/>
        </w:rPr>
        <w:t>GRANTED / ACCORDÉE</w:t>
      </w:r>
    </w:p>
    <w:p w:rsidR="00F37384" w:rsidRPr="003717E5" w:rsidRDefault="00F37384" w:rsidP="00F37384">
      <w:pPr>
        <w:spacing w:line="233" w:lineRule="auto"/>
        <w:jc w:val="both"/>
        <w:rPr>
          <w:rFonts w:cs="Times New Roman"/>
          <w:bCs/>
          <w:sz w:val="20"/>
          <w:szCs w:val="20"/>
          <w:lang w:val="fr-CA"/>
        </w:rPr>
      </w:pPr>
    </w:p>
    <w:p w:rsidR="00F37384" w:rsidRPr="003717E5" w:rsidRDefault="00F37384" w:rsidP="00F37384">
      <w:pPr>
        <w:spacing w:line="233" w:lineRule="auto"/>
        <w:jc w:val="both"/>
        <w:rPr>
          <w:rFonts w:cs="Times New Roman"/>
          <w:sz w:val="20"/>
          <w:szCs w:val="20"/>
          <w:lang w:val="fr-FR"/>
        </w:rPr>
      </w:pPr>
      <w:r w:rsidRPr="003717E5">
        <w:rPr>
          <w:rFonts w:cs="Times New Roman"/>
          <w:b/>
          <w:bCs/>
          <w:sz w:val="20"/>
          <w:szCs w:val="20"/>
          <w:lang w:val="fr-CA"/>
        </w:rPr>
        <w:t>À LA SUITE DE LA REQUÊTE</w:t>
      </w:r>
      <w:r w:rsidRPr="003717E5">
        <w:rPr>
          <w:rFonts w:cs="Times New Roman"/>
          <w:bCs/>
          <w:sz w:val="20"/>
          <w:szCs w:val="20"/>
          <w:lang w:val="fr-CA"/>
        </w:rPr>
        <w:t xml:space="preserve"> </w:t>
      </w:r>
      <w:r w:rsidRPr="003717E5">
        <w:rPr>
          <w:rFonts w:cs="Times New Roman"/>
          <w:sz w:val="20"/>
          <w:szCs w:val="20"/>
          <w:lang w:val="fr-CA"/>
        </w:rPr>
        <w:t>présentée par le</w:t>
      </w:r>
      <w:r w:rsidRPr="003717E5">
        <w:rPr>
          <w:rFonts w:cs="Times New Roman"/>
          <w:sz w:val="20"/>
          <w:szCs w:val="20"/>
          <w:lang w:val="fr-FR"/>
        </w:rPr>
        <w:t xml:space="preserve"> Procureur général du Canada pour obtenir l’autorisation d’intervenir dans le présent appel</w:t>
      </w:r>
      <w:r w:rsidRPr="003717E5">
        <w:rPr>
          <w:rFonts w:cs="Times New Roman"/>
          <w:sz w:val="20"/>
          <w:szCs w:val="20"/>
          <w:lang w:val="fr-CA"/>
        </w:rPr>
        <w:t>;</w:t>
      </w:r>
    </w:p>
    <w:p w:rsidR="00F37384" w:rsidRPr="003717E5" w:rsidRDefault="00F37384" w:rsidP="00F37384">
      <w:pPr>
        <w:spacing w:line="233" w:lineRule="auto"/>
        <w:jc w:val="both"/>
        <w:rPr>
          <w:rFonts w:cs="Times New Roman"/>
          <w:sz w:val="20"/>
          <w:szCs w:val="20"/>
          <w:lang w:val="fr-CA"/>
        </w:rPr>
      </w:pPr>
    </w:p>
    <w:p w:rsidR="00F37384" w:rsidRPr="003717E5" w:rsidRDefault="00F37384" w:rsidP="00F37384">
      <w:pPr>
        <w:spacing w:line="233" w:lineRule="auto"/>
        <w:jc w:val="both"/>
        <w:rPr>
          <w:rFonts w:cs="Times New Roman"/>
          <w:sz w:val="20"/>
          <w:szCs w:val="20"/>
          <w:lang w:val="fr-CA"/>
        </w:rPr>
      </w:pPr>
      <w:r w:rsidRPr="003717E5">
        <w:rPr>
          <w:rFonts w:cs="Times New Roman"/>
          <w:b/>
          <w:bCs/>
          <w:sz w:val="20"/>
          <w:szCs w:val="20"/>
          <w:lang w:val="fr-CA"/>
        </w:rPr>
        <w:t>ET APRÈS EXAMEN</w:t>
      </w:r>
      <w:r w:rsidRPr="003717E5">
        <w:rPr>
          <w:rFonts w:cs="Times New Roman"/>
          <w:bCs/>
          <w:sz w:val="20"/>
          <w:szCs w:val="20"/>
          <w:lang w:val="fr-CA"/>
        </w:rPr>
        <w:t xml:space="preserve"> </w:t>
      </w:r>
      <w:r w:rsidRPr="003717E5">
        <w:rPr>
          <w:rFonts w:cs="Times New Roman"/>
          <w:sz w:val="20"/>
          <w:szCs w:val="20"/>
          <w:lang w:val="fr-CA"/>
        </w:rPr>
        <w:t xml:space="preserve">des documents déposés; </w:t>
      </w:r>
    </w:p>
    <w:p w:rsidR="00F37384" w:rsidRPr="003717E5" w:rsidRDefault="00F37384" w:rsidP="00F37384">
      <w:pPr>
        <w:spacing w:line="233" w:lineRule="auto"/>
        <w:jc w:val="both"/>
        <w:rPr>
          <w:rFonts w:cs="Times New Roman"/>
          <w:sz w:val="20"/>
          <w:szCs w:val="20"/>
          <w:lang w:val="fr-CA"/>
        </w:rPr>
      </w:pPr>
    </w:p>
    <w:p w:rsidR="00F37384" w:rsidRPr="003717E5" w:rsidRDefault="00F37384" w:rsidP="00F37384">
      <w:pPr>
        <w:spacing w:line="233" w:lineRule="auto"/>
        <w:jc w:val="both"/>
        <w:rPr>
          <w:rFonts w:cs="Times New Roman"/>
          <w:b/>
          <w:sz w:val="20"/>
          <w:szCs w:val="20"/>
          <w:lang w:val="fr-CA"/>
        </w:rPr>
      </w:pPr>
      <w:r w:rsidRPr="003717E5">
        <w:rPr>
          <w:rFonts w:cs="Times New Roman"/>
          <w:b/>
          <w:bCs/>
          <w:sz w:val="20"/>
          <w:szCs w:val="20"/>
          <w:lang w:val="fr-CA"/>
        </w:rPr>
        <w:t xml:space="preserve">IL EST ORDONNÉ CE QUI SUIT : </w:t>
      </w:r>
    </w:p>
    <w:p w:rsidR="00F37384" w:rsidRPr="003717E5" w:rsidRDefault="00F37384" w:rsidP="00F37384">
      <w:pPr>
        <w:spacing w:line="233" w:lineRule="auto"/>
        <w:jc w:val="both"/>
        <w:rPr>
          <w:rFonts w:cs="Times New Roman"/>
          <w:sz w:val="20"/>
          <w:szCs w:val="20"/>
          <w:lang w:val="fr-CA"/>
        </w:rPr>
      </w:pPr>
    </w:p>
    <w:p w:rsidR="00F37384" w:rsidRPr="003717E5" w:rsidRDefault="00F37384" w:rsidP="00F37384">
      <w:pPr>
        <w:spacing w:line="233" w:lineRule="auto"/>
        <w:jc w:val="both"/>
        <w:rPr>
          <w:rFonts w:cs="Times New Roman"/>
          <w:sz w:val="20"/>
          <w:szCs w:val="20"/>
          <w:lang w:val="fr-CA"/>
        </w:rPr>
      </w:pPr>
      <w:r w:rsidRPr="003717E5">
        <w:rPr>
          <w:rFonts w:cs="Times New Roman"/>
          <w:sz w:val="20"/>
          <w:szCs w:val="20"/>
          <w:lang w:val="fr-CA"/>
        </w:rPr>
        <w:t xml:space="preserve">La requête </w:t>
      </w:r>
      <w:r w:rsidR="00414F7B" w:rsidRPr="003717E5">
        <w:rPr>
          <w:rFonts w:cs="Times New Roman"/>
          <w:sz w:val="20"/>
          <w:szCs w:val="20"/>
        </w:rPr>
        <w:fldChar w:fldCharType="begin"/>
      </w:r>
      <w:r w:rsidRPr="003717E5">
        <w:rPr>
          <w:rFonts w:cs="Times New Roman"/>
          <w:sz w:val="20"/>
          <w:szCs w:val="20"/>
          <w:lang w:val="fr-FR"/>
        </w:rPr>
        <w:instrText xml:space="preserve"> SEQ CHAPTER \h \r 1</w:instrText>
      </w:r>
      <w:r w:rsidR="00414F7B" w:rsidRPr="003717E5">
        <w:rPr>
          <w:rFonts w:cs="Times New Roman"/>
          <w:sz w:val="20"/>
          <w:szCs w:val="20"/>
        </w:rPr>
        <w:fldChar w:fldCharType="end"/>
      </w:r>
      <w:r w:rsidRPr="003717E5">
        <w:rPr>
          <w:rFonts w:cs="Times New Roman"/>
          <w:sz w:val="20"/>
          <w:szCs w:val="20"/>
          <w:lang w:val="fr-CA"/>
        </w:rPr>
        <w:t xml:space="preserve">en autorisation d’intervenir du </w:t>
      </w:r>
      <w:r w:rsidR="00414F7B" w:rsidRPr="003717E5">
        <w:rPr>
          <w:rFonts w:cs="Times New Roman"/>
          <w:sz w:val="20"/>
          <w:szCs w:val="20"/>
        </w:rPr>
        <w:fldChar w:fldCharType="begin"/>
      </w:r>
      <w:r w:rsidRPr="003717E5">
        <w:rPr>
          <w:rFonts w:cs="Times New Roman"/>
          <w:sz w:val="20"/>
          <w:szCs w:val="20"/>
          <w:lang w:val="fr-FR"/>
        </w:rPr>
        <w:instrText xml:space="preserve"> SEQ CHAPTER \h \r 1</w:instrText>
      </w:r>
      <w:r w:rsidR="00414F7B" w:rsidRPr="003717E5">
        <w:rPr>
          <w:rFonts w:cs="Times New Roman"/>
          <w:sz w:val="20"/>
          <w:szCs w:val="20"/>
        </w:rPr>
        <w:fldChar w:fldCharType="end"/>
      </w:r>
      <w:r w:rsidRPr="003717E5">
        <w:rPr>
          <w:rFonts w:cs="Times New Roman"/>
          <w:sz w:val="20"/>
          <w:szCs w:val="20"/>
          <w:lang w:val="fr-FR"/>
        </w:rPr>
        <w:t xml:space="preserve"> Procureur général du Canada </w:t>
      </w:r>
      <w:r w:rsidRPr="003717E5">
        <w:rPr>
          <w:rFonts w:cs="Times New Roman"/>
          <w:sz w:val="20"/>
          <w:szCs w:val="20"/>
          <w:lang w:val="fr-CA"/>
        </w:rPr>
        <w:t>est accueillie et cet intervenant est autorisé à signifier et déposer un mémoire d’au plus 10 pages au plus tard le 29 juin 2012.</w:t>
      </w:r>
    </w:p>
    <w:p w:rsidR="00F37384" w:rsidRPr="003717E5" w:rsidRDefault="00F37384" w:rsidP="00F37384">
      <w:pPr>
        <w:spacing w:line="233" w:lineRule="auto"/>
        <w:jc w:val="both"/>
        <w:rPr>
          <w:rFonts w:cs="Times New Roman"/>
          <w:sz w:val="20"/>
          <w:szCs w:val="20"/>
          <w:lang w:val="fr-CA"/>
        </w:rPr>
      </w:pPr>
    </w:p>
    <w:p w:rsidR="00F37384" w:rsidRPr="003717E5" w:rsidRDefault="00F37384" w:rsidP="00F37384">
      <w:pPr>
        <w:spacing w:line="233" w:lineRule="auto"/>
        <w:jc w:val="both"/>
        <w:rPr>
          <w:rFonts w:cs="Times New Roman"/>
          <w:sz w:val="20"/>
          <w:szCs w:val="20"/>
          <w:lang w:val="fr-CA"/>
        </w:rPr>
      </w:pPr>
      <w:r w:rsidRPr="003717E5">
        <w:rPr>
          <w:rFonts w:cs="Times New Roman"/>
          <w:sz w:val="20"/>
          <w:szCs w:val="20"/>
          <w:lang w:val="fr-CA"/>
        </w:rPr>
        <w:t>La décision sur la demande en vue de présenter une plaidoirie orale sera rendue après réception et examen des arguments écrits des parties et de l’intervenant.</w:t>
      </w:r>
    </w:p>
    <w:p w:rsidR="00F37384" w:rsidRPr="003717E5" w:rsidRDefault="00F37384" w:rsidP="00F37384">
      <w:pPr>
        <w:shd w:val="clear" w:color="auto" w:fill="FFFFFF"/>
        <w:spacing w:before="100" w:beforeAutospacing="1" w:after="100" w:afterAutospacing="1"/>
        <w:jc w:val="both"/>
        <w:rPr>
          <w:rFonts w:cs="Times New Roman"/>
          <w:sz w:val="20"/>
          <w:szCs w:val="20"/>
          <w:lang w:val="fr-FR"/>
        </w:rPr>
      </w:pPr>
      <w:r w:rsidRPr="003717E5">
        <w:rPr>
          <w:rFonts w:cs="Times New Roman"/>
          <w:bCs/>
          <w:sz w:val="20"/>
          <w:szCs w:val="20"/>
          <w:lang w:val="fr-FR"/>
        </w:rPr>
        <w:t>L’intervenant n'a pas le droit de soulever de nouvelles questions, de produire d'autres éléments de preuve ni de compléter de quelque autre façon le dossier des parties.</w:t>
      </w:r>
    </w:p>
    <w:p w:rsidR="00F37384" w:rsidRPr="003717E5" w:rsidRDefault="00F37384" w:rsidP="00F37384">
      <w:pPr>
        <w:spacing w:line="233" w:lineRule="auto"/>
        <w:jc w:val="both"/>
        <w:rPr>
          <w:rFonts w:cs="Times New Roman"/>
          <w:sz w:val="20"/>
          <w:szCs w:val="20"/>
          <w:lang w:val="fr-CA"/>
        </w:rPr>
      </w:pPr>
      <w:r w:rsidRPr="003717E5">
        <w:rPr>
          <w:rFonts w:cs="Times New Roman"/>
          <w:sz w:val="20"/>
          <w:szCs w:val="20"/>
          <w:lang w:val="fr-CA"/>
        </w:rPr>
        <w:t>Conformément à l’al. 59(1)</w:t>
      </w:r>
      <w:r w:rsidRPr="003717E5">
        <w:rPr>
          <w:rFonts w:cs="Times New Roman"/>
          <w:i/>
          <w:iCs/>
          <w:sz w:val="20"/>
          <w:szCs w:val="20"/>
          <w:lang w:val="fr-CA"/>
        </w:rPr>
        <w:t>a</w:t>
      </w:r>
      <w:r w:rsidRPr="003717E5">
        <w:rPr>
          <w:rFonts w:cs="Times New Roman"/>
          <w:sz w:val="20"/>
          <w:szCs w:val="20"/>
          <w:lang w:val="fr-CA"/>
        </w:rPr>
        <w:t xml:space="preserve">) des </w:t>
      </w:r>
      <w:r w:rsidRPr="003717E5">
        <w:rPr>
          <w:rFonts w:cs="Times New Roman"/>
          <w:i/>
          <w:iCs/>
          <w:sz w:val="20"/>
          <w:szCs w:val="20"/>
          <w:lang w:val="fr-CA"/>
        </w:rPr>
        <w:t>Règles de la Cour suprême du Canada</w:t>
      </w:r>
      <w:r w:rsidRPr="003717E5">
        <w:rPr>
          <w:rFonts w:cs="Times New Roman"/>
          <w:sz w:val="20"/>
          <w:szCs w:val="20"/>
          <w:lang w:val="fr-CA"/>
        </w:rPr>
        <w:t>, l’intervenant paiera à l’appelante et aux intimées tous les débours supplémentaires résultant de son intervention.</w:t>
      </w:r>
    </w:p>
    <w:p w:rsidR="00F37384" w:rsidRPr="003717E5" w:rsidRDefault="00F37384" w:rsidP="00F37384">
      <w:pPr>
        <w:spacing w:line="233" w:lineRule="auto"/>
        <w:jc w:val="both"/>
        <w:rPr>
          <w:rFonts w:cs="Times New Roman"/>
          <w:bCs/>
          <w:sz w:val="20"/>
          <w:szCs w:val="20"/>
          <w:lang w:val="fr-CA"/>
        </w:rPr>
      </w:pPr>
    </w:p>
    <w:p w:rsidR="00F37384" w:rsidRPr="003717E5" w:rsidRDefault="00F37384" w:rsidP="00F37384">
      <w:pPr>
        <w:tabs>
          <w:tab w:val="left" w:pos="-1440"/>
          <w:tab w:val="left" w:pos="-720"/>
        </w:tabs>
        <w:jc w:val="both"/>
        <w:rPr>
          <w:rFonts w:cs="Times New Roman"/>
          <w:sz w:val="20"/>
          <w:szCs w:val="20"/>
          <w:lang w:val="fr-FR"/>
        </w:rPr>
      </w:pPr>
    </w:p>
    <w:p w:rsidR="00F37384" w:rsidRPr="003717E5" w:rsidRDefault="00F37384" w:rsidP="00F37384">
      <w:pPr>
        <w:tabs>
          <w:tab w:val="left" w:pos="-1440"/>
          <w:tab w:val="left" w:pos="-720"/>
        </w:tabs>
        <w:jc w:val="both"/>
        <w:rPr>
          <w:rFonts w:cs="Times New Roman"/>
          <w:sz w:val="20"/>
          <w:szCs w:val="20"/>
          <w:lang w:val="fr-FR"/>
        </w:rPr>
      </w:pPr>
    </w:p>
    <w:p w:rsidR="00F37384" w:rsidRPr="003717E5" w:rsidRDefault="00F37384" w:rsidP="00F37384">
      <w:pPr>
        <w:spacing w:line="233" w:lineRule="auto"/>
        <w:jc w:val="both"/>
        <w:rPr>
          <w:rFonts w:cs="Times New Roman"/>
          <w:sz w:val="20"/>
          <w:szCs w:val="20"/>
        </w:rPr>
      </w:pPr>
      <w:r w:rsidRPr="003717E5">
        <w:rPr>
          <w:rFonts w:cs="Times New Roman"/>
          <w:b/>
          <w:bCs/>
          <w:sz w:val="20"/>
          <w:szCs w:val="20"/>
        </w:rPr>
        <w:t xml:space="preserve">UPON A MOTION </w:t>
      </w:r>
      <w:r w:rsidRPr="003717E5">
        <w:rPr>
          <w:rFonts w:cs="Times New Roman"/>
          <w:sz w:val="20"/>
          <w:szCs w:val="20"/>
        </w:rPr>
        <w:t>by the Attorney General of Canada for leave to intervene in the above appeal;</w:t>
      </w:r>
    </w:p>
    <w:p w:rsidR="00F37384" w:rsidRPr="003717E5" w:rsidRDefault="00F37384" w:rsidP="00F37384">
      <w:pPr>
        <w:spacing w:line="233" w:lineRule="auto"/>
        <w:jc w:val="both"/>
        <w:rPr>
          <w:rFonts w:cs="Times New Roman"/>
          <w:sz w:val="20"/>
          <w:szCs w:val="20"/>
        </w:rPr>
      </w:pPr>
    </w:p>
    <w:p w:rsidR="00F37384" w:rsidRPr="003717E5" w:rsidRDefault="00F37384" w:rsidP="00F37384">
      <w:pPr>
        <w:spacing w:line="233" w:lineRule="auto"/>
        <w:jc w:val="both"/>
        <w:rPr>
          <w:rFonts w:cs="Times New Roman"/>
          <w:sz w:val="20"/>
          <w:szCs w:val="20"/>
        </w:rPr>
      </w:pPr>
      <w:r w:rsidRPr="003717E5">
        <w:rPr>
          <w:rFonts w:cs="Times New Roman"/>
          <w:b/>
          <w:bCs/>
          <w:sz w:val="20"/>
          <w:szCs w:val="20"/>
        </w:rPr>
        <w:t xml:space="preserve">AND THE MATERIAL FILED </w:t>
      </w:r>
      <w:r w:rsidRPr="003717E5">
        <w:rPr>
          <w:rFonts w:cs="Times New Roman"/>
          <w:sz w:val="20"/>
          <w:szCs w:val="20"/>
        </w:rPr>
        <w:t xml:space="preserve">having been read; </w:t>
      </w:r>
    </w:p>
    <w:p w:rsidR="00F37384" w:rsidRPr="003717E5" w:rsidRDefault="00F37384" w:rsidP="00F37384">
      <w:pPr>
        <w:spacing w:line="233" w:lineRule="auto"/>
        <w:jc w:val="both"/>
        <w:rPr>
          <w:rFonts w:cs="Times New Roman"/>
          <w:sz w:val="20"/>
          <w:szCs w:val="20"/>
        </w:rPr>
      </w:pPr>
    </w:p>
    <w:p w:rsidR="00F37384" w:rsidRPr="003717E5" w:rsidRDefault="00F37384" w:rsidP="00F37384">
      <w:pPr>
        <w:spacing w:line="233" w:lineRule="auto"/>
        <w:jc w:val="both"/>
        <w:rPr>
          <w:rFonts w:cs="Times New Roman"/>
          <w:sz w:val="20"/>
          <w:szCs w:val="20"/>
        </w:rPr>
      </w:pPr>
      <w:r w:rsidRPr="003717E5">
        <w:rPr>
          <w:rFonts w:cs="Times New Roman"/>
          <w:b/>
          <w:bCs/>
          <w:sz w:val="20"/>
          <w:szCs w:val="20"/>
        </w:rPr>
        <w:t xml:space="preserve">IT IS HEREBY ORDERED THAT: </w:t>
      </w:r>
    </w:p>
    <w:p w:rsidR="00F37384" w:rsidRPr="003717E5" w:rsidRDefault="00F37384" w:rsidP="00F37384">
      <w:pPr>
        <w:spacing w:line="233" w:lineRule="auto"/>
        <w:jc w:val="both"/>
        <w:rPr>
          <w:rFonts w:cs="Times New Roman"/>
          <w:sz w:val="20"/>
          <w:szCs w:val="20"/>
        </w:rPr>
      </w:pPr>
    </w:p>
    <w:p w:rsidR="00F37384" w:rsidRPr="003717E5" w:rsidRDefault="00F37384" w:rsidP="00F37384">
      <w:pPr>
        <w:spacing w:line="233" w:lineRule="auto"/>
        <w:jc w:val="both"/>
        <w:rPr>
          <w:rFonts w:cs="Times New Roman"/>
          <w:sz w:val="20"/>
          <w:szCs w:val="20"/>
        </w:rPr>
      </w:pPr>
      <w:r w:rsidRPr="003717E5">
        <w:rPr>
          <w:rFonts w:cs="Times New Roman"/>
          <w:sz w:val="20"/>
          <w:szCs w:val="20"/>
        </w:rPr>
        <w:t>The motion for leave to intervene by the Attorney General of Canada is granted and the said intervener shall be entitled to serve and file a factum not to exceed 10 pages in length on or before June 29, 2012.</w:t>
      </w:r>
    </w:p>
    <w:p w:rsidR="00F37384" w:rsidRPr="003717E5" w:rsidRDefault="00F37384" w:rsidP="00F37384">
      <w:pPr>
        <w:spacing w:line="233" w:lineRule="auto"/>
        <w:jc w:val="both"/>
        <w:rPr>
          <w:rFonts w:cs="Times New Roman"/>
          <w:sz w:val="20"/>
          <w:szCs w:val="20"/>
        </w:rPr>
      </w:pPr>
    </w:p>
    <w:p w:rsidR="00F37384" w:rsidRPr="003717E5" w:rsidRDefault="00F37384" w:rsidP="00F37384">
      <w:pPr>
        <w:jc w:val="both"/>
        <w:rPr>
          <w:rFonts w:cs="Times New Roman"/>
          <w:sz w:val="20"/>
          <w:szCs w:val="20"/>
        </w:rPr>
      </w:pPr>
      <w:r w:rsidRPr="003717E5">
        <w:rPr>
          <w:rFonts w:cs="Times New Roman"/>
          <w:sz w:val="20"/>
          <w:szCs w:val="20"/>
        </w:rPr>
        <w:t>The request to present oral argument is deferred to a date following receipt and consideration of the written arguments of the parties and the intervener.</w:t>
      </w:r>
    </w:p>
    <w:p w:rsidR="00F37384" w:rsidRPr="003717E5" w:rsidRDefault="00F37384" w:rsidP="00F37384">
      <w:pPr>
        <w:jc w:val="both"/>
        <w:rPr>
          <w:rFonts w:cs="Times New Roman"/>
          <w:sz w:val="20"/>
          <w:szCs w:val="20"/>
        </w:rPr>
      </w:pPr>
    </w:p>
    <w:p w:rsidR="00F37384" w:rsidRPr="003717E5" w:rsidRDefault="00F37384" w:rsidP="00F37384">
      <w:pPr>
        <w:shd w:val="clear" w:color="auto" w:fill="FFFFFF"/>
        <w:jc w:val="both"/>
        <w:rPr>
          <w:rFonts w:cs="Times New Roman"/>
          <w:bCs/>
          <w:sz w:val="20"/>
          <w:szCs w:val="20"/>
        </w:rPr>
      </w:pPr>
      <w:r w:rsidRPr="003717E5">
        <w:rPr>
          <w:rFonts w:cs="Times New Roman"/>
          <w:bCs/>
          <w:sz w:val="20"/>
          <w:szCs w:val="20"/>
        </w:rPr>
        <w:t>The intervener shall not be entitled to raise new issues or to adduce further evidence or otherwise to supplement the record of the parties.</w:t>
      </w:r>
    </w:p>
    <w:p w:rsidR="00F37384" w:rsidRPr="003717E5" w:rsidRDefault="00F37384" w:rsidP="00F37384">
      <w:pPr>
        <w:shd w:val="clear" w:color="auto" w:fill="FFFFFF"/>
        <w:jc w:val="both"/>
        <w:rPr>
          <w:rFonts w:cs="Times New Roman"/>
          <w:sz w:val="20"/>
          <w:szCs w:val="20"/>
        </w:rPr>
      </w:pPr>
    </w:p>
    <w:p w:rsidR="00F37384" w:rsidRPr="003717E5" w:rsidRDefault="00F37384" w:rsidP="00F37384">
      <w:pPr>
        <w:spacing w:line="233" w:lineRule="auto"/>
        <w:jc w:val="both"/>
        <w:rPr>
          <w:rFonts w:cs="Times New Roman"/>
          <w:sz w:val="20"/>
          <w:szCs w:val="20"/>
        </w:rPr>
      </w:pPr>
      <w:r w:rsidRPr="003717E5">
        <w:rPr>
          <w:rFonts w:cs="Times New Roman"/>
          <w:sz w:val="20"/>
          <w:szCs w:val="20"/>
        </w:rPr>
        <w:t>Pursuant to Rule 59(1)(</w:t>
      </w:r>
      <w:r w:rsidRPr="003717E5">
        <w:rPr>
          <w:rFonts w:cs="Times New Roman"/>
          <w:i/>
          <w:sz w:val="20"/>
          <w:szCs w:val="20"/>
        </w:rPr>
        <w:t>a</w:t>
      </w:r>
      <w:r w:rsidRPr="003717E5">
        <w:rPr>
          <w:rFonts w:cs="Times New Roman"/>
          <w:sz w:val="20"/>
          <w:szCs w:val="20"/>
        </w:rPr>
        <w:t xml:space="preserve">) of the </w:t>
      </w:r>
      <w:r w:rsidRPr="003717E5">
        <w:rPr>
          <w:rFonts w:cs="Times New Roman"/>
          <w:i/>
          <w:sz w:val="20"/>
          <w:szCs w:val="20"/>
        </w:rPr>
        <w:t>Rules of the Supreme Court of Canada</w:t>
      </w:r>
      <w:r w:rsidRPr="003717E5">
        <w:rPr>
          <w:rFonts w:cs="Times New Roman"/>
          <w:sz w:val="20"/>
          <w:szCs w:val="20"/>
        </w:rPr>
        <w:t>, the intervener shall pay to the appellant and respondents any additional disbursements occasioned to the appellant and respondents by its intervention.</w:t>
      </w:r>
    </w:p>
    <w:p w:rsidR="00F37384" w:rsidRPr="003717E5" w:rsidRDefault="00F37384" w:rsidP="00F37384">
      <w:pPr>
        <w:tabs>
          <w:tab w:val="left" w:pos="-1440"/>
          <w:tab w:val="left" w:pos="-720"/>
        </w:tabs>
        <w:jc w:val="both"/>
        <w:rPr>
          <w:rFonts w:cs="Times New Roman"/>
          <w:sz w:val="20"/>
          <w:szCs w:val="20"/>
        </w:rPr>
      </w:pPr>
    </w:p>
    <w:p w:rsidR="00F37384" w:rsidRPr="003717E5" w:rsidRDefault="00414F7B" w:rsidP="00F37384">
      <w:pPr>
        <w:tabs>
          <w:tab w:val="left" w:pos="-1440"/>
          <w:tab w:val="left" w:pos="-720"/>
        </w:tabs>
        <w:jc w:val="both"/>
        <w:rPr>
          <w:rFonts w:cs="Times New Roman"/>
          <w:sz w:val="20"/>
          <w:szCs w:val="20"/>
          <w:lang w:val="fr-CA"/>
        </w:rPr>
      </w:pPr>
      <w:r w:rsidRPr="00414F7B">
        <w:rPr>
          <w:rFonts w:cs="Times New Roman"/>
          <w:sz w:val="20"/>
          <w:szCs w:val="20"/>
          <w:lang w:val="fr-CA"/>
        </w:rPr>
        <w:pict>
          <v:rect id="_x0000_i1069" style="width:2in;height:1pt" o:hrpct="0" o:hralign="center" o:hrstd="t" o:hrnoshade="t" o:hr="t" fillcolor="black [3213]" stroked="f"/>
        </w:pict>
      </w:r>
    </w:p>
    <w:p w:rsidR="00F37384" w:rsidRPr="003717E5" w:rsidRDefault="00F37384" w:rsidP="00F37384">
      <w:pPr>
        <w:tabs>
          <w:tab w:val="left" w:pos="-1440"/>
          <w:tab w:val="left" w:pos="-720"/>
        </w:tabs>
        <w:jc w:val="both"/>
        <w:rPr>
          <w:rFonts w:cs="Times New Roman"/>
          <w:sz w:val="20"/>
          <w:szCs w:val="20"/>
          <w:lang w:val="fr-CA"/>
        </w:rPr>
      </w:pPr>
    </w:p>
    <w:p w:rsidR="00F37384" w:rsidRPr="003717E5" w:rsidRDefault="00F37384" w:rsidP="00F37384">
      <w:pPr>
        <w:tabs>
          <w:tab w:val="left" w:pos="-1440"/>
          <w:tab w:val="left" w:pos="-720"/>
        </w:tabs>
        <w:jc w:val="both"/>
        <w:rPr>
          <w:rFonts w:cs="Times New Roman"/>
          <w:sz w:val="20"/>
          <w:szCs w:val="20"/>
          <w:lang w:val="fr-CA"/>
        </w:rPr>
      </w:pPr>
      <w:r w:rsidRPr="003717E5">
        <w:rPr>
          <w:rFonts w:cs="Times New Roman"/>
          <w:sz w:val="20"/>
          <w:szCs w:val="20"/>
          <w:lang w:val="fr-CA"/>
        </w:rPr>
        <w:t>09.05.2012</w:t>
      </w:r>
    </w:p>
    <w:p w:rsidR="00F37384" w:rsidRPr="003717E5" w:rsidRDefault="00F37384" w:rsidP="00F37384">
      <w:pPr>
        <w:tabs>
          <w:tab w:val="left" w:pos="-1440"/>
          <w:tab w:val="left" w:pos="-720"/>
        </w:tabs>
        <w:jc w:val="both"/>
        <w:rPr>
          <w:rFonts w:cs="Times New Roman"/>
          <w:sz w:val="20"/>
          <w:szCs w:val="20"/>
          <w:lang w:val="fr-CA"/>
        </w:rPr>
      </w:pPr>
    </w:p>
    <w:p w:rsidR="00F37384" w:rsidRPr="003717E5" w:rsidRDefault="00F37384" w:rsidP="00F37384">
      <w:pPr>
        <w:tabs>
          <w:tab w:val="left" w:pos="-1440"/>
          <w:tab w:val="left" w:pos="-720"/>
        </w:tabs>
        <w:jc w:val="both"/>
        <w:rPr>
          <w:rFonts w:cs="Times New Roman"/>
          <w:sz w:val="20"/>
          <w:szCs w:val="20"/>
          <w:lang w:val="fr-CA"/>
        </w:rPr>
      </w:pPr>
      <w:r w:rsidRPr="003717E5">
        <w:rPr>
          <w:rFonts w:cs="Times New Roman"/>
          <w:sz w:val="20"/>
          <w:szCs w:val="20"/>
          <w:lang w:val="fr-CA"/>
        </w:rPr>
        <w:t>Before / Devant :   FISH J. / LE JUGE FISH</w:t>
      </w:r>
    </w:p>
    <w:p w:rsidR="00F37384" w:rsidRPr="003717E5" w:rsidRDefault="00F37384" w:rsidP="00F37384">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37384" w:rsidRPr="0028361F" w:rsidTr="008440EE">
        <w:tc>
          <w:tcPr>
            <w:tcW w:w="4338" w:type="dxa"/>
          </w:tcPr>
          <w:p w:rsidR="00F37384" w:rsidRPr="003717E5" w:rsidRDefault="00414F7B" w:rsidP="008440EE">
            <w:pPr>
              <w:tabs>
                <w:tab w:val="left" w:pos="-1440"/>
                <w:tab w:val="left" w:pos="-720"/>
              </w:tabs>
              <w:jc w:val="both"/>
              <w:rPr>
                <w:rFonts w:cs="Times New Roman"/>
                <w:b/>
                <w:sz w:val="20"/>
                <w:szCs w:val="20"/>
              </w:rPr>
            </w:pPr>
            <w:r w:rsidRPr="003717E5">
              <w:rPr>
                <w:rFonts w:cs="Times New Roman"/>
                <w:sz w:val="20"/>
                <w:szCs w:val="20"/>
              </w:rPr>
              <w:fldChar w:fldCharType="begin"/>
            </w:r>
            <w:r w:rsidR="00F37384" w:rsidRPr="003717E5">
              <w:rPr>
                <w:rFonts w:cs="Times New Roman"/>
                <w:sz w:val="20"/>
                <w:szCs w:val="20"/>
              </w:rPr>
              <w:instrText xml:space="preserve"> SEQ CHAPTER \h \r 1</w:instrText>
            </w:r>
            <w:r w:rsidRPr="003717E5">
              <w:rPr>
                <w:rFonts w:cs="Times New Roman"/>
                <w:sz w:val="20"/>
                <w:szCs w:val="20"/>
              </w:rPr>
              <w:fldChar w:fldCharType="end"/>
            </w:r>
            <w:r w:rsidR="00F37384" w:rsidRPr="003717E5">
              <w:rPr>
                <w:rFonts w:cs="Times New Roman"/>
                <w:b/>
                <w:bCs/>
                <w:sz w:val="20"/>
                <w:szCs w:val="20"/>
              </w:rPr>
              <w:t xml:space="preserve">Motion to extend the time to serve and file an application for leave to appeal to 20 days after the decision of the Court of Appeal of Alberta on the motion for reconsideration </w:t>
            </w:r>
          </w:p>
        </w:tc>
        <w:tc>
          <w:tcPr>
            <w:tcW w:w="1170" w:type="dxa"/>
          </w:tcPr>
          <w:p w:rsidR="00F37384" w:rsidRPr="003717E5" w:rsidRDefault="00F37384" w:rsidP="008440EE">
            <w:pPr>
              <w:tabs>
                <w:tab w:val="left" w:pos="-1440"/>
                <w:tab w:val="left" w:pos="-720"/>
              </w:tabs>
              <w:jc w:val="both"/>
              <w:rPr>
                <w:rFonts w:cs="Times New Roman"/>
                <w:sz w:val="20"/>
                <w:szCs w:val="20"/>
              </w:rPr>
            </w:pPr>
          </w:p>
          <w:p w:rsidR="00F37384" w:rsidRPr="003717E5" w:rsidRDefault="00F37384" w:rsidP="008440EE">
            <w:pPr>
              <w:tabs>
                <w:tab w:val="left" w:pos="-1440"/>
                <w:tab w:val="left" w:pos="-720"/>
              </w:tabs>
              <w:jc w:val="both"/>
              <w:rPr>
                <w:rFonts w:cs="Times New Roman"/>
                <w:sz w:val="20"/>
                <w:szCs w:val="20"/>
              </w:rPr>
            </w:pPr>
          </w:p>
          <w:p w:rsidR="00F37384" w:rsidRPr="003717E5" w:rsidRDefault="00F37384" w:rsidP="008440EE">
            <w:pPr>
              <w:tabs>
                <w:tab w:val="left" w:pos="-1440"/>
                <w:tab w:val="left" w:pos="-720"/>
              </w:tabs>
              <w:jc w:val="both"/>
              <w:rPr>
                <w:rFonts w:cs="Times New Roman"/>
                <w:sz w:val="20"/>
                <w:szCs w:val="20"/>
              </w:rPr>
            </w:pPr>
          </w:p>
          <w:p w:rsidR="00F37384" w:rsidRDefault="00F37384" w:rsidP="008440EE">
            <w:pPr>
              <w:tabs>
                <w:tab w:val="left" w:pos="-1440"/>
                <w:tab w:val="left" w:pos="-720"/>
              </w:tabs>
              <w:jc w:val="both"/>
              <w:rPr>
                <w:rFonts w:cs="Times New Roman"/>
                <w:sz w:val="20"/>
                <w:szCs w:val="20"/>
              </w:rPr>
            </w:pPr>
          </w:p>
          <w:p w:rsidR="008440EE" w:rsidRPr="003717E5" w:rsidRDefault="008440EE" w:rsidP="008440EE">
            <w:pPr>
              <w:tabs>
                <w:tab w:val="left" w:pos="-1440"/>
                <w:tab w:val="left" w:pos="-720"/>
              </w:tabs>
              <w:jc w:val="both"/>
              <w:rPr>
                <w:rFonts w:cs="Times New Roman"/>
                <w:sz w:val="20"/>
                <w:szCs w:val="20"/>
              </w:rPr>
            </w:pPr>
          </w:p>
          <w:p w:rsidR="00F37384" w:rsidRPr="003717E5" w:rsidRDefault="00F37384" w:rsidP="008440EE">
            <w:pPr>
              <w:tabs>
                <w:tab w:val="left" w:pos="-1440"/>
                <w:tab w:val="left" w:pos="-720"/>
              </w:tabs>
              <w:jc w:val="both"/>
              <w:rPr>
                <w:rFonts w:cs="Times New Roman"/>
                <w:sz w:val="20"/>
                <w:szCs w:val="20"/>
              </w:rPr>
            </w:pPr>
          </w:p>
        </w:tc>
        <w:tc>
          <w:tcPr>
            <w:tcW w:w="4327" w:type="dxa"/>
          </w:tcPr>
          <w:p w:rsidR="00F37384" w:rsidRPr="003717E5" w:rsidRDefault="00414F7B" w:rsidP="008440EE">
            <w:pPr>
              <w:tabs>
                <w:tab w:val="left" w:pos="-1440"/>
                <w:tab w:val="left" w:pos="-720"/>
              </w:tabs>
              <w:jc w:val="both"/>
              <w:rPr>
                <w:rFonts w:cs="Times New Roman"/>
                <w:sz w:val="20"/>
                <w:szCs w:val="20"/>
                <w:lang w:val="fr-CA"/>
              </w:rPr>
            </w:pPr>
            <w:r w:rsidRPr="003717E5">
              <w:rPr>
                <w:rFonts w:cs="Times New Roman"/>
                <w:sz w:val="20"/>
                <w:szCs w:val="20"/>
              </w:rPr>
              <w:fldChar w:fldCharType="begin"/>
            </w:r>
            <w:r w:rsidR="00F37384" w:rsidRPr="003717E5">
              <w:rPr>
                <w:rFonts w:cs="Times New Roman"/>
                <w:sz w:val="20"/>
                <w:szCs w:val="20"/>
                <w:lang w:val="fr-CA"/>
              </w:rPr>
              <w:instrText xml:space="preserve"> SEQ CHAPTER \h \r 1</w:instrText>
            </w:r>
            <w:r w:rsidRPr="003717E5">
              <w:rPr>
                <w:rFonts w:cs="Times New Roman"/>
                <w:sz w:val="20"/>
                <w:szCs w:val="20"/>
              </w:rPr>
              <w:fldChar w:fldCharType="end"/>
            </w:r>
            <w:r w:rsidR="00F37384" w:rsidRPr="003717E5">
              <w:rPr>
                <w:rFonts w:cs="Times New Roman"/>
                <w:b/>
                <w:bCs/>
                <w:sz w:val="20"/>
                <w:szCs w:val="20"/>
                <w:lang w:val="fr-CA"/>
              </w:rPr>
              <w:t>Requête en prorogation du délai de signification et de dépôt d’une demande d’autorisation d’appel</w:t>
            </w:r>
            <w:r w:rsidR="00F37384" w:rsidRPr="003717E5">
              <w:rPr>
                <w:rFonts w:cs="Times New Roman"/>
                <w:b/>
                <w:sz w:val="20"/>
                <w:szCs w:val="20"/>
                <w:lang w:val="fr-CA"/>
              </w:rPr>
              <w:t xml:space="preserve"> jusqu’à l’expiration de 20 jours suivant la décision de la Cour d’appel de l’Alberta sur la requête en réexamen</w:t>
            </w:r>
            <w:r w:rsidRPr="003717E5">
              <w:rPr>
                <w:rFonts w:cs="Times New Roman"/>
                <w:sz w:val="20"/>
                <w:szCs w:val="20"/>
              </w:rPr>
              <w:fldChar w:fldCharType="begin"/>
            </w:r>
            <w:r w:rsidR="00F37384" w:rsidRPr="003717E5">
              <w:rPr>
                <w:rFonts w:cs="Times New Roman"/>
                <w:sz w:val="20"/>
                <w:szCs w:val="20"/>
                <w:lang w:val="fr-CA"/>
              </w:rPr>
              <w:instrText xml:space="preserve"> SEQ CHAPTER \h \r 1</w:instrText>
            </w:r>
            <w:r w:rsidRPr="003717E5">
              <w:rPr>
                <w:rFonts w:cs="Times New Roman"/>
                <w:sz w:val="20"/>
                <w:szCs w:val="20"/>
              </w:rPr>
              <w:fldChar w:fldCharType="end"/>
            </w:r>
            <w:r w:rsidRPr="003717E5">
              <w:rPr>
                <w:rFonts w:cs="Times New Roman"/>
                <w:sz w:val="20"/>
                <w:szCs w:val="20"/>
              </w:rPr>
              <w:fldChar w:fldCharType="begin"/>
            </w:r>
            <w:r w:rsidR="00F37384" w:rsidRPr="003717E5">
              <w:rPr>
                <w:rFonts w:cs="Times New Roman"/>
                <w:sz w:val="20"/>
                <w:szCs w:val="20"/>
                <w:lang w:val="fr-CA"/>
              </w:rPr>
              <w:instrText xml:space="preserve"> SEQ CHAPTER \h \r 1</w:instrText>
            </w:r>
            <w:r w:rsidRPr="003717E5">
              <w:rPr>
                <w:rFonts w:cs="Times New Roman"/>
                <w:sz w:val="20"/>
                <w:szCs w:val="20"/>
              </w:rPr>
              <w:fldChar w:fldCharType="end"/>
            </w:r>
            <w:r w:rsidRPr="003717E5">
              <w:rPr>
                <w:rFonts w:cs="Times New Roman"/>
                <w:sz w:val="20"/>
                <w:szCs w:val="20"/>
              </w:rPr>
              <w:fldChar w:fldCharType="begin"/>
            </w:r>
            <w:r w:rsidR="00F37384" w:rsidRPr="003717E5">
              <w:rPr>
                <w:rFonts w:cs="Times New Roman"/>
                <w:sz w:val="20"/>
                <w:szCs w:val="20"/>
                <w:lang w:val="fr-CA"/>
              </w:rPr>
              <w:instrText xml:space="preserve"> SEQ CHAPTER \h \r 1</w:instrText>
            </w:r>
            <w:r w:rsidRPr="003717E5">
              <w:rPr>
                <w:rFonts w:cs="Times New Roman"/>
                <w:sz w:val="20"/>
                <w:szCs w:val="20"/>
              </w:rPr>
              <w:fldChar w:fldCharType="end"/>
            </w:r>
          </w:p>
        </w:tc>
      </w:tr>
      <w:tr w:rsidR="00F37384" w:rsidRPr="003717E5" w:rsidTr="008440EE">
        <w:tc>
          <w:tcPr>
            <w:tcW w:w="4338" w:type="dxa"/>
          </w:tcPr>
          <w:p w:rsidR="00F37384" w:rsidRPr="003717E5" w:rsidRDefault="00F37384" w:rsidP="008440EE">
            <w:pPr>
              <w:tabs>
                <w:tab w:val="left" w:pos="-1440"/>
                <w:tab w:val="left" w:pos="-720"/>
              </w:tabs>
              <w:jc w:val="both"/>
              <w:rPr>
                <w:rFonts w:cs="Times New Roman"/>
                <w:sz w:val="20"/>
                <w:szCs w:val="20"/>
              </w:rPr>
            </w:pPr>
            <w:r w:rsidRPr="003717E5">
              <w:rPr>
                <w:rFonts w:cs="Times New Roman"/>
                <w:sz w:val="20"/>
                <w:szCs w:val="20"/>
              </w:rPr>
              <w:t>Equitable Trust Company</w:t>
            </w:r>
          </w:p>
          <w:p w:rsidR="00F37384" w:rsidRPr="003717E5" w:rsidRDefault="00F37384" w:rsidP="008440EE">
            <w:pPr>
              <w:tabs>
                <w:tab w:val="left" w:pos="-1440"/>
                <w:tab w:val="left" w:pos="-720"/>
              </w:tabs>
              <w:jc w:val="both"/>
              <w:rPr>
                <w:rFonts w:cs="Times New Roman"/>
                <w:sz w:val="20"/>
                <w:szCs w:val="20"/>
              </w:rPr>
            </w:pPr>
          </w:p>
          <w:p w:rsidR="00F37384" w:rsidRPr="003717E5" w:rsidRDefault="00F37384" w:rsidP="008440EE">
            <w:pPr>
              <w:tabs>
                <w:tab w:val="left" w:pos="-1440"/>
                <w:tab w:val="left" w:pos="-720"/>
              </w:tabs>
              <w:jc w:val="both"/>
              <w:rPr>
                <w:rFonts w:cs="Times New Roman"/>
                <w:sz w:val="20"/>
                <w:szCs w:val="20"/>
              </w:rPr>
            </w:pPr>
            <w:r w:rsidRPr="003717E5">
              <w:rPr>
                <w:rFonts w:cs="Times New Roman"/>
                <w:sz w:val="20"/>
                <w:szCs w:val="20"/>
              </w:rPr>
              <w:tab/>
              <w:t>v. (34809)</w:t>
            </w:r>
          </w:p>
          <w:p w:rsidR="00F37384" w:rsidRPr="003717E5" w:rsidRDefault="00F37384" w:rsidP="008440EE">
            <w:pPr>
              <w:tabs>
                <w:tab w:val="left" w:pos="-1440"/>
                <w:tab w:val="left" w:pos="-720"/>
              </w:tabs>
              <w:jc w:val="both"/>
              <w:rPr>
                <w:rFonts w:cs="Times New Roman"/>
                <w:sz w:val="20"/>
                <w:szCs w:val="20"/>
              </w:rPr>
            </w:pPr>
          </w:p>
          <w:p w:rsidR="00F37384" w:rsidRPr="003717E5" w:rsidRDefault="00F37384" w:rsidP="008440EE">
            <w:pPr>
              <w:tabs>
                <w:tab w:val="left" w:pos="-1440"/>
                <w:tab w:val="left" w:pos="-720"/>
              </w:tabs>
              <w:jc w:val="both"/>
              <w:rPr>
                <w:rFonts w:cs="Times New Roman"/>
                <w:sz w:val="20"/>
                <w:szCs w:val="20"/>
                <w:lang w:val="fr-CA"/>
              </w:rPr>
            </w:pPr>
            <w:r w:rsidRPr="003717E5">
              <w:rPr>
                <w:rFonts w:cs="Times New Roman"/>
                <w:sz w:val="20"/>
                <w:szCs w:val="20"/>
              </w:rPr>
              <w:t xml:space="preserve">604 - 1st Street S.W. Inc. </w:t>
            </w:r>
            <w:r w:rsidRPr="003717E5">
              <w:rPr>
                <w:rFonts w:cs="Times New Roman"/>
                <w:sz w:val="20"/>
                <w:szCs w:val="20"/>
                <w:lang w:val="fr-CA"/>
              </w:rPr>
              <w:t>(Alta.)</w:t>
            </w:r>
          </w:p>
        </w:tc>
        <w:tc>
          <w:tcPr>
            <w:tcW w:w="1170" w:type="dxa"/>
          </w:tcPr>
          <w:p w:rsidR="00F37384" w:rsidRPr="003717E5" w:rsidRDefault="00F37384" w:rsidP="008440EE">
            <w:pPr>
              <w:tabs>
                <w:tab w:val="left" w:pos="-1440"/>
                <w:tab w:val="left" w:pos="-720"/>
              </w:tabs>
              <w:jc w:val="both"/>
              <w:rPr>
                <w:rFonts w:cs="Times New Roman"/>
                <w:sz w:val="20"/>
                <w:szCs w:val="20"/>
                <w:lang w:val="fr-CA"/>
              </w:rPr>
            </w:pPr>
          </w:p>
        </w:tc>
        <w:tc>
          <w:tcPr>
            <w:tcW w:w="4327" w:type="dxa"/>
          </w:tcPr>
          <w:p w:rsidR="00F37384" w:rsidRPr="003717E5" w:rsidRDefault="00F37384" w:rsidP="008440EE">
            <w:pPr>
              <w:tabs>
                <w:tab w:val="left" w:pos="-1440"/>
                <w:tab w:val="left" w:pos="-720"/>
              </w:tabs>
              <w:jc w:val="both"/>
              <w:rPr>
                <w:rFonts w:cs="Times New Roman"/>
                <w:sz w:val="20"/>
                <w:szCs w:val="20"/>
                <w:lang w:val="fr-CA"/>
              </w:rPr>
            </w:pPr>
          </w:p>
        </w:tc>
      </w:tr>
    </w:tbl>
    <w:p w:rsidR="00F37384" w:rsidRPr="003717E5" w:rsidRDefault="00F37384" w:rsidP="00F37384">
      <w:pPr>
        <w:tabs>
          <w:tab w:val="left" w:pos="-1440"/>
          <w:tab w:val="left" w:pos="-720"/>
        </w:tabs>
        <w:jc w:val="both"/>
        <w:rPr>
          <w:rFonts w:cs="Times New Roman"/>
          <w:sz w:val="20"/>
          <w:szCs w:val="20"/>
          <w:lang w:val="fr-CA"/>
        </w:rPr>
      </w:pPr>
    </w:p>
    <w:p w:rsidR="00F37384" w:rsidRPr="003717E5" w:rsidRDefault="00F37384" w:rsidP="00F37384">
      <w:pPr>
        <w:tabs>
          <w:tab w:val="left" w:pos="-1440"/>
          <w:tab w:val="left" w:pos="-720"/>
        </w:tabs>
        <w:jc w:val="both"/>
        <w:rPr>
          <w:rFonts w:cs="Times New Roman"/>
          <w:b/>
          <w:sz w:val="20"/>
          <w:szCs w:val="20"/>
          <w:lang w:val="fr-CA"/>
        </w:rPr>
      </w:pPr>
      <w:r w:rsidRPr="003717E5">
        <w:rPr>
          <w:rFonts w:cs="Times New Roman"/>
          <w:b/>
          <w:sz w:val="20"/>
          <w:szCs w:val="20"/>
          <w:lang w:val="fr-CA"/>
        </w:rPr>
        <w:t>GRANTED / ACCORDÉE</w:t>
      </w:r>
    </w:p>
    <w:p w:rsidR="00F37384" w:rsidRPr="003717E5" w:rsidRDefault="00F37384" w:rsidP="00F37384">
      <w:pPr>
        <w:tabs>
          <w:tab w:val="left" w:pos="-1440"/>
          <w:tab w:val="left" w:pos="-720"/>
        </w:tabs>
        <w:jc w:val="both"/>
        <w:rPr>
          <w:rFonts w:cs="Times New Roman"/>
          <w:sz w:val="20"/>
          <w:szCs w:val="20"/>
          <w:lang w:val="fr-CA"/>
        </w:rPr>
      </w:pPr>
    </w:p>
    <w:p w:rsidR="00F37384" w:rsidRPr="003717E5" w:rsidRDefault="00414F7B" w:rsidP="00F37384">
      <w:pPr>
        <w:tabs>
          <w:tab w:val="left" w:pos="-1440"/>
          <w:tab w:val="left" w:pos="-720"/>
        </w:tabs>
        <w:jc w:val="both"/>
        <w:rPr>
          <w:rFonts w:cs="Times New Roman"/>
          <w:sz w:val="20"/>
          <w:szCs w:val="20"/>
          <w:lang w:val="fr-CA"/>
        </w:rPr>
      </w:pPr>
      <w:r w:rsidRPr="00414F7B">
        <w:rPr>
          <w:rFonts w:cs="Times New Roman"/>
          <w:sz w:val="20"/>
          <w:szCs w:val="20"/>
          <w:lang w:val="fr-CA"/>
        </w:rPr>
        <w:pict>
          <v:rect id="_x0000_i1070" style="width:2in;height:1pt" o:hrpct="0" o:hralign="center" o:hrstd="t" o:hrnoshade="t" o:hr="t" fillcolor="black [3213]" stroked="f"/>
        </w:pict>
      </w:r>
    </w:p>
    <w:p w:rsidR="00F37384" w:rsidRDefault="00F37384" w:rsidP="00F37384">
      <w:pPr>
        <w:tabs>
          <w:tab w:val="left" w:pos="-1440"/>
          <w:tab w:val="left" w:pos="-720"/>
        </w:tabs>
        <w:jc w:val="both"/>
        <w:rPr>
          <w:rFonts w:cs="Times New Roman"/>
          <w:sz w:val="20"/>
          <w:szCs w:val="20"/>
          <w:lang w:val="fr-CA"/>
        </w:rPr>
      </w:pPr>
    </w:p>
    <w:p w:rsidR="00A146B2" w:rsidRPr="003B3977" w:rsidRDefault="00A146B2" w:rsidP="00A146B2">
      <w:pPr>
        <w:tabs>
          <w:tab w:val="left" w:pos="-1440"/>
          <w:tab w:val="left" w:pos="-720"/>
        </w:tabs>
        <w:jc w:val="both"/>
        <w:rPr>
          <w:sz w:val="20"/>
          <w:szCs w:val="20"/>
        </w:rPr>
      </w:pPr>
      <w:r w:rsidRPr="003B3977">
        <w:rPr>
          <w:sz w:val="20"/>
          <w:szCs w:val="20"/>
        </w:rPr>
        <w:t>1</w:t>
      </w:r>
      <w:r>
        <w:rPr>
          <w:sz w:val="20"/>
          <w:szCs w:val="20"/>
        </w:rPr>
        <w:t>7</w:t>
      </w:r>
      <w:r w:rsidRPr="003B3977">
        <w:rPr>
          <w:sz w:val="20"/>
          <w:szCs w:val="20"/>
        </w:rPr>
        <w:t>.</w:t>
      </w:r>
      <w:r>
        <w:rPr>
          <w:sz w:val="20"/>
          <w:szCs w:val="20"/>
        </w:rPr>
        <w:t>05</w:t>
      </w:r>
      <w:r w:rsidRPr="003B3977">
        <w:rPr>
          <w:sz w:val="20"/>
          <w:szCs w:val="20"/>
        </w:rPr>
        <w:t>.201</w:t>
      </w:r>
      <w:r>
        <w:rPr>
          <w:sz w:val="20"/>
          <w:szCs w:val="20"/>
        </w:rPr>
        <w:t>2</w:t>
      </w:r>
    </w:p>
    <w:p w:rsidR="00A146B2" w:rsidRDefault="00A146B2" w:rsidP="00A146B2">
      <w:pPr>
        <w:tabs>
          <w:tab w:val="left" w:pos="-1440"/>
          <w:tab w:val="left" w:pos="-720"/>
        </w:tabs>
        <w:jc w:val="both"/>
        <w:rPr>
          <w:sz w:val="20"/>
          <w:szCs w:val="20"/>
        </w:rPr>
      </w:pPr>
    </w:p>
    <w:p w:rsidR="00A146B2" w:rsidRPr="00095C67" w:rsidRDefault="00A146B2" w:rsidP="00A146B2">
      <w:pPr>
        <w:widowControl w:val="0"/>
        <w:ind w:left="1110" w:hanging="1110"/>
        <w:rPr>
          <w:rFonts w:eastAsia="Calibri" w:cs="Times New Roman"/>
          <w:sz w:val="20"/>
          <w:szCs w:val="20"/>
        </w:rPr>
      </w:pPr>
      <w:r w:rsidRPr="00095C67">
        <w:rPr>
          <w:rFonts w:eastAsia="Calibri" w:cs="Times New Roman"/>
          <w:sz w:val="20"/>
          <w:szCs w:val="20"/>
        </w:rPr>
        <w:t xml:space="preserve">Coram: </w:t>
      </w:r>
      <w:r w:rsidRPr="00095C67">
        <w:rPr>
          <w:rFonts w:eastAsia="Calibri" w:cs="Times New Roman"/>
          <w:sz w:val="20"/>
          <w:szCs w:val="20"/>
        </w:rPr>
        <w:tab/>
      </w:r>
      <w:r w:rsidRPr="00095C67">
        <w:rPr>
          <w:rFonts w:eastAsia="Calibri" w:cs="Times New Roman"/>
          <w:sz w:val="20"/>
          <w:szCs w:val="20"/>
          <w:u w:val="single"/>
        </w:rPr>
        <w:t>McLachlin C.J. and LeBel, Deschamps, Abella and Karakatsanis JJ.</w:t>
      </w:r>
    </w:p>
    <w:p w:rsidR="00A146B2" w:rsidRDefault="00A146B2" w:rsidP="00A146B2">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574E2" w:rsidRPr="00146189" w:rsidTr="0086493F">
        <w:tc>
          <w:tcPr>
            <w:tcW w:w="4338" w:type="dxa"/>
          </w:tcPr>
          <w:p w:rsidR="00E574E2" w:rsidRPr="003717E5" w:rsidRDefault="0074232A" w:rsidP="0074232A">
            <w:pPr>
              <w:tabs>
                <w:tab w:val="left" w:pos="-1440"/>
                <w:tab w:val="left" w:pos="-720"/>
              </w:tabs>
              <w:jc w:val="both"/>
              <w:rPr>
                <w:rFonts w:cs="Times New Roman"/>
                <w:b/>
                <w:sz w:val="20"/>
                <w:szCs w:val="20"/>
              </w:rPr>
            </w:pPr>
            <w:r>
              <w:rPr>
                <w:b/>
                <w:sz w:val="20"/>
                <w:szCs w:val="20"/>
              </w:rPr>
              <w:t>M</w:t>
            </w:r>
            <w:r w:rsidR="00E574E2" w:rsidRPr="003B3977">
              <w:rPr>
                <w:b/>
                <w:sz w:val="20"/>
                <w:szCs w:val="20"/>
              </w:rPr>
              <w:t xml:space="preserve">otion to </w:t>
            </w:r>
            <w:r w:rsidR="00E574E2">
              <w:rPr>
                <w:b/>
                <w:sz w:val="20"/>
                <w:szCs w:val="20"/>
              </w:rPr>
              <w:t>quash</w:t>
            </w:r>
            <w:r w:rsidR="00414F7B" w:rsidRPr="003717E5">
              <w:rPr>
                <w:rFonts w:cs="Times New Roman"/>
                <w:sz w:val="20"/>
                <w:szCs w:val="20"/>
              </w:rPr>
              <w:fldChar w:fldCharType="begin"/>
            </w:r>
            <w:r w:rsidR="00E574E2" w:rsidRPr="003717E5">
              <w:rPr>
                <w:rFonts w:cs="Times New Roman"/>
                <w:sz w:val="20"/>
                <w:szCs w:val="20"/>
              </w:rPr>
              <w:instrText xml:space="preserve"> SEQ CHAPTER \h \r 1</w:instrText>
            </w:r>
            <w:r w:rsidR="00414F7B" w:rsidRPr="003717E5">
              <w:rPr>
                <w:rFonts w:cs="Times New Roman"/>
                <w:sz w:val="20"/>
                <w:szCs w:val="20"/>
              </w:rPr>
              <w:fldChar w:fldCharType="end"/>
            </w:r>
            <w:r w:rsidR="00E574E2" w:rsidRPr="003717E5">
              <w:rPr>
                <w:rFonts w:cs="Times New Roman"/>
                <w:b/>
                <w:bCs/>
                <w:sz w:val="20"/>
                <w:szCs w:val="20"/>
              </w:rPr>
              <w:t xml:space="preserve"> </w:t>
            </w:r>
          </w:p>
        </w:tc>
        <w:tc>
          <w:tcPr>
            <w:tcW w:w="1170" w:type="dxa"/>
          </w:tcPr>
          <w:p w:rsidR="00E574E2" w:rsidRPr="003717E5" w:rsidRDefault="00E574E2" w:rsidP="0086493F">
            <w:pPr>
              <w:tabs>
                <w:tab w:val="left" w:pos="-1440"/>
                <w:tab w:val="left" w:pos="-720"/>
              </w:tabs>
              <w:jc w:val="both"/>
              <w:rPr>
                <w:rFonts w:cs="Times New Roman"/>
                <w:sz w:val="20"/>
                <w:szCs w:val="20"/>
              </w:rPr>
            </w:pPr>
          </w:p>
          <w:p w:rsidR="00E574E2" w:rsidRPr="003717E5" w:rsidRDefault="00E574E2" w:rsidP="0086493F">
            <w:pPr>
              <w:tabs>
                <w:tab w:val="left" w:pos="-1440"/>
                <w:tab w:val="left" w:pos="-720"/>
              </w:tabs>
              <w:jc w:val="both"/>
              <w:rPr>
                <w:rFonts w:cs="Times New Roman"/>
                <w:sz w:val="20"/>
                <w:szCs w:val="20"/>
              </w:rPr>
            </w:pPr>
          </w:p>
        </w:tc>
        <w:tc>
          <w:tcPr>
            <w:tcW w:w="4327" w:type="dxa"/>
          </w:tcPr>
          <w:p w:rsidR="00E574E2" w:rsidRPr="00E574E2" w:rsidRDefault="0074232A" w:rsidP="0074232A">
            <w:pPr>
              <w:tabs>
                <w:tab w:val="left" w:pos="-1440"/>
                <w:tab w:val="left" w:pos="-720"/>
              </w:tabs>
              <w:jc w:val="both"/>
              <w:rPr>
                <w:rFonts w:cs="Times New Roman"/>
                <w:sz w:val="20"/>
                <w:szCs w:val="20"/>
                <w:lang w:val="fr-CA"/>
              </w:rPr>
            </w:pPr>
            <w:r>
              <w:rPr>
                <w:b/>
                <w:sz w:val="20"/>
                <w:szCs w:val="20"/>
                <w:lang w:val="fr-CA"/>
              </w:rPr>
              <w:t>R</w:t>
            </w:r>
            <w:r w:rsidR="00E574E2" w:rsidRPr="003B3977">
              <w:rPr>
                <w:b/>
                <w:sz w:val="20"/>
                <w:szCs w:val="20"/>
                <w:lang w:val="fr-CA"/>
              </w:rPr>
              <w:t xml:space="preserve">equête </w:t>
            </w:r>
            <w:r w:rsidR="00E574E2">
              <w:rPr>
                <w:b/>
                <w:sz w:val="20"/>
                <w:szCs w:val="20"/>
                <w:lang w:val="fr-CA"/>
              </w:rPr>
              <w:t>en cassation</w:t>
            </w:r>
            <w:r w:rsidR="00E574E2" w:rsidRPr="00E574E2">
              <w:rPr>
                <w:rFonts w:cs="Times New Roman"/>
                <w:sz w:val="20"/>
                <w:szCs w:val="20"/>
                <w:lang w:val="fr-CA"/>
              </w:rPr>
              <w:t xml:space="preserve"> </w:t>
            </w:r>
            <w:r w:rsidR="00414F7B" w:rsidRPr="003717E5">
              <w:rPr>
                <w:rFonts w:cs="Times New Roman"/>
                <w:sz w:val="20"/>
                <w:szCs w:val="20"/>
              </w:rPr>
              <w:fldChar w:fldCharType="begin"/>
            </w:r>
            <w:r w:rsidR="00E574E2" w:rsidRPr="00E574E2">
              <w:rPr>
                <w:rFonts w:cs="Times New Roman"/>
                <w:sz w:val="20"/>
                <w:szCs w:val="20"/>
                <w:lang w:val="fr-CA"/>
              </w:rPr>
              <w:instrText xml:space="preserve"> SEQ CHAPTER \h \r 1</w:instrText>
            </w:r>
            <w:r w:rsidR="00414F7B" w:rsidRPr="003717E5">
              <w:rPr>
                <w:rFonts w:cs="Times New Roman"/>
                <w:sz w:val="20"/>
                <w:szCs w:val="20"/>
              </w:rPr>
              <w:fldChar w:fldCharType="end"/>
            </w:r>
          </w:p>
        </w:tc>
      </w:tr>
      <w:tr w:rsidR="00E574E2" w:rsidRPr="003717E5" w:rsidTr="0086493F">
        <w:tc>
          <w:tcPr>
            <w:tcW w:w="4338" w:type="dxa"/>
          </w:tcPr>
          <w:p w:rsidR="00E574E2" w:rsidRPr="00E574E2" w:rsidRDefault="00E574E2" w:rsidP="00E574E2">
            <w:pPr>
              <w:jc w:val="both"/>
              <w:rPr>
                <w:rStyle w:val="SCCSsocChar"/>
                <w:i w:val="0"/>
                <w:lang w:val="fr-CA"/>
              </w:rPr>
            </w:pPr>
            <w:r w:rsidRPr="00E574E2">
              <w:rPr>
                <w:rStyle w:val="SCCSsocChar"/>
                <w:i w:val="0"/>
                <w:lang w:val="fr-CA"/>
              </w:rPr>
              <w:t xml:space="preserve">Brian Cuthbertson et al. </w:t>
            </w:r>
          </w:p>
          <w:p w:rsidR="00E574E2" w:rsidRPr="00E574E2" w:rsidRDefault="00E574E2" w:rsidP="00E574E2">
            <w:pPr>
              <w:jc w:val="both"/>
              <w:rPr>
                <w:rStyle w:val="SCCSsocChar"/>
                <w:i w:val="0"/>
                <w:lang w:val="fr-CA"/>
              </w:rPr>
            </w:pPr>
          </w:p>
          <w:p w:rsidR="00E574E2" w:rsidRPr="00E574E2" w:rsidRDefault="00E574E2" w:rsidP="00E574E2">
            <w:pPr>
              <w:jc w:val="both"/>
              <w:rPr>
                <w:rStyle w:val="SCCSsocChar"/>
                <w:i w:val="0"/>
                <w:lang w:val="fr-CA"/>
              </w:rPr>
            </w:pPr>
            <w:r w:rsidRPr="00E574E2">
              <w:rPr>
                <w:rStyle w:val="SCCSsocChar"/>
                <w:i w:val="0"/>
                <w:lang w:val="fr-CA"/>
              </w:rPr>
              <w:tab/>
              <w:t xml:space="preserve">v. </w:t>
            </w:r>
            <w:r w:rsidRPr="00E574E2">
              <w:rPr>
                <w:rFonts w:eastAsia="Calibri" w:cs="Times New Roman"/>
                <w:sz w:val="20"/>
                <w:szCs w:val="20"/>
                <w:lang w:val="fr-CA"/>
              </w:rPr>
              <w:t>(34362)</w:t>
            </w:r>
          </w:p>
          <w:p w:rsidR="00E574E2" w:rsidRPr="00E574E2" w:rsidRDefault="00E574E2" w:rsidP="00E574E2">
            <w:pPr>
              <w:jc w:val="both"/>
              <w:rPr>
                <w:rStyle w:val="SCCSsocChar"/>
                <w:i w:val="0"/>
                <w:lang w:val="fr-CA"/>
              </w:rPr>
            </w:pPr>
          </w:p>
          <w:p w:rsidR="00E574E2" w:rsidRPr="003717E5" w:rsidRDefault="00E574E2" w:rsidP="00E574E2">
            <w:pPr>
              <w:tabs>
                <w:tab w:val="left" w:pos="-1440"/>
                <w:tab w:val="left" w:pos="-720"/>
              </w:tabs>
              <w:jc w:val="both"/>
              <w:rPr>
                <w:rFonts w:cs="Times New Roman"/>
                <w:sz w:val="20"/>
                <w:szCs w:val="20"/>
                <w:lang w:val="fr-CA"/>
              </w:rPr>
            </w:pPr>
            <w:r w:rsidRPr="00095C67">
              <w:rPr>
                <w:rStyle w:val="SCCSsocChar"/>
                <w:i w:val="0"/>
              </w:rPr>
              <w:t>Hassan Rasouli by his Litigation Guardian and Substitute Decision Maker, Parichehr Salasel</w:t>
            </w:r>
            <w:r w:rsidRPr="00095C67">
              <w:rPr>
                <w:rFonts w:eastAsia="Calibri" w:cs="Times New Roman"/>
                <w:sz w:val="20"/>
                <w:szCs w:val="20"/>
              </w:rPr>
              <w:t xml:space="preserve"> (Ont.) (Civil) (By Leave)</w:t>
            </w:r>
          </w:p>
        </w:tc>
        <w:tc>
          <w:tcPr>
            <w:tcW w:w="1170" w:type="dxa"/>
          </w:tcPr>
          <w:p w:rsidR="00E574E2" w:rsidRPr="003717E5" w:rsidRDefault="00E574E2" w:rsidP="0086493F">
            <w:pPr>
              <w:tabs>
                <w:tab w:val="left" w:pos="-1440"/>
                <w:tab w:val="left" w:pos="-720"/>
              </w:tabs>
              <w:jc w:val="both"/>
              <w:rPr>
                <w:rFonts w:cs="Times New Roman"/>
                <w:sz w:val="20"/>
                <w:szCs w:val="20"/>
                <w:lang w:val="fr-CA"/>
              </w:rPr>
            </w:pPr>
          </w:p>
        </w:tc>
        <w:tc>
          <w:tcPr>
            <w:tcW w:w="4327" w:type="dxa"/>
          </w:tcPr>
          <w:p w:rsidR="003B408C" w:rsidRPr="00673724" w:rsidRDefault="003B408C" w:rsidP="003B408C">
            <w:pPr>
              <w:tabs>
                <w:tab w:val="left" w:pos="-2970"/>
              </w:tabs>
              <w:jc w:val="both"/>
              <w:rPr>
                <w:sz w:val="20"/>
                <w:szCs w:val="20"/>
                <w:lang w:val="en-US"/>
              </w:rPr>
            </w:pPr>
            <w:r w:rsidRPr="00673724">
              <w:rPr>
                <w:sz w:val="20"/>
                <w:szCs w:val="20"/>
                <w:lang w:val="en-US"/>
              </w:rPr>
              <w:t>J. Gardner Hodder</w:t>
            </w:r>
            <w:r>
              <w:rPr>
                <w:sz w:val="20"/>
                <w:szCs w:val="20"/>
                <w:lang w:val="en-US"/>
              </w:rPr>
              <w:t xml:space="preserve"> and </w:t>
            </w:r>
            <w:r w:rsidRPr="00673724">
              <w:rPr>
                <w:sz w:val="20"/>
                <w:szCs w:val="20"/>
                <w:lang w:val="en-US"/>
              </w:rPr>
              <w:t>Guillermo Schible</w:t>
            </w:r>
            <w:r>
              <w:rPr>
                <w:sz w:val="20"/>
                <w:szCs w:val="20"/>
                <w:lang w:val="en-US"/>
              </w:rPr>
              <w:t xml:space="preserve"> f</w:t>
            </w:r>
            <w:r w:rsidRPr="00673724">
              <w:rPr>
                <w:sz w:val="20"/>
                <w:szCs w:val="20"/>
                <w:lang w:val="en-US"/>
              </w:rPr>
              <w:t xml:space="preserve">or the </w:t>
            </w:r>
            <w:r>
              <w:rPr>
                <w:sz w:val="20"/>
                <w:szCs w:val="20"/>
                <w:lang w:val="en-US"/>
              </w:rPr>
              <w:t>r</w:t>
            </w:r>
            <w:r w:rsidRPr="00673724">
              <w:rPr>
                <w:sz w:val="20"/>
                <w:szCs w:val="20"/>
                <w:lang w:val="en-US"/>
              </w:rPr>
              <w:t>espondent.</w:t>
            </w:r>
          </w:p>
          <w:p w:rsidR="003B408C" w:rsidRPr="00673724" w:rsidRDefault="003B408C" w:rsidP="003B408C">
            <w:pPr>
              <w:tabs>
                <w:tab w:val="left" w:pos="-2970"/>
              </w:tabs>
              <w:jc w:val="both"/>
              <w:rPr>
                <w:sz w:val="20"/>
                <w:szCs w:val="20"/>
                <w:lang w:val="en-US"/>
              </w:rPr>
            </w:pPr>
          </w:p>
          <w:p w:rsidR="003B408C" w:rsidRPr="00673724" w:rsidRDefault="003B408C" w:rsidP="003B408C">
            <w:pPr>
              <w:tabs>
                <w:tab w:val="left" w:pos="-2970"/>
              </w:tabs>
              <w:jc w:val="both"/>
              <w:rPr>
                <w:sz w:val="20"/>
                <w:szCs w:val="20"/>
                <w:lang w:val="en-US"/>
              </w:rPr>
            </w:pPr>
            <w:r w:rsidRPr="00673724">
              <w:rPr>
                <w:sz w:val="20"/>
                <w:szCs w:val="20"/>
                <w:lang w:val="en-US"/>
              </w:rPr>
              <w:t>Harry Underwood</w:t>
            </w:r>
            <w:r>
              <w:rPr>
                <w:sz w:val="20"/>
                <w:szCs w:val="20"/>
                <w:lang w:val="en-US"/>
              </w:rPr>
              <w:t xml:space="preserve"> and </w:t>
            </w:r>
            <w:r w:rsidRPr="00673724">
              <w:rPr>
                <w:sz w:val="20"/>
                <w:szCs w:val="20"/>
                <w:lang w:val="en-US"/>
              </w:rPr>
              <w:t>Erica Baron</w:t>
            </w:r>
            <w:r>
              <w:rPr>
                <w:sz w:val="20"/>
                <w:szCs w:val="20"/>
                <w:lang w:val="en-US"/>
              </w:rPr>
              <w:t xml:space="preserve"> f</w:t>
            </w:r>
            <w:r w:rsidRPr="00673724">
              <w:rPr>
                <w:sz w:val="20"/>
                <w:szCs w:val="20"/>
                <w:lang w:val="en-US"/>
              </w:rPr>
              <w:t xml:space="preserve">or the </w:t>
            </w:r>
            <w:r>
              <w:rPr>
                <w:sz w:val="20"/>
                <w:szCs w:val="20"/>
                <w:lang w:val="en-US"/>
              </w:rPr>
              <w:t>a</w:t>
            </w:r>
            <w:r w:rsidRPr="00673724">
              <w:rPr>
                <w:sz w:val="20"/>
                <w:szCs w:val="20"/>
                <w:lang w:val="en-US"/>
              </w:rPr>
              <w:t>ppellant.</w:t>
            </w:r>
          </w:p>
          <w:p w:rsidR="00E574E2" w:rsidRPr="003B408C" w:rsidRDefault="00E574E2" w:rsidP="0086493F">
            <w:pPr>
              <w:tabs>
                <w:tab w:val="left" w:pos="-1440"/>
                <w:tab w:val="left" w:pos="-720"/>
              </w:tabs>
              <w:jc w:val="both"/>
              <w:rPr>
                <w:rFonts w:cs="Times New Roman"/>
                <w:sz w:val="20"/>
                <w:szCs w:val="20"/>
                <w:lang w:val="en-US"/>
              </w:rPr>
            </w:pPr>
          </w:p>
        </w:tc>
      </w:tr>
    </w:tbl>
    <w:p w:rsidR="00E574E2" w:rsidRDefault="00E574E2" w:rsidP="00A146B2">
      <w:pPr>
        <w:tabs>
          <w:tab w:val="left" w:pos="-1440"/>
          <w:tab w:val="left" w:pos="-720"/>
        </w:tabs>
        <w:jc w:val="both"/>
        <w:rPr>
          <w:sz w:val="20"/>
          <w:szCs w:val="20"/>
        </w:rPr>
      </w:pPr>
    </w:p>
    <w:p w:rsidR="00A146B2" w:rsidRPr="003B3977" w:rsidRDefault="00A146B2" w:rsidP="00A146B2">
      <w:pPr>
        <w:tabs>
          <w:tab w:val="left" w:pos="-1440"/>
          <w:tab w:val="left" w:pos="-720"/>
        </w:tabs>
        <w:jc w:val="both"/>
        <w:rPr>
          <w:b/>
          <w:sz w:val="20"/>
          <w:szCs w:val="20"/>
        </w:rPr>
      </w:pPr>
      <w:r w:rsidRPr="00095C67">
        <w:rPr>
          <w:rFonts w:eastAsia="Calibri" w:cs="Times New Roman"/>
          <w:b/>
          <w:bCs/>
          <w:sz w:val="20"/>
          <w:szCs w:val="20"/>
          <w:lang w:val="fr-CA"/>
        </w:rPr>
        <w:t>DISMISSED / REJETÉE</w:t>
      </w:r>
    </w:p>
    <w:p w:rsidR="00A146B2" w:rsidRDefault="00A146B2" w:rsidP="00A146B2">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574E2" w:rsidRPr="0028361F" w:rsidTr="0086493F">
        <w:tc>
          <w:tcPr>
            <w:tcW w:w="4338" w:type="dxa"/>
          </w:tcPr>
          <w:p w:rsidR="00E574E2" w:rsidRPr="003B3977" w:rsidRDefault="00E574E2" w:rsidP="00E574E2">
            <w:pPr>
              <w:rPr>
                <w:sz w:val="20"/>
                <w:szCs w:val="20"/>
              </w:rPr>
            </w:pPr>
            <w:r w:rsidRPr="003B3977">
              <w:rPr>
                <w:b/>
                <w:sz w:val="20"/>
                <w:szCs w:val="20"/>
                <w:u w:val="single"/>
              </w:rPr>
              <w:t>Nature of the case:</w:t>
            </w:r>
          </w:p>
          <w:p w:rsidR="00E574E2" w:rsidRPr="003B3977" w:rsidRDefault="00E574E2" w:rsidP="00E574E2">
            <w:pPr>
              <w:rPr>
                <w:sz w:val="20"/>
                <w:szCs w:val="20"/>
              </w:rPr>
            </w:pPr>
          </w:p>
          <w:p w:rsidR="00E574E2" w:rsidRPr="00E574E2" w:rsidRDefault="00E574E2" w:rsidP="000F6E47">
            <w:pPr>
              <w:tabs>
                <w:tab w:val="left" w:pos="-1440"/>
                <w:tab w:val="left" w:pos="-720"/>
              </w:tabs>
              <w:jc w:val="both"/>
              <w:rPr>
                <w:rFonts w:cs="Times New Roman"/>
                <w:sz w:val="20"/>
                <w:szCs w:val="20"/>
              </w:rPr>
            </w:pPr>
            <w:r w:rsidRPr="00C23337">
              <w:rPr>
                <w:rFonts w:cs="Times New Roman"/>
                <w:sz w:val="20"/>
                <w:szCs w:val="20"/>
              </w:rPr>
              <w:t xml:space="preserve">Legislation </w:t>
            </w:r>
            <w:r w:rsidR="000F6E47">
              <w:rPr>
                <w:rFonts w:cs="Times New Roman"/>
                <w:sz w:val="20"/>
                <w:szCs w:val="20"/>
              </w:rPr>
              <w:t>-</w:t>
            </w:r>
            <w:r w:rsidRPr="00C23337">
              <w:rPr>
                <w:rFonts w:cs="Times New Roman"/>
                <w:sz w:val="20"/>
                <w:szCs w:val="20"/>
              </w:rPr>
              <w:t xml:space="preserve"> Interpretation </w:t>
            </w:r>
            <w:r w:rsidR="000F6E47">
              <w:rPr>
                <w:rFonts w:cs="Times New Roman"/>
                <w:sz w:val="20"/>
                <w:szCs w:val="20"/>
              </w:rPr>
              <w:t>-</w:t>
            </w:r>
            <w:r w:rsidRPr="00C23337">
              <w:rPr>
                <w:rFonts w:cs="Times New Roman"/>
                <w:sz w:val="20"/>
                <w:szCs w:val="20"/>
              </w:rPr>
              <w:t xml:space="preserve"> Health Care </w:t>
            </w:r>
            <w:r w:rsidR="000F6E47">
              <w:rPr>
                <w:rFonts w:cs="Times New Roman"/>
                <w:sz w:val="20"/>
                <w:szCs w:val="20"/>
              </w:rPr>
              <w:t>-</w:t>
            </w:r>
            <w:r w:rsidRPr="00C23337">
              <w:rPr>
                <w:rFonts w:cs="Times New Roman"/>
                <w:sz w:val="20"/>
                <w:szCs w:val="20"/>
              </w:rPr>
              <w:t xml:space="preserve"> Withdrawal of life-sustaining medical treatment </w:t>
            </w:r>
            <w:r w:rsidR="000F6E47">
              <w:rPr>
                <w:rFonts w:cs="Times New Roman"/>
                <w:sz w:val="20"/>
                <w:szCs w:val="20"/>
              </w:rPr>
              <w:t>-</w:t>
            </w:r>
            <w:r w:rsidRPr="00C23337">
              <w:rPr>
                <w:rFonts w:cs="Times New Roman"/>
                <w:sz w:val="20"/>
                <w:szCs w:val="20"/>
              </w:rPr>
              <w:t xml:space="preserve"> Whether there is a special category of medical decisions taken at the end of a patient’s life to which established medical standards of care do not apply </w:t>
            </w:r>
            <w:r w:rsidR="000F6E47">
              <w:rPr>
                <w:rFonts w:cs="Times New Roman"/>
                <w:sz w:val="20"/>
                <w:szCs w:val="20"/>
              </w:rPr>
              <w:t>-</w:t>
            </w:r>
            <w:r w:rsidRPr="00C23337">
              <w:rPr>
                <w:rFonts w:cs="Times New Roman"/>
                <w:sz w:val="20"/>
                <w:szCs w:val="20"/>
              </w:rPr>
              <w:t xml:space="preserve"> Whether patient consent is required under any circumstances to the withholding or withdrawal of treatment that the patient’s doctor is </w:t>
            </w:r>
            <w:r w:rsidRPr="00C23337">
              <w:rPr>
                <w:rFonts w:cs="Times New Roman"/>
                <w:sz w:val="20"/>
                <w:szCs w:val="20"/>
              </w:rPr>
              <w:lastRenderedPageBreak/>
              <w:t xml:space="preserve">not prepared to offer or to continue to offer </w:t>
            </w:r>
            <w:r w:rsidR="000F6E47">
              <w:rPr>
                <w:rFonts w:cs="Times New Roman"/>
                <w:sz w:val="20"/>
                <w:szCs w:val="20"/>
              </w:rPr>
              <w:t>-</w:t>
            </w:r>
            <w:r w:rsidRPr="00C23337">
              <w:rPr>
                <w:rFonts w:cs="Times New Roman"/>
                <w:sz w:val="20"/>
                <w:szCs w:val="20"/>
              </w:rPr>
              <w:t xml:space="preserve"> Whether a patient’s right to personal autonomy is engaged by a decision to withhold or withdraw life support or other measures required to sustain life when death is otherwise imminent </w:t>
            </w:r>
            <w:r w:rsidR="000F6E47">
              <w:rPr>
                <w:rFonts w:cs="Times New Roman"/>
                <w:sz w:val="20"/>
                <w:szCs w:val="20"/>
              </w:rPr>
              <w:t>-</w:t>
            </w:r>
            <w:r w:rsidRPr="00C23337">
              <w:rPr>
                <w:rFonts w:cs="Times New Roman"/>
                <w:sz w:val="20"/>
                <w:szCs w:val="20"/>
              </w:rPr>
              <w:t xml:space="preserve"> If life support or similar measures can legally be withheld or withdrawn, what process must first be followed by doctors and what redress is available to patients or substitute decision makers in the event of a conflict </w:t>
            </w:r>
            <w:r w:rsidR="000F6E47">
              <w:rPr>
                <w:rFonts w:cs="Times New Roman"/>
                <w:sz w:val="20"/>
                <w:szCs w:val="20"/>
              </w:rPr>
              <w:t>-</w:t>
            </w:r>
            <w:r w:rsidRPr="00C23337">
              <w:rPr>
                <w:rFonts w:cs="Times New Roman"/>
                <w:sz w:val="20"/>
                <w:szCs w:val="20"/>
              </w:rPr>
              <w:t xml:space="preserve"> Whether the Health Care Consent Act, 1996, SO 1996, c. 2, Sch. A, changed the common law of consent to treatment - Whether Court of Appeal erred in adopting an unreasonable interpretation of the Health Care Consent Act that requires physicians to breach an applicable medical standard of care </w:t>
            </w:r>
            <w:r w:rsidR="000F6E47">
              <w:rPr>
                <w:rFonts w:cs="Times New Roman"/>
                <w:sz w:val="20"/>
                <w:szCs w:val="20"/>
              </w:rPr>
              <w:t>-</w:t>
            </w:r>
            <w:r w:rsidRPr="00C23337">
              <w:rPr>
                <w:rFonts w:cs="Times New Roman"/>
                <w:sz w:val="20"/>
                <w:szCs w:val="20"/>
              </w:rPr>
              <w:t xml:space="preserve"> Whether the law of informed consent confers upon patients a right to insist upon the continuation of a particular treatment when a medical standard of care requires it to be withdrawn.</w:t>
            </w:r>
          </w:p>
        </w:tc>
        <w:tc>
          <w:tcPr>
            <w:tcW w:w="1170" w:type="dxa"/>
          </w:tcPr>
          <w:p w:rsidR="00E574E2" w:rsidRPr="00E574E2" w:rsidRDefault="00E574E2" w:rsidP="0086493F">
            <w:pPr>
              <w:tabs>
                <w:tab w:val="left" w:pos="-1440"/>
                <w:tab w:val="left" w:pos="-720"/>
              </w:tabs>
              <w:jc w:val="both"/>
              <w:rPr>
                <w:rFonts w:cs="Times New Roman"/>
                <w:sz w:val="20"/>
                <w:szCs w:val="20"/>
              </w:rPr>
            </w:pPr>
          </w:p>
        </w:tc>
        <w:tc>
          <w:tcPr>
            <w:tcW w:w="4327" w:type="dxa"/>
          </w:tcPr>
          <w:p w:rsidR="00E574E2" w:rsidRPr="003B3977" w:rsidRDefault="00E574E2" w:rsidP="00E574E2">
            <w:pPr>
              <w:rPr>
                <w:sz w:val="20"/>
                <w:szCs w:val="20"/>
                <w:lang w:val="fr-CA"/>
              </w:rPr>
            </w:pPr>
            <w:r w:rsidRPr="003B3977">
              <w:rPr>
                <w:b/>
                <w:sz w:val="20"/>
                <w:szCs w:val="20"/>
                <w:u w:val="single"/>
                <w:lang w:val="fr-CA"/>
              </w:rPr>
              <w:t>Nature de la cause :</w:t>
            </w:r>
          </w:p>
          <w:p w:rsidR="00E574E2" w:rsidRPr="003B3977" w:rsidRDefault="00E574E2" w:rsidP="00E574E2">
            <w:pPr>
              <w:rPr>
                <w:sz w:val="20"/>
                <w:szCs w:val="20"/>
                <w:lang w:val="fr-CA"/>
              </w:rPr>
            </w:pPr>
          </w:p>
          <w:p w:rsidR="00E574E2" w:rsidRPr="00AD32D6" w:rsidRDefault="00AD32D6" w:rsidP="00AD32D6">
            <w:pPr>
              <w:tabs>
                <w:tab w:val="left" w:pos="-1440"/>
                <w:tab w:val="left" w:pos="-720"/>
              </w:tabs>
              <w:jc w:val="both"/>
              <w:rPr>
                <w:rFonts w:cs="Times New Roman"/>
                <w:sz w:val="20"/>
                <w:szCs w:val="20"/>
                <w:lang w:val="fr-CA"/>
              </w:rPr>
            </w:pPr>
            <w:r w:rsidRPr="00AD32D6">
              <w:rPr>
                <w:sz w:val="20"/>
                <w:szCs w:val="20"/>
                <w:lang w:val="fr-CA"/>
              </w:rPr>
              <w:t xml:space="preserve">Législation - Interprétation - Soins de santé - Retrait d'un traitement médical de maintien de la vie </w:t>
            </w:r>
            <w:r>
              <w:rPr>
                <w:sz w:val="20"/>
                <w:szCs w:val="20"/>
                <w:lang w:val="fr-CA"/>
              </w:rPr>
              <w:t>-</w:t>
            </w:r>
            <w:r w:rsidRPr="00AD32D6">
              <w:rPr>
                <w:sz w:val="20"/>
                <w:szCs w:val="20"/>
                <w:lang w:val="fr-CA"/>
              </w:rPr>
              <w:t xml:space="preserve"> Existe</w:t>
            </w:r>
            <w:r w:rsidRPr="00AD32D6">
              <w:rPr>
                <w:sz w:val="20"/>
                <w:szCs w:val="20"/>
                <w:lang w:val="fr-FR"/>
              </w:rPr>
              <w:noBreakHyphen/>
            </w:r>
            <w:r w:rsidRPr="00AD32D6">
              <w:rPr>
                <w:sz w:val="20"/>
                <w:szCs w:val="20"/>
                <w:lang w:val="fr-CA"/>
              </w:rPr>
              <w:t>t</w:t>
            </w:r>
            <w:r w:rsidRPr="00AD32D6">
              <w:rPr>
                <w:sz w:val="20"/>
                <w:szCs w:val="20"/>
                <w:lang w:val="fr-FR"/>
              </w:rPr>
              <w:noBreakHyphen/>
            </w:r>
            <w:r w:rsidRPr="00AD32D6">
              <w:rPr>
                <w:sz w:val="20"/>
                <w:szCs w:val="20"/>
                <w:lang w:val="fr-CA"/>
              </w:rPr>
              <w:t>il une catégorie spéciale de décisions médicales prises à la fin de la vie d</w:t>
            </w:r>
            <w:r>
              <w:rPr>
                <w:sz w:val="20"/>
                <w:szCs w:val="20"/>
                <w:lang w:val="fr-CA"/>
              </w:rPr>
              <w:t>’</w:t>
            </w:r>
            <w:r w:rsidRPr="00AD32D6">
              <w:rPr>
                <w:sz w:val="20"/>
                <w:szCs w:val="20"/>
                <w:lang w:val="fr-CA"/>
              </w:rPr>
              <w:t>un patient à laquelle les normes médicales établies ne s’appliquent pas? - Faut</w:t>
            </w:r>
            <w:r w:rsidRPr="00AD32D6">
              <w:rPr>
                <w:sz w:val="20"/>
                <w:szCs w:val="20"/>
                <w:lang w:val="fr-FR"/>
              </w:rPr>
              <w:noBreakHyphen/>
            </w:r>
            <w:r w:rsidRPr="00AD32D6">
              <w:rPr>
                <w:sz w:val="20"/>
                <w:szCs w:val="20"/>
                <w:lang w:val="fr-CA"/>
              </w:rPr>
              <w:t xml:space="preserve">il en toutes  circonstances obtenir le consentement du patient pour refuser ou retirer un traitement que le médecin du patient </w:t>
            </w:r>
            <w:r w:rsidRPr="00AD32D6">
              <w:rPr>
                <w:sz w:val="20"/>
                <w:szCs w:val="20"/>
                <w:lang w:val="fr-CA"/>
              </w:rPr>
              <w:lastRenderedPageBreak/>
              <w:t>n’est pas disposé à offrir ou à continuer d’offrir? - Le droit du patient à l’autonomie personnelle est</w:t>
            </w:r>
            <w:r w:rsidRPr="00AD32D6">
              <w:rPr>
                <w:sz w:val="20"/>
                <w:szCs w:val="20"/>
                <w:lang w:val="fr-FR"/>
              </w:rPr>
              <w:noBreakHyphen/>
            </w:r>
            <w:r w:rsidRPr="00AD32D6">
              <w:rPr>
                <w:sz w:val="20"/>
                <w:szCs w:val="20"/>
                <w:lang w:val="fr-CA"/>
              </w:rPr>
              <w:t>il mis en cause par la décision de refuser ou de retirer des procédures de maintien de la vie ou autres mesures nécessaires pour garder un patient en vie  lorsque la mort est par ailleurs imminente? - Si l’on peut légalement refuser ou retirer des procédures de maintien de la vie ou des mesures analogues, quelle démarche les médecins doivent</w:t>
            </w:r>
            <w:r w:rsidRPr="00AD32D6">
              <w:rPr>
                <w:sz w:val="20"/>
                <w:szCs w:val="20"/>
                <w:lang w:val="fr-FR"/>
              </w:rPr>
              <w:noBreakHyphen/>
            </w:r>
            <w:r w:rsidRPr="00AD32D6">
              <w:rPr>
                <w:sz w:val="20"/>
                <w:szCs w:val="20"/>
                <w:lang w:val="fr-CA"/>
              </w:rPr>
              <w:t xml:space="preserve">ils accomplir en premier lieu et quel recours est ouvert aux patients ou mandataires spéciaux en cas de conflit? - La </w:t>
            </w:r>
            <w:r w:rsidRPr="00AD32D6">
              <w:rPr>
                <w:i/>
                <w:sz w:val="20"/>
                <w:szCs w:val="20"/>
                <w:lang w:val="fr-CA"/>
              </w:rPr>
              <w:t>Loi de 1996 sur le consentement aux soins de santé</w:t>
            </w:r>
            <w:r w:rsidRPr="00AD32D6">
              <w:rPr>
                <w:sz w:val="20"/>
                <w:szCs w:val="20"/>
                <w:lang w:val="fr-CA"/>
              </w:rPr>
              <w:t>, L.O. 1996, ch. 2, ann. A (la « Loi »), a</w:t>
            </w:r>
            <w:r w:rsidRPr="00AD32D6">
              <w:rPr>
                <w:sz w:val="20"/>
                <w:szCs w:val="20"/>
                <w:lang w:val="fr-CA"/>
              </w:rPr>
              <w:noBreakHyphen/>
              <w:t>t</w:t>
            </w:r>
            <w:r w:rsidRPr="00AD32D6">
              <w:rPr>
                <w:sz w:val="20"/>
                <w:szCs w:val="20"/>
                <w:lang w:val="fr-CA"/>
              </w:rPr>
              <w:noBreakHyphen/>
              <w:t>elle modifié la common law en ce qui concerne le consentement aux traitements? - La Cour d'appel a</w:t>
            </w:r>
            <w:r w:rsidRPr="00AD32D6">
              <w:rPr>
                <w:sz w:val="20"/>
                <w:szCs w:val="20"/>
                <w:lang w:val="fr-CA"/>
              </w:rPr>
              <w:noBreakHyphen/>
              <w:t>t</w:t>
            </w:r>
            <w:r w:rsidRPr="00AD32D6">
              <w:rPr>
                <w:sz w:val="20"/>
                <w:szCs w:val="20"/>
                <w:lang w:val="fr-CA"/>
              </w:rPr>
              <w:noBreakHyphen/>
              <w:t xml:space="preserve">elle commis une erreur et donné une interprétation déraisonnable la </w:t>
            </w:r>
            <w:r w:rsidRPr="00AD32D6">
              <w:rPr>
                <w:i/>
                <w:sz w:val="20"/>
                <w:szCs w:val="20"/>
                <w:lang w:val="fr-CA"/>
              </w:rPr>
              <w:t>Loi sur le consentement aux soins de santé</w:t>
            </w:r>
            <w:r w:rsidRPr="00AD32D6">
              <w:rPr>
                <w:sz w:val="20"/>
                <w:szCs w:val="20"/>
                <w:lang w:val="fr-CA"/>
              </w:rPr>
              <w:t>, interprétation qui aurait pour effet d’obliger les médecins à enfreindre une norme médicale applicable en matière de soins de santé? - Les patients possèdent</w:t>
            </w:r>
            <w:r w:rsidRPr="00AD32D6">
              <w:rPr>
                <w:sz w:val="20"/>
                <w:szCs w:val="20"/>
                <w:lang w:val="fr-FR"/>
              </w:rPr>
              <w:noBreakHyphen/>
            </w:r>
            <w:r w:rsidRPr="00AD32D6">
              <w:rPr>
                <w:sz w:val="20"/>
                <w:szCs w:val="20"/>
                <w:lang w:val="fr-CA"/>
              </w:rPr>
              <w:t>ils, en vertu du droit relatif au consentement éclairé, le droit d’exiger la poursuite d’un traitement particulier lorsqu’une norme médicale en matière de soins de santé requiert son retrait?</w:t>
            </w:r>
          </w:p>
        </w:tc>
      </w:tr>
    </w:tbl>
    <w:p w:rsidR="00E574E2" w:rsidRDefault="00E574E2" w:rsidP="00A146B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8361F" w:rsidRPr="0028361F" w:rsidTr="007E4852">
        <w:tc>
          <w:tcPr>
            <w:tcW w:w="4338" w:type="dxa"/>
          </w:tcPr>
          <w:p w:rsidR="0028361F" w:rsidRPr="00CC4D84" w:rsidRDefault="0028361F" w:rsidP="0028361F">
            <w:pPr>
              <w:widowControl w:val="0"/>
              <w:jc w:val="both"/>
              <w:rPr>
                <w:b/>
                <w:sz w:val="20"/>
                <w:szCs w:val="20"/>
                <w:u w:val="single"/>
              </w:rPr>
            </w:pPr>
            <w:r>
              <w:rPr>
                <w:b/>
                <w:sz w:val="20"/>
                <w:szCs w:val="20"/>
                <w:u w:val="single"/>
              </w:rPr>
              <w:t>J</w:t>
            </w:r>
            <w:r w:rsidRPr="00CC4D84">
              <w:rPr>
                <w:b/>
                <w:sz w:val="20"/>
                <w:szCs w:val="20"/>
                <w:u w:val="single"/>
              </w:rPr>
              <w:t>u</w:t>
            </w:r>
            <w:r>
              <w:rPr>
                <w:b/>
                <w:sz w:val="20"/>
                <w:szCs w:val="20"/>
                <w:u w:val="single"/>
              </w:rPr>
              <w:t>dgment</w:t>
            </w:r>
            <w:r w:rsidRPr="00CC4D84">
              <w:rPr>
                <w:b/>
                <w:sz w:val="20"/>
                <w:szCs w:val="20"/>
                <w:u w:val="single"/>
              </w:rPr>
              <w:t>:</w:t>
            </w:r>
          </w:p>
          <w:p w:rsidR="0028361F" w:rsidRPr="00C1697B" w:rsidRDefault="0028361F" w:rsidP="0028361F">
            <w:pPr>
              <w:widowControl w:val="0"/>
              <w:jc w:val="both"/>
              <w:rPr>
                <w:b/>
                <w:sz w:val="20"/>
                <w:szCs w:val="20"/>
              </w:rPr>
            </w:pPr>
          </w:p>
          <w:p w:rsidR="0028361F" w:rsidRPr="00DF3241" w:rsidRDefault="0028361F" w:rsidP="0028361F">
            <w:pPr>
              <w:jc w:val="both"/>
              <w:rPr>
                <w:sz w:val="20"/>
                <w:szCs w:val="20"/>
              </w:rPr>
            </w:pPr>
            <w:r w:rsidRPr="00DF3241">
              <w:rPr>
                <w:sz w:val="20"/>
                <w:szCs w:val="20"/>
              </w:rPr>
              <w:t>The motion to quash the appeal from the judgment of the Court of Appeal for Ontario, Number  C53442, 2011 ONCA 482, dated June 29, 2011, was heard this day and the following judgment was rendered:</w:t>
            </w:r>
          </w:p>
          <w:p w:rsidR="0028361F" w:rsidRPr="00DF3241" w:rsidRDefault="0028361F" w:rsidP="0028361F">
            <w:pPr>
              <w:jc w:val="both"/>
              <w:rPr>
                <w:sz w:val="20"/>
                <w:szCs w:val="20"/>
              </w:rPr>
            </w:pPr>
          </w:p>
          <w:p w:rsidR="0028361F" w:rsidRPr="00DF3241" w:rsidRDefault="0028361F" w:rsidP="0028361F">
            <w:pPr>
              <w:jc w:val="both"/>
              <w:rPr>
                <w:smallCaps/>
                <w:sz w:val="20"/>
                <w:szCs w:val="20"/>
              </w:rPr>
            </w:pPr>
          </w:p>
          <w:p w:rsidR="0028361F" w:rsidRPr="00E574E2" w:rsidRDefault="0028361F" w:rsidP="0028361F">
            <w:pPr>
              <w:jc w:val="both"/>
              <w:rPr>
                <w:rFonts w:cs="Times New Roman"/>
                <w:sz w:val="20"/>
                <w:szCs w:val="20"/>
              </w:rPr>
            </w:pPr>
            <w:r w:rsidRPr="00DF3241">
              <w:rPr>
                <w:smallCaps/>
                <w:sz w:val="20"/>
                <w:szCs w:val="20"/>
              </w:rPr>
              <w:t>The Chief Justice</w:t>
            </w:r>
            <w:r w:rsidRPr="00DF3241">
              <w:rPr>
                <w:sz w:val="20"/>
                <w:szCs w:val="20"/>
              </w:rPr>
              <w:t xml:space="preserve"> (orally) — The motion to quash is dismissed.</w:t>
            </w:r>
          </w:p>
        </w:tc>
        <w:tc>
          <w:tcPr>
            <w:tcW w:w="1170" w:type="dxa"/>
          </w:tcPr>
          <w:p w:rsidR="0028361F" w:rsidRPr="00E574E2" w:rsidRDefault="0028361F" w:rsidP="007E4852">
            <w:pPr>
              <w:tabs>
                <w:tab w:val="left" w:pos="-1440"/>
                <w:tab w:val="left" w:pos="-720"/>
              </w:tabs>
              <w:jc w:val="both"/>
              <w:rPr>
                <w:rFonts w:cs="Times New Roman"/>
                <w:sz w:val="20"/>
                <w:szCs w:val="20"/>
              </w:rPr>
            </w:pPr>
          </w:p>
        </w:tc>
        <w:tc>
          <w:tcPr>
            <w:tcW w:w="4327" w:type="dxa"/>
          </w:tcPr>
          <w:p w:rsidR="0028361F" w:rsidRPr="00CC4D84" w:rsidRDefault="0028361F" w:rsidP="0028361F">
            <w:pPr>
              <w:widowControl w:val="0"/>
              <w:jc w:val="both"/>
              <w:rPr>
                <w:b/>
                <w:sz w:val="20"/>
                <w:szCs w:val="20"/>
                <w:u w:val="single"/>
                <w:lang w:val="fr-CA"/>
              </w:rPr>
            </w:pPr>
            <w:r>
              <w:rPr>
                <w:b/>
                <w:sz w:val="20"/>
                <w:szCs w:val="20"/>
                <w:u w:val="single"/>
                <w:lang w:val="fr-CA"/>
              </w:rPr>
              <w:t>J</w:t>
            </w:r>
            <w:r w:rsidRPr="00CC4D84">
              <w:rPr>
                <w:b/>
                <w:sz w:val="20"/>
                <w:szCs w:val="20"/>
                <w:u w:val="single"/>
                <w:lang w:val="fr-CA"/>
              </w:rPr>
              <w:t>u</w:t>
            </w:r>
            <w:r>
              <w:rPr>
                <w:b/>
                <w:sz w:val="20"/>
                <w:szCs w:val="20"/>
                <w:u w:val="single"/>
                <w:lang w:val="fr-CA"/>
              </w:rPr>
              <w:t>g</w:t>
            </w:r>
            <w:r w:rsidRPr="00CC4D84">
              <w:rPr>
                <w:b/>
                <w:sz w:val="20"/>
                <w:szCs w:val="20"/>
                <w:u w:val="single"/>
                <w:lang w:val="fr-CA"/>
              </w:rPr>
              <w:t>e</w:t>
            </w:r>
            <w:r>
              <w:rPr>
                <w:b/>
                <w:sz w:val="20"/>
                <w:szCs w:val="20"/>
                <w:u w:val="single"/>
                <w:lang w:val="fr-CA"/>
              </w:rPr>
              <w:t>m</w:t>
            </w:r>
            <w:r w:rsidRPr="00CC4D84">
              <w:rPr>
                <w:b/>
                <w:sz w:val="20"/>
                <w:szCs w:val="20"/>
                <w:u w:val="single"/>
                <w:lang w:val="fr-CA"/>
              </w:rPr>
              <w:t>e</w:t>
            </w:r>
            <w:r>
              <w:rPr>
                <w:b/>
                <w:sz w:val="20"/>
                <w:szCs w:val="20"/>
                <w:u w:val="single"/>
                <w:lang w:val="fr-CA"/>
              </w:rPr>
              <w:t>nt</w:t>
            </w:r>
            <w:r w:rsidRPr="00CC4D84">
              <w:rPr>
                <w:b/>
                <w:sz w:val="20"/>
                <w:szCs w:val="20"/>
                <w:u w:val="single"/>
                <w:lang w:val="fr-CA"/>
              </w:rPr>
              <w:t xml:space="preserve"> :</w:t>
            </w:r>
          </w:p>
          <w:p w:rsidR="0028361F" w:rsidRPr="00C1697B" w:rsidRDefault="0028361F" w:rsidP="0028361F">
            <w:pPr>
              <w:widowControl w:val="0"/>
              <w:jc w:val="both"/>
              <w:rPr>
                <w:sz w:val="20"/>
                <w:szCs w:val="20"/>
                <w:lang w:val="fr-CA"/>
              </w:rPr>
            </w:pPr>
          </w:p>
          <w:p w:rsidR="0028361F" w:rsidRPr="00DF3241" w:rsidRDefault="0028361F" w:rsidP="0028361F">
            <w:pPr>
              <w:jc w:val="both"/>
              <w:rPr>
                <w:sz w:val="20"/>
                <w:szCs w:val="20"/>
                <w:lang w:val="fr-CA"/>
              </w:rPr>
            </w:pPr>
            <w:r w:rsidRPr="00DF3241">
              <w:rPr>
                <w:sz w:val="20"/>
                <w:szCs w:val="20"/>
                <w:lang w:val="fr-CA"/>
              </w:rPr>
              <w:t xml:space="preserve">La requête en cassation du pourvoi interjeté à l’encontre de l’arrêt de la Cour d’appel de l’Ontario, numéro  C53442, 2011 ONCA 482, daté du 29 juin 2011, a été entendue aujourd’hui et le jugement suivant a été rendu : </w:t>
            </w:r>
          </w:p>
          <w:p w:rsidR="0028361F" w:rsidRPr="00DF3241" w:rsidRDefault="0028361F" w:rsidP="0028361F">
            <w:pPr>
              <w:jc w:val="both"/>
              <w:rPr>
                <w:sz w:val="20"/>
                <w:szCs w:val="20"/>
                <w:lang w:val="fr-CA"/>
              </w:rPr>
            </w:pPr>
          </w:p>
          <w:p w:rsidR="0028361F" w:rsidRPr="00DF3241" w:rsidRDefault="0028361F" w:rsidP="0028361F">
            <w:pPr>
              <w:jc w:val="both"/>
              <w:rPr>
                <w:rFonts w:asciiTheme="minorBidi" w:hAnsiTheme="minorBidi"/>
                <w:sz w:val="20"/>
                <w:szCs w:val="20"/>
                <w:lang w:val="fr-CA"/>
              </w:rPr>
            </w:pPr>
            <w:r w:rsidRPr="00DF3241">
              <w:rPr>
                <w:rFonts w:cs="Times New Roman"/>
                <w:sz w:val="20"/>
                <w:szCs w:val="20"/>
                <w:lang w:val="fr-CA"/>
              </w:rPr>
              <w:t>[TRADUCTION</w:t>
            </w:r>
            <w:r w:rsidRPr="00DF3241">
              <w:rPr>
                <w:rFonts w:asciiTheme="minorBidi" w:hAnsiTheme="minorBidi"/>
                <w:sz w:val="20"/>
                <w:szCs w:val="20"/>
                <w:lang w:val="fr-CA"/>
              </w:rPr>
              <w:t>]</w:t>
            </w:r>
          </w:p>
          <w:p w:rsidR="0028361F" w:rsidRPr="00DF3241" w:rsidRDefault="0028361F" w:rsidP="0028361F">
            <w:pPr>
              <w:jc w:val="both"/>
              <w:rPr>
                <w:rFonts w:asciiTheme="minorBidi" w:hAnsiTheme="minorBidi"/>
                <w:sz w:val="20"/>
                <w:szCs w:val="20"/>
                <w:lang w:val="fr-CA"/>
              </w:rPr>
            </w:pPr>
            <w:r w:rsidRPr="00DF3241">
              <w:rPr>
                <w:rFonts w:asciiTheme="minorBidi" w:hAnsiTheme="minorBidi"/>
                <w:smallCaps/>
                <w:sz w:val="20"/>
                <w:szCs w:val="20"/>
                <w:lang w:val="fr-CA"/>
              </w:rPr>
              <w:t>La Juge en Chef</w:t>
            </w:r>
            <w:r w:rsidRPr="00DF3241">
              <w:rPr>
                <w:rFonts w:asciiTheme="minorBidi" w:hAnsiTheme="minorBidi"/>
                <w:sz w:val="20"/>
                <w:szCs w:val="20"/>
                <w:lang w:val="fr-CA"/>
              </w:rPr>
              <w:t xml:space="preserve"> (oralement) — La requête  en cassation est rejetée. </w:t>
            </w:r>
          </w:p>
          <w:p w:rsidR="0028361F" w:rsidRPr="0028361F" w:rsidRDefault="0028361F" w:rsidP="007E4852">
            <w:pPr>
              <w:tabs>
                <w:tab w:val="left" w:pos="-1440"/>
                <w:tab w:val="left" w:pos="-720"/>
              </w:tabs>
              <w:jc w:val="both"/>
              <w:rPr>
                <w:rFonts w:cs="Times New Roman"/>
                <w:sz w:val="20"/>
                <w:szCs w:val="20"/>
                <w:lang w:val="fr-CA"/>
              </w:rPr>
            </w:pPr>
          </w:p>
        </w:tc>
      </w:tr>
    </w:tbl>
    <w:p w:rsidR="0028361F" w:rsidRPr="0028361F" w:rsidRDefault="0028361F" w:rsidP="00A146B2">
      <w:pPr>
        <w:tabs>
          <w:tab w:val="left" w:pos="-1440"/>
          <w:tab w:val="left" w:pos="-720"/>
        </w:tabs>
        <w:jc w:val="both"/>
        <w:rPr>
          <w:sz w:val="20"/>
          <w:szCs w:val="20"/>
          <w:lang w:val="fr-CA"/>
        </w:rPr>
      </w:pPr>
    </w:p>
    <w:p w:rsidR="00A146B2" w:rsidRPr="003B3977" w:rsidRDefault="00414F7B" w:rsidP="00A146B2">
      <w:pPr>
        <w:tabs>
          <w:tab w:val="left" w:pos="-1440"/>
          <w:tab w:val="left" w:pos="-720"/>
        </w:tabs>
        <w:jc w:val="both"/>
        <w:rPr>
          <w:sz w:val="20"/>
          <w:szCs w:val="20"/>
          <w:lang w:val="fr-CA"/>
        </w:rPr>
      </w:pPr>
      <w:r w:rsidRPr="00414F7B">
        <w:rPr>
          <w:sz w:val="20"/>
          <w:szCs w:val="20"/>
          <w:lang w:val="fr-CA"/>
        </w:rPr>
        <w:pict>
          <v:rect id="_x0000_i1071" style="width:2in;height:1pt" o:hrpct="0" o:hralign="center" o:hrstd="t" o:hrnoshade="t" o:hr="t" fillcolor="black [3213]" stroked="f"/>
        </w:pict>
      </w:r>
    </w:p>
    <w:p w:rsidR="00A146B2" w:rsidRPr="003B3977" w:rsidRDefault="00A146B2" w:rsidP="00A146B2">
      <w:pPr>
        <w:tabs>
          <w:tab w:val="left" w:pos="-1440"/>
          <w:tab w:val="left" w:pos="-720"/>
        </w:tabs>
        <w:jc w:val="both"/>
        <w:rPr>
          <w:sz w:val="20"/>
          <w:szCs w:val="20"/>
          <w:lang w:val="fr-CA"/>
        </w:rPr>
      </w:pPr>
    </w:p>
    <w:p w:rsidR="00A146B2" w:rsidRDefault="00A146B2" w:rsidP="00F37384">
      <w:pPr>
        <w:tabs>
          <w:tab w:val="left" w:pos="-1440"/>
          <w:tab w:val="left" w:pos="-720"/>
        </w:tabs>
        <w:jc w:val="both"/>
        <w:rPr>
          <w:rFonts w:cs="Times New Roman"/>
          <w:sz w:val="20"/>
          <w:szCs w:val="20"/>
          <w:lang w:val="fr-CA"/>
        </w:rPr>
      </w:pPr>
    </w:p>
    <w:p w:rsidR="00A146B2" w:rsidRPr="003717E5" w:rsidRDefault="00A146B2" w:rsidP="00F37384">
      <w:pPr>
        <w:tabs>
          <w:tab w:val="left" w:pos="-1440"/>
          <w:tab w:val="left" w:pos="-720"/>
        </w:tabs>
        <w:jc w:val="both"/>
        <w:rPr>
          <w:rFonts w:cs="Times New Roman"/>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28361F"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CC1F8E" w:rsidP="003B3977">
            <w:pPr>
              <w:rPr>
                <w:sz w:val="20"/>
                <w:szCs w:val="20"/>
              </w:rPr>
            </w:pPr>
            <w:r>
              <w:rPr>
                <w:sz w:val="20"/>
                <w:szCs w:val="20"/>
              </w:rPr>
              <w:t>2</w:t>
            </w:r>
            <w:r w:rsidR="0010587F" w:rsidRPr="003B3977">
              <w:rPr>
                <w:sz w:val="20"/>
                <w:szCs w:val="20"/>
              </w:rPr>
              <w:t>0.0</w:t>
            </w:r>
            <w:r>
              <w:rPr>
                <w:sz w:val="20"/>
                <w:szCs w:val="20"/>
              </w:rPr>
              <w:t>4</w:t>
            </w:r>
            <w:r w:rsidR="0010587F" w:rsidRPr="003B3977">
              <w:rPr>
                <w:sz w:val="20"/>
                <w:szCs w:val="20"/>
              </w:rPr>
              <w:t>.201</w:t>
            </w:r>
            <w:r>
              <w:rPr>
                <w:sz w:val="20"/>
                <w:szCs w:val="20"/>
              </w:rPr>
              <w:t>2</w:t>
            </w:r>
          </w:p>
          <w:p w:rsidR="0010587F" w:rsidRPr="003B3977" w:rsidRDefault="0010587F" w:rsidP="003B3977">
            <w:pPr>
              <w:rPr>
                <w:sz w:val="20"/>
                <w:szCs w:val="20"/>
              </w:rPr>
            </w:pPr>
          </w:p>
          <w:p w:rsidR="0010587F" w:rsidRPr="003B3977" w:rsidRDefault="00CC1F8E" w:rsidP="003B3977">
            <w:pPr>
              <w:rPr>
                <w:b/>
                <w:sz w:val="20"/>
                <w:szCs w:val="20"/>
              </w:rPr>
            </w:pPr>
            <w:r>
              <w:rPr>
                <w:b/>
                <w:sz w:val="20"/>
                <w:szCs w:val="20"/>
              </w:rPr>
              <w:t>Communications, Energy and Paperworkers Union of Canada, Local 30</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(34</w:t>
            </w:r>
            <w:r w:rsidR="00CC1F8E">
              <w:rPr>
                <w:b/>
                <w:sz w:val="20"/>
                <w:szCs w:val="20"/>
              </w:rPr>
              <w:t>473</w:t>
            </w:r>
            <w:r w:rsidRPr="003B3977">
              <w:rPr>
                <w:b/>
                <w:sz w:val="20"/>
                <w:szCs w:val="20"/>
              </w:rPr>
              <w:t>)</w:t>
            </w:r>
          </w:p>
          <w:p w:rsidR="0010587F" w:rsidRPr="003B3977" w:rsidRDefault="0010587F" w:rsidP="003B3977">
            <w:pPr>
              <w:rPr>
                <w:b/>
                <w:sz w:val="20"/>
                <w:szCs w:val="20"/>
              </w:rPr>
            </w:pPr>
          </w:p>
          <w:p w:rsidR="0010587F" w:rsidRPr="003B3977" w:rsidRDefault="00CC1F8E" w:rsidP="003B3977">
            <w:pPr>
              <w:rPr>
                <w:b/>
                <w:sz w:val="20"/>
                <w:szCs w:val="20"/>
              </w:rPr>
            </w:pPr>
            <w:r>
              <w:rPr>
                <w:b/>
                <w:sz w:val="20"/>
                <w:szCs w:val="20"/>
              </w:rPr>
              <w:t>Irving Pulp &amp; Paper, Limited</w:t>
            </w:r>
            <w:r w:rsidR="0010587F" w:rsidRPr="003B3977">
              <w:rPr>
                <w:b/>
                <w:sz w:val="20"/>
                <w:szCs w:val="20"/>
              </w:rPr>
              <w:t xml:space="preserve"> (</w:t>
            </w:r>
            <w:r>
              <w:rPr>
                <w:b/>
                <w:sz w:val="20"/>
                <w:szCs w:val="20"/>
              </w:rPr>
              <w:t>N.B</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CC1F8E">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414F7B" w:rsidP="003B3977">
            <w:pPr>
              <w:rPr>
                <w:sz w:val="20"/>
                <w:szCs w:val="20"/>
                <w:lang w:val="fr-CA"/>
              </w:rPr>
            </w:pPr>
            <w:r w:rsidRPr="00414F7B">
              <w:rPr>
                <w:sz w:val="20"/>
                <w:szCs w:val="20"/>
                <w:lang w:val="fr-CA"/>
              </w:rPr>
              <w:pict>
                <v:rect id="_x0000_i1074"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28361F"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CA4CA4" w:rsidP="00732DB7">
      <w:pPr>
        <w:widowControl w:val="0"/>
        <w:rPr>
          <w:sz w:val="20"/>
          <w:szCs w:val="20"/>
        </w:rPr>
      </w:pPr>
      <w:r>
        <w:rPr>
          <w:sz w:val="20"/>
          <w:szCs w:val="20"/>
        </w:rPr>
        <w:t>15</w:t>
      </w:r>
      <w:r w:rsidR="00732DB7" w:rsidRPr="00C50A5C">
        <w:rPr>
          <w:sz w:val="20"/>
          <w:szCs w:val="20"/>
        </w:rPr>
        <w:t>.0</w:t>
      </w:r>
      <w:r>
        <w:rPr>
          <w:sz w:val="20"/>
          <w:szCs w:val="20"/>
        </w:rPr>
        <w:t>5</w:t>
      </w:r>
      <w:r w:rsidR="00732DB7" w:rsidRPr="00C50A5C">
        <w:rPr>
          <w:sz w:val="20"/>
          <w:szCs w:val="20"/>
        </w:rPr>
        <w:t>.201</w:t>
      </w:r>
      <w:r>
        <w:rPr>
          <w:sz w:val="20"/>
          <w:szCs w:val="20"/>
        </w:rPr>
        <w:t>2</w:t>
      </w:r>
    </w:p>
    <w:p w:rsidR="00732DB7" w:rsidRDefault="00732DB7" w:rsidP="00732DB7">
      <w:pPr>
        <w:widowControl w:val="0"/>
        <w:rPr>
          <w:sz w:val="20"/>
          <w:szCs w:val="20"/>
        </w:rPr>
      </w:pPr>
    </w:p>
    <w:p w:rsidR="00CA4CA4" w:rsidRPr="001346D7" w:rsidRDefault="00CA4CA4" w:rsidP="00CA4CA4">
      <w:pPr>
        <w:widowControl w:val="0"/>
        <w:ind w:left="720" w:hanging="720"/>
        <w:rPr>
          <w:rFonts w:eastAsia="Calibri" w:cs="Times New Roman"/>
          <w:sz w:val="20"/>
          <w:szCs w:val="20"/>
        </w:rPr>
      </w:pPr>
      <w:r w:rsidRPr="001346D7">
        <w:rPr>
          <w:rFonts w:eastAsia="Calibri" w:cs="Times New Roman"/>
          <w:sz w:val="20"/>
          <w:szCs w:val="20"/>
        </w:rPr>
        <w:t xml:space="preserve">Coram: </w:t>
      </w:r>
      <w:r w:rsidRPr="001346D7">
        <w:rPr>
          <w:rFonts w:eastAsia="Calibri" w:cs="Times New Roman"/>
          <w:sz w:val="20"/>
          <w:szCs w:val="20"/>
        </w:rPr>
        <w:tab/>
      </w:r>
      <w:r w:rsidRPr="001346D7">
        <w:rPr>
          <w:rFonts w:eastAsia="Calibri" w:cs="Times New Roman"/>
          <w:sz w:val="20"/>
          <w:szCs w:val="20"/>
          <w:u w:val="single"/>
        </w:rPr>
        <w:t>McLachlin C.J. and LeBel, Fish, Abella, Rothstein, Cromwell and Moldaver JJ.</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CA4CA4" w:rsidRPr="00CA4CA4" w:rsidRDefault="00CA4CA4" w:rsidP="00C1697B">
            <w:pPr>
              <w:widowControl w:val="0"/>
              <w:jc w:val="both"/>
              <w:rPr>
                <w:rStyle w:val="SCCSsocChar"/>
                <w:b/>
                <w:i w:val="0"/>
              </w:rPr>
            </w:pPr>
            <w:r w:rsidRPr="00CA4CA4">
              <w:rPr>
                <w:rStyle w:val="SCCSsocChar"/>
                <w:b/>
                <w:i w:val="0"/>
              </w:rPr>
              <w:t xml:space="preserve">Her Majesty the Queen </w:t>
            </w:r>
          </w:p>
          <w:p w:rsidR="00CA4CA4" w:rsidRPr="00CA4CA4" w:rsidRDefault="00CA4CA4" w:rsidP="00C1697B">
            <w:pPr>
              <w:widowControl w:val="0"/>
              <w:jc w:val="both"/>
              <w:rPr>
                <w:rStyle w:val="SCCSsocChar"/>
                <w:b/>
                <w:i w:val="0"/>
              </w:rPr>
            </w:pPr>
          </w:p>
          <w:p w:rsidR="00CA4CA4" w:rsidRPr="00CA4CA4" w:rsidRDefault="00CA4CA4" w:rsidP="00CA4CA4">
            <w:pPr>
              <w:widowControl w:val="0"/>
              <w:tabs>
                <w:tab w:val="left" w:pos="736"/>
              </w:tabs>
              <w:jc w:val="both"/>
              <w:rPr>
                <w:b/>
                <w:sz w:val="20"/>
                <w:szCs w:val="20"/>
              </w:rPr>
            </w:pPr>
            <w:r w:rsidRPr="00CA4CA4">
              <w:rPr>
                <w:b/>
                <w:sz w:val="20"/>
                <w:szCs w:val="20"/>
              </w:rPr>
              <w:tab/>
              <w:t>v. (34268)</w:t>
            </w:r>
          </w:p>
          <w:p w:rsidR="00CA4CA4" w:rsidRPr="00CA4CA4" w:rsidRDefault="00CA4CA4" w:rsidP="00C1697B">
            <w:pPr>
              <w:widowControl w:val="0"/>
              <w:jc w:val="both"/>
              <w:rPr>
                <w:rStyle w:val="SCCSsocChar"/>
                <w:b/>
                <w:i w:val="0"/>
              </w:rPr>
            </w:pPr>
          </w:p>
          <w:p w:rsidR="00732DB7" w:rsidRPr="00CA4CA4" w:rsidRDefault="00CA4CA4" w:rsidP="00CA4CA4">
            <w:pPr>
              <w:widowControl w:val="0"/>
              <w:jc w:val="both"/>
              <w:rPr>
                <w:sz w:val="20"/>
                <w:szCs w:val="20"/>
              </w:rPr>
            </w:pPr>
            <w:r w:rsidRPr="00CA4CA4">
              <w:rPr>
                <w:rStyle w:val="SCCSsocChar"/>
                <w:b/>
                <w:i w:val="0"/>
              </w:rPr>
              <w:t>Richard Cole (Ont.) (Criminal) (By Leave)</w:t>
            </w:r>
          </w:p>
        </w:tc>
        <w:tc>
          <w:tcPr>
            <w:tcW w:w="720" w:type="dxa"/>
            <w:tcMar>
              <w:left w:w="0" w:type="dxa"/>
              <w:right w:w="0" w:type="dxa"/>
            </w:tcMar>
          </w:tcPr>
          <w:p w:rsidR="00732DB7" w:rsidRPr="00CA4CA4" w:rsidRDefault="00732DB7" w:rsidP="00732DB7">
            <w:pPr>
              <w:widowControl w:val="0"/>
              <w:jc w:val="center"/>
              <w:rPr>
                <w:sz w:val="20"/>
                <w:szCs w:val="20"/>
              </w:rPr>
            </w:pPr>
          </w:p>
        </w:tc>
        <w:tc>
          <w:tcPr>
            <w:tcW w:w="4380" w:type="dxa"/>
            <w:tcMar>
              <w:left w:w="0" w:type="dxa"/>
              <w:right w:w="0" w:type="dxa"/>
            </w:tcMar>
          </w:tcPr>
          <w:p w:rsidR="000F4785" w:rsidRPr="00A77CBA" w:rsidRDefault="000F4785" w:rsidP="000F4785">
            <w:pPr>
              <w:jc w:val="both"/>
              <w:rPr>
                <w:sz w:val="20"/>
                <w:szCs w:val="20"/>
              </w:rPr>
            </w:pPr>
            <w:r w:rsidRPr="00A77CBA">
              <w:rPr>
                <w:sz w:val="20"/>
                <w:szCs w:val="20"/>
              </w:rPr>
              <w:t>Amy Alyea</w:t>
            </w:r>
            <w:r>
              <w:rPr>
                <w:sz w:val="20"/>
                <w:szCs w:val="20"/>
              </w:rPr>
              <w:t xml:space="preserve"> and </w:t>
            </w:r>
            <w:r w:rsidRPr="00A77CBA">
              <w:rPr>
                <w:sz w:val="20"/>
                <w:szCs w:val="20"/>
              </w:rPr>
              <w:t>Frank Au</w:t>
            </w:r>
            <w:r>
              <w:rPr>
                <w:sz w:val="20"/>
                <w:szCs w:val="20"/>
              </w:rPr>
              <w:t xml:space="preserve"> f</w:t>
            </w:r>
            <w:r w:rsidRPr="00A77CBA">
              <w:rPr>
                <w:sz w:val="20"/>
                <w:szCs w:val="20"/>
              </w:rPr>
              <w:t xml:space="preserve">or the </w:t>
            </w:r>
            <w:r>
              <w:rPr>
                <w:sz w:val="20"/>
                <w:szCs w:val="20"/>
              </w:rPr>
              <w:t>a</w:t>
            </w:r>
            <w:r w:rsidRPr="00A77CBA">
              <w:rPr>
                <w:sz w:val="20"/>
                <w:szCs w:val="20"/>
              </w:rPr>
              <w:t>ppellant</w:t>
            </w:r>
            <w:r>
              <w:rPr>
                <w:sz w:val="20"/>
                <w:szCs w:val="20"/>
              </w:rPr>
              <w:t>.</w:t>
            </w:r>
          </w:p>
          <w:p w:rsidR="000F4785" w:rsidRPr="00A77CBA" w:rsidRDefault="000F4785" w:rsidP="000F4785">
            <w:pPr>
              <w:jc w:val="both"/>
              <w:rPr>
                <w:sz w:val="20"/>
                <w:szCs w:val="20"/>
              </w:rPr>
            </w:pPr>
          </w:p>
          <w:p w:rsidR="000F4785" w:rsidRPr="00A77CBA" w:rsidRDefault="000F4785" w:rsidP="000F4785">
            <w:pPr>
              <w:jc w:val="both"/>
              <w:rPr>
                <w:sz w:val="20"/>
                <w:szCs w:val="20"/>
              </w:rPr>
            </w:pPr>
            <w:r w:rsidRPr="00A77CBA">
              <w:rPr>
                <w:sz w:val="20"/>
                <w:szCs w:val="20"/>
              </w:rPr>
              <w:t>Ronald C. Reimer</w:t>
            </w:r>
            <w:r>
              <w:rPr>
                <w:sz w:val="20"/>
                <w:szCs w:val="20"/>
              </w:rPr>
              <w:t xml:space="preserve"> and </w:t>
            </w:r>
            <w:r w:rsidRPr="00A77CBA">
              <w:rPr>
                <w:sz w:val="20"/>
                <w:szCs w:val="20"/>
              </w:rPr>
              <w:t>Monique Dion</w:t>
            </w:r>
            <w:r>
              <w:rPr>
                <w:sz w:val="20"/>
                <w:szCs w:val="20"/>
              </w:rPr>
              <w:t xml:space="preserve"> f</w:t>
            </w:r>
            <w:r w:rsidRPr="00A77CBA">
              <w:rPr>
                <w:sz w:val="20"/>
                <w:szCs w:val="20"/>
              </w:rPr>
              <w:t xml:space="preserve">or the </w:t>
            </w:r>
            <w:r>
              <w:rPr>
                <w:sz w:val="20"/>
                <w:szCs w:val="20"/>
              </w:rPr>
              <w:t>i</w:t>
            </w:r>
            <w:r w:rsidRPr="00A77CBA">
              <w:rPr>
                <w:sz w:val="20"/>
                <w:szCs w:val="20"/>
              </w:rPr>
              <w:t>ntervener</w:t>
            </w:r>
            <w:r>
              <w:rPr>
                <w:sz w:val="20"/>
                <w:szCs w:val="20"/>
              </w:rPr>
              <w:t xml:space="preserve"> </w:t>
            </w:r>
            <w:r w:rsidRPr="00A77CBA">
              <w:rPr>
                <w:sz w:val="20"/>
                <w:szCs w:val="20"/>
              </w:rPr>
              <w:t>Director of Public Prosecutions</w:t>
            </w:r>
            <w:r>
              <w:rPr>
                <w:sz w:val="20"/>
                <w:szCs w:val="20"/>
              </w:rPr>
              <w:t>.</w:t>
            </w:r>
          </w:p>
          <w:p w:rsidR="000F4785" w:rsidRPr="00A77CBA" w:rsidRDefault="000F4785" w:rsidP="000F4785">
            <w:pPr>
              <w:jc w:val="both"/>
              <w:rPr>
                <w:sz w:val="20"/>
                <w:szCs w:val="20"/>
              </w:rPr>
            </w:pPr>
          </w:p>
          <w:p w:rsidR="000F4785" w:rsidRPr="00A77CBA" w:rsidRDefault="000F4785" w:rsidP="000F4785">
            <w:pPr>
              <w:jc w:val="both"/>
              <w:rPr>
                <w:sz w:val="20"/>
                <w:szCs w:val="20"/>
                <w:lang w:val="fr-CA"/>
              </w:rPr>
            </w:pPr>
            <w:r w:rsidRPr="00A77CBA">
              <w:rPr>
                <w:sz w:val="20"/>
                <w:szCs w:val="20"/>
                <w:lang w:val="fr-CA"/>
              </w:rPr>
              <w:t>Dominique A. Jobin</w:t>
            </w:r>
            <w:r>
              <w:rPr>
                <w:sz w:val="20"/>
                <w:szCs w:val="20"/>
                <w:lang w:val="fr-CA"/>
              </w:rPr>
              <w:t xml:space="preserve"> et </w:t>
            </w:r>
            <w:r w:rsidRPr="00A77CBA">
              <w:rPr>
                <w:sz w:val="20"/>
                <w:szCs w:val="20"/>
                <w:lang w:val="fr-CA"/>
              </w:rPr>
              <w:t>Gilles Laporte</w:t>
            </w:r>
            <w:r>
              <w:rPr>
                <w:sz w:val="20"/>
                <w:szCs w:val="20"/>
                <w:lang w:val="fr-CA"/>
              </w:rPr>
              <w:t xml:space="preserve"> p</w:t>
            </w:r>
            <w:r w:rsidRPr="00A77CBA">
              <w:rPr>
                <w:sz w:val="20"/>
                <w:szCs w:val="20"/>
                <w:lang w:val="fr-CA"/>
              </w:rPr>
              <w:t>our l’intervenant</w:t>
            </w:r>
            <w:r>
              <w:rPr>
                <w:sz w:val="20"/>
                <w:szCs w:val="20"/>
                <w:lang w:val="fr-CA"/>
              </w:rPr>
              <w:t xml:space="preserve"> </w:t>
            </w:r>
            <w:r w:rsidRPr="00A77CBA">
              <w:rPr>
                <w:sz w:val="20"/>
                <w:szCs w:val="20"/>
                <w:lang w:val="fr-CA"/>
              </w:rPr>
              <w:t>Procureur général du Québec</w:t>
            </w:r>
            <w:r>
              <w:rPr>
                <w:sz w:val="20"/>
                <w:szCs w:val="20"/>
                <w:lang w:val="fr-CA"/>
              </w:rPr>
              <w:t>.</w:t>
            </w:r>
          </w:p>
          <w:p w:rsidR="000F4785" w:rsidRPr="00A77CBA" w:rsidRDefault="000F4785" w:rsidP="000F4785">
            <w:pPr>
              <w:jc w:val="both"/>
              <w:rPr>
                <w:sz w:val="20"/>
                <w:szCs w:val="20"/>
                <w:lang w:val="fr-CA"/>
              </w:rPr>
            </w:pPr>
          </w:p>
          <w:p w:rsidR="000F4785" w:rsidRPr="00A77CBA" w:rsidRDefault="000F4785" w:rsidP="000F4785">
            <w:pPr>
              <w:jc w:val="both"/>
              <w:rPr>
                <w:sz w:val="20"/>
                <w:szCs w:val="20"/>
                <w:lang w:val="en-US"/>
              </w:rPr>
            </w:pPr>
            <w:r w:rsidRPr="00A77CBA">
              <w:rPr>
                <w:sz w:val="20"/>
                <w:szCs w:val="20"/>
                <w:lang w:val="en-US"/>
              </w:rPr>
              <w:t>Daniel Michaluk</w:t>
            </w:r>
            <w:r>
              <w:rPr>
                <w:sz w:val="20"/>
                <w:szCs w:val="20"/>
                <w:lang w:val="en-US"/>
              </w:rPr>
              <w:t xml:space="preserve"> and </w:t>
            </w:r>
            <w:r w:rsidRPr="00A77CBA">
              <w:rPr>
                <w:sz w:val="20"/>
                <w:szCs w:val="20"/>
                <w:lang w:val="en-US"/>
              </w:rPr>
              <w:t>Joseph Cohen-Lyons</w:t>
            </w:r>
            <w:r>
              <w:rPr>
                <w:sz w:val="20"/>
                <w:szCs w:val="20"/>
                <w:lang w:val="en-US"/>
              </w:rPr>
              <w:t xml:space="preserve"> f</w:t>
            </w:r>
            <w:r w:rsidRPr="00A77CBA">
              <w:rPr>
                <w:sz w:val="20"/>
                <w:szCs w:val="20"/>
                <w:lang w:val="en-US"/>
              </w:rPr>
              <w:t xml:space="preserve">or the </w:t>
            </w:r>
            <w:r>
              <w:rPr>
                <w:sz w:val="20"/>
                <w:szCs w:val="20"/>
                <w:lang w:val="en-US"/>
              </w:rPr>
              <w:t>i</w:t>
            </w:r>
            <w:r w:rsidRPr="00A77CBA">
              <w:rPr>
                <w:sz w:val="20"/>
                <w:szCs w:val="20"/>
                <w:lang w:val="en-US"/>
              </w:rPr>
              <w:t>ntervener</w:t>
            </w:r>
            <w:r>
              <w:rPr>
                <w:sz w:val="20"/>
                <w:szCs w:val="20"/>
                <w:lang w:val="en-US"/>
              </w:rPr>
              <w:t xml:space="preserve"> </w:t>
            </w:r>
            <w:r w:rsidRPr="00A77CBA">
              <w:rPr>
                <w:sz w:val="20"/>
                <w:szCs w:val="20"/>
                <w:lang w:val="en-US"/>
              </w:rPr>
              <w:t>Canadian Association of Counsel to Employers</w:t>
            </w:r>
            <w:r>
              <w:rPr>
                <w:sz w:val="20"/>
                <w:szCs w:val="20"/>
                <w:lang w:val="en-US"/>
              </w:rPr>
              <w:t>.</w:t>
            </w:r>
          </w:p>
          <w:p w:rsidR="000F4785" w:rsidRPr="00A77CBA" w:rsidRDefault="000F4785" w:rsidP="000F4785">
            <w:pPr>
              <w:jc w:val="both"/>
              <w:rPr>
                <w:sz w:val="20"/>
                <w:szCs w:val="20"/>
                <w:lang w:val="en-US"/>
              </w:rPr>
            </w:pPr>
          </w:p>
          <w:p w:rsidR="000F4785" w:rsidRPr="00A77CBA" w:rsidRDefault="000F4785" w:rsidP="000F4785">
            <w:pPr>
              <w:jc w:val="both"/>
              <w:rPr>
                <w:sz w:val="20"/>
                <w:szCs w:val="20"/>
              </w:rPr>
            </w:pPr>
            <w:r w:rsidRPr="00A77CBA">
              <w:rPr>
                <w:sz w:val="20"/>
                <w:szCs w:val="20"/>
              </w:rPr>
              <w:t>Frank Addario</w:t>
            </w:r>
            <w:r>
              <w:rPr>
                <w:sz w:val="20"/>
                <w:szCs w:val="20"/>
              </w:rPr>
              <w:t xml:space="preserve">, </w:t>
            </w:r>
            <w:r w:rsidRPr="00A77CBA">
              <w:rPr>
                <w:sz w:val="20"/>
                <w:szCs w:val="20"/>
              </w:rPr>
              <w:t>Gerald Chan</w:t>
            </w:r>
            <w:r>
              <w:rPr>
                <w:sz w:val="20"/>
                <w:szCs w:val="20"/>
              </w:rPr>
              <w:t xml:space="preserve"> and </w:t>
            </w:r>
            <w:r w:rsidRPr="00A77CBA">
              <w:rPr>
                <w:sz w:val="20"/>
                <w:szCs w:val="20"/>
              </w:rPr>
              <w:t>Nader Hasan</w:t>
            </w:r>
            <w:r>
              <w:rPr>
                <w:sz w:val="20"/>
                <w:szCs w:val="20"/>
              </w:rPr>
              <w:t xml:space="preserve"> f</w:t>
            </w:r>
            <w:r w:rsidRPr="00A77CBA">
              <w:rPr>
                <w:sz w:val="20"/>
                <w:szCs w:val="20"/>
              </w:rPr>
              <w:t xml:space="preserve">or the </w:t>
            </w:r>
            <w:r>
              <w:rPr>
                <w:sz w:val="20"/>
                <w:szCs w:val="20"/>
              </w:rPr>
              <w:t>r</w:t>
            </w:r>
            <w:r w:rsidRPr="00A77CBA">
              <w:rPr>
                <w:sz w:val="20"/>
                <w:szCs w:val="20"/>
              </w:rPr>
              <w:t>espondent.</w:t>
            </w:r>
          </w:p>
          <w:p w:rsidR="000F4785" w:rsidRPr="00A77CBA" w:rsidRDefault="000F4785" w:rsidP="000F4785">
            <w:pPr>
              <w:jc w:val="both"/>
              <w:rPr>
                <w:sz w:val="20"/>
                <w:szCs w:val="20"/>
              </w:rPr>
            </w:pPr>
          </w:p>
          <w:p w:rsidR="000F4785" w:rsidRPr="00A77CBA" w:rsidRDefault="000F4785" w:rsidP="000F4785">
            <w:pPr>
              <w:jc w:val="both"/>
              <w:rPr>
                <w:sz w:val="20"/>
                <w:szCs w:val="20"/>
                <w:lang w:val="en-US"/>
              </w:rPr>
            </w:pPr>
            <w:r w:rsidRPr="00A77CBA">
              <w:rPr>
                <w:sz w:val="20"/>
                <w:szCs w:val="20"/>
                <w:lang w:val="en-US"/>
              </w:rPr>
              <w:t>Jonathan Dawe</w:t>
            </w:r>
            <w:r>
              <w:rPr>
                <w:sz w:val="20"/>
                <w:szCs w:val="20"/>
                <w:lang w:val="en-US"/>
              </w:rPr>
              <w:t xml:space="preserve"> and </w:t>
            </w:r>
            <w:r w:rsidRPr="00A77CBA">
              <w:rPr>
                <w:sz w:val="20"/>
                <w:szCs w:val="20"/>
                <w:lang w:val="en-US"/>
              </w:rPr>
              <w:t>Michael Dineen</w:t>
            </w:r>
            <w:r>
              <w:rPr>
                <w:sz w:val="20"/>
                <w:szCs w:val="20"/>
                <w:lang w:val="en-US"/>
              </w:rPr>
              <w:t xml:space="preserve"> f</w:t>
            </w:r>
            <w:r w:rsidRPr="00A77CBA">
              <w:rPr>
                <w:sz w:val="20"/>
                <w:szCs w:val="20"/>
                <w:lang w:val="en-US"/>
              </w:rPr>
              <w:t xml:space="preserve">or the </w:t>
            </w:r>
            <w:r>
              <w:rPr>
                <w:sz w:val="20"/>
                <w:szCs w:val="20"/>
                <w:lang w:val="en-US"/>
              </w:rPr>
              <w:t>i</w:t>
            </w:r>
            <w:r w:rsidRPr="00A77CBA">
              <w:rPr>
                <w:sz w:val="20"/>
                <w:szCs w:val="20"/>
                <w:lang w:val="en-US"/>
              </w:rPr>
              <w:t>ntervener</w:t>
            </w:r>
            <w:r>
              <w:rPr>
                <w:sz w:val="20"/>
                <w:szCs w:val="20"/>
                <w:lang w:val="en-US"/>
              </w:rPr>
              <w:t xml:space="preserve"> </w:t>
            </w:r>
            <w:r w:rsidRPr="00A77CBA">
              <w:rPr>
                <w:sz w:val="20"/>
                <w:szCs w:val="20"/>
                <w:lang w:val="en-US"/>
              </w:rPr>
              <w:t>Criminal Lawyers’ Association (Ontario)</w:t>
            </w:r>
            <w:r>
              <w:rPr>
                <w:sz w:val="20"/>
                <w:szCs w:val="20"/>
                <w:lang w:val="en-US"/>
              </w:rPr>
              <w:t>.</w:t>
            </w:r>
          </w:p>
          <w:p w:rsidR="000F4785" w:rsidRPr="00A77CBA" w:rsidRDefault="000F4785" w:rsidP="000F4785">
            <w:pPr>
              <w:jc w:val="both"/>
              <w:rPr>
                <w:sz w:val="20"/>
                <w:szCs w:val="20"/>
                <w:lang w:val="en-US"/>
              </w:rPr>
            </w:pPr>
          </w:p>
          <w:p w:rsidR="00732DB7" w:rsidRPr="000F4785" w:rsidRDefault="000F4785" w:rsidP="000F4785">
            <w:pPr>
              <w:jc w:val="both"/>
              <w:rPr>
                <w:sz w:val="20"/>
                <w:szCs w:val="20"/>
                <w:lang w:val="en-US"/>
              </w:rPr>
            </w:pPr>
            <w:r w:rsidRPr="00A77CBA">
              <w:rPr>
                <w:sz w:val="20"/>
                <w:szCs w:val="20"/>
                <w:lang w:val="en-US"/>
              </w:rPr>
              <w:t>Jonathan C. Lisus</w:t>
            </w:r>
            <w:r w:rsidRPr="00A77CBA">
              <w:rPr>
                <w:sz w:val="20"/>
                <w:szCs w:val="20"/>
                <w:lang w:val="en-US"/>
              </w:rPr>
              <w:tab/>
            </w:r>
            <w:r>
              <w:rPr>
                <w:sz w:val="20"/>
                <w:szCs w:val="20"/>
                <w:lang w:val="en-US"/>
              </w:rPr>
              <w:t xml:space="preserve"> and </w:t>
            </w:r>
            <w:r w:rsidRPr="00A77CBA">
              <w:rPr>
                <w:sz w:val="20"/>
                <w:szCs w:val="20"/>
                <w:lang w:val="en-US"/>
              </w:rPr>
              <w:t>Michael Perlin</w:t>
            </w:r>
            <w:r>
              <w:rPr>
                <w:sz w:val="20"/>
                <w:szCs w:val="20"/>
                <w:lang w:val="en-US"/>
              </w:rPr>
              <w:t xml:space="preserve"> f</w:t>
            </w:r>
            <w:r w:rsidRPr="00A77CBA">
              <w:rPr>
                <w:sz w:val="20"/>
                <w:szCs w:val="20"/>
                <w:lang w:val="en-US"/>
              </w:rPr>
              <w:t xml:space="preserve">or the </w:t>
            </w:r>
            <w:r>
              <w:rPr>
                <w:sz w:val="20"/>
                <w:szCs w:val="20"/>
                <w:lang w:val="en-US"/>
              </w:rPr>
              <w:t>i</w:t>
            </w:r>
            <w:r w:rsidRPr="00A77CBA">
              <w:rPr>
                <w:sz w:val="20"/>
                <w:szCs w:val="20"/>
                <w:lang w:val="en-US"/>
              </w:rPr>
              <w:t>ntervener</w:t>
            </w:r>
            <w:r>
              <w:rPr>
                <w:sz w:val="20"/>
                <w:szCs w:val="20"/>
                <w:lang w:val="en-US"/>
              </w:rPr>
              <w:t xml:space="preserve"> </w:t>
            </w:r>
            <w:r w:rsidRPr="00A77CBA">
              <w:rPr>
                <w:sz w:val="20"/>
                <w:szCs w:val="20"/>
                <w:lang w:val="en-US"/>
              </w:rPr>
              <w:t>Canadian Civil Liberties Association</w:t>
            </w:r>
            <w:r>
              <w:rPr>
                <w:sz w:val="20"/>
                <w:szCs w:val="20"/>
                <w:lang w:val="en-US"/>
              </w:rPr>
              <w: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28361F"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359AA" w:rsidRPr="000F5B09" w:rsidRDefault="00C359AA" w:rsidP="00C359AA">
            <w:pPr>
              <w:widowControl w:val="0"/>
              <w:jc w:val="both"/>
              <w:rPr>
                <w:smallCaps/>
                <w:sz w:val="20"/>
                <w:szCs w:val="20"/>
              </w:rPr>
            </w:pPr>
            <w:r w:rsidRPr="000F5B09">
              <w:rPr>
                <w:smallCaps/>
                <w:sz w:val="20"/>
                <w:szCs w:val="20"/>
              </w:rPr>
              <w:t>(Publication ban in case) (Publication ban on party)</w:t>
            </w:r>
          </w:p>
          <w:p w:rsidR="00C359AA" w:rsidRDefault="00C359AA" w:rsidP="00C359AA">
            <w:pPr>
              <w:widowControl w:val="0"/>
              <w:jc w:val="both"/>
              <w:rPr>
                <w:sz w:val="20"/>
                <w:szCs w:val="20"/>
              </w:rPr>
            </w:pPr>
          </w:p>
          <w:p w:rsidR="00C359AA" w:rsidRPr="000F5B09" w:rsidRDefault="00C359AA" w:rsidP="00C359AA">
            <w:pPr>
              <w:widowControl w:val="0"/>
              <w:jc w:val="both"/>
              <w:rPr>
                <w:sz w:val="20"/>
                <w:szCs w:val="20"/>
              </w:rPr>
            </w:pPr>
          </w:p>
          <w:p w:rsidR="00C1697B" w:rsidRPr="00C1697B" w:rsidRDefault="00C359AA" w:rsidP="00C359AA">
            <w:pPr>
              <w:widowControl w:val="0"/>
              <w:jc w:val="both"/>
              <w:rPr>
                <w:b/>
                <w:sz w:val="20"/>
                <w:szCs w:val="20"/>
              </w:rPr>
            </w:pPr>
            <w:r w:rsidRPr="000F5B09">
              <w:rPr>
                <w:i/>
                <w:sz w:val="20"/>
                <w:szCs w:val="20"/>
              </w:rPr>
              <w:t>Charter of Rights</w:t>
            </w:r>
            <w:r w:rsidRPr="000F5B09">
              <w:rPr>
                <w:sz w:val="20"/>
                <w:szCs w:val="20"/>
              </w:rPr>
              <w:t xml:space="preserve"> </w:t>
            </w:r>
            <w:r w:rsidRPr="000F5B09">
              <w:rPr>
                <w:sz w:val="20"/>
                <w:szCs w:val="20"/>
              </w:rPr>
              <w:noBreakHyphen/>
              <w:t xml:space="preserve"> Criminal law </w:t>
            </w:r>
            <w:r w:rsidRPr="000F5B09">
              <w:rPr>
                <w:sz w:val="20"/>
                <w:szCs w:val="20"/>
              </w:rPr>
              <w:noBreakHyphen/>
              <w:t xml:space="preserve"> Unreasonable search and seizure </w:t>
            </w:r>
            <w:r w:rsidRPr="000F5B09">
              <w:rPr>
                <w:sz w:val="20"/>
                <w:szCs w:val="20"/>
              </w:rPr>
              <w:noBreakHyphen/>
              <w:t xml:space="preserve"> Reasonable expectation of privacy </w:t>
            </w:r>
            <w:r w:rsidRPr="000F5B09">
              <w:rPr>
                <w:sz w:val="20"/>
                <w:szCs w:val="20"/>
              </w:rPr>
              <w:noBreakHyphen/>
              <w:t xml:space="preserve"> Employer issued computer </w:t>
            </w:r>
            <w:r w:rsidRPr="000F5B09">
              <w:rPr>
                <w:sz w:val="20"/>
                <w:szCs w:val="20"/>
              </w:rPr>
              <w:noBreakHyphen/>
              <w:t xml:space="preserve"> How should the existence of a reasonable expectation of privacy in a work computer be assessed? </w:t>
            </w:r>
            <w:r w:rsidRPr="000F5B09">
              <w:rPr>
                <w:sz w:val="20"/>
                <w:szCs w:val="20"/>
              </w:rPr>
              <w:noBreakHyphen/>
              <w:t xml:space="preserve"> Whether the warrantless search and seizure of the computer evidence by the police was reasonable </w:t>
            </w:r>
            <w:r w:rsidRPr="000F5B09">
              <w:rPr>
                <w:sz w:val="20"/>
                <w:szCs w:val="20"/>
              </w:rPr>
              <w:noBreakHyphen/>
              <w:t xml:space="preserve"> Whether the Court of Appeal erred in excluding the computer evidence.</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359AA" w:rsidRPr="00701429" w:rsidRDefault="00C359AA" w:rsidP="00C359AA">
            <w:pPr>
              <w:pStyle w:val="SCCBanSummary"/>
              <w:rPr>
                <w:sz w:val="20"/>
                <w:szCs w:val="20"/>
                <w:lang w:val="fr-CA"/>
              </w:rPr>
            </w:pPr>
            <w:r w:rsidRPr="00701429">
              <w:rPr>
                <w:sz w:val="20"/>
                <w:szCs w:val="20"/>
                <w:lang w:val="fr-CA"/>
              </w:rPr>
              <w:t>(Ordonnance de non</w:t>
            </w:r>
            <w:r w:rsidRPr="00701429">
              <w:rPr>
                <w:sz w:val="20"/>
                <w:szCs w:val="20"/>
                <w:lang w:val="fr-CA"/>
              </w:rPr>
              <w:noBreakHyphen/>
              <w:t>publication dans le dossier) (</w:t>
            </w:r>
            <w:r>
              <w:rPr>
                <w:sz w:val="20"/>
                <w:szCs w:val="20"/>
                <w:lang w:val="fr-CA"/>
              </w:rPr>
              <w:t>O</w:t>
            </w:r>
            <w:r w:rsidRPr="00701429">
              <w:rPr>
                <w:sz w:val="20"/>
                <w:szCs w:val="20"/>
                <w:lang w:val="fr-CA"/>
              </w:rPr>
              <w:t>rdonnance de non</w:t>
            </w:r>
            <w:r w:rsidRPr="00701429">
              <w:rPr>
                <w:sz w:val="20"/>
                <w:szCs w:val="20"/>
                <w:lang w:val="fr-CA"/>
              </w:rPr>
              <w:noBreakHyphen/>
              <w:t>publication visant une partie)</w:t>
            </w:r>
          </w:p>
          <w:p w:rsidR="00C359AA" w:rsidRPr="00701429" w:rsidRDefault="00C359AA" w:rsidP="00C359AA">
            <w:pPr>
              <w:rPr>
                <w:sz w:val="20"/>
                <w:szCs w:val="20"/>
                <w:lang w:val="fr-CA"/>
              </w:rPr>
            </w:pPr>
          </w:p>
          <w:p w:rsidR="00C1697B" w:rsidRPr="00C1697B" w:rsidRDefault="00C359AA" w:rsidP="00C359AA">
            <w:pPr>
              <w:widowControl w:val="0"/>
              <w:jc w:val="both"/>
              <w:rPr>
                <w:sz w:val="20"/>
                <w:szCs w:val="20"/>
                <w:lang w:val="fr-CA"/>
              </w:rPr>
            </w:pPr>
            <w:r w:rsidRPr="00701429">
              <w:rPr>
                <w:i/>
                <w:sz w:val="20"/>
                <w:szCs w:val="20"/>
                <w:lang w:val="fr-CA"/>
              </w:rPr>
              <w:t xml:space="preserve">Charte des droits </w:t>
            </w:r>
            <w:r w:rsidRPr="00701429">
              <w:rPr>
                <w:sz w:val="20"/>
                <w:szCs w:val="20"/>
                <w:lang w:val="fr-CA"/>
              </w:rPr>
              <w:noBreakHyphen/>
              <w:t xml:space="preserve"> Droit criminel </w:t>
            </w:r>
            <w:r w:rsidRPr="00701429">
              <w:rPr>
                <w:sz w:val="20"/>
                <w:szCs w:val="20"/>
                <w:lang w:val="fr-CA"/>
              </w:rPr>
              <w:noBreakHyphen/>
              <w:t xml:space="preserve"> Perquisition, fouille et saisie abusives </w:t>
            </w:r>
            <w:r w:rsidRPr="00701429">
              <w:rPr>
                <w:sz w:val="20"/>
                <w:szCs w:val="20"/>
                <w:lang w:val="fr-CA"/>
              </w:rPr>
              <w:noBreakHyphen/>
              <w:t xml:space="preserve"> Attente raisonnable de respect de la vie privée </w:t>
            </w:r>
            <w:r w:rsidRPr="00701429">
              <w:rPr>
                <w:sz w:val="20"/>
                <w:szCs w:val="20"/>
                <w:lang w:val="fr-CA"/>
              </w:rPr>
              <w:noBreakHyphen/>
              <w:t xml:space="preserve"> Ordinateur fourni par l’employeur </w:t>
            </w:r>
            <w:r w:rsidRPr="00701429">
              <w:rPr>
                <w:sz w:val="20"/>
                <w:szCs w:val="20"/>
                <w:lang w:val="fr-CA"/>
              </w:rPr>
              <w:noBreakHyphen/>
              <w:t xml:space="preserve"> Comment doit être évaluée une attente raisonnable de respect de la vie privée à l’égard d’un ordinateur fourni par l’employeur pour le travail? </w:t>
            </w:r>
            <w:r w:rsidRPr="00701429">
              <w:rPr>
                <w:sz w:val="20"/>
                <w:szCs w:val="20"/>
                <w:lang w:val="fr-CA"/>
              </w:rPr>
              <w:noBreakHyphen/>
              <w:t xml:space="preserve"> La perquisition et la saisie sans mandat, par les policiers, de la preuve contenue dans l’ordinateur étaient</w:t>
            </w:r>
            <w:r w:rsidRPr="00701429">
              <w:rPr>
                <w:sz w:val="20"/>
                <w:szCs w:val="20"/>
                <w:lang w:val="fr-CA"/>
              </w:rPr>
              <w:noBreakHyphen/>
              <w:t xml:space="preserve">elles abusives? </w:t>
            </w:r>
            <w:r w:rsidRPr="00701429">
              <w:rPr>
                <w:sz w:val="20"/>
                <w:szCs w:val="20"/>
                <w:lang w:val="fr-CA"/>
              </w:rPr>
              <w:noBreakHyphen/>
              <w:t xml:space="preserve"> La Cour d’appel a</w:t>
            </w:r>
            <w:r w:rsidRPr="00701429">
              <w:rPr>
                <w:sz w:val="20"/>
                <w:szCs w:val="20"/>
                <w:lang w:val="fr-CA"/>
              </w:rPr>
              <w:noBreakHyphen/>
              <w:t>t</w:t>
            </w:r>
            <w:r w:rsidRPr="00701429">
              <w:rPr>
                <w:sz w:val="20"/>
                <w:szCs w:val="20"/>
                <w:lang w:val="fr-CA"/>
              </w:rPr>
              <w:noBreakHyphen/>
              <w:t>elle commis une erreur en excluant la preuve extraite de l’ordinateur?</w:t>
            </w:r>
          </w:p>
        </w:tc>
      </w:tr>
    </w:tbl>
    <w:p w:rsidR="00732DB7" w:rsidRDefault="00732DB7" w:rsidP="00732DB7">
      <w:pPr>
        <w:widowControl w:val="0"/>
        <w:rPr>
          <w:sz w:val="20"/>
          <w:szCs w:val="20"/>
          <w:lang w:val="fr-CA"/>
        </w:rPr>
      </w:pPr>
    </w:p>
    <w:p w:rsidR="002A27D1" w:rsidRDefault="00414F7B" w:rsidP="002A27D1">
      <w:pPr>
        <w:widowControl w:val="0"/>
        <w:rPr>
          <w:sz w:val="20"/>
          <w:szCs w:val="20"/>
        </w:rPr>
      </w:pPr>
      <w:r w:rsidRPr="00414F7B">
        <w:rPr>
          <w:sz w:val="20"/>
          <w:szCs w:val="20"/>
          <w:lang w:val="fr-CA"/>
        </w:rPr>
        <w:pict>
          <v:rect id="_x0000_i1077" style="width:2in;height:1pt" o:hrpct="0" o:hralign="center" o:hrstd="t" o:hrnoshade="t" o:hr="t" fillcolor="black [3213]" stroked="f"/>
        </w:pict>
      </w:r>
    </w:p>
    <w:p w:rsidR="002A27D1" w:rsidRDefault="002A27D1" w:rsidP="002A27D1">
      <w:pPr>
        <w:widowControl w:val="0"/>
        <w:rPr>
          <w:sz w:val="20"/>
          <w:szCs w:val="20"/>
        </w:rPr>
      </w:pPr>
    </w:p>
    <w:p w:rsidR="000F4785" w:rsidRDefault="000F4785">
      <w:pPr>
        <w:rPr>
          <w:sz w:val="20"/>
          <w:szCs w:val="20"/>
        </w:rPr>
      </w:pPr>
      <w:r>
        <w:rPr>
          <w:sz w:val="20"/>
          <w:szCs w:val="20"/>
        </w:rPr>
        <w:br w:type="page"/>
      </w:r>
    </w:p>
    <w:p w:rsidR="00CA4CA4" w:rsidRPr="00C50A5C" w:rsidRDefault="00CA4CA4" w:rsidP="00CA4CA4">
      <w:pPr>
        <w:widowControl w:val="0"/>
        <w:rPr>
          <w:sz w:val="20"/>
          <w:szCs w:val="20"/>
        </w:rPr>
      </w:pPr>
      <w:r>
        <w:rPr>
          <w:sz w:val="20"/>
          <w:szCs w:val="20"/>
        </w:rPr>
        <w:lastRenderedPageBreak/>
        <w:t>16</w:t>
      </w:r>
      <w:r w:rsidRPr="00C50A5C">
        <w:rPr>
          <w:sz w:val="20"/>
          <w:szCs w:val="20"/>
        </w:rPr>
        <w:t>.0</w:t>
      </w:r>
      <w:r>
        <w:rPr>
          <w:sz w:val="20"/>
          <w:szCs w:val="20"/>
        </w:rPr>
        <w:t>5</w:t>
      </w:r>
      <w:r w:rsidRPr="00C50A5C">
        <w:rPr>
          <w:sz w:val="20"/>
          <w:szCs w:val="20"/>
        </w:rPr>
        <w:t>.201</w:t>
      </w:r>
      <w:r>
        <w:rPr>
          <w:sz w:val="20"/>
          <w:szCs w:val="20"/>
        </w:rPr>
        <w:t>2</w:t>
      </w:r>
    </w:p>
    <w:p w:rsidR="00CA4CA4" w:rsidRDefault="00CA4CA4" w:rsidP="00CA4CA4">
      <w:pPr>
        <w:widowControl w:val="0"/>
        <w:rPr>
          <w:sz w:val="20"/>
          <w:szCs w:val="20"/>
        </w:rPr>
      </w:pPr>
    </w:p>
    <w:p w:rsidR="000F4785" w:rsidRPr="00E136BB" w:rsidRDefault="000F4785" w:rsidP="000F4785">
      <w:pPr>
        <w:widowControl w:val="0"/>
        <w:ind w:left="720" w:hanging="720"/>
        <w:rPr>
          <w:sz w:val="20"/>
          <w:szCs w:val="20"/>
        </w:rPr>
      </w:pPr>
      <w:r w:rsidRPr="00E136BB">
        <w:rPr>
          <w:sz w:val="20"/>
          <w:szCs w:val="20"/>
        </w:rPr>
        <w:t xml:space="preserve">Coram: </w:t>
      </w:r>
      <w:r w:rsidRPr="00E136BB">
        <w:rPr>
          <w:sz w:val="20"/>
          <w:szCs w:val="20"/>
        </w:rPr>
        <w:tab/>
      </w:r>
      <w:r w:rsidRPr="00E136BB">
        <w:rPr>
          <w:sz w:val="20"/>
          <w:szCs w:val="20"/>
          <w:u w:val="single"/>
        </w:rPr>
        <w:t>LeBel, Deschamps, Fish, Abella, Rothstein, Moldaver and Karakatsanis JJ.</w:t>
      </w:r>
    </w:p>
    <w:p w:rsidR="00CA4CA4" w:rsidRPr="00C50A5C" w:rsidRDefault="00CA4CA4" w:rsidP="00CA4CA4">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CA4CA4" w:rsidRPr="00C50A5C" w:rsidTr="00E42F15">
        <w:tc>
          <w:tcPr>
            <w:tcW w:w="4380" w:type="dxa"/>
            <w:tcMar>
              <w:left w:w="0" w:type="dxa"/>
              <w:right w:w="0" w:type="dxa"/>
            </w:tcMar>
          </w:tcPr>
          <w:p w:rsidR="000F4785" w:rsidRDefault="000F4785" w:rsidP="000F4785">
            <w:pPr>
              <w:jc w:val="both"/>
              <w:rPr>
                <w:rStyle w:val="SCCSsocChar"/>
                <w:b/>
                <w:i w:val="0"/>
              </w:rPr>
            </w:pPr>
            <w:r w:rsidRPr="00E136BB">
              <w:rPr>
                <w:rStyle w:val="SCCSsocChar"/>
                <w:b/>
                <w:i w:val="0"/>
              </w:rPr>
              <w:t xml:space="preserve">Brendan David Aucoin </w:t>
            </w:r>
          </w:p>
          <w:p w:rsidR="000F4785" w:rsidRDefault="000F4785" w:rsidP="000F4785">
            <w:pPr>
              <w:jc w:val="both"/>
              <w:rPr>
                <w:rStyle w:val="SCCSsocChar"/>
                <w:b/>
                <w:i w:val="0"/>
              </w:rPr>
            </w:pPr>
          </w:p>
          <w:p w:rsidR="000F4785" w:rsidRDefault="000F4785" w:rsidP="000F4785">
            <w:pPr>
              <w:jc w:val="both"/>
              <w:rPr>
                <w:rStyle w:val="SCCSsocChar"/>
                <w:b/>
                <w:i w:val="0"/>
              </w:rPr>
            </w:pPr>
            <w:r>
              <w:rPr>
                <w:rStyle w:val="SCCSsocChar"/>
                <w:b/>
                <w:i w:val="0"/>
              </w:rPr>
              <w:tab/>
            </w:r>
            <w:r w:rsidRPr="00E136BB">
              <w:rPr>
                <w:rStyle w:val="SCCSsocChar"/>
                <w:b/>
                <w:i w:val="0"/>
              </w:rPr>
              <w:t>v. (34349)</w:t>
            </w:r>
          </w:p>
          <w:p w:rsidR="000F4785" w:rsidRDefault="000F4785" w:rsidP="000F4785">
            <w:pPr>
              <w:jc w:val="both"/>
              <w:rPr>
                <w:rStyle w:val="SCCSsocChar"/>
                <w:b/>
                <w:i w:val="0"/>
              </w:rPr>
            </w:pPr>
          </w:p>
          <w:p w:rsidR="000F4785" w:rsidRDefault="000F4785" w:rsidP="000F4785">
            <w:pPr>
              <w:jc w:val="both"/>
              <w:rPr>
                <w:rStyle w:val="SCCSsocChar"/>
                <w:b/>
                <w:i w:val="0"/>
              </w:rPr>
            </w:pPr>
            <w:r w:rsidRPr="00E136BB">
              <w:rPr>
                <w:rStyle w:val="SCCSsocChar"/>
                <w:b/>
                <w:i w:val="0"/>
              </w:rPr>
              <w:t xml:space="preserve">Her Majesty the Queen (N.S.) (Criminal) </w:t>
            </w:r>
          </w:p>
          <w:p w:rsidR="00CA4CA4" w:rsidRPr="00CA4CA4" w:rsidRDefault="000F4785" w:rsidP="000F4785">
            <w:pPr>
              <w:jc w:val="both"/>
              <w:rPr>
                <w:sz w:val="20"/>
                <w:szCs w:val="20"/>
              </w:rPr>
            </w:pPr>
            <w:r w:rsidRPr="00E136BB">
              <w:rPr>
                <w:rStyle w:val="SCCSsocChar"/>
                <w:b/>
                <w:i w:val="0"/>
              </w:rPr>
              <w:t xml:space="preserve">(As of Right) </w:t>
            </w:r>
          </w:p>
        </w:tc>
        <w:tc>
          <w:tcPr>
            <w:tcW w:w="720" w:type="dxa"/>
            <w:tcMar>
              <w:left w:w="0" w:type="dxa"/>
              <w:right w:w="0" w:type="dxa"/>
            </w:tcMar>
          </w:tcPr>
          <w:p w:rsidR="00CA4CA4" w:rsidRPr="00CA4CA4" w:rsidRDefault="00CA4CA4" w:rsidP="00E42F15">
            <w:pPr>
              <w:widowControl w:val="0"/>
              <w:jc w:val="center"/>
              <w:rPr>
                <w:sz w:val="20"/>
                <w:szCs w:val="20"/>
              </w:rPr>
            </w:pPr>
          </w:p>
        </w:tc>
        <w:tc>
          <w:tcPr>
            <w:tcW w:w="4380" w:type="dxa"/>
            <w:tcMar>
              <w:left w:w="0" w:type="dxa"/>
              <w:right w:w="0" w:type="dxa"/>
            </w:tcMar>
          </w:tcPr>
          <w:p w:rsidR="000F4785" w:rsidRPr="0030079F" w:rsidRDefault="000F4785" w:rsidP="000F4785">
            <w:pPr>
              <w:tabs>
                <w:tab w:val="left" w:pos="-2970"/>
              </w:tabs>
              <w:jc w:val="both"/>
              <w:rPr>
                <w:sz w:val="20"/>
                <w:szCs w:val="20"/>
                <w:lang w:val="en-US"/>
              </w:rPr>
            </w:pPr>
            <w:r w:rsidRPr="0030079F">
              <w:rPr>
                <w:sz w:val="20"/>
                <w:szCs w:val="20"/>
                <w:lang w:val="en-US"/>
              </w:rPr>
              <w:t>Brian Vardigans</w:t>
            </w:r>
            <w:r>
              <w:rPr>
                <w:sz w:val="20"/>
                <w:szCs w:val="20"/>
                <w:lang w:val="en-US"/>
              </w:rPr>
              <w:t xml:space="preserve"> and </w:t>
            </w:r>
            <w:r w:rsidRPr="0030079F">
              <w:rPr>
                <w:sz w:val="20"/>
                <w:szCs w:val="20"/>
                <w:lang w:val="en-US"/>
              </w:rPr>
              <w:t>Roger A. Burrill</w:t>
            </w:r>
            <w:r>
              <w:rPr>
                <w:sz w:val="20"/>
                <w:szCs w:val="20"/>
                <w:lang w:val="en-US"/>
              </w:rPr>
              <w:t xml:space="preserve"> f</w:t>
            </w:r>
            <w:r w:rsidRPr="0030079F">
              <w:rPr>
                <w:sz w:val="20"/>
                <w:szCs w:val="20"/>
                <w:lang w:val="en-US"/>
              </w:rPr>
              <w:t xml:space="preserve">or the </w:t>
            </w:r>
            <w:r>
              <w:rPr>
                <w:sz w:val="20"/>
                <w:szCs w:val="20"/>
                <w:lang w:val="en-US"/>
              </w:rPr>
              <w:t>a</w:t>
            </w:r>
            <w:r w:rsidRPr="0030079F">
              <w:rPr>
                <w:sz w:val="20"/>
                <w:szCs w:val="20"/>
                <w:lang w:val="en-US"/>
              </w:rPr>
              <w:t>ppellant.</w:t>
            </w:r>
          </w:p>
          <w:p w:rsidR="000F4785" w:rsidRPr="0030079F" w:rsidRDefault="000F4785" w:rsidP="000F4785">
            <w:pPr>
              <w:tabs>
                <w:tab w:val="left" w:pos="-2970"/>
              </w:tabs>
              <w:jc w:val="both"/>
              <w:rPr>
                <w:sz w:val="20"/>
                <w:szCs w:val="20"/>
                <w:lang w:val="en-US"/>
              </w:rPr>
            </w:pPr>
          </w:p>
          <w:p w:rsidR="000F4785" w:rsidRPr="0030079F" w:rsidRDefault="000F4785" w:rsidP="000F4785">
            <w:pPr>
              <w:tabs>
                <w:tab w:val="left" w:pos="-2970"/>
              </w:tabs>
              <w:jc w:val="both"/>
              <w:rPr>
                <w:sz w:val="20"/>
                <w:szCs w:val="20"/>
                <w:lang w:val="en-US"/>
              </w:rPr>
            </w:pPr>
            <w:r w:rsidRPr="0030079F">
              <w:rPr>
                <w:sz w:val="20"/>
                <w:szCs w:val="20"/>
                <w:lang w:val="en-US"/>
              </w:rPr>
              <w:t>David W. Schermbrucker</w:t>
            </w:r>
            <w:r>
              <w:rPr>
                <w:sz w:val="20"/>
                <w:szCs w:val="20"/>
                <w:lang w:val="en-US"/>
              </w:rPr>
              <w:t xml:space="preserve"> and </w:t>
            </w:r>
            <w:r w:rsidRPr="0030079F">
              <w:rPr>
                <w:sz w:val="20"/>
                <w:szCs w:val="20"/>
                <w:lang w:val="en-US"/>
              </w:rPr>
              <w:t>James C. Martin</w:t>
            </w:r>
            <w:r>
              <w:rPr>
                <w:sz w:val="20"/>
                <w:szCs w:val="20"/>
                <w:lang w:val="en-US"/>
              </w:rPr>
              <w:t xml:space="preserve"> f</w:t>
            </w:r>
            <w:r w:rsidRPr="0030079F">
              <w:rPr>
                <w:sz w:val="20"/>
                <w:szCs w:val="20"/>
                <w:lang w:val="en-US"/>
              </w:rPr>
              <w:t xml:space="preserve">or the </w:t>
            </w:r>
            <w:r>
              <w:rPr>
                <w:sz w:val="20"/>
                <w:szCs w:val="20"/>
                <w:lang w:val="en-US"/>
              </w:rPr>
              <w:t>r</w:t>
            </w:r>
            <w:r w:rsidRPr="0030079F">
              <w:rPr>
                <w:sz w:val="20"/>
                <w:szCs w:val="20"/>
                <w:lang w:val="en-US"/>
              </w:rPr>
              <w:t>espondent.</w:t>
            </w:r>
          </w:p>
          <w:p w:rsidR="000F4785" w:rsidRPr="0030079F" w:rsidRDefault="000F4785" w:rsidP="000F4785">
            <w:pPr>
              <w:tabs>
                <w:tab w:val="left" w:pos="-2970"/>
              </w:tabs>
              <w:jc w:val="both"/>
              <w:rPr>
                <w:sz w:val="20"/>
                <w:szCs w:val="20"/>
                <w:lang w:val="en-US"/>
              </w:rPr>
            </w:pPr>
          </w:p>
          <w:p w:rsidR="00CA4CA4" w:rsidRPr="000F4785" w:rsidRDefault="000F4785" w:rsidP="000F4785">
            <w:pPr>
              <w:tabs>
                <w:tab w:val="left" w:pos="-2970"/>
              </w:tabs>
              <w:jc w:val="both"/>
              <w:rPr>
                <w:sz w:val="20"/>
                <w:szCs w:val="20"/>
                <w:lang w:val="en-US"/>
              </w:rPr>
            </w:pPr>
            <w:r w:rsidRPr="0030079F">
              <w:rPr>
                <w:sz w:val="20"/>
                <w:szCs w:val="20"/>
                <w:lang w:val="en-US"/>
              </w:rPr>
              <w:t>Jennifer M. Woollcombe</w:t>
            </w:r>
            <w:r>
              <w:rPr>
                <w:sz w:val="20"/>
                <w:szCs w:val="20"/>
                <w:lang w:val="en-US"/>
              </w:rPr>
              <w:t xml:space="preserve"> and </w:t>
            </w:r>
            <w:r w:rsidRPr="0030079F">
              <w:rPr>
                <w:sz w:val="20"/>
                <w:szCs w:val="20"/>
                <w:lang w:val="en-US"/>
              </w:rPr>
              <w:t>Emile Carrington</w:t>
            </w:r>
            <w:r>
              <w:rPr>
                <w:sz w:val="20"/>
                <w:szCs w:val="20"/>
                <w:lang w:val="en-US"/>
              </w:rPr>
              <w:t xml:space="preserve"> f</w:t>
            </w:r>
            <w:r w:rsidRPr="0030079F">
              <w:rPr>
                <w:sz w:val="20"/>
                <w:szCs w:val="20"/>
                <w:lang w:val="en-US"/>
              </w:rPr>
              <w:t xml:space="preserve">or the </w:t>
            </w:r>
            <w:r>
              <w:rPr>
                <w:sz w:val="20"/>
                <w:szCs w:val="20"/>
                <w:lang w:val="en-US"/>
              </w:rPr>
              <w:t>i</w:t>
            </w:r>
            <w:r w:rsidRPr="0030079F">
              <w:rPr>
                <w:sz w:val="20"/>
                <w:szCs w:val="20"/>
                <w:lang w:val="en-US"/>
              </w:rPr>
              <w:t>ntervener</w:t>
            </w:r>
            <w:r>
              <w:rPr>
                <w:sz w:val="20"/>
                <w:szCs w:val="20"/>
                <w:lang w:val="en-US"/>
              </w:rPr>
              <w:t xml:space="preserve"> </w:t>
            </w:r>
            <w:r w:rsidRPr="0030079F">
              <w:rPr>
                <w:sz w:val="20"/>
                <w:szCs w:val="20"/>
                <w:lang w:val="en-US"/>
              </w:rPr>
              <w:t>Attorney General of Ontario</w:t>
            </w:r>
            <w:r>
              <w:rPr>
                <w:sz w:val="20"/>
                <w:szCs w:val="20"/>
                <w:lang w:val="en-US"/>
              </w:rPr>
              <w:t>.</w:t>
            </w:r>
          </w:p>
        </w:tc>
      </w:tr>
    </w:tbl>
    <w:p w:rsidR="00CA4CA4" w:rsidRDefault="00CA4CA4" w:rsidP="00CA4CA4">
      <w:pPr>
        <w:widowControl w:val="0"/>
      </w:pPr>
    </w:p>
    <w:p w:rsidR="00CA4CA4" w:rsidRPr="0085476B" w:rsidRDefault="00CA4CA4" w:rsidP="00CA4CA4">
      <w:pPr>
        <w:widowControl w:val="0"/>
        <w:rPr>
          <w:sz w:val="20"/>
          <w:szCs w:val="20"/>
        </w:rPr>
      </w:pPr>
      <w:r w:rsidRPr="0085476B">
        <w:rPr>
          <w:b/>
          <w:sz w:val="20"/>
          <w:szCs w:val="20"/>
        </w:rPr>
        <w:t xml:space="preserve">RESERVED / </w:t>
      </w:r>
      <w:r w:rsidRPr="0085476B">
        <w:rPr>
          <w:b/>
          <w:sz w:val="20"/>
          <w:szCs w:val="20"/>
          <w:lang w:val="fr-CA"/>
        </w:rPr>
        <w:t>EN DÉLIBÉRÉ</w:t>
      </w:r>
    </w:p>
    <w:p w:rsidR="00CA4CA4" w:rsidRDefault="00CA4CA4" w:rsidP="00CA4CA4"/>
    <w:tbl>
      <w:tblPr>
        <w:tblW w:w="0" w:type="auto"/>
        <w:tblLayout w:type="fixed"/>
        <w:tblCellMar>
          <w:left w:w="0" w:type="dxa"/>
          <w:right w:w="0" w:type="dxa"/>
        </w:tblCellMar>
        <w:tblLook w:val="0000"/>
      </w:tblPr>
      <w:tblGrid>
        <w:gridCol w:w="4380"/>
        <w:gridCol w:w="720"/>
        <w:gridCol w:w="4380"/>
      </w:tblGrid>
      <w:tr w:rsidR="00CA4CA4" w:rsidRPr="00CC1F8E" w:rsidTr="00E42F15">
        <w:tc>
          <w:tcPr>
            <w:tcW w:w="4380" w:type="dxa"/>
            <w:tcMar>
              <w:left w:w="0" w:type="dxa"/>
              <w:right w:w="0" w:type="dxa"/>
            </w:tcMar>
          </w:tcPr>
          <w:p w:rsidR="00CA4CA4" w:rsidRPr="00CC4D84" w:rsidRDefault="00CA4CA4" w:rsidP="00E42F15">
            <w:pPr>
              <w:widowControl w:val="0"/>
              <w:jc w:val="both"/>
              <w:rPr>
                <w:b/>
                <w:sz w:val="20"/>
                <w:szCs w:val="20"/>
                <w:u w:val="single"/>
              </w:rPr>
            </w:pPr>
            <w:r w:rsidRPr="00CC4D84">
              <w:rPr>
                <w:b/>
                <w:sz w:val="20"/>
                <w:szCs w:val="20"/>
                <w:u w:val="single"/>
              </w:rPr>
              <w:t>Nature of the case:</w:t>
            </w:r>
          </w:p>
          <w:p w:rsidR="00CA4CA4" w:rsidRPr="00C1697B" w:rsidRDefault="00CA4CA4" w:rsidP="00E42F15">
            <w:pPr>
              <w:widowControl w:val="0"/>
              <w:jc w:val="both"/>
              <w:rPr>
                <w:b/>
                <w:sz w:val="20"/>
                <w:szCs w:val="20"/>
              </w:rPr>
            </w:pPr>
          </w:p>
          <w:p w:rsidR="00CA4CA4" w:rsidRPr="00C1697B" w:rsidRDefault="00FE525C" w:rsidP="00E42F15">
            <w:pPr>
              <w:widowControl w:val="0"/>
              <w:jc w:val="both"/>
              <w:rPr>
                <w:b/>
                <w:sz w:val="20"/>
                <w:szCs w:val="20"/>
              </w:rPr>
            </w:pPr>
            <w:r w:rsidRPr="00B317BF">
              <w:rPr>
                <w:i/>
                <w:sz w:val="20"/>
                <w:szCs w:val="20"/>
              </w:rPr>
              <w:t>Charter of Rights</w:t>
            </w:r>
            <w:r w:rsidRPr="00B317BF">
              <w:rPr>
                <w:sz w:val="20"/>
                <w:szCs w:val="20"/>
              </w:rPr>
              <w:t xml:space="preserve"> </w:t>
            </w:r>
            <w:r w:rsidRPr="00B317BF">
              <w:rPr>
                <w:sz w:val="20"/>
                <w:szCs w:val="20"/>
              </w:rPr>
              <w:noBreakHyphen/>
              <w:t xml:space="preserve"> Criminal law </w:t>
            </w:r>
            <w:r w:rsidRPr="00B317BF">
              <w:rPr>
                <w:sz w:val="20"/>
                <w:szCs w:val="20"/>
              </w:rPr>
              <w:noBreakHyphen/>
              <w:t xml:space="preserve"> Search and Seizure </w:t>
            </w:r>
            <w:r w:rsidRPr="00B317BF">
              <w:rPr>
                <w:sz w:val="20"/>
                <w:szCs w:val="20"/>
              </w:rPr>
              <w:noBreakHyphen/>
              <w:t xml:space="preserve"> Whether there were lawful grounds to detain the appellant in the back seat of the police car </w:t>
            </w:r>
            <w:r w:rsidRPr="00B317BF">
              <w:rPr>
                <w:sz w:val="20"/>
                <w:szCs w:val="20"/>
              </w:rPr>
              <w:noBreakHyphen/>
              <w:t xml:space="preserve"> If so, whether there were lawful grounds to search the appellant prior to placing him in the back seat of the police car </w:t>
            </w:r>
            <w:r w:rsidRPr="00B317BF">
              <w:rPr>
                <w:sz w:val="20"/>
                <w:szCs w:val="20"/>
              </w:rPr>
              <w:noBreakHyphen/>
              <w:t xml:space="preserve"> If so, whether the search of the appellant was reasonably carried out </w:t>
            </w:r>
            <w:r w:rsidRPr="00B317BF">
              <w:rPr>
                <w:sz w:val="20"/>
                <w:szCs w:val="20"/>
              </w:rPr>
              <w:noBreakHyphen/>
              <w:t xml:space="preserve"> </w:t>
            </w:r>
            <w:r w:rsidRPr="00B317BF">
              <w:rPr>
                <w:i/>
                <w:sz w:val="20"/>
                <w:szCs w:val="20"/>
              </w:rPr>
              <w:t>Canadian Charter of Rights and Freedoms</w:t>
            </w:r>
            <w:r w:rsidRPr="00B317BF">
              <w:rPr>
                <w:sz w:val="20"/>
                <w:szCs w:val="20"/>
              </w:rPr>
              <w:t>, s. 8.</w:t>
            </w:r>
          </w:p>
        </w:tc>
        <w:tc>
          <w:tcPr>
            <w:tcW w:w="720" w:type="dxa"/>
            <w:tcMar>
              <w:left w:w="0" w:type="dxa"/>
              <w:right w:w="0" w:type="dxa"/>
            </w:tcMar>
          </w:tcPr>
          <w:p w:rsidR="00CA4CA4" w:rsidRPr="00C1697B" w:rsidRDefault="00CA4CA4" w:rsidP="00E42F15">
            <w:pPr>
              <w:widowControl w:val="0"/>
              <w:jc w:val="center"/>
              <w:rPr>
                <w:sz w:val="20"/>
                <w:szCs w:val="20"/>
              </w:rPr>
            </w:pPr>
          </w:p>
        </w:tc>
        <w:tc>
          <w:tcPr>
            <w:tcW w:w="4380" w:type="dxa"/>
            <w:tcMar>
              <w:left w:w="0" w:type="dxa"/>
              <w:right w:w="0" w:type="dxa"/>
            </w:tcMar>
          </w:tcPr>
          <w:p w:rsidR="00CA4CA4" w:rsidRPr="00CC4D84" w:rsidRDefault="00CA4CA4" w:rsidP="00E42F15">
            <w:pPr>
              <w:widowControl w:val="0"/>
              <w:jc w:val="both"/>
              <w:rPr>
                <w:b/>
                <w:sz w:val="20"/>
                <w:szCs w:val="20"/>
                <w:u w:val="single"/>
                <w:lang w:val="fr-CA"/>
              </w:rPr>
            </w:pPr>
            <w:r w:rsidRPr="00CC4D84">
              <w:rPr>
                <w:b/>
                <w:sz w:val="20"/>
                <w:szCs w:val="20"/>
                <w:u w:val="single"/>
                <w:lang w:val="fr-CA"/>
              </w:rPr>
              <w:t>Nature de la cause :</w:t>
            </w:r>
          </w:p>
          <w:p w:rsidR="00CA4CA4" w:rsidRPr="00C1697B" w:rsidRDefault="00CA4CA4" w:rsidP="00E42F15">
            <w:pPr>
              <w:widowControl w:val="0"/>
              <w:jc w:val="both"/>
              <w:rPr>
                <w:sz w:val="20"/>
                <w:szCs w:val="20"/>
                <w:lang w:val="fr-CA"/>
              </w:rPr>
            </w:pPr>
          </w:p>
          <w:p w:rsidR="00CA4CA4" w:rsidRPr="00C1697B" w:rsidRDefault="00FE525C" w:rsidP="00E42F15">
            <w:pPr>
              <w:widowControl w:val="0"/>
              <w:jc w:val="both"/>
              <w:rPr>
                <w:sz w:val="20"/>
                <w:szCs w:val="20"/>
                <w:lang w:val="fr-CA"/>
              </w:rPr>
            </w:pPr>
            <w:r w:rsidRPr="002E7138">
              <w:rPr>
                <w:i/>
                <w:sz w:val="20"/>
                <w:szCs w:val="20"/>
                <w:lang w:val="fr-FR"/>
              </w:rPr>
              <w:t>Charte des droits</w:t>
            </w:r>
            <w:r w:rsidRPr="002E7138">
              <w:rPr>
                <w:sz w:val="20"/>
                <w:szCs w:val="20"/>
                <w:lang w:val="fr-FR"/>
              </w:rPr>
              <w:t xml:space="preserve"> </w:t>
            </w:r>
            <w:r w:rsidRPr="002E7138">
              <w:rPr>
                <w:sz w:val="20"/>
                <w:szCs w:val="20"/>
                <w:lang w:val="fr-FR"/>
              </w:rPr>
              <w:noBreakHyphen/>
              <w:t xml:space="preserve"> Droit criminel </w:t>
            </w:r>
            <w:r w:rsidRPr="002E7138">
              <w:rPr>
                <w:sz w:val="20"/>
                <w:szCs w:val="20"/>
                <w:lang w:val="fr-FR"/>
              </w:rPr>
              <w:noBreakHyphen/>
              <w:t xml:space="preserve"> Fouilles, perquisitions et saisies </w:t>
            </w:r>
            <w:r w:rsidRPr="002E7138">
              <w:rPr>
                <w:sz w:val="20"/>
                <w:szCs w:val="20"/>
                <w:lang w:val="fr-FR"/>
              </w:rPr>
              <w:noBreakHyphen/>
              <w:t xml:space="preserve"> Y avait</w:t>
            </w:r>
            <w:r w:rsidRPr="002E7138">
              <w:rPr>
                <w:sz w:val="20"/>
                <w:szCs w:val="20"/>
                <w:lang w:val="fr-FR"/>
              </w:rPr>
              <w:noBreakHyphen/>
              <w:t xml:space="preserve">il des motifs légitimes de détenir l’appelant sur la banquette arrière de la voiture de police ? </w:t>
            </w:r>
            <w:r w:rsidRPr="002E7138">
              <w:rPr>
                <w:sz w:val="20"/>
                <w:szCs w:val="20"/>
                <w:lang w:val="fr-FR"/>
              </w:rPr>
              <w:noBreakHyphen/>
              <w:t xml:space="preserve"> Si oui, y avait</w:t>
            </w:r>
            <w:r w:rsidRPr="002E7138">
              <w:rPr>
                <w:sz w:val="20"/>
                <w:szCs w:val="20"/>
                <w:lang w:val="fr-FR"/>
              </w:rPr>
              <w:noBreakHyphen/>
              <w:t xml:space="preserve">il des motifs légitimes de fouiller l’appelant avant de l’asseoir sur la banquette arrière de la voiture de police ? </w:t>
            </w:r>
            <w:r w:rsidRPr="002E7138">
              <w:rPr>
                <w:sz w:val="20"/>
                <w:szCs w:val="20"/>
                <w:lang w:val="fr-FR"/>
              </w:rPr>
              <w:noBreakHyphen/>
              <w:t xml:space="preserve"> Si oui, la fouille de l’appelant a</w:t>
            </w:r>
            <w:r w:rsidRPr="002E7138">
              <w:rPr>
                <w:sz w:val="20"/>
                <w:szCs w:val="20"/>
                <w:lang w:val="fr-FR"/>
              </w:rPr>
              <w:noBreakHyphen/>
              <w:t>t</w:t>
            </w:r>
            <w:r w:rsidRPr="002E7138">
              <w:rPr>
                <w:sz w:val="20"/>
                <w:szCs w:val="20"/>
                <w:lang w:val="fr-FR"/>
              </w:rPr>
              <w:noBreakHyphen/>
              <w:t xml:space="preserve">elle été menée raisonnablement ? </w:t>
            </w:r>
            <w:r w:rsidRPr="002E7138">
              <w:rPr>
                <w:i/>
                <w:sz w:val="20"/>
                <w:szCs w:val="20"/>
                <w:lang w:val="fr-FR"/>
              </w:rPr>
              <w:t>Charte canadienne des droits et libertés</w:t>
            </w:r>
            <w:r w:rsidRPr="002E7138">
              <w:rPr>
                <w:sz w:val="20"/>
                <w:szCs w:val="20"/>
                <w:lang w:val="fr-FR"/>
              </w:rPr>
              <w:t>, art. 8.</w:t>
            </w:r>
          </w:p>
        </w:tc>
      </w:tr>
    </w:tbl>
    <w:p w:rsidR="00CA4CA4" w:rsidRDefault="00CA4CA4" w:rsidP="00CA4CA4">
      <w:pPr>
        <w:widowControl w:val="0"/>
        <w:rPr>
          <w:sz w:val="20"/>
          <w:szCs w:val="20"/>
          <w:lang w:val="fr-CA"/>
        </w:rPr>
      </w:pPr>
    </w:p>
    <w:p w:rsidR="00CA4CA4" w:rsidRDefault="00414F7B" w:rsidP="00CA4CA4">
      <w:pPr>
        <w:widowControl w:val="0"/>
        <w:rPr>
          <w:sz w:val="20"/>
          <w:szCs w:val="20"/>
        </w:rPr>
      </w:pPr>
      <w:r w:rsidRPr="00414F7B">
        <w:rPr>
          <w:sz w:val="20"/>
          <w:szCs w:val="20"/>
          <w:lang w:val="fr-CA"/>
        </w:rPr>
        <w:pict>
          <v:rect id="_x0000_i1078" style="width:2in;height:1pt" o:hrpct="0" o:hralign="center" o:hrstd="t" o:hrnoshade="t" o:hr="t" fillcolor="black [3213]" stroked="f"/>
        </w:pict>
      </w:r>
    </w:p>
    <w:p w:rsidR="00CA4CA4" w:rsidRDefault="00CA4CA4" w:rsidP="00CA4CA4">
      <w:pPr>
        <w:widowControl w:val="0"/>
        <w:rPr>
          <w:sz w:val="20"/>
          <w:szCs w:val="20"/>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28361F"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25557F" w:rsidRDefault="00AF1715" w:rsidP="00AF1715">
      <w:pPr>
        <w:rPr>
          <w:b/>
          <w:sz w:val="20"/>
          <w:szCs w:val="20"/>
          <w:lang w:val="fr-CA"/>
        </w:rPr>
      </w:pPr>
      <w:r w:rsidRPr="0025557F">
        <w:rPr>
          <w:b/>
          <w:sz w:val="20"/>
          <w:szCs w:val="20"/>
          <w:lang w:val="fr-CA"/>
        </w:rPr>
        <w:t>M</w:t>
      </w:r>
      <w:r w:rsidR="00A30DAE" w:rsidRPr="0025557F">
        <w:rPr>
          <w:b/>
          <w:sz w:val="20"/>
          <w:szCs w:val="20"/>
          <w:lang w:val="fr-CA"/>
        </w:rPr>
        <w:t>AY</w:t>
      </w:r>
      <w:r w:rsidRPr="0025557F">
        <w:rPr>
          <w:b/>
          <w:sz w:val="20"/>
          <w:szCs w:val="20"/>
          <w:lang w:val="fr-CA"/>
        </w:rPr>
        <w:t xml:space="preserve"> </w:t>
      </w:r>
      <w:r w:rsidR="00A30DAE" w:rsidRPr="0025557F">
        <w:rPr>
          <w:b/>
          <w:sz w:val="20"/>
          <w:szCs w:val="20"/>
          <w:lang w:val="fr-CA"/>
        </w:rPr>
        <w:t>17</w:t>
      </w:r>
      <w:r w:rsidRPr="0025557F">
        <w:rPr>
          <w:b/>
          <w:sz w:val="20"/>
          <w:szCs w:val="20"/>
          <w:lang w:val="fr-CA"/>
        </w:rPr>
        <w:t>, 201</w:t>
      </w:r>
      <w:r w:rsidR="00A30DAE" w:rsidRPr="0025557F">
        <w:rPr>
          <w:b/>
          <w:sz w:val="20"/>
          <w:szCs w:val="20"/>
          <w:lang w:val="fr-CA"/>
        </w:rPr>
        <w:t>2</w:t>
      </w:r>
      <w:r w:rsidRPr="0025557F">
        <w:rPr>
          <w:b/>
          <w:sz w:val="20"/>
          <w:szCs w:val="20"/>
          <w:lang w:val="fr-CA"/>
        </w:rPr>
        <w:t xml:space="preserve"> / LE </w:t>
      </w:r>
      <w:r w:rsidR="00A30DAE" w:rsidRPr="0025557F">
        <w:rPr>
          <w:b/>
          <w:sz w:val="20"/>
          <w:szCs w:val="20"/>
          <w:lang w:val="fr-CA"/>
        </w:rPr>
        <w:t xml:space="preserve">17 </w:t>
      </w:r>
      <w:r w:rsidRPr="0025557F">
        <w:rPr>
          <w:b/>
          <w:sz w:val="20"/>
          <w:szCs w:val="20"/>
          <w:lang w:val="fr-CA"/>
        </w:rPr>
        <w:t>M</w:t>
      </w:r>
      <w:r w:rsidR="00A30DAE" w:rsidRPr="0025557F">
        <w:rPr>
          <w:b/>
          <w:sz w:val="20"/>
          <w:szCs w:val="20"/>
          <w:lang w:val="fr-CA"/>
        </w:rPr>
        <w:t>AI</w:t>
      </w:r>
      <w:r w:rsidRPr="0025557F">
        <w:rPr>
          <w:b/>
          <w:sz w:val="20"/>
          <w:szCs w:val="20"/>
          <w:lang w:val="fr-CA"/>
        </w:rPr>
        <w:t xml:space="preserve"> 201</w:t>
      </w:r>
      <w:r w:rsidR="00A30DAE" w:rsidRPr="0025557F">
        <w:rPr>
          <w:b/>
          <w:sz w:val="20"/>
          <w:szCs w:val="20"/>
          <w:lang w:val="fr-CA"/>
        </w:rPr>
        <w:t>2</w:t>
      </w:r>
    </w:p>
    <w:p w:rsidR="00AF1715" w:rsidRPr="0025557F" w:rsidRDefault="00AF1715" w:rsidP="00AF1715">
      <w:pPr>
        <w:rPr>
          <w:sz w:val="20"/>
          <w:szCs w:val="20"/>
          <w:lang w:val="fr-CA"/>
        </w:rPr>
      </w:pPr>
    </w:p>
    <w:p w:rsidR="0025557F" w:rsidRPr="0025557F" w:rsidRDefault="0025557F" w:rsidP="0025557F">
      <w:pPr>
        <w:ind w:left="1440" w:hanging="1440"/>
        <w:jc w:val="both"/>
        <w:rPr>
          <w:rStyle w:val="Hyperlink"/>
          <w:color w:val="auto"/>
          <w:sz w:val="20"/>
          <w:lang w:val="fr-CA"/>
        </w:rPr>
      </w:pPr>
      <w:r w:rsidRPr="00CA2B41">
        <w:rPr>
          <w:b/>
          <w:sz w:val="20"/>
          <w:lang w:val="fr-CA"/>
        </w:rPr>
        <w:t>33935</w:t>
      </w:r>
      <w:r w:rsidRPr="00CA2B41">
        <w:rPr>
          <w:b/>
          <w:sz w:val="20"/>
          <w:lang w:val="fr-CA"/>
        </w:rPr>
        <w:tab/>
      </w:r>
      <w:r w:rsidRPr="00CA2B41">
        <w:rPr>
          <w:b/>
          <w:iCs/>
          <w:sz w:val="20"/>
          <w:u w:val="single"/>
          <w:lang w:val="fr-CA"/>
        </w:rPr>
        <w:t xml:space="preserve">Tessier Ltée c. Commission de la santé et de la sécurité du travail </w:t>
      </w:r>
      <w:r>
        <w:rPr>
          <w:b/>
          <w:iCs/>
          <w:sz w:val="20"/>
          <w:u w:val="single"/>
          <w:lang w:val="fr-CA"/>
        </w:rPr>
        <w:t xml:space="preserve">– et – </w:t>
      </w:r>
      <w:r w:rsidRPr="00CA2B41">
        <w:rPr>
          <w:b/>
          <w:iCs/>
          <w:sz w:val="20"/>
          <w:u w:val="single"/>
          <w:lang w:val="fr-CA"/>
        </w:rPr>
        <w:t>Procureur général de l'Ontario, procureur général du Québec, procureur général de la Colombie-Britannique</w:t>
      </w:r>
      <w:r>
        <w:rPr>
          <w:b/>
          <w:iCs/>
          <w:sz w:val="20"/>
          <w:u w:val="single"/>
          <w:lang w:val="fr-CA"/>
        </w:rPr>
        <w:t xml:space="preserve"> et</w:t>
      </w:r>
      <w:r w:rsidRPr="00CA2B41">
        <w:rPr>
          <w:b/>
          <w:iCs/>
          <w:sz w:val="20"/>
          <w:u w:val="single"/>
          <w:lang w:val="fr-CA"/>
        </w:rPr>
        <w:t xml:space="preserve"> Commission des lésions professionnelles</w:t>
      </w:r>
      <w:r w:rsidRPr="00CA2B41">
        <w:rPr>
          <w:b/>
          <w:iCs/>
          <w:sz w:val="20"/>
          <w:lang w:val="fr-CA"/>
        </w:rPr>
        <w:t xml:space="preserve"> </w:t>
      </w:r>
      <w:r w:rsidRPr="00CA2B41">
        <w:rPr>
          <w:sz w:val="20"/>
          <w:lang w:val="fr-CA"/>
        </w:rPr>
        <w:t>(</w:t>
      </w:r>
      <w:r>
        <w:rPr>
          <w:sz w:val="20"/>
          <w:lang w:val="fr-CA"/>
        </w:rPr>
        <w:t>Qc</w:t>
      </w:r>
      <w:r w:rsidRPr="00CA2B41">
        <w:rPr>
          <w:sz w:val="20"/>
          <w:lang w:val="fr-CA"/>
        </w:rPr>
        <w:t>)</w:t>
      </w:r>
    </w:p>
    <w:p w:rsidR="0025557F" w:rsidRPr="00026C73" w:rsidRDefault="0025557F" w:rsidP="0025557F">
      <w:pPr>
        <w:ind w:left="1440"/>
        <w:jc w:val="both"/>
        <w:rPr>
          <w:b/>
          <w:sz w:val="20"/>
          <w:lang w:val="fr-CA"/>
        </w:rPr>
      </w:pPr>
      <w:r w:rsidRPr="00026C73">
        <w:rPr>
          <w:b/>
          <w:sz w:val="20"/>
          <w:lang w:val="fr-CA"/>
        </w:rPr>
        <w:t>2012 SCC 23 / 2012 CSC 23</w:t>
      </w:r>
    </w:p>
    <w:p w:rsidR="0025557F" w:rsidRPr="00026C73" w:rsidRDefault="0025557F" w:rsidP="0025557F">
      <w:pPr>
        <w:ind w:left="1440" w:hanging="1440"/>
        <w:jc w:val="both"/>
        <w:rPr>
          <w:b/>
          <w:sz w:val="20"/>
          <w:lang w:val="fr-CA"/>
        </w:rPr>
      </w:pPr>
    </w:p>
    <w:p w:rsidR="0025557F" w:rsidRPr="00026C73" w:rsidRDefault="0025557F" w:rsidP="0025557F">
      <w:pPr>
        <w:ind w:left="1440" w:hanging="1440"/>
        <w:jc w:val="both"/>
        <w:rPr>
          <w:sz w:val="20"/>
          <w:u w:val="single"/>
          <w:lang w:val="fr-CA"/>
        </w:rPr>
      </w:pPr>
      <w:r w:rsidRPr="00026C73">
        <w:rPr>
          <w:sz w:val="20"/>
          <w:lang w:val="fr-CA"/>
        </w:rPr>
        <w:t>Coram:</w:t>
      </w:r>
      <w:r>
        <w:rPr>
          <w:sz w:val="20"/>
          <w:lang w:val="fr-CA"/>
        </w:rPr>
        <w:tab/>
      </w:r>
      <w:r w:rsidRPr="00026C73">
        <w:rPr>
          <w:sz w:val="20"/>
          <w:u w:val="single"/>
          <w:lang w:val="fr-CA"/>
        </w:rPr>
        <w:t>La juge en chef McLachlin et les juges LeBel, Deschamps, Fish, Abella, Rothstein, Cromwell, Moldaver et Karakatsanis</w:t>
      </w:r>
    </w:p>
    <w:p w:rsidR="0025557F" w:rsidRPr="00026C73" w:rsidRDefault="0025557F" w:rsidP="0025557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25557F" w:rsidRPr="00026C73" w:rsidRDefault="0025557F" w:rsidP="0025557F">
      <w:pPr>
        <w:jc w:val="both"/>
        <w:rPr>
          <w:sz w:val="20"/>
          <w:lang w:val="fr-CA"/>
        </w:rPr>
      </w:pPr>
      <w:r w:rsidRPr="00026C73">
        <w:rPr>
          <w:sz w:val="20"/>
          <w:lang w:val="fr-CA"/>
        </w:rPr>
        <w:t>L’appel interjeté contre l’arrêt de la Cour d’appel du Québec (Québec), numéro 200-09-006618-091, 2010 QCCA 1642, en date du 13 septembre 2010, entendu le 17 janvier 2012, est rejeté avec dépens.</w:t>
      </w:r>
    </w:p>
    <w:p w:rsidR="0025557F" w:rsidRDefault="0025557F" w:rsidP="0025557F">
      <w:pPr>
        <w:jc w:val="both"/>
        <w:rPr>
          <w:sz w:val="20"/>
          <w:lang w:val="fr-CA"/>
        </w:rPr>
      </w:pPr>
    </w:p>
    <w:p w:rsidR="0025557F" w:rsidRPr="00026C73" w:rsidRDefault="0025557F" w:rsidP="0025557F">
      <w:pPr>
        <w:jc w:val="both"/>
        <w:rPr>
          <w:sz w:val="20"/>
        </w:rPr>
      </w:pPr>
      <w:r w:rsidRPr="00026C73">
        <w:rPr>
          <w:sz w:val="20"/>
        </w:rPr>
        <w:t>The appeal from the judgment of the Court of Appeal of Quebec (Québec), Number 200-09-006618-091, 2010 QCCA 1642, dated September 13, 2010, heard on January 17, 2012, is dismissed with costs.</w:t>
      </w:r>
    </w:p>
    <w:p w:rsidR="00A30DAE" w:rsidRDefault="00A30DAE" w:rsidP="00AF1715">
      <w:pPr>
        <w:rPr>
          <w:sz w:val="20"/>
          <w:szCs w:val="20"/>
        </w:rPr>
      </w:pPr>
    </w:p>
    <w:p w:rsidR="00AF1715" w:rsidRPr="003B3977" w:rsidRDefault="00414F7B" w:rsidP="00AF1715">
      <w:pPr>
        <w:spacing w:line="0" w:lineRule="atLeast"/>
        <w:rPr>
          <w:sz w:val="20"/>
          <w:szCs w:val="20"/>
        </w:rPr>
      </w:pPr>
      <w:r w:rsidRPr="00414F7B">
        <w:rPr>
          <w:b/>
          <w:sz w:val="20"/>
          <w:szCs w:val="20"/>
        </w:rPr>
        <w:pict>
          <v:rect id="_x0000_i1081"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6C5F7A" w:rsidRDefault="00AF1715" w:rsidP="00AF1715">
      <w:pPr>
        <w:rPr>
          <w:rFonts w:cs="Times New Roman"/>
          <w:b/>
          <w:sz w:val="20"/>
          <w:szCs w:val="20"/>
        </w:rPr>
      </w:pPr>
      <w:r w:rsidRPr="006C5F7A">
        <w:rPr>
          <w:rFonts w:cs="Times New Roman"/>
          <w:b/>
          <w:sz w:val="20"/>
          <w:szCs w:val="20"/>
        </w:rPr>
        <w:t>M</w:t>
      </w:r>
      <w:r w:rsidR="00A30DAE">
        <w:rPr>
          <w:rFonts w:cs="Times New Roman"/>
          <w:b/>
          <w:sz w:val="20"/>
          <w:szCs w:val="20"/>
        </w:rPr>
        <w:t>AY 18</w:t>
      </w:r>
      <w:r w:rsidRPr="006C5F7A">
        <w:rPr>
          <w:rFonts w:cs="Times New Roman"/>
          <w:b/>
          <w:sz w:val="20"/>
          <w:szCs w:val="20"/>
        </w:rPr>
        <w:t>, 201</w:t>
      </w:r>
      <w:r w:rsidR="00A30DAE">
        <w:rPr>
          <w:rFonts w:cs="Times New Roman"/>
          <w:b/>
          <w:sz w:val="20"/>
          <w:szCs w:val="20"/>
        </w:rPr>
        <w:t>2</w:t>
      </w:r>
      <w:r w:rsidRPr="006C5F7A">
        <w:rPr>
          <w:rFonts w:cs="Times New Roman"/>
          <w:b/>
          <w:sz w:val="20"/>
          <w:szCs w:val="20"/>
        </w:rPr>
        <w:t xml:space="preserve"> / LE </w:t>
      </w:r>
      <w:r w:rsidR="00A30DAE">
        <w:rPr>
          <w:rFonts w:cs="Times New Roman"/>
          <w:b/>
          <w:sz w:val="20"/>
          <w:szCs w:val="20"/>
        </w:rPr>
        <w:t xml:space="preserve">18 </w:t>
      </w:r>
      <w:r w:rsidRPr="006C5F7A">
        <w:rPr>
          <w:rFonts w:cs="Times New Roman"/>
          <w:b/>
          <w:sz w:val="20"/>
          <w:szCs w:val="20"/>
        </w:rPr>
        <w:t>M</w:t>
      </w:r>
      <w:r w:rsidR="00A30DAE">
        <w:rPr>
          <w:rFonts w:cs="Times New Roman"/>
          <w:b/>
          <w:sz w:val="20"/>
          <w:szCs w:val="20"/>
        </w:rPr>
        <w:t>AI</w:t>
      </w:r>
      <w:r w:rsidRPr="006C5F7A">
        <w:rPr>
          <w:rFonts w:cs="Times New Roman"/>
          <w:b/>
          <w:sz w:val="20"/>
          <w:szCs w:val="20"/>
        </w:rPr>
        <w:t xml:space="preserve"> 201</w:t>
      </w:r>
      <w:r w:rsidR="00A30DAE">
        <w:rPr>
          <w:rFonts w:cs="Times New Roman"/>
          <w:b/>
          <w:sz w:val="20"/>
          <w:szCs w:val="20"/>
        </w:rPr>
        <w:t>2</w:t>
      </w:r>
    </w:p>
    <w:p w:rsidR="00AF1715" w:rsidRPr="00A30DAE" w:rsidRDefault="00AF1715" w:rsidP="00AF1715">
      <w:pPr>
        <w:spacing w:line="0" w:lineRule="atLeast"/>
        <w:rPr>
          <w:rFonts w:cs="Times New Roman"/>
          <w:sz w:val="20"/>
          <w:szCs w:val="20"/>
        </w:rPr>
      </w:pPr>
    </w:p>
    <w:p w:rsidR="006F3559" w:rsidRPr="006976DE" w:rsidRDefault="006F3559" w:rsidP="006F3559">
      <w:pPr>
        <w:ind w:left="1440" w:hanging="1440"/>
        <w:jc w:val="both"/>
        <w:rPr>
          <w:sz w:val="20"/>
          <w:szCs w:val="20"/>
        </w:rPr>
      </w:pPr>
      <w:r w:rsidRPr="006976DE">
        <w:rPr>
          <w:b/>
          <w:sz w:val="20"/>
          <w:szCs w:val="20"/>
        </w:rPr>
        <w:t>34011</w:t>
      </w:r>
      <w:r w:rsidRPr="006976DE">
        <w:rPr>
          <w:b/>
          <w:sz w:val="20"/>
          <w:szCs w:val="20"/>
        </w:rPr>
        <w:tab/>
      </w:r>
      <w:r w:rsidRPr="006976DE">
        <w:rPr>
          <w:b/>
          <w:sz w:val="20"/>
          <w:szCs w:val="20"/>
          <w:u w:val="single"/>
        </w:rPr>
        <w:t>Matthew Leslie Maybin and Timothy Andrew Maybin v. Her Majesty the Queen – and – Attorney General of Ontario</w:t>
      </w:r>
      <w:r w:rsidRPr="006976DE">
        <w:rPr>
          <w:b/>
          <w:sz w:val="20"/>
          <w:szCs w:val="20"/>
        </w:rPr>
        <w:t xml:space="preserve"> </w:t>
      </w:r>
      <w:r w:rsidRPr="006976DE">
        <w:rPr>
          <w:sz w:val="20"/>
          <w:szCs w:val="20"/>
        </w:rPr>
        <w:t xml:space="preserve">(B.C.) </w:t>
      </w:r>
    </w:p>
    <w:p w:rsidR="006F3559" w:rsidRPr="006976DE" w:rsidRDefault="006F3559" w:rsidP="006F3559">
      <w:pPr>
        <w:ind w:left="1440"/>
        <w:jc w:val="both"/>
        <w:rPr>
          <w:b/>
          <w:sz w:val="20"/>
          <w:szCs w:val="20"/>
        </w:rPr>
      </w:pPr>
      <w:r w:rsidRPr="006976DE">
        <w:rPr>
          <w:b/>
          <w:sz w:val="20"/>
          <w:szCs w:val="20"/>
        </w:rPr>
        <w:t>2012 SCC 24 / 2012 CSC 24</w:t>
      </w:r>
    </w:p>
    <w:p w:rsidR="006F3559" w:rsidRPr="006976DE" w:rsidRDefault="006F3559" w:rsidP="006F3559">
      <w:pPr>
        <w:ind w:left="1440" w:hanging="1440"/>
        <w:jc w:val="both"/>
        <w:rPr>
          <w:b/>
          <w:sz w:val="20"/>
          <w:szCs w:val="20"/>
        </w:rPr>
      </w:pPr>
    </w:p>
    <w:p w:rsidR="006F3559" w:rsidRPr="006976DE" w:rsidRDefault="006F3559" w:rsidP="006F3559">
      <w:pPr>
        <w:ind w:left="1440" w:hanging="1440"/>
        <w:jc w:val="both"/>
        <w:rPr>
          <w:sz w:val="20"/>
          <w:szCs w:val="20"/>
          <w:u w:val="single"/>
        </w:rPr>
      </w:pPr>
      <w:r w:rsidRPr="006976DE">
        <w:rPr>
          <w:sz w:val="20"/>
          <w:szCs w:val="20"/>
        </w:rPr>
        <w:t>Coram:</w:t>
      </w:r>
      <w:r>
        <w:rPr>
          <w:sz w:val="20"/>
          <w:szCs w:val="20"/>
        </w:rPr>
        <w:tab/>
      </w:r>
      <w:r w:rsidRPr="006976DE">
        <w:rPr>
          <w:sz w:val="20"/>
          <w:szCs w:val="20"/>
          <w:u w:val="single"/>
        </w:rPr>
        <w:t>LeBel, Fish, Abella, Rothstein, Cromwell, Moldaver and Karakatsanis JJ.</w:t>
      </w:r>
    </w:p>
    <w:p w:rsidR="006F3559" w:rsidRPr="006976DE" w:rsidRDefault="006F3559" w:rsidP="006F355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6F3559" w:rsidRPr="006976DE" w:rsidRDefault="006F3559" w:rsidP="006F3559">
      <w:pPr>
        <w:jc w:val="both"/>
        <w:rPr>
          <w:sz w:val="20"/>
          <w:szCs w:val="20"/>
        </w:rPr>
      </w:pPr>
      <w:r w:rsidRPr="006976DE">
        <w:rPr>
          <w:sz w:val="20"/>
          <w:szCs w:val="20"/>
        </w:rPr>
        <w:t xml:space="preserve">The appeal from the judgment </w:t>
      </w:r>
      <w:bookmarkStart w:id="3" w:name="BM_1_"/>
      <w:bookmarkEnd w:id="3"/>
      <w:r w:rsidRPr="006976DE">
        <w:rPr>
          <w:sz w:val="20"/>
          <w:szCs w:val="20"/>
        </w:rPr>
        <w:t>of the Court of Appeal for British Columbia (Vancouver), Number CA036530, 2010 BCCA 527, dated November 25, 2010, heard on December 15, 2011, is dismissed.</w:t>
      </w:r>
    </w:p>
    <w:p w:rsidR="006F3559" w:rsidRPr="006976DE" w:rsidRDefault="006F3559" w:rsidP="006F3559">
      <w:pPr>
        <w:jc w:val="both"/>
        <w:rPr>
          <w:sz w:val="20"/>
          <w:szCs w:val="20"/>
        </w:rPr>
      </w:pPr>
    </w:p>
    <w:p w:rsidR="00A30DAE" w:rsidRPr="006F3559" w:rsidRDefault="006F3559" w:rsidP="006F3559">
      <w:pPr>
        <w:spacing w:line="0" w:lineRule="atLeast"/>
        <w:rPr>
          <w:rFonts w:cs="Times New Roman"/>
          <w:sz w:val="20"/>
          <w:szCs w:val="20"/>
          <w:lang w:val="fr-CA"/>
        </w:rPr>
      </w:pPr>
      <w:r w:rsidRPr="006976DE">
        <w:rPr>
          <w:sz w:val="20"/>
          <w:szCs w:val="20"/>
          <w:lang w:val="fr-CA"/>
        </w:rPr>
        <w:t>L’appel interjeté contre l’arrêt de la Cour d’appel de la Colombie-Britannique (Vancouver), numéro CA036530, 2010 BCCA 527, en date du 25 novembre 2010, entendu le 15 décembre 2011, est rejeté.</w: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AF1715" w:rsidRPr="006C5F7A" w:rsidRDefault="00414F7B" w:rsidP="00AF1715">
      <w:pPr>
        <w:spacing w:line="0" w:lineRule="atLeast"/>
        <w:rPr>
          <w:rFonts w:cs="Times New Roman"/>
          <w:b/>
          <w:sz w:val="20"/>
          <w:szCs w:val="20"/>
        </w:rPr>
      </w:pPr>
      <w:r w:rsidRPr="00414F7B">
        <w:rPr>
          <w:rFonts w:cs="Times New Roman"/>
          <w:b/>
          <w:sz w:val="20"/>
          <w:szCs w:val="20"/>
        </w:rPr>
        <w:pict>
          <v:rect id="_x0000_i1082" style="width:144.3pt;height:1pt" o:hrpct="300" o:hralign="center" o:hrstd="t" o:hrnoshade="t" o:hr="t" fillcolor="black [3213]" stroked="f"/>
        </w:pic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A30DAE" w:rsidRDefault="00A30DAE" w:rsidP="005C6840">
      <w:pPr>
        <w:rPr>
          <w:sz w:val="20"/>
          <w:szCs w:val="20"/>
          <w:lang w:val="fr-CA"/>
        </w:rPr>
      </w:pPr>
      <w:r w:rsidRPr="00486208">
        <w:rPr>
          <w:i/>
          <w:sz w:val="20"/>
          <w:szCs w:val="20"/>
          <w:lang w:val="fr-CA"/>
        </w:rPr>
        <w:t>Tessier Ltée c. Commission de la santé et de la sécurité du travail</w:t>
      </w:r>
      <w:r w:rsidRPr="00486208">
        <w:rPr>
          <w:sz w:val="20"/>
          <w:szCs w:val="20"/>
          <w:lang w:val="fr-CA"/>
        </w:rPr>
        <w:t xml:space="preserve"> (Qc) (33935)</w:t>
      </w:r>
    </w:p>
    <w:p w:rsidR="00A30DAE" w:rsidRDefault="006E561B" w:rsidP="005C6840">
      <w:pPr>
        <w:rPr>
          <w:b/>
          <w:sz w:val="20"/>
          <w:szCs w:val="20"/>
          <w:lang w:val="fr-CA"/>
        </w:rPr>
      </w:pPr>
      <w:r w:rsidRPr="00A077FB">
        <w:rPr>
          <w:b/>
          <w:sz w:val="20"/>
          <w:szCs w:val="20"/>
          <w:lang w:val="fr-CA"/>
        </w:rPr>
        <w:t xml:space="preserve">Indexed as:  Tessier Ltée </w:t>
      </w:r>
      <w:r w:rsidRPr="00A077FB">
        <w:rPr>
          <w:b/>
          <w:i/>
          <w:sz w:val="20"/>
          <w:szCs w:val="20"/>
          <w:lang w:val="fr-CA"/>
        </w:rPr>
        <w:t>v.</w:t>
      </w:r>
      <w:r w:rsidRPr="00A077FB">
        <w:rPr>
          <w:b/>
          <w:sz w:val="20"/>
          <w:szCs w:val="20"/>
          <w:lang w:val="fr-CA"/>
        </w:rPr>
        <w:t xml:space="preserve"> Quebec (Commission de la santé et de la sécurité du travail)</w:t>
      </w:r>
      <w:r>
        <w:rPr>
          <w:b/>
          <w:sz w:val="20"/>
          <w:szCs w:val="20"/>
          <w:lang w:val="fr-CA"/>
        </w:rPr>
        <w:t xml:space="preserve"> /</w:t>
      </w:r>
    </w:p>
    <w:p w:rsidR="005C6840" w:rsidRPr="001156A5" w:rsidRDefault="006E561B" w:rsidP="006E561B">
      <w:pPr>
        <w:rPr>
          <w:rFonts w:cs="Times New Roman"/>
          <w:b/>
          <w:sz w:val="20"/>
          <w:szCs w:val="20"/>
          <w:lang w:val="fr-CA"/>
        </w:rPr>
      </w:pPr>
      <w:r w:rsidRPr="006E561B">
        <w:rPr>
          <w:b/>
          <w:sz w:val="20"/>
          <w:szCs w:val="20"/>
          <w:lang w:val="fr-CA"/>
        </w:rPr>
        <w:t>Répertorié : </w:t>
      </w:r>
      <w:r w:rsidRPr="004B368E">
        <w:rPr>
          <w:rStyle w:val="SCCAppellantForIndexChar"/>
          <w:rFonts w:eastAsia="Calibri"/>
          <w:sz w:val="20"/>
        </w:rPr>
        <w:t>Tessier Ltée</w:t>
      </w:r>
      <w:r w:rsidRPr="006E561B">
        <w:rPr>
          <w:b/>
          <w:sz w:val="20"/>
          <w:szCs w:val="20"/>
          <w:lang w:val="fr-CA"/>
        </w:rPr>
        <w:t xml:space="preserve"> </w:t>
      </w:r>
      <w:r w:rsidRPr="006E561B">
        <w:rPr>
          <w:b/>
          <w:i/>
          <w:sz w:val="20"/>
          <w:szCs w:val="20"/>
          <w:lang w:val="fr-CA"/>
        </w:rPr>
        <w:t>c.</w:t>
      </w:r>
      <w:r w:rsidRPr="006E561B">
        <w:rPr>
          <w:b/>
          <w:sz w:val="20"/>
          <w:szCs w:val="20"/>
          <w:lang w:val="fr-CA"/>
        </w:rPr>
        <w:t xml:space="preserve"> Québec (</w:t>
      </w:r>
      <w:r w:rsidRPr="006E561B">
        <w:rPr>
          <w:rStyle w:val="SCCRespondentForIndexChar"/>
          <w:rFonts w:eastAsiaTheme="minorHAnsi"/>
          <w:sz w:val="20"/>
          <w:lang w:val="fr-CA"/>
        </w:rPr>
        <w:t>Commission de la santé et de la sécurité du travail)</w:t>
      </w:r>
    </w:p>
    <w:p w:rsidR="005C6840" w:rsidRPr="003B3977" w:rsidRDefault="005C6840" w:rsidP="005C6840">
      <w:pPr>
        <w:pStyle w:val="SCCSystemYear"/>
        <w:jc w:val="both"/>
        <w:rPr>
          <w:sz w:val="20"/>
        </w:rPr>
      </w:pPr>
      <w:r w:rsidRPr="003B3977">
        <w:rPr>
          <w:sz w:val="20"/>
        </w:rPr>
        <w:t>Neutral citation:  201</w:t>
      </w:r>
      <w:r w:rsidR="00A30DAE">
        <w:rPr>
          <w:sz w:val="20"/>
        </w:rPr>
        <w:t>2</w:t>
      </w:r>
      <w:r w:rsidRPr="003B3977">
        <w:rPr>
          <w:sz w:val="20"/>
        </w:rPr>
        <w:t xml:space="preserve"> SCC </w:t>
      </w:r>
      <w:r w:rsidR="00A30DAE">
        <w:rPr>
          <w:sz w:val="20"/>
        </w:rPr>
        <w:t>23</w:t>
      </w:r>
      <w:r w:rsidRPr="003B3977">
        <w:rPr>
          <w:sz w:val="20"/>
        </w:rPr>
        <w:t xml:space="preserve"> / Référence neutre : 201</w:t>
      </w:r>
      <w:r w:rsidR="00A30DAE">
        <w:rPr>
          <w:sz w:val="20"/>
        </w:rPr>
        <w:t>2</w:t>
      </w:r>
      <w:r w:rsidRPr="003B3977">
        <w:rPr>
          <w:sz w:val="20"/>
        </w:rPr>
        <w:t xml:space="preserve"> CSC </w:t>
      </w:r>
      <w:r w:rsidR="00A30DAE">
        <w:rPr>
          <w:sz w:val="20"/>
        </w:rPr>
        <w:t>23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A30DAE">
        <w:rPr>
          <w:rFonts w:cs="Times New Roman"/>
          <w:sz w:val="20"/>
          <w:szCs w:val="20"/>
          <w:lang w:val="fr-CA"/>
        </w:rPr>
        <w:t>Janua</w:t>
      </w:r>
      <w:r w:rsidRPr="003B3977">
        <w:rPr>
          <w:rFonts w:cs="Times New Roman"/>
          <w:sz w:val="20"/>
          <w:szCs w:val="20"/>
          <w:lang w:val="fr-CA"/>
        </w:rPr>
        <w:t>r</w:t>
      </w:r>
      <w:r w:rsidR="00A30DAE">
        <w:rPr>
          <w:rFonts w:cs="Times New Roman"/>
          <w:sz w:val="20"/>
          <w:szCs w:val="20"/>
          <w:lang w:val="fr-CA"/>
        </w:rPr>
        <w:t>y</w:t>
      </w:r>
      <w:r w:rsidRPr="003B3977">
        <w:rPr>
          <w:rFonts w:cs="Times New Roman"/>
          <w:sz w:val="20"/>
          <w:szCs w:val="20"/>
          <w:lang w:val="fr-CA"/>
        </w:rPr>
        <w:t xml:space="preserve"> </w:t>
      </w:r>
      <w:r w:rsidR="00A30DAE">
        <w:rPr>
          <w:rFonts w:cs="Times New Roman"/>
          <w:sz w:val="20"/>
          <w:szCs w:val="20"/>
          <w:lang w:val="fr-CA"/>
        </w:rPr>
        <w:t>17</w:t>
      </w:r>
      <w:r w:rsidRPr="003B3977">
        <w:rPr>
          <w:rFonts w:cs="Times New Roman"/>
          <w:sz w:val="20"/>
          <w:szCs w:val="20"/>
          <w:lang w:val="fr-CA"/>
        </w:rPr>
        <w:t>, 201</w:t>
      </w:r>
      <w:r w:rsidR="00A30DAE">
        <w:rPr>
          <w:rFonts w:cs="Times New Roman"/>
          <w:sz w:val="20"/>
          <w:szCs w:val="20"/>
          <w:lang w:val="fr-CA"/>
        </w:rPr>
        <w:t>2</w:t>
      </w:r>
      <w:r w:rsidRPr="003B3977">
        <w:rPr>
          <w:rFonts w:cs="Times New Roman"/>
          <w:sz w:val="20"/>
          <w:szCs w:val="20"/>
          <w:lang w:val="fr-CA"/>
        </w:rPr>
        <w:t xml:space="preserve"> / Judgment:  </w:t>
      </w:r>
      <w:r w:rsidR="00A30DAE">
        <w:rPr>
          <w:rFonts w:cs="Times New Roman"/>
          <w:sz w:val="20"/>
          <w:szCs w:val="20"/>
          <w:lang w:val="fr-CA"/>
        </w:rPr>
        <w:t>May 1</w:t>
      </w:r>
      <w:r w:rsidRPr="003B3977">
        <w:rPr>
          <w:rFonts w:cs="Times New Roman"/>
          <w:sz w:val="20"/>
          <w:szCs w:val="20"/>
          <w:lang w:val="fr-CA"/>
        </w:rPr>
        <w:t>7, 201</w:t>
      </w:r>
      <w:r w:rsidR="00A30DAE">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A30DAE">
        <w:rPr>
          <w:rFonts w:cs="Times New Roman"/>
          <w:sz w:val="20"/>
          <w:szCs w:val="20"/>
          <w:lang w:val="fr-CA"/>
        </w:rPr>
        <w:t>17 janvie</w:t>
      </w:r>
      <w:r w:rsidRPr="003B3977">
        <w:rPr>
          <w:rFonts w:cs="Times New Roman"/>
          <w:sz w:val="20"/>
          <w:szCs w:val="20"/>
          <w:lang w:val="fr-CA"/>
        </w:rPr>
        <w:t>r 201</w:t>
      </w:r>
      <w:r w:rsidR="00A30DAE">
        <w:rPr>
          <w:rFonts w:cs="Times New Roman"/>
          <w:sz w:val="20"/>
          <w:szCs w:val="20"/>
          <w:lang w:val="fr-CA"/>
        </w:rPr>
        <w:t>2</w:t>
      </w:r>
      <w:r w:rsidRPr="003B3977">
        <w:rPr>
          <w:rFonts w:cs="Times New Roman"/>
          <w:sz w:val="20"/>
          <w:szCs w:val="20"/>
          <w:lang w:val="fr-CA"/>
        </w:rPr>
        <w:t xml:space="preserve"> / Jugement : Le </w:t>
      </w:r>
      <w:r w:rsidR="00A30DAE">
        <w:rPr>
          <w:rFonts w:cs="Times New Roman"/>
          <w:sz w:val="20"/>
          <w:szCs w:val="20"/>
          <w:lang w:val="fr-CA"/>
        </w:rPr>
        <w:t>1</w:t>
      </w:r>
      <w:r w:rsidRPr="003B3977">
        <w:rPr>
          <w:rFonts w:cs="Times New Roman"/>
          <w:sz w:val="20"/>
          <w:szCs w:val="20"/>
          <w:lang w:val="fr-CA"/>
        </w:rPr>
        <w:t xml:space="preserve">7 </w:t>
      </w:r>
      <w:r w:rsidR="00A30DAE">
        <w:rPr>
          <w:rFonts w:cs="Times New Roman"/>
          <w:sz w:val="20"/>
          <w:szCs w:val="20"/>
          <w:lang w:val="fr-CA"/>
        </w:rPr>
        <w:t>mai</w:t>
      </w:r>
      <w:r w:rsidRPr="003B3977">
        <w:rPr>
          <w:rFonts w:cs="Times New Roman"/>
          <w:sz w:val="20"/>
          <w:szCs w:val="20"/>
          <w:lang w:val="fr-CA"/>
        </w:rPr>
        <w:t xml:space="preserve"> 201</w:t>
      </w:r>
      <w:r w:rsidR="00A30DAE">
        <w:rPr>
          <w:rFonts w:cs="Times New Roman"/>
          <w:sz w:val="20"/>
          <w:szCs w:val="20"/>
          <w:lang w:val="fr-CA"/>
        </w:rPr>
        <w:t>2</w:t>
      </w:r>
    </w:p>
    <w:p w:rsidR="005C6840" w:rsidRPr="003B3977" w:rsidRDefault="00414F7B" w:rsidP="005C6840">
      <w:pPr>
        <w:rPr>
          <w:rFonts w:cs="Times New Roman"/>
          <w:sz w:val="20"/>
          <w:szCs w:val="20"/>
          <w:lang w:val="fr-CA"/>
        </w:rPr>
      </w:pPr>
      <w:r w:rsidRPr="00414F7B">
        <w:rPr>
          <w:rFonts w:cs="Times New Roman"/>
          <w:i/>
          <w:sz w:val="20"/>
          <w:szCs w:val="20"/>
        </w:rPr>
        <w:pict>
          <v:rect id="_x0000_i1085"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6E561B" w:rsidRPr="006E561B" w:rsidRDefault="006E561B" w:rsidP="006E561B">
      <w:pPr>
        <w:jc w:val="both"/>
        <w:rPr>
          <w:sz w:val="20"/>
          <w:szCs w:val="20"/>
          <w:lang w:val="fr-CA"/>
        </w:rPr>
      </w:pPr>
      <w:r w:rsidRPr="006E561B">
        <w:rPr>
          <w:sz w:val="20"/>
          <w:szCs w:val="20"/>
          <w:lang w:val="fr-CA"/>
        </w:rPr>
        <w:t>Présents : La juge en chef McLachlin et les juges LeBel, Deschamps, Fish, Abella, Rothstein, Cromwell, Moldaver et Karakatsanis.</w:t>
      </w:r>
    </w:p>
    <w:p w:rsidR="006E561B" w:rsidRDefault="006E561B" w:rsidP="006E561B">
      <w:pPr>
        <w:pStyle w:val="SCCLowerCourtNameLowercase"/>
        <w:spacing w:line="240" w:lineRule="auto"/>
        <w:rPr>
          <w:sz w:val="20"/>
        </w:rPr>
      </w:pPr>
    </w:p>
    <w:p w:rsidR="006E561B" w:rsidRPr="006E561B" w:rsidRDefault="006E561B" w:rsidP="006E561B">
      <w:pPr>
        <w:pStyle w:val="SCCNormalDoubleSpacing"/>
        <w:spacing w:line="240" w:lineRule="auto"/>
        <w:rPr>
          <w:sz w:val="20"/>
          <w:lang w:val="fr-CA"/>
        </w:rPr>
      </w:pPr>
      <w:r w:rsidRPr="006E561B">
        <w:rPr>
          <w:sz w:val="20"/>
          <w:lang w:val="fr-CA"/>
        </w:rPr>
        <w:tab/>
      </w:r>
      <w:r w:rsidRPr="006E561B">
        <w:rPr>
          <w:i/>
          <w:sz w:val="20"/>
          <w:lang w:val="fr-CA"/>
        </w:rPr>
        <w:t>Droit constitutionnel — Partage des compétences — Relations du travail — Société loue normalement et habituellement des grues et de la machinerie lourde et, dans une moindre mesure, offre des services de débardage — Les activités de débardage sont</w:t>
      </w:r>
      <w:r w:rsidRPr="006E561B">
        <w:rPr>
          <w:i/>
          <w:sz w:val="20"/>
          <w:lang w:val="fr-CA"/>
        </w:rPr>
        <w:noBreakHyphen/>
        <w:t>elles visées par la compétence du fédéral relativement à la navigation et aux bâtiments ou navires ? — Les activités de débardage font</w:t>
      </w:r>
      <w:r w:rsidRPr="006E561B">
        <w:rPr>
          <w:i/>
          <w:sz w:val="20"/>
          <w:lang w:val="fr-CA"/>
        </w:rPr>
        <w:noBreakHyphen/>
        <w:t>elles partie intégrante d’une entreprise assujettie à la réglementation fédérale ? — Les employés de la société sont</w:t>
      </w:r>
      <w:r w:rsidRPr="006E561B">
        <w:rPr>
          <w:i/>
          <w:sz w:val="20"/>
          <w:lang w:val="fr-CA"/>
        </w:rPr>
        <w:noBreakHyphen/>
        <w:t xml:space="preserve">ils régis par la législation fédérale ou par la législation provinciale en matière de santé et sécurité au travail ? — Loi constitutionnelle de 1867, art. 91(10), 92(10) et 92(13). </w:t>
      </w:r>
    </w:p>
    <w:p w:rsidR="006E561B" w:rsidRPr="006E561B" w:rsidRDefault="006E561B" w:rsidP="006E561B">
      <w:pPr>
        <w:pStyle w:val="SCCNormalDoubleSpacing"/>
        <w:spacing w:line="240" w:lineRule="auto"/>
        <w:rPr>
          <w:sz w:val="20"/>
          <w:lang w:val="fr-CA"/>
        </w:rPr>
      </w:pPr>
    </w:p>
    <w:p w:rsidR="006E561B" w:rsidRPr="006E561B" w:rsidRDefault="006E561B" w:rsidP="006E561B">
      <w:pPr>
        <w:pStyle w:val="SCCNormalDoubleSpacing"/>
        <w:spacing w:line="240" w:lineRule="auto"/>
        <w:rPr>
          <w:sz w:val="20"/>
          <w:lang w:val="fr-CA"/>
        </w:rPr>
      </w:pPr>
      <w:r w:rsidRPr="006E561B">
        <w:rPr>
          <w:sz w:val="20"/>
          <w:lang w:val="fr-CA"/>
        </w:rPr>
        <w:tab/>
        <w:t>T est une société qui offre des services de location de machinerie lourde et de grues, de transport routier intraprovincial ainsi que d’entretien et de réparation d’équipement.  En 2005</w:t>
      </w:r>
      <w:r w:rsidRPr="006E561B">
        <w:rPr>
          <w:sz w:val="20"/>
          <w:lang w:val="fr-CA"/>
        </w:rPr>
        <w:noBreakHyphen/>
        <w:t>2006, certaines de ses grues servaient à faire du débardage.  Cette activité générait 14 pour cent du chiffre d’affaires de la société et représentait 20 pour cent des salaires qu’elle versait.  Les services de débardage offerts par T n’étaient pas exécutés par une unité distincte d’employés, mais plutôt par des employés totalement intégrés à la main d’œuvre de T et qui travaillaient dans les différents secteurs de l’entreprise.  Durant la période pertinente, toutes les activités de T s’exerçaient dans la province de Québec.</w:t>
      </w:r>
    </w:p>
    <w:p w:rsidR="006E561B" w:rsidRPr="006E561B" w:rsidRDefault="006E561B" w:rsidP="006E561B">
      <w:pPr>
        <w:pStyle w:val="SCCNormalDoubleSpacing"/>
        <w:spacing w:line="240" w:lineRule="auto"/>
        <w:rPr>
          <w:sz w:val="20"/>
          <w:lang w:val="fr-CA"/>
        </w:rPr>
      </w:pPr>
    </w:p>
    <w:p w:rsidR="006E561B" w:rsidRPr="006E561B" w:rsidRDefault="006E561B" w:rsidP="006E561B">
      <w:pPr>
        <w:pStyle w:val="SCCNormalDoubleSpacing"/>
        <w:spacing w:line="240" w:lineRule="auto"/>
        <w:rPr>
          <w:sz w:val="20"/>
          <w:lang w:val="fr-CA"/>
        </w:rPr>
      </w:pPr>
      <w:r w:rsidRPr="006E561B">
        <w:rPr>
          <w:sz w:val="20"/>
          <w:lang w:val="fr-CA"/>
        </w:rPr>
        <w:tab/>
        <w:t>En 2006, en se fondant sur l’</w:t>
      </w:r>
      <w:r w:rsidRPr="006E561B">
        <w:rPr>
          <w:i/>
          <w:sz w:val="20"/>
          <w:lang w:val="fr-CA"/>
        </w:rPr>
        <w:t>Affaire des débardeurs</w:t>
      </w:r>
      <w:r w:rsidRPr="006E561B">
        <w:rPr>
          <w:sz w:val="20"/>
          <w:lang w:val="fr-CA"/>
        </w:rPr>
        <w:t>, [1955] R.C.S. 529, la société mère de T a demandé à la Commission de la santé et de la sécurité du travail (« CSST ») de déclarer que les activités de T relevaient de la compétence fédérale et que, par conséquent, elle n’était pas assujettie à la législation provinciale en matière de santé et de sécurité au travail.  T a soutenu que ses opérations de débardage relevant de la compétence fédérale en matière de transport maritime, ses employés devraient être régis par la législation fédérale.  La CSST a conclu que les activités de T relevaient de la compétence provinciale, conclusion que la Commission des lésions professionnelles a confirmée et qui a ensuite été infirmée par la Cour supérieure.  La Cour d’appel a accueilli le pourvoi interjeté devant elle et statué que la réglementation provinciale s’appliquait, principalement parce que le débardage ne constituait qu’un pourcentage minime des activités de T, que celle</w:t>
      </w:r>
      <w:r w:rsidRPr="006E561B">
        <w:rPr>
          <w:sz w:val="20"/>
          <w:lang w:val="fr-CA"/>
        </w:rPr>
        <w:noBreakHyphen/>
        <w:t>ci n’avait pas de division spécialisée dans ce domaine et qu’elle n’avait présenté aucune preuve relative à la nature de sa relation contractuelle ou organisationnelle avec les sociétés de transport maritime auxquelles elle fournissait des services.</w:t>
      </w:r>
    </w:p>
    <w:p w:rsidR="006E561B" w:rsidRPr="006E561B" w:rsidRDefault="006E561B" w:rsidP="006E561B">
      <w:pPr>
        <w:pStyle w:val="SCCNormalDoubleSpacing"/>
        <w:spacing w:line="240" w:lineRule="auto"/>
        <w:rPr>
          <w:sz w:val="20"/>
          <w:lang w:val="fr-CA"/>
        </w:rPr>
      </w:pPr>
    </w:p>
    <w:p w:rsidR="006E561B" w:rsidRPr="006E561B" w:rsidRDefault="006E561B" w:rsidP="006E561B">
      <w:pPr>
        <w:pStyle w:val="SCCNormalDoubleSpacing"/>
        <w:spacing w:line="240" w:lineRule="auto"/>
        <w:rPr>
          <w:sz w:val="20"/>
          <w:lang w:val="fr-CA"/>
        </w:rPr>
      </w:pPr>
      <w:r w:rsidRPr="006E561B">
        <w:rPr>
          <w:sz w:val="20"/>
          <w:lang w:val="fr-CA"/>
        </w:rPr>
        <w:tab/>
      </w:r>
      <w:r w:rsidRPr="006E561B">
        <w:rPr>
          <w:i/>
          <w:sz w:val="20"/>
          <w:lang w:val="fr-CA"/>
        </w:rPr>
        <w:t>Arrêt</w:t>
      </w:r>
      <w:r w:rsidRPr="006E561B">
        <w:rPr>
          <w:sz w:val="20"/>
          <w:lang w:val="fr-CA"/>
        </w:rPr>
        <w:t> : Le pourvoi est rejeté.</w:t>
      </w:r>
    </w:p>
    <w:p w:rsidR="006E561B" w:rsidRPr="006E561B" w:rsidRDefault="006E561B" w:rsidP="006E561B">
      <w:pPr>
        <w:pStyle w:val="SCCNormalDoubleSpacing"/>
        <w:spacing w:line="240" w:lineRule="auto"/>
        <w:rPr>
          <w:sz w:val="20"/>
          <w:lang w:val="fr-CA"/>
        </w:rPr>
      </w:pPr>
    </w:p>
    <w:p w:rsidR="006E561B" w:rsidRPr="006E561B" w:rsidRDefault="006E561B" w:rsidP="006E561B">
      <w:pPr>
        <w:pStyle w:val="SCCNormalDoubleSpacing"/>
        <w:spacing w:line="240" w:lineRule="auto"/>
        <w:rPr>
          <w:sz w:val="20"/>
          <w:lang w:val="fr-CA"/>
        </w:rPr>
      </w:pPr>
      <w:r w:rsidRPr="006E561B">
        <w:rPr>
          <w:sz w:val="20"/>
          <w:lang w:val="fr-CA"/>
        </w:rPr>
        <w:tab/>
        <w:t xml:space="preserve">Depuis </w:t>
      </w:r>
      <w:r w:rsidRPr="006E561B">
        <w:rPr>
          <w:i/>
          <w:sz w:val="20"/>
          <w:lang w:val="fr-CA"/>
        </w:rPr>
        <w:t>Toronto Electric Commissioners c. Snider</w:t>
      </w:r>
      <w:r w:rsidRPr="006E561B">
        <w:rPr>
          <w:sz w:val="20"/>
          <w:lang w:val="fr-CA"/>
        </w:rPr>
        <w:t>, [1925] A.C. 396 (C.P.), les tribunaux reconnaissent l’existence d’une présomption selon laquelle le pouvoir de légiférer sur les relations de travail appartient aux provinces.  En dépit de cette présomption, le fédéral a compétence en matière de réglementation du travail dans deux circonstances : lorsque l’emploi s’exerce dans le cadre d’un ouvrage, d’une entreprise ou d’un commerce relevant du pouvoir législatif du Parlement ou lorsqu’il se rapporte à une activité faisant partie intégrante d’une entreprise assujettie à la réglementation fédérale, ce qui est parfois appelé compétence dérivée.</w:t>
      </w:r>
    </w:p>
    <w:p w:rsidR="006E561B" w:rsidRDefault="006E561B" w:rsidP="006E561B">
      <w:pPr>
        <w:pStyle w:val="ParaNoNdepar-AltN"/>
        <w:numPr>
          <w:ilvl w:val="0"/>
          <w:numId w:val="0"/>
        </w:numPr>
        <w:spacing w:before="0" w:after="0" w:line="240" w:lineRule="auto"/>
        <w:rPr>
          <w:rFonts w:cs="Times New Roman"/>
          <w:sz w:val="20"/>
          <w:szCs w:val="20"/>
          <w:lang w:val="fr-CA"/>
        </w:rPr>
      </w:pPr>
    </w:p>
    <w:p w:rsidR="006E561B" w:rsidRDefault="006E561B" w:rsidP="006E561B">
      <w:pPr>
        <w:pStyle w:val="ParaNoNdepar-AltN"/>
        <w:numPr>
          <w:ilvl w:val="0"/>
          <w:numId w:val="0"/>
        </w:numPr>
        <w:spacing w:before="0" w:after="0" w:line="240" w:lineRule="auto"/>
        <w:rPr>
          <w:rFonts w:cs="Times New Roman"/>
          <w:sz w:val="20"/>
          <w:szCs w:val="20"/>
          <w:lang w:val="fr-CA"/>
        </w:rPr>
      </w:pPr>
      <w:r w:rsidRPr="004B368E">
        <w:rPr>
          <w:rFonts w:cs="Times New Roman"/>
          <w:sz w:val="20"/>
          <w:szCs w:val="20"/>
          <w:lang w:val="fr-CA"/>
        </w:rPr>
        <w:tab/>
      </w:r>
      <w:r w:rsidRPr="004B368E">
        <w:rPr>
          <w:rFonts w:cs="Times New Roman"/>
          <w:sz w:val="20"/>
          <w:szCs w:val="20"/>
          <w:lang w:val="fr-FR"/>
        </w:rPr>
        <w:t>D</w:t>
      </w:r>
      <w:r w:rsidRPr="004B368E">
        <w:rPr>
          <w:rFonts w:cs="Times New Roman"/>
          <w:sz w:val="20"/>
          <w:szCs w:val="20"/>
          <w:lang w:val="fr-CA"/>
        </w:rPr>
        <w:t xml:space="preserve">ans le cas de la compétence dérivée, on </w:t>
      </w:r>
      <w:r w:rsidRPr="004B368E">
        <w:rPr>
          <w:rFonts w:cs="Times New Roman"/>
          <w:sz w:val="20"/>
          <w:szCs w:val="20"/>
          <w:lang w:val="fr-FR"/>
        </w:rPr>
        <w:t>examine</w:t>
      </w:r>
      <w:r w:rsidRPr="004B368E">
        <w:rPr>
          <w:rFonts w:cs="Times New Roman"/>
          <w:sz w:val="20"/>
          <w:szCs w:val="20"/>
          <w:lang w:val="fr-CA"/>
        </w:rPr>
        <w:t xml:space="preserve"> la nature fonctionnelle essentielle de l’ouvrage, du commerce ou de l’entreprise</w:t>
      </w:r>
      <w:r w:rsidRPr="004B368E">
        <w:rPr>
          <w:rFonts w:cs="Times New Roman"/>
          <w:sz w:val="20"/>
          <w:szCs w:val="20"/>
          <w:lang w:val="fr-FR"/>
        </w:rPr>
        <w:t xml:space="preserve"> pour déterminer si cette</w:t>
      </w:r>
      <w:r w:rsidRPr="004B368E">
        <w:rPr>
          <w:rFonts w:cs="Times New Roman"/>
          <w:sz w:val="20"/>
          <w:szCs w:val="20"/>
          <w:lang w:val="fr-CA"/>
        </w:rPr>
        <w:t xml:space="preserve"> nature </w:t>
      </w:r>
      <w:r w:rsidRPr="004B368E">
        <w:rPr>
          <w:rFonts w:cs="Times New Roman"/>
          <w:sz w:val="20"/>
          <w:szCs w:val="20"/>
          <w:lang w:val="fr-FR"/>
        </w:rPr>
        <w:t xml:space="preserve">constante </w:t>
      </w:r>
      <w:r w:rsidRPr="004B368E">
        <w:rPr>
          <w:rFonts w:cs="Times New Roman"/>
          <w:sz w:val="20"/>
          <w:szCs w:val="20"/>
          <w:lang w:val="fr-CA"/>
        </w:rPr>
        <w:t xml:space="preserve">est telle que l’ouvrage fait partie intégrante d’une entreprise fédérale.  L’analyse met l’accent sur la relation entre l’activité, les employés concernés et l’entreprise fédérale à laquelle le travail des employés est censé profiter.  </w:t>
      </w:r>
      <w:r w:rsidRPr="004B368E">
        <w:rPr>
          <w:rFonts w:cs="Times New Roman"/>
          <w:sz w:val="20"/>
          <w:szCs w:val="20"/>
          <w:lang w:val="fr-FR"/>
        </w:rPr>
        <w:t>Il faut examiner l</w:t>
      </w:r>
      <w:r w:rsidRPr="004B368E">
        <w:rPr>
          <w:rFonts w:cs="Times New Roman"/>
          <w:sz w:val="20"/>
          <w:szCs w:val="20"/>
          <w:lang w:val="fr-CA"/>
        </w:rPr>
        <w:t xml:space="preserve">e lien entre l’entreprise fédérale et l’activité censée en former une partie intégrante dans la perspective de chacune, évaluant dans quelle mesure l’exploitation efficace de l’entreprise fédérale dépend des services fournis par l’entreprise connexe et soupesant </w:t>
      </w:r>
      <w:r w:rsidRPr="004B368E">
        <w:rPr>
          <w:rFonts w:cs="Times New Roman"/>
          <w:sz w:val="20"/>
          <w:szCs w:val="20"/>
          <w:lang w:val="fr-CA"/>
        </w:rPr>
        <w:lastRenderedPageBreak/>
        <w:t>l’importance de ces services pour l’entreprise connexe elle</w:t>
      </w:r>
      <w:r w:rsidRPr="004B368E">
        <w:rPr>
          <w:rFonts w:cs="Times New Roman"/>
          <w:sz w:val="20"/>
          <w:szCs w:val="20"/>
          <w:lang w:val="fr-CA"/>
        </w:rPr>
        <w:noBreakHyphen/>
        <w:t>même.  Des éléments exceptionnels ne sauraient définir la nature fonctionnelle essentielle d’une entreprise.</w:t>
      </w:r>
    </w:p>
    <w:p w:rsidR="006E561B" w:rsidRDefault="006E561B" w:rsidP="006E561B">
      <w:pPr>
        <w:pStyle w:val="ParaNoNdepar-AltN"/>
        <w:numPr>
          <w:ilvl w:val="0"/>
          <w:numId w:val="0"/>
        </w:numPr>
        <w:spacing w:before="0" w:after="0" w:line="240" w:lineRule="auto"/>
        <w:rPr>
          <w:rFonts w:cs="Times New Roman"/>
          <w:sz w:val="20"/>
          <w:szCs w:val="20"/>
          <w:lang w:val="fr-CA"/>
        </w:rPr>
      </w:pPr>
    </w:p>
    <w:p w:rsidR="006E561B" w:rsidRDefault="00E83D1A" w:rsidP="006E561B">
      <w:pPr>
        <w:pStyle w:val="ParaNoNdepar-AltN"/>
        <w:numPr>
          <w:ilvl w:val="0"/>
          <w:numId w:val="0"/>
        </w:numPr>
        <w:spacing w:before="0" w:after="0" w:line="240" w:lineRule="auto"/>
        <w:rPr>
          <w:rFonts w:cs="Times New Roman"/>
          <w:sz w:val="20"/>
          <w:szCs w:val="20"/>
          <w:lang w:val="fr-CA"/>
        </w:rPr>
      </w:pPr>
      <w:r>
        <w:rPr>
          <w:rFonts w:cs="Times New Roman"/>
          <w:sz w:val="20"/>
          <w:szCs w:val="20"/>
          <w:lang w:val="fr-CA"/>
        </w:rPr>
        <w:tab/>
      </w:r>
      <w:r w:rsidR="006E561B" w:rsidRPr="004B368E">
        <w:rPr>
          <w:rFonts w:cs="Times New Roman"/>
          <w:sz w:val="20"/>
          <w:szCs w:val="20"/>
          <w:lang w:val="fr-CA"/>
        </w:rPr>
        <w:t>L’assujettissement à la réglementation fédérale peut être justifié lorsque les services fournis à l’entreprise fédérale constituent la totalité ou la majeure partie de l’entreprise connexe.  Il pourrait pareillement être justifié d’appliquer la réglementation fédérale lorsque les services fournis à l’entreprise fédérale sont exécutés par des employés appartenant à une unité fonctionnelle particulière qui peut se distinguer structuralement sur le plan constitutionnel du reste de l’entreprise connexe.  Si les employés qui exécutent le travail ne forment pas une unité de travail distincte et sont pleinement intégrés à l’entreprise connexe, même si leur travail est essentiel au fonctionnement d’une entreprise fédérale, cela n’a pas pour effet de rendre fédérale une entreprise autrement locale si ce travail ne représente qu’une partie négligeable de l’emploi du temps des employés ou qu’un aspect mineur de la nature essentielle constante de l’exploitation.</w:t>
      </w:r>
    </w:p>
    <w:p w:rsidR="006E561B" w:rsidRDefault="006E561B" w:rsidP="006E561B">
      <w:pPr>
        <w:pStyle w:val="ParaNoNdepar-AltN"/>
        <w:numPr>
          <w:ilvl w:val="0"/>
          <w:numId w:val="0"/>
        </w:numPr>
        <w:spacing w:before="0" w:after="0" w:line="240" w:lineRule="auto"/>
        <w:rPr>
          <w:rFonts w:cs="Times New Roman"/>
          <w:sz w:val="20"/>
          <w:szCs w:val="20"/>
          <w:lang w:val="fr-CA"/>
        </w:rPr>
      </w:pPr>
    </w:p>
    <w:p w:rsidR="006E561B" w:rsidRDefault="00E83D1A" w:rsidP="006E561B">
      <w:pPr>
        <w:pStyle w:val="ParaNoNdepar-AltN"/>
        <w:numPr>
          <w:ilvl w:val="0"/>
          <w:numId w:val="0"/>
        </w:numPr>
        <w:spacing w:before="0" w:after="0" w:line="240" w:lineRule="auto"/>
        <w:rPr>
          <w:rFonts w:cs="Times New Roman"/>
          <w:sz w:val="20"/>
          <w:szCs w:val="20"/>
          <w:lang w:val="fr-CA"/>
        </w:rPr>
      </w:pPr>
      <w:r>
        <w:rPr>
          <w:rFonts w:cs="Times New Roman"/>
          <w:sz w:val="20"/>
          <w:szCs w:val="20"/>
          <w:lang w:val="fr-CA"/>
        </w:rPr>
        <w:tab/>
      </w:r>
      <w:r w:rsidR="006E561B" w:rsidRPr="004B368E">
        <w:rPr>
          <w:rFonts w:cs="Times New Roman"/>
          <w:sz w:val="20"/>
          <w:szCs w:val="20"/>
          <w:lang w:val="fr-CA"/>
        </w:rPr>
        <w:t>En l’espèce, la plus grande partie des activités de T étaient de celles qui sont régies par le provincial.  Elle est fonctionnellement de nature essentiellement locale, et ses services de débardage, qui sont intégrés à ses autres activités, constituent une partie relativement minime de son entreprise globale.  Par conséquent, les employés de T sont régis par la législation provinciale en matière de santé et sécurité au travail.</w:t>
      </w:r>
    </w:p>
    <w:p w:rsidR="006E561B" w:rsidRPr="004B368E" w:rsidRDefault="006E561B" w:rsidP="006E561B">
      <w:pPr>
        <w:pStyle w:val="ParaNoNdepar-AltN"/>
        <w:numPr>
          <w:ilvl w:val="0"/>
          <w:numId w:val="0"/>
        </w:numPr>
        <w:spacing w:before="0" w:after="0" w:line="240" w:lineRule="auto"/>
        <w:rPr>
          <w:rFonts w:cs="Times New Roman"/>
          <w:sz w:val="20"/>
          <w:szCs w:val="20"/>
          <w:lang w:val="fr-FR"/>
        </w:rPr>
      </w:pPr>
    </w:p>
    <w:p w:rsidR="006E561B" w:rsidRPr="006E561B" w:rsidRDefault="006E561B" w:rsidP="006E561B">
      <w:pPr>
        <w:pStyle w:val="SCCNormalDoubleSpacing"/>
        <w:spacing w:line="240" w:lineRule="auto"/>
        <w:rPr>
          <w:sz w:val="20"/>
          <w:lang w:val="fr-CA"/>
        </w:rPr>
      </w:pPr>
      <w:r w:rsidRPr="006E561B">
        <w:rPr>
          <w:sz w:val="20"/>
          <w:lang w:val="fr-CA"/>
        </w:rPr>
        <w:tab/>
        <w:t xml:space="preserve">POURVOI contre un arrêt de la Cour d’appel du Québec (le juge en chef Robert et les juge Rochette et Bouchard), </w:t>
      </w:r>
      <w:r w:rsidR="00414F7B" w:rsidRPr="004B368E">
        <w:rPr>
          <w:sz w:val="20"/>
        </w:rPr>
        <w:fldChar w:fldCharType="begin"/>
      </w:r>
      <w:r w:rsidRPr="006E561B">
        <w:rPr>
          <w:sz w:val="20"/>
          <w:lang w:val="fr-CA"/>
        </w:rPr>
        <w:instrText xml:space="preserve"> SEQ CHAPTER \h \r 1</w:instrText>
      </w:r>
      <w:r w:rsidR="00414F7B" w:rsidRPr="004B368E">
        <w:rPr>
          <w:sz w:val="20"/>
        </w:rPr>
        <w:fldChar w:fldCharType="end"/>
      </w:r>
      <w:r w:rsidRPr="006E561B">
        <w:rPr>
          <w:sz w:val="20"/>
          <w:lang w:val="fr-CA"/>
        </w:rPr>
        <w:t>2010 QCCA 1642, [2010] R.J.Q. 2131, [2010] C.L.P. 691, [2010] R.J.D.T. 1027, SOQUIJ AZ</w:t>
      </w:r>
      <w:r w:rsidRPr="006E561B">
        <w:rPr>
          <w:sz w:val="20"/>
          <w:lang w:val="fr-CA"/>
        </w:rPr>
        <w:noBreakHyphen/>
        <w:t>50671246, [2010] J.Q. n</w:t>
      </w:r>
      <w:r w:rsidRPr="006E561B">
        <w:rPr>
          <w:sz w:val="20"/>
          <w:vertAlign w:val="superscript"/>
          <w:lang w:val="fr-CA"/>
        </w:rPr>
        <w:t>o</w:t>
      </w:r>
      <w:r w:rsidRPr="006E561B">
        <w:rPr>
          <w:sz w:val="20"/>
          <w:lang w:val="fr-CA"/>
        </w:rPr>
        <w:t xml:space="preserve"> 9074 (QL), 2010 CarswellQue 9533, qui a infirmé une décision du juge Viens, </w:t>
      </w:r>
      <w:r w:rsidR="00414F7B" w:rsidRPr="004B368E">
        <w:rPr>
          <w:sz w:val="20"/>
        </w:rPr>
        <w:fldChar w:fldCharType="begin"/>
      </w:r>
      <w:r w:rsidRPr="006E561B">
        <w:rPr>
          <w:sz w:val="20"/>
          <w:lang w:val="fr-CA"/>
        </w:rPr>
        <w:instrText xml:space="preserve"> SEQ CHAPTER \h \r 1</w:instrText>
      </w:r>
      <w:r w:rsidR="00414F7B" w:rsidRPr="004B368E">
        <w:rPr>
          <w:sz w:val="20"/>
        </w:rPr>
        <w:fldChar w:fldCharType="end"/>
      </w:r>
      <w:r w:rsidRPr="006E561B">
        <w:rPr>
          <w:sz w:val="20"/>
          <w:lang w:val="fr-CA"/>
        </w:rPr>
        <w:t>2009 QCCS 576, [2008] C.L.P. 1607, SOQUIJ AZ</w:t>
      </w:r>
      <w:r w:rsidRPr="006E561B">
        <w:rPr>
          <w:sz w:val="20"/>
          <w:lang w:val="fr-CA"/>
        </w:rPr>
        <w:noBreakHyphen/>
        <w:t>50538032, [2009] J.Q. n</w:t>
      </w:r>
      <w:r w:rsidRPr="006E561B">
        <w:rPr>
          <w:sz w:val="20"/>
          <w:vertAlign w:val="superscript"/>
          <w:lang w:val="fr-CA"/>
        </w:rPr>
        <w:t>o</w:t>
      </w:r>
      <w:r w:rsidRPr="006E561B">
        <w:rPr>
          <w:sz w:val="20"/>
          <w:lang w:val="fr-CA"/>
        </w:rPr>
        <w:t xml:space="preserve"> 1155 (QL), 2009 CarswellQue 1473.  Pourvoi rejeté.</w:t>
      </w:r>
    </w:p>
    <w:p w:rsidR="006E561B" w:rsidRPr="006E561B" w:rsidRDefault="006E561B" w:rsidP="006E561B">
      <w:pPr>
        <w:pStyle w:val="SCCNormalDoubleSpacing"/>
        <w:spacing w:line="240" w:lineRule="auto"/>
        <w:rPr>
          <w:rStyle w:val="SCCCounselNameChar"/>
          <w:sz w:val="20"/>
          <w:lang w:val="fr-CA"/>
        </w:rPr>
      </w:pPr>
    </w:p>
    <w:p w:rsidR="006E561B" w:rsidRPr="006E561B" w:rsidRDefault="006E561B" w:rsidP="006E561B">
      <w:pPr>
        <w:pStyle w:val="SCCNormalDoubleSpacing"/>
        <w:spacing w:line="240" w:lineRule="auto"/>
        <w:rPr>
          <w:sz w:val="20"/>
          <w:lang w:val="fr-CA"/>
        </w:rPr>
      </w:pPr>
      <w:r w:rsidRPr="006E561B">
        <w:rPr>
          <w:rStyle w:val="SCCCounselNameChar"/>
          <w:sz w:val="20"/>
          <w:lang w:val="fr-CA"/>
        </w:rPr>
        <w:tab/>
        <w:t>André Asselin</w:t>
      </w:r>
      <w:r w:rsidRPr="004B368E">
        <w:rPr>
          <w:rStyle w:val="SCCCounselSeparatorChar"/>
          <w:sz w:val="20"/>
        </w:rPr>
        <w:t xml:space="preserve">, </w:t>
      </w:r>
      <w:r w:rsidRPr="006E561B">
        <w:rPr>
          <w:rStyle w:val="SCCCounselNameChar"/>
          <w:sz w:val="20"/>
          <w:lang w:val="fr-CA"/>
        </w:rPr>
        <w:t>Sébastien Gobeil</w:t>
      </w:r>
      <w:r w:rsidRPr="004B368E">
        <w:rPr>
          <w:rStyle w:val="SCCCounselSeparatorChar"/>
          <w:sz w:val="20"/>
        </w:rPr>
        <w:t xml:space="preserve"> et </w:t>
      </w:r>
      <w:r w:rsidRPr="006E561B">
        <w:rPr>
          <w:rStyle w:val="SCCCounselNameChar"/>
          <w:sz w:val="20"/>
          <w:lang w:val="fr-CA"/>
        </w:rPr>
        <w:t>Maxime</w:t>
      </w:r>
      <w:r w:rsidRPr="006E561B">
        <w:rPr>
          <w:rStyle w:val="SCCCounselNameChar"/>
          <w:sz w:val="20"/>
          <w:lang w:val="fr-CA"/>
        </w:rPr>
        <w:noBreakHyphen/>
        <w:t>Arnaud Keable</w:t>
      </w:r>
      <w:r w:rsidRPr="006E561B">
        <w:rPr>
          <w:rStyle w:val="SCCCounselPartyRoleChar"/>
          <w:sz w:val="20"/>
          <w:lang w:val="fr-CA"/>
        </w:rPr>
        <w:t>, pour l’appelante.</w:t>
      </w:r>
    </w:p>
    <w:p w:rsidR="006E561B" w:rsidRPr="006E561B" w:rsidRDefault="006E561B" w:rsidP="006E561B">
      <w:pPr>
        <w:pStyle w:val="SCCNormalDoubleSpacing"/>
        <w:spacing w:line="240" w:lineRule="auto"/>
        <w:rPr>
          <w:rStyle w:val="SCCCounselNameChar"/>
          <w:sz w:val="20"/>
          <w:lang w:val="fr-CA"/>
        </w:rPr>
      </w:pPr>
    </w:p>
    <w:p w:rsidR="006E561B" w:rsidRPr="006E561B" w:rsidRDefault="006E561B" w:rsidP="006E561B">
      <w:pPr>
        <w:pStyle w:val="SCCNormalDoubleSpacing"/>
        <w:spacing w:line="240" w:lineRule="auto"/>
        <w:rPr>
          <w:sz w:val="20"/>
          <w:lang w:val="fr-CA"/>
        </w:rPr>
      </w:pPr>
      <w:r w:rsidRPr="006E561B">
        <w:rPr>
          <w:rStyle w:val="SCCCounselNameChar"/>
          <w:sz w:val="20"/>
          <w:lang w:val="fr-CA"/>
        </w:rPr>
        <w:tab/>
        <w:t>Pierre</w:t>
      </w:r>
      <w:r w:rsidRPr="006E561B">
        <w:rPr>
          <w:rStyle w:val="SCCCounselNameChar"/>
          <w:sz w:val="20"/>
          <w:lang w:val="fr-CA"/>
        </w:rPr>
        <w:noBreakHyphen/>
        <w:t>Michel Lajeunesse</w:t>
      </w:r>
      <w:r w:rsidRPr="006E561B">
        <w:rPr>
          <w:rStyle w:val="SCCCounselPartyRoleChar"/>
          <w:sz w:val="20"/>
          <w:lang w:val="fr-CA"/>
        </w:rPr>
        <w:t>, pour l’intimée.</w:t>
      </w:r>
    </w:p>
    <w:p w:rsidR="006E561B" w:rsidRPr="006E561B" w:rsidRDefault="006E561B" w:rsidP="006E561B">
      <w:pPr>
        <w:pStyle w:val="SCCNormalDoubleSpacing"/>
        <w:spacing w:line="240" w:lineRule="auto"/>
        <w:rPr>
          <w:rStyle w:val="SCCCounselNameChar"/>
          <w:sz w:val="20"/>
          <w:lang w:val="fr-CA"/>
        </w:rPr>
      </w:pPr>
    </w:p>
    <w:p w:rsidR="006E561B" w:rsidRPr="006E561B" w:rsidRDefault="006E561B" w:rsidP="006E561B">
      <w:pPr>
        <w:pStyle w:val="SCCNormalDoubleSpacing"/>
        <w:spacing w:line="240" w:lineRule="auto"/>
        <w:rPr>
          <w:rStyle w:val="SCCCounselPartyRoleChar"/>
          <w:sz w:val="20"/>
          <w:lang w:val="fr-CA"/>
        </w:rPr>
      </w:pPr>
      <w:r w:rsidRPr="006E561B">
        <w:rPr>
          <w:rStyle w:val="SCCCounselNameChar"/>
          <w:sz w:val="20"/>
          <w:lang w:val="fr-CA"/>
        </w:rPr>
        <w:tab/>
        <w:t>Robin K. Basu</w:t>
      </w:r>
      <w:r w:rsidRPr="004B368E">
        <w:rPr>
          <w:rStyle w:val="SCCCounselSeparatorChar"/>
          <w:sz w:val="20"/>
        </w:rPr>
        <w:t xml:space="preserve"> et </w:t>
      </w:r>
      <w:r w:rsidRPr="006E561B">
        <w:rPr>
          <w:rStyle w:val="SCCCounselNameChar"/>
          <w:sz w:val="20"/>
          <w:lang w:val="fr-CA"/>
        </w:rPr>
        <w:t>Shannon M. Chace</w:t>
      </w:r>
      <w:r w:rsidRPr="006E561B">
        <w:rPr>
          <w:rStyle w:val="SCCCounselPartyRoleChar"/>
          <w:sz w:val="20"/>
          <w:lang w:val="fr-CA"/>
        </w:rPr>
        <w:t>, pour l’intervenant le procureur général de l’Ontario.</w:t>
      </w:r>
    </w:p>
    <w:p w:rsidR="006E561B" w:rsidRPr="006E561B" w:rsidRDefault="006E561B" w:rsidP="006E561B">
      <w:pPr>
        <w:pStyle w:val="SCCNormalDoubleSpacing"/>
        <w:spacing w:line="240" w:lineRule="auto"/>
        <w:rPr>
          <w:rStyle w:val="SCCCounselNameChar"/>
          <w:sz w:val="20"/>
          <w:lang w:val="fr-CA"/>
        </w:rPr>
      </w:pPr>
    </w:p>
    <w:p w:rsidR="006E561B" w:rsidRPr="006E561B" w:rsidRDefault="006E561B" w:rsidP="006E561B">
      <w:pPr>
        <w:pStyle w:val="SCCNormalDoubleSpacing"/>
        <w:spacing w:line="240" w:lineRule="auto"/>
        <w:rPr>
          <w:sz w:val="20"/>
          <w:lang w:val="fr-CA"/>
        </w:rPr>
      </w:pPr>
      <w:r w:rsidRPr="006E561B">
        <w:rPr>
          <w:rStyle w:val="SCCCounselNameChar"/>
          <w:sz w:val="20"/>
          <w:lang w:val="fr-CA"/>
        </w:rPr>
        <w:tab/>
        <w:t>Jean</w:t>
      </w:r>
      <w:r w:rsidRPr="006E561B">
        <w:rPr>
          <w:rStyle w:val="SCCCounselNameChar"/>
          <w:sz w:val="20"/>
          <w:lang w:val="fr-CA"/>
        </w:rPr>
        <w:noBreakHyphen/>
        <w:t>Vincent Lacroix</w:t>
      </w:r>
      <w:r w:rsidRPr="006E561B">
        <w:rPr>
          <w:rStyle w:val="SCCCounselPartyRoleChar"/>
          <w:sz w:val="20"/>
          <w:lang w:val="fr-CA"/>
        </w:rPr>
        <w:t>, pour l’intervenant le procureur général du Québec.</w:t>
      </w:r>
    </w:p>
    <w:p w:rsidR="006E561B" w:rsidRPr="006E561B" w:rsidRDefault="006E561B" w:rsidP="006E561B">
      <w:pPr>
        <w:pStyle w:val="SCCNormalDoubleSpacing"/>
        <w:spacing w:line="240" w:lineRule="auto"/>
        <w:rPr>
          <w:rStyle w:val="SCCCounselNameChar"/>
          <w:sz w:val="20"/>
          <w:lang w:val="fr-CA"/>
        </w:rPr>
      </w:pPr>
    </w:p>
    <w:p w:rsidR="006E561B" w:rsidRPr="006E561B" w:rsidRDefault="006E561B" w:rsidP="006E561B">
      <w:pPr>
        <w:pStyle w:val="SCCNormalDoubleSpacing"/>
        <w:spacing w:line="240" w:lineRule="auto"/>
        <w:rPr>
          <w:sz w:val="20"/>
          <w:lang w:val="fr-CA"/>
        </w:rPr>
      </w:pPr>
      <w:r w:rsidRPr="006E561B">
        <w:rPr>
          <w:rStyle w:val="SCCCounselNameChar"/>
          <w:sz w:val="20"/>
          <w:lang w:val="fr-CA"/>
        </w:rPr>
        <w:tab/>
        <w:t>Jonathan G. Penner</w:t>
      </w:r>
      <w:r w:rsidRPr="004B368E">
        <w:rPr>
          <w:rStyle w:val="SCCCounselSeparatorChar"/>
          <w:sz w:val="20"/>
        </w:rPr>
        <w:t xml:space="preserve"> et </w:t>
      </w:r>
      <w:r w:rsidRPr="006E561B">
        <w:rPr>
          <w:rStyle w:val="SCCCounselNameChar"/>
          <w:sz w:val="20"/>
          <w:lang w:val="fr-CA"/>
        </w:rPr>
        <w:t>Freya Zaltz</w:t>
      </w:r>
      <w:r w:rsidRPr="006E561B">
        <w:rPr>
          <w:rStyle w:val="SCCCounselPartyRoleChar"/>
          <w:sz w:val="20"/>
          <w:lang w:val="fr-CA"/>
        </w:rPr>
        <w:t>, pour l’intervenant le procureur général de la Colombie</w:t>
      </w:r>
      <w:r w:rsidRPr="006E561B">
        <w:rPr>
          <w:rStyle w:val="SCCCounselPartyRoleChar"/>
          <w:sz w:val="20"/>
          <w:lang w:val="fr-CA"/>
        </w:rPr>
        <w:noBreakHyphen/>
        <w:t>Britannique.</w:t>
      </w:r>
    </w:p>
    <w:p w:rsidR="006E561B" w:rsidRPr="006E561B" w:rsidRDefault="006E561B" w:rsidP="006E561B">
      <w:pPr>
        <w:pStyle w:val="SCCLawFirm"/>
        <w:spacing w:line="240" w:lineRule="auto"/>
        <w:rPr>
          <w:sz w:val="20"/>
          <w:lang w:val="fr-CA"/>
        </w:rPr>
      </w:pPr>
    </w:p>
    <w:p w:rsidR="006E561B" w:rsidRPr="006E561B" w:rsidRDefault="006E561B" w:rsidP="006E561B">
      <w:pPr>
        <w:pStyle w:val="SCCLawFirm"/>
        <w:spacing w:line="240" w:lineRule="auto"/>
        <w:rPr>
          <w:sz w:val="20"/>
          <w:lang w:val="fr-CA"/>
        </w:rPr>
      </w:pPr>
      <w:r w:rsidRPr="006E561B">
        <w:rPr>
          <w:sz w:val="20"/>
          <w:lang w:val="fr-CA"/>
        </w:rPr>
        <w:tab/>
        <w:t>Procureurs de l’appelante : Fasken Martineau DuMoulin, Québec.</w:t>
      </w:r>
    </w:p>
    <w:p w:rsidR="006E561B" w:rsidRPr="006E561B" w:rsidRDefault="006E561B" w:rsidP="006E561B">
      <w:pPr>
        <w:pStyle w:val="SCCLawFirm"/>
        <w:spacing w:line="240" w:lineRule="auto"/>
        <w:rPr>
          <w:sz w:val="20"/>
          <w:lang w:val="fr-CA"/>
        </w:rPr>
      </w:pPr>
    </w:p>
    <w:p w:rsidR="006E561B" w:rsidRPr="006E561B" w:rsidRDefault="006E561B" w:rsidP="006E561B">
      <w:pPr>
        <w:pStyle w:val="SCCLawFirm"/>
        <w:spacing w:line="240" w:lineRule="auto"/>
        <w:rPr>
          <w:sz w:val="20"/>
          <w:lang w:val="fr-CA"/>
        </w:rPr>
      </w:pPr>
      <w:r w:rsidRPr="006E561B">
        <w:rPr>
          <w:sz w:val="20"/>
          <w:lang w:val="fr-CA"/>
        </w:rPr>
        <w:tab/>
        <w:t>Procureurs de l’intimée : Vigneault Thibodeau Bergeron, Québec.</w:t>
      </w:r>
    </w:p>
    <w:p w:rsidR="006E561B" w:rsidRPr="006E561B" w:rsidRDefault="006E561B" w:rsidP="006E561B">
      <w:pPr>
        <w:pStyle w:val="SCCLawFirm"/>
        <w:spacing w:line="240" w:lineRule="auto"/>
        <w:rPr>
          <w:sz w:val="20"/>
          <w:lang w:val="fr-CA"/>
        </w:rPr>
      </w:pPr>
    </w:p>
    <w:p w:rsidR="006E561B" w:rsidRPr="006E561B" w:rsidRDefault="006E561B" w:rsidP="006E561B">
      <w:pPr>
        <w:pStyle w:val="SCCLawFirm"/>
        <w:spacing w:line="240" w:lineRule="auto"/>
        <w:rPr>
          <w:sz w:val="20"/>
          <w:lang w:val="fr-CA"/>
        </w:rPr>
      </w:pPr>
      <w:r w:rsidRPr="006E561B">
        <w:rPr>
          <w:sz w:val="20"/>
          <w:lang w:val="fr-CA"/>
        </w:rPr>
        <w:tab/>
        <w:t>Procureur de l’intervenant le procureur général de l’Ontario : Procureur général de l’Ontario, Toronto.</w:t>
      </w:r>
    </w:p>
    <w:p w:rsidR="006E561B" w:rsidRPr="006E561B" w:rsidRDefault="006E561B" w:rsidP="006E561B">
      <w:pPr>
        <w:pStyle w:val="SCCLawFirm"/>
        <w:spacing w:line="240" w:lineRule="auto"/>
        <w:rPr>
          <w:sz w:val="20"/>
          <w:lang w:val="fr-CA"/>
        </w:rPr>
      </w:pPr>
    </w:p>
    <w:p w:rsidR="006E561B" w:rsidRPr="006E561B" w:rsidRDefault="006E561B" w:rsidP="006E561B">
      <w:pPr>
        <w:pStyle w:val="SCCLawFirm"/>
        <w:spacing w:line="240" w:lineRule="auto"/>
        <w:rPr>
          <w:sz w:val="20"/>
          <w:lang w:val="fr-CA"/>
        </w:rPr>
      </w:pPr>
      <w:r w:rsidRPr="006E561B">
        <w:rPr>
          <w:sz w:val="20"/>
          <w:lang w:val="fr-CA"/>
        </w:rPr>
        <w:tab/>
        <w:t>Procureur de l’intervenant le procureur général du Québec : Procureur général du Québec, Québec.</w:t>
      </w:r>
    </w:p>
    <w:p w:rsidR="006E561B" w:rsidRPr="006E561B" w:rsidRDefault="006E561B" w:rsidP="006E561B">
      <w:pPr>
        <w:pStyle w:val="SCCLawFirm"/>
        <w:spacing w:line="240" w:lineRule="auto"/>
        <w:rPr>
          <w:sz w:val="20"/>
          <w:lang w:val="fr-CA"/>
        </w:rPr>
      </w:pPr>
    </w:p>
    <w:p w:rsidR="006E561B" w:rsidRPr="006E561B" w:rsidRDefault="006E561B" w:rsidP="006E561B">
      <w:pPr>
        <w:pStyle w:val="SCCLawFirm"/>
        <w:spacing w:line="240" w:lineRule="auto"/>
        <w:rPr>
          <w:sz w:val="20"/>
          <w:lang w:val="fr-CA"/>
        </w:rPr>
      </w:pPr>
      <w:r w:rsidRPr="006E561B">
        <w:rPr>
          <w:sz w:val="20"/>
          <w:lang w:val="fr-CA"/>
        </w:rPr>
        <w:tab/>
        <w:t>Procureur de l’intervenant le procureur général de la Colombie</w:t>
      </w:r>
      <w:r w:rsidRPr="006E561B">
        <w:rPr>
          <w:sz w:val="20"/>
          <w:lang w:val="fr-CA"/>
        </w:rPr>
        <w:noBreakHyphen/>
        <w:t>Britannique : Procureur général de la Colombie</w:t>
      </w:r>
      <w:r w:rsidRPr="006E561B">
        <w:rPr>
          <w:sz w:val="20"/>
          <w:lang w:val="fr-CA"/>
        </w:rPr>
        <w:noBreakHyphen/>
        <w:t>Britannique, Victoria.</w:t>
      </w:r>
    </w:p>
    <w:p w:rsidR="00DD0B49" w:rsidRPr="006E561B" w:rsidRDefault="00DD0B49" w:rsidP="00DD0B49">
      <w:pPr>
        <w:rPr>
          <w:rFonts w:cs="Times New Roman"/>
          <w:sz w:val="20"/>
          <w:szCs w:val="20"/>
        </w:rPr>
      </w:pPr>
      <w:r w:rsidRPr="006E561B">
        <w:rPr>
          <w:rFonts w:cs="Times New Roman"/>
          <w:sz w:val="20"/>
          <w:szCs w:val="20"/>
        </w:rPr>
        <w:t>________________________</w:t>
      </w:r>
    </w:p>
    <w:p w:rsidR="00DD0B49" w:rsidRPr="006E561B" w:rsidRDefault="00DD0B49" w:rsidP="00DD0B49">
      <w:pPr>
        <w:rPr>
          <w:rFonts w:cs="Times New Roman"/>
          <w:sz w:val="20"/>
          <w:szCs w:val="20"/>
        </w:rPr>
      </w:pPr>
    </w:p>
    <w:p w:rsidR="006E561B" w:rsidRPr="00A077FB" w:rsidRDefault="006E561B" w:rsidP="006E561B">
      <w:pPr>
        <w:jc w:val="both"/>
        <w:rPr>
          <w:sz w:val="20"/>
          <w:szCs w:val="20"/>
        </w:rPr>
      </w:pPr>
      <w:r w:rsidRPr="00A077FB">
        <w:rPr>
          <w:sz w:val="20"/>
          <w:szCs w:val="20"/>
        </w:rPr>
        <w:t>Present:  McLachlin C.J. and LeBel, Deschamps, Fish, Abella, Rothstein, Cromwell, Moldaver and Karakatsanis JJ.</w:t>
      </w:r>
    </w:p>
    <w:p w:rsidR="006E561B" w:rsidRPr="006E561B" w:rsidRDefault="006E561B" w:rsidP="006E561B">
      <w:pPr>
        <w:pStyle w:val="SCCLowerCourtNameLowercase"/>
        <w:spacing w:line="240" w:lineRule="auto"/>
        <w:rPr>
          <w:sz w:val="20"/>
          <w:lang w:val="en-CA"/>
        </w:rPr>
      </w:pPr>
    </w:p>
    <w:p w:rsidR="006E561B" w:rsidRPr="00A077FB" w:rsidRDefault="006E561B" w:rsidP="006E561B">
      <w:pPr>
        <w:pStyle w:val="SCCNormalDoubleSpacing"/>
        <w:spacing w:line="240" w:lineRule="auto"/>
        <w:rPr>
          <w:i/>
          <w:sz w:val="20"/>
        </w:rPr>
      </w:pPr>
      <w:r w:rsidRPr="00A077FB">
        <w:rPr>
          <w:sz w:val="20"/>
        </w:rPr>
        <w:tab/>
      </w:r>
      <w:r w:rsidRPr="00A077FB">
        <w:rPr>
          <w:i/>
          <w:sz w:val="20"/>
        </w:rPr>
        <w:t>Constitutional law — Division of powers — Labour relations — Company normally and habitually providing crane and heavy equipment rental services and, to lesser extent, stevedoring services — Whether stevedoring activities form part of federal jurisdiction over shipping — Whether stevedoring activities form integral part of federally regulated undertaking — Whether company’s employees governed by federal or provincial occupational health and safety legislation — Constitution Act, 1867, ss. 91(10), 92(10), and 92(13).</w:t>
      </w:r>
    </w:p>
    <w:p w:rsidR="006E561B" w:rsidRDefault="006E561B" w:rsidP="006E561B">
      <w:pPr>
        <w:pStyle w:val="SCCNormalDoubleSpacing"/>
        <w:spacing w:line="240" w:lineRule="auto"/>
        <w:rPr>
          <w:sz w:val="20"/>
        </w:rPr>
      </w:pPr>
    </w:p>
    <w:p w:rsidR="006E561B" w:rsidRPr="00A077FB" w:rsidRDefault="006E561B" w:rsidP="006E561B">
      <w:pPr>
        <w:pStyle w:val="SCCNormalDoubleSpacing"/>
        <w:spacing w:line="240" w:lineRule="auto"/>
        <w:rPr>
          <w:sz w:val="20"/>
          <w:lang w:val="en-US"/>
        </w:rPr>
      </w:pPr>
      <w:r w:rsidRPr="00A077FB">
        <w:rPr>
          <w:sz w:val="20"/>
        </w:rPr>
        <w:tab/>
      </w:r>
      <w:r w:rsidRPr="00A077FB">
        <w:rPr>
          <w:sz w:val="20"/>
          <w:lang w:val="en-US"/>
        </w:rPr>
        <w:t>T is a heavy equipment rental company that rents out cranes and heavy equipment.  It also engages in intra</w:t>
      </w:r>
      <w:r w:rsidRPr="00A077FB">
        <w:rPr>
          <w:sz w:val="20"/>
          <w:lang w:val="en-US"/>
        </w:rPr>
        <w:noBreakHyphen/>
        <w:t>provincial road transportation and maintenance and repair of equipment.  In 2005</w:t>
      </w:r>
      <w:r w:rsidRPr="00A077FB">
        <w:rPr>
          <w:sz w:val="20"/>
          <w:lang w:val="en-US"/>
        </w:rPr>
        <w:noBreakHyphen/>
        <w:t xml:space="preserve">2006, some of its cranes were </w:t>
      </w:r>
      <w:r w:rsidRPr="00A077FB">
        <w:rPr>
          <w:sz w:val="20"/>
          <w:lang w:val="en-US"/>
        </w:rPr>
        <w:lastRenderedPageBreak/>
        <w:t xml:space="preserve">used for stevedoring.  This activity represented 14 percent of its overall revenue and 20 percent of the salaries paid to employees.  T’s stevedoring services were not performed by a discrete unit of employees; the employees were fully integrated into T’s workforce and worked interchangeably across the different sectors of the organization.  At the relevant time, all of T’s activities took place within the province of Quebec. </w:t>
      </w:r>
    </w:p>
    <w:p w:rsidR="006E561B" w:rsidRDefault="006E561B" w:rsidP="006E561B">
      <w:pPr>
        <w:pStyle w:val="SCCNormalDoubleSpacing"/>
        <w:spacing w:line="240" w:lineRule="auto"/>
        <w:rPr>
          <w:sz w:val="20"/>
          <w:lang w:val="en-US"/>
        </w:rPr>
      </w:pPr>
    </w:p>
    <w:p w:rsidR="006E561B" w:rsidRPr="00A077FB" w:rsidRDefault="006E561B" w:rsidP="006E561B">
      <w:pPr>
        <w:pStyle w:val="SCCNormalDoubleSpacing"/>
        <w:spacing w:line="240" w:lineRule="auto"/>
        <w:rPr>
          <w:sz w:val="20"/>
        </w:rPr>
      </w:pPr>
      <w:r w:rsidRPr="00A077FB">
        <w:rPr>
          <w:sz w:val="20"/>
          <w:lang w:val="en-US"/>
        </w:rPr>
        <w:tab/>
        <w:t xml:space="preserve">In 2006, and based on the </w:t>
      </w:r>
      <w:r w:rsidRPr="00A077FB">
        <w:rPr>
          <w:i/>
          <w:sz w:val="20"/>
          <w:lang w:val="en-US"/>
        </w:rPr>
        <w:t>Stevedores Reference</w:t>
      </w:r>
      <w:r w:rsidRPr="00A077FB">
        <w:rPr>
          <w:sz w:val="20"/>
          <w:lang w:val="en-US"/>
        </w:rPr>
        <w:t xml:space="preserve">, [1955] S.C.R 529, T’s parent company sought a declaration from Quebec’s Commission de la santé et de la sécurité du travail (“CSST”) that T’s activities fell under federal jurisdiction and that it was not, as a result, subject to provincial occupational health and safety legislation.  T argued that </w:t>
      </w:r>
      <w:r w:rsidRPr="00A077FB">
        <w:rPr>
          <w:sz w:val="20"/>
        </w:rPr>
        <w:t xml:space="preserve">its stevedoring activities are part of the federal government’s jurisdiction over shipping, with the result that its employees should be federally regulated. </w:t>
      </w:r>
      <w:r w:rsidRPr="00A077FB">
        <w:rPr>
          <w:sz w:val="20"/>
          <w:lang w:val="en-US"/>
        </w:rPr>
        <w:t xml:space="preserve"> The CSST concluded that T’s activities came under provincial jurisdiction.  This conclusion was upheld by the Commission des lésions professionnelles but was overturned by the Superior Court.  The Court of Appeal allowed the appeal and agreed that provincial regulation applied, based primarily on the findings that stevedoring represented only a minor part of T’s overall operations, that it did not have a special stevedoring division, and that T had not adduced evidence of the nature of its contractual or organizational relationships with the federal shipping companies it serviced.</w:t>
      </w:r>
    </w:p>
    <w:p w:rsidR="006E561B" w:rsidRDefault="006E561B" w:rsidP="006E561B">
      <w:pPr>
        <w:pStyle w:val="SCCNormalDoubleSpacing"/>
        <w:spacing w:line="240" w:lineRule="auto"/>
        <w:rPr>
          <w:sz w:val="20"/>
        </w:rPr>
      </w:pPr>
    </w:p>
    <w:p w:rsidR="006E561B" w:rsidRPr="00A077FB" w:rsidRDefault="006E561B" w:rsidP="006E561B">
      <w:pPr>
        <w:pStyle w:val="SCCNormalDoubleSpacing"/>
        <w:spacing w:line="240" w:lineRule="auto"/>
        <w:rPr>
          <w:sz w:val="20"/>
        </w:rPr>
      </w:pPr>
      <w:r w:rsidRPr="00A077FB">
        <w:rPr>
          <w:sz w:val="20"/>
        </w:rPr>
        <w:tab/>
      </w:r>
      <w:r w:rsidRPr="00A077FB">
        <w:rPr>
          <w:i/>
          <w:sz w:val="20"/>
        </w:rPr>
        <w:t>Held:</w:t>
      </w:r>
      <w:r w:rsidRPr="00A077FB">
        <w:rPr>
          <w:sz w:val="20"/>
        </w:rPr>
        <w:t xml:space="preserve">  The appeal should be dismissed.</w:t>
      </w:r>
    </w:p>
    <w:p w:rsidR="006E561B" w:rsidRDefault="006E561B" w:rsidP="006E561B">
      <w:pPr>
        <w:pStyle w:val="SCCNormalDoubleSpacing"/>
        <w:spacing w:line="240" w:lineRule="auto"/>
        <w:rPr>
          <w:sz w:val="20"/>
        </w:rPr>
      </w:pPr>
    </w:p>
    <w:p w:rsidR="006E561B" w:rsidRPr="00A077FB" w:rsidRDefault="006E561B" w:rsidP="006E561B">
      <w:pPr>
        <w:pStyle w:val="SCCNormalDoubleSpacing"/>
        <w:spacing w:line="240" w:lineRule="auto"/>
        <w:rPr>
          <w:sz w:val="20"/>
          <w:lang w:val="en-US"/>
        </w:rPr>
      </w:pPr>
      <w:r w:rsidRPr="00A077FB">
        <w:rPr>
          <w:sz w:val="20"/>
        </w:rPr>
        <w:tab/>
      </w:r>
      <w:r w:rsidRPr="00A077FB">
        <w:rPr>
          <w:sz w:val="20"/>
          <w:lang w:val="en-US"/>
        </w:rPr>
        <w:t xml:space="preserve">Since </w:t>
      </w:r>
      <w:r w:rsidRPr="00A077FB">
        <w:rPr>
          <w:i/>
          <w:sz w:val="20"/>
          <w:lang w:val="en-US"/>
        </w:rPr>
        <w:t>Toronto Electric Commissioners v. Snider</w:t>
      </w:r>
      <w:r w:rsidRPr="00A077FB">
        <w:rPr>
          <w:sz w:val="20"/>
          <w:lang w:val="en-US"/>
        </w:rPr>
        <w:t xml:space="preserve">, [1925] A.C. 396 (P.C.), labour relations is presumptively a provincial matter.  Despite the provinces’ presumptive interest in the regulation of labour relations, the federal government has jurisdiction to regulate labour relations in two circumstances: when the employment relates to a work, undertaking, or business within the legislative authority of Parliament; or when it is an integral part of a federally regulated undertaking, sometimes referred to as derivative jurisdiction.  </w:t>
      </w:r>
    </w:p>
    <w:p w:rsidR="006E561B" w:rsidRDefault="006E561B" w:rsidP="006E561B">
      <w:pPr>
        <w:pStyle w:val="SCCNormalDoubleSpacing"/>
        <w:spacing w:line="240" w:lineRule="auto"/>
        <w:rPr>
          <w:sz w:val="20"/>
          <w:lang w:val="en-US"/>
        </w:rPr>
      </w:pPr>
    </w:p>
    <w:p w:rsidR="006E561B" w:rsidRPr="00A077FB" w:rsidRDefault="006E561B" w:rsidP="006E561B">
      <w:pPr>
        <w:pStyle w:val="SCCNormalDoubleSpacing"/>
        <w:spacing w:line="240" w:lineRule="auto"/>
        <w:rPr>
          <w:sz w:val="20"/>
          <w:lang w:val="en-US"/>
        </w:rPr>
      </w:pPr>
      <w:r w:rsidRPr="00A077FB">
        <w:rPr>
          <w:sz w:val="20"/>
          <w:lang w:val="en-US"/>
        </w:rPr>
        <w:tab/>
        <w:t>In the case of derivative jurisdiction, the essential operational nature of a work, business or undertaking is assessed to determine if that ongoing nature renders the work integral to a federal undertaking.  The focus of the analysis is on the relationship between the activity, the particular employees under scrutiny, and the federal operation that is said to benefit from the work of those employees.  The relationship is to be considered from the perspective both of the federal undertaking and that of the work said to be integrally related, assessing the extent to which the effective performance of the federal undertaking is dependent on the services provided by the related operation, and how important those services were to the related work itself.  The exceptional aspects of an enterprise do not determine its ongoing character.</w:t>
      </w:r>
    </w:p>
    <w:p w:rsidR="006E561B" w:rsidRDefault="006E561B" w:rsidP="006E561B">
      <w:pPr>
        <w:pStyle w:val="SCCNormalDoubleSpacing"/>
        <w:spacing w:line="240" w:lineRule="auto"/>
        <w:rPr>
          <w:sz w:val="20"/>
          <w:lang w:val="en-US"/>
        </w:rPr>
      </w:pPr>
    </w:p>
    <w:p w:rsidR="006E561B" w:rsidRPr="00A077FB" w:rsidRDefault="006E561B" w:rsidP="006E561B">
      <w:pPr>
        <w:pStyle w:val="SCCNormalDoubleSpacing"/>
        <w:spacing w:line="240" w:lineRule="auto"/>
        <w:rPr>
          <w:sz w:val="20"/>
          <w:lang w:val="en-US"/>
        </w:rPr>
      </w:pPr>
      <w:r w:rsidRPr="00A077FB">
        <w:rPr>
          <w:sz w:val="20"/>
          <w:lang w:val="en-US"/>
        </w:rPr>
        <w:tab/>
        <w:t>Federal labour regulation may be justified when the services provided to the federal undertaking form the exclusive or principal part of the related work’s activities.  It may also be justified when the services provided to the federal undertaking are performed by employees who form a functionally discrete unit that can be constitutionally characterized separately from the rest of the related operation.  If the employees performing the work do not form a discrete unit and are fully integrated into the related operation, then even if the work of those employees is vital to the functioning of a federal undertaking, it will not render federal an operation that is otherwise local if the work represents an insignificant part of the employees’ time or is a minor aspect of the essential ongoing nature of the operation.</w:t>
      </w:r>
    </w:p>
    <w:p w:rsidR="006E561B" w:rsidRDefault="006E561B" w:rsidP="006E561B">
      <w:pPr>
        <w:pStyle w:val="SCCNormalDoubleSpacing"/>
        <w:spacing w:line="240" w:lineRule="auto"/>
        <w:rPr>
          <w:sz w:val="20"/>
          <w:lang w:val="en-US"/>
        </w:rPr>
      </w:pPr>
    </w:p>
    <w:p w:rsidR="006E561B" w:rsidRDefault="006E561B" w:rsidP="006E561B">
      <w:pPr>
        <w:pStyle w:val="SCCNormalDoubleSpacing"/>
        <w:spacing w:line="240" w:lineRule="auto"/>
        <w:rPr>
          <w:sz w:val="20"/>
          <w:lang w:val="en-US"/>
        </w:rPr>
      </w:pPr>
      <w:r w:rsidRPr="00A077FB">
        <w:rPr>
          <w:sz w:val="20"/>
          <w:lang w:val="en-US"/>
        </w:rPr>
        <w:tab/>
        <w:t>In this case, T devoted the majority of its efforts to provincially regulated activities.  Its essential operational nature is local, and its stevedoring activities, which are integrated with its overall operations, form a relatively minor part of its overall operation.  As a result, T’s employees are governed by provincial occupational health and safety legislation.</w:t>
      </w:r>
    </w:p>
    <w:p w:rsidR="006E561B" w:rsidRPr="00A077FB" w:rsidRDefault="006E561B" w:rsidP="006E561B">
      <w:pPr>
        <w:pStyle w:val="SCCNormalDoubleSpacing"/>
        <w:spacing w:line="240" w:lineRule="auto"/>
        <w:rPr>
          <w:sz w:val="20"/>
          <w:lang w:val="en-US"/>
        </w:rPr>
      </w:pPr>
    </w:p>
    <w:p w:rsidR="006E561B" w:rsidRPr="00A077FB" w:rsidRDefault="006E561B" w:rsidP="006E561B">
      <w:pPr>
        <w:pStyle w:val="SCCNormalDoubleSpacing"/>
        <w:spacing w:line="240" w:lineRule="auto"/>
        <w:rPr>
          <w:sz w:val="20"/>
          <w:lang w:val="en-US"/>
        </w:rPr>
      </w:pPr>
      <w:r w:rsidRPr="006E561B">
        <w:rPr>
          <w:sz w:val="20"/>
        </w:rPr>
        <w:tab/>
      </w:r>
      <w:r w:rsidRPr="00A077FB">
        <w:rPr>
          <w:sz w:val="20"/>
        </w:rPr>
        <w:t xml:space="preserve">APPEAL from a judgment of the Quebec Court of Appeal (Robert C.J. and Rochette and Bouchard JJ.A.), </w:t>
      </w:r>
      <w:r w:rsidR="00414F7B" w:rsidRPr="00A077FB">
        <w:rPr>
          <w:sz w:val="20"/>
        </w:rPr>
        <w:fldChar w:fldCharType="begin"/>
      </w:r>
      <w:r w:rsidRPr="00A077FB">
        <w:rPr>
          <w:sz w:val="20"/>
        </w:rPr>
        <w:instrText xml:space="preserve"> SEQ CHAPTER \h \r 1</w:instrText>
      </w:r>
      <w:r w:rsidR="00414F7B" w:rsidRPr="00A077FB">
        <w:rPr>
          <w:sz w:val="20"/>
        </w:rPr>
        <w:fldChar w:fldCharType="end"/>
      </w:r>
      <w:r w:rsidRPr="00A077FB">
        <w:rPr>
          <w:sz w:val="20"/>
        </w:rPr>
        <w:t>2010 QCCA 1642, [2010] R.J.Q. 2131, [2010] C.L.P. 691, [2010] R.J.D.T. 1027, SOQUIJ AZ</w:t>
      </w:r>
      <w:r w:rsidRPr="00A077FB">
        <w:rPr>
          <w:sz w:val="20"/>
        </w:rPr>
        <w:noBreakHyphen/>
        <w:t>50671246, [2010] J.Q. n</w:t>
      </w:r>
      <w:r w:rsidRPr="00A077FB">
        <w:rPr>
          <w:sz w:val="20"/>
          <w:vertAlign w:val="superscript"/>
        </w:rPr>
        <w:t>o</w:t>
      </w:r>
      <w:r w:rsidRPr="00A077FB">
        <w:rPr>
          <w:sz w:val="20"/>
        </w:rPr>
        <w:t xml:space="preserve"> 9074 (QL), 2010 CarswellQue </w:t>
      </w:r>
      <w:r w:rsidR="00414F7B" w:rsidRPr="00A077FB">
        <w:rPr>
          <w:sz w:val="20"/>
        </w:rPr>
        <w:fldChar w:fldCharType="begin"/>
      </w:r>
      <w:r w:rsidRPr="00A077FB">
        <w:rPr>
          <w:sz w:val="20"/>
        </w:rPr>
        <w:instrText xml:space="preserve"> SEQ CHAPTER \h \r 1</w:instrText>
      </w:r>
      <w:r w:rsidR="00414F7B" w:rsidRPr="00A077FB">
        <w:rPr>
          <w:sz w:val="20"/>
        </w:rPr>
        <w:fldChar w:fldCharType="end"/>
      </w:r>
      <w:r w:rsidRPr="00A077FB">
        <w:rPr>
          <w:sz w:val="20"/>
        </w:rPr>
        <w:t xml:space="preserve">15641, reversing a decision of Viens J., </w:t>
      </w:r>
      <w:r w:rsidR="00414F7B" w:rsidRPr="00A077FB">
        <w:rPr>
          <w:sz w:val="20"/>
        </w:rPr>
        <w:fldChar w:fldCharType="begin"/>
      </w:r>
      <w:r w:rsidRPr="00A077FB">
        <w:rPr>
          <w:sz w:val="20"/>
        </w:rPr>
        <w:instrText xml:space="preserve"> SEQ CHAPTER \h \r 1</w:instrText>
      </w:r>
      <w:r w:rsidR="00414F7B" w:rsidRPr="00A077FB">
        <w:rPr>
          <w:sz w:val="20"/>
        </w:rPr>
        <w:fldChar w:fldCharType="end"/>
      </w:r>
      <w:r w:rsidRPr="00A077FB">
        <w:rPr>
          <w:sz w:val="20"/>
        </w:rPr>
        <w:t>2009 QCCS 576, [2008] C.L.P. 1607, SOQUIJ AZ</w:t>
      </w:r>
      <w:r w:rsidRPr="00A077FB">
        <w:rPr>
          <w:sz w:val="20"/>
        </w:rPr>
        <w:noBreakHyphen/>
        <w:t>50538032, [2009] J.Q. n</w:t>
      </w:r>
      <w:r w:rsidRPr="00A077FB">
        <w:rPr>
          <w:sz w:val="20"/>
          <w:vertAlign w:val="superscript"/>
        </w:rPr>
        <w:t>o</w:t>
      </w:r>
      <w:r w:rsidRPr="00A077FB">
        <w:rPr>
          <w:sz w:val="20"/>
        </w:rPr>
        <w:t xml:space="preserve"> 1155 (QL), 2009 CarswellQue 1473.  Appeal dismissed.</w:t>
      </w:r>
      <w:r w:rsidRPr="00A077FB">
        <w:rPr>
          <w:sz w:val="20"/>
          <w:lang w:val="en-US"/>
        </w:rPr>
        <w:t xml:space="preserve"> </w:t>
      </w:r>
    </w:p>
    <w:p w:rsidR="006E561B" w:rsidRDefault="006E561B" w:rsidP="006E561B">
      <w:pPr>
        <w:pStyle w:val="SCCNormalDoubleSpacing"/>
        <w:spacing w:line="240" w:lineRule="auto"/>
        <w:rPr>
          <w:i/>
          <w:sz w:val="20"/>
          <w:lang w:val="en-US"/>
        </w:rPr>
      </w:pPr>
    </w:p>
    <w:p w:rsidR="006E561B" w:rsidRPr="00A077FB" w:rsidRDefault="006E561B" w:rsidP="006E561B">
      <w:pPr>
        <w:pStyle w:val="SCCNormalDoubleSpacing"/>
        <w:spacing w:line="240" w:lineRule="auto"/>
        <w:rPr>
          <w:sz w:val="20"/>
        </w:rPr>
      </w:pPr>
      <w:r w:rsidRPr="00A077FB">
        <w:rPr>
          <w:i/>
          <w:sz w:val="20"/>
          <w:lang w:val="en-US"/>
        </w:rPr>
        <w:tab/>
      </w:r>
      <w:r w:rsidRPr="00A077FB">
        <w:rPr>
          <w:i/>
          <w:sz w:val="20"/>
        </w:rPr>
        <w:t>André Asselin</w:t>
      </w:r>
      <w:r w:rsidRPr="00A077FB">
        <w:rPr>
          <w:sz w:val="20"/>
        </w:rPr>
        <w:t xml:space="preserve">, </w:t>
      </w:r>
      <w:r w:rsidRPr="00A077FB">
        <w:rPr>
          <w:i/>
          <w:sz w:val="20"/>
        </w:rPr>
        <w:t>Sébastien Gobeil</w:t>
      </w:r>
      <w:r w:rsidRPr="00A077FB">
        <w:rPr>
          <w:sz w:val="20"/>
        </w:rPr>
        <w:t xml:space="preserve"> and </w:t>
      </w:r>
      <w:r w:rsidRPr="00A077FB">
        <w:rPr>
          <w:i/>
          <w:sz w:val="20"/>
        </w:rPr>
        <w:t>Maxime</w:t>
      </w:r>
      <w:r w:rsidRPr="00A077FB">
        <w:rPr>
          <w:i/>
          <w:sz w:val="20"/>
        </w:rPr>
        <w:noBreakHyphen/>
        <w:t>Arnaud Keable</w:t>
      </w:r>
      <w:r w:rsidRPr="00A077FB">
        <w:rPr>
          <w:sz w:val="20"/>
        </w:rPr>
        <w:t>, for the appellant.</w:t>
      </w:r>
    </w:p>
    <w:p w:rsidR="006E561B" w:rsidRDefault="006E561B" w:rsidP="006E561B">
      <w:pPr>
        <w:pStyle w:val="SCCNormalDoubleSpacing"/>
        <w:spacing w:line="240" w:lineRule="auto"/>
        <w:rPr>
          <w:i/>
          <w:sz w:val="20"/>
        </w:rPr>
      </w:pPr>
    </w:p>
    <w:p w:rsidR="006E561B" w:rsidRPr="00A077FB" w:rsidRDefault="006E561B" w:rsidP="006E561B">
      <w:pPr>
        <w:pStyle w:val="SCCNormalDoubleSpacing"/>
        <w:spacing w:line="240" w:lineRule="auto"/>
        <w:rPr>
          <w:sz w:val="20"/>
          <w:lang w:val="en-US"/>
        </w:rPr>
      </w:pPr>
      <w:r w:rsidRPr="00A077FB">
        <w:rPr>
          <w:i/>
          <w:sz w:val="20"/>
        </w:rPr>
        <w:tab/>
      </w:r>
      <w:r w:rsidRPr="00A077FB">
        <w:rPr>
          <w:i/>
          <w:sz w:val="20"/>
          <w:lang w:val="en-US"/>
        </w:rPr>
        <w:t>Pierre</w:t>
      </w:r>
      <w:r w:rsidRPr="00A077FB">
        <w:rPr>
          <w:i/>
          <w:sz w:val="20"/>
          <w:lang w:val="en-US"/>
        </w:rPr>
        <w:noBreakHyphen/>
        <w:t>Michel Lajeunesse</w:t>
      </w:r>
      <w:r w:rsidRPr="00A077FB">
        <w:rPr>
          <w:sz w:val="20"/>
          <w:lang w:val="en-US"/>
        </w:rPr>
        <w:t>, for the respondent.</w:t>
      </w:r>
    </w:p>
    <w:p w:rsidR="006E561B" w:rsidRDefault="006E561B" w:rsidP="006E561B">
      <w:pPr>
        <w:pStyle w:val="SCCNormalDoubleSpacing"/>
        <w:spacing w:line="240" w:lineRule="auto"/>
        <w:rPr>
          <w:i/>
          <w:sz w:val="20"/>
        </w:rPr>
      </w:pPr>
    </w:p>
    <w:p w:rsidR="006E561B" w:rsidRPr="00A077FB" w:rsidRDefault="006E561B" w:rsidP="006E561B">
      <w:pPr>
        <w:pStyle w:val="SCCNormalDoubleSpacing"/>
        <w:spacing w:line="240" w:lineRule="auto"/>
        <w:rPr>
          <w:sz w:val="20"/>
        </w:rPr>
      </w:pPr>
      <w:r w:rsidRPr="00A077FB">
        <w:rPr>
          <w:i/>
          <w:sz w:val="20"/>
        </w:rPr>
        <w:lastRenderedPageBreak/>
        <w:tab/>
        <w:t>Robin K. Basu</w:t>
      </w:r>
      <w:r w:rsidRPr="00A077FB">
        <w:rPr>
          <w:sz w:val="20"/>
        </w:rPr>
        <w:t xml:space="preserve"> and </w:t>
      </w:r>
      <w:r w:rsidRPr="00A077FB">
        <w:rPr>
          <w:i/>
          <w:sz w:val="20"/>
        </w:rPr>
        <w:t>Shannon M. Chace</w:t>
      </w:r>
      <w:r w:rsidRPr="00A077FB">
        <w:rPr>
          <w:sz w:val="20"/>
        </w:rPr>
        <w:t>, for the intervener the Attorney General of Ontario.</w:t>
      </w:r>
    </w:p>
    <w:p w:rsidR="006E561B" w:rsidRDefault="006E561B" w:rsidP="006E561B">
      <w:pPr>
        <w:pStyle w:val="SCCNormalDoubleSpacing"/>
        <w:spacing w:line="240" w:lineRule="auto"/>
        <w:rPr>
          <w:i/>
          <w:sz w:val="20"/>
        </w:rPr>
      </w:pPr>
    </w:p>
    <w:p w:rsidR="006E561B" w:rsidRPr="00A077FB" w:rsidRDefault="006E561B" w:rsidP="006E561B">
      <w:pPr>
        <w:pStyle w:val="SCCNormalDoubleSpacing"/>
        <w:spacing w:line="240" w:lineRule="auto"/>
        <w:rPr>
          <w:sz w:val="20"/>
        </w:rPr>
      </w:pPr>
      <w:r w:rsidRPr="00A077FB">
        <w:rPr>
          <w:i/>
          <w:sz w:val="20"/>
        </w:rPr>
        <w:tab/>
        <w:t>Jean</w:t>
      </w:r>
      <w:r w:rsidRPr="00A077FB">
        <w:rPr>
          <w:i/>
          <w:sz w:val="20"/>
        </w:rPr>
        <w:noBreakHyphen/>
        <w:t>Vincent Lacroix</w:t>
      </w:r>
      <w:r w:rsidRPr="00A077FB">
        <w:rPr>
          <w:sz w:val="20"/>
        </w:rPr>
        <w:t>, for the intervener the Attorney General of Quebec.</w:t>
      </w:r>
    </w:p>
    <w:p w:rsidR="006E561B" w:rsidRDefault="006E561B" w:rsidP="006E561B">
      <w:pPr>
        <w:pStyle w:val="SCCNormalDoubleSpacing"/>
        <w:spacing w:line="240" w:lineRule="auto"/>
        <w:rPr>
          <w:i/>
          <w:sz w:val="20"/>
        </w:rPr>
      </w:pPr>
    </w:p>
    <w:p w:rsidR="006E561B" w:rsidRPr="00A077FB" w:rsidRDefault="006E561B" w:rsidP="006E561B">
      <w:pPr>
        <w:pStyle w:val="SCCNormalDoubleSpacing"/>
        <w:spacing w:line="240" w:lineRule="auto"/>
        <w:rPr>
          <w:sz w:val="20"/>
        </w:rPr>
      </w:pPr>
      <w:r w:rsidRPr="00A077FB">
        <w:rPr>
          <w:i/>
          <w:sz w:val="20"/>
        </w:rPr>
        <w:tab/>
        <w:t>Jonathan G. Penner</w:t>
      </w:r>
      <w:r w:rsidRPr="00A077FB">
        <w:rPr>
          <w:sz w:val="20"/>
        </w:rPr>
        <w:t xml:space="preserve"> and </w:t>
      </w:r>
      <w:r w:rsidRPr="00A077FB">
        <w:rPr>
          <w:i/>
          <w:sz w:val="20"/>
        </w:rPr>
        <w:t>Freya Zaltz</w:t>
      </w:r>
      <w:r w:rsidRPr="00A077FB">
        <w:rPr>
          <w:sz w:val="20"/>
        </w:rPr>
        <w:t>, for the intervener the Attorney General of British Columbia.</w:t>
      </w:r>
    </w:p>
    <w:p w:rsidR="006E561B" w:rsidRDefault="006E561B" w:rsidP="006E561B">
      <w:pPr>
        <w:pStyle w:val="SCCLawFirm"/>
        <w:spacing w:line="240" w:lineRule="auto"/>
        <w:rPr>
          <w:sz w:val="20"/>
        </w:rPr>
      </w:pPr>
    </w:p>
    <w:p w:rsidR="006E561B" w:rsidRPr="00A077FB" w:rsidRDefault="006E561B" w:rsidP="006E561B">
      <w:pPr>
        <w:pStyle w:val="SCCLawFirm"/>
        <w:spacing w:line="240" w:lineRule="auto"/>
        <w:rPr>
          <w:sz w:val="20"/>
        </w:rPr>
      </w:pPr>
      <w:r w:rsidRPr="00A077FB">
        <w:rPr>
          <w:sz w:val="20"/>
        </w:rPr>
        <w:tab/>
        <w:t>Solicitors for the appellant:  Fasken Martineau DuMoulin, Québec.</w:t>
      </w:r>
    </w:p>
    <w:p w:rsidR="006E561B" w:rsidRDefault="006E561B" w:rsidP="006E561B">
      <w:pPr>
        <w:pStyle w:val="SCCLawFirm"/>
        <w:spacing w:line="240" w:lineRule="auto"/>
        <w:rPr>
          <w:sz w:val="20"/>
        </w:rPr>
      </w:pPr>
    </w:p>
    <w:p w:rsidR="006E561B" w:rsidRPr="00A077FB" w:rsidRDefault="006E561B" w:rsidP="006E561B">
      <w:pPr>
        <w:pStyle w:val="SCCLawFirm"/>
        <w:spacing w:line="240" w:lineRule="auto"/>
        <w:rPr>
          <w:sz w:val="20"/>
        </w:rPr>
      </w:pPr>
      <w:r w:rsidRPr="00A077FB">
        <w:rPr>
          <w:sz w:val="20"/>
        </w:rPr>
        <w:tab/>
        <w:t>Solicitors for the respondent:  Vigneault Thibodeau Bergeron, Québec.</w:t>
      </w:r>
    </w:p>
    <w:p w:rsidR="006E561B" w:rsidRDefault="006E561B" w:rsidP="006E561B">
      <w:pPr>
        <w:pStyle w:val="SCCLawFirm"/>
        <w:spacing w:line="240" w:lineRule="auto"/>
        <w:rPr>
          <w:sz w:val="20"/>
        </w:rPr>
      </w:pPr>
    </w:p>
    <w:p w:rsidR="006E561B" w:rsidRPr="00A077FB" w:rsidRDefault="006E561B" w:rsidP="006E561B">
      <w:pPr>
        <w:pStyle w:val="SCCLawFirm"/>
        <w:spacing w:line="240" w:lineRule="auto"/>
        <w:rPr>
          <w:sz w:val="20"/>
        </w:rPr>
      </w:pPr>
      <w:r w:rsidRPr="00A077FB">
        <w:rPr>
          <w:sz w:val="20"/>
        </w:rPr>
        <w:tab/>
        <w:t>Solicitor for the intervener the Attorney General of Ontario:  Attorney General of Ontario, Toronto.</w:t>
      </w:r>
    </w:p>
    <w:p w:rsidR="006E561B" w:rsidRDefault="006E561B" w:rsidP="006E561B">
      <w:pPr>
        <w:pStyle w:val="SCCLawFirm"/>
        <w:spacing w:line="240" w:lineRule="auto"/>
        <w:rPr>
          <w:sz w:val="20"/>
        </w:rPr>
      </w:pPr>
    </w:p>
    <w:p w:rsidR="006E561B" w:rsidRPr="00A077FB" w:rsidRDefault="006E561B" w:rsidP="006E561B">
      <w:pPr>
        <w:pStyle w:val="SCCLawFirm"/>
        <w:spacing w:line="240" w:lineRule="auto"/>
        <w:rPr>
          <w:sz w:val="20"/>
        </w:rPr>
      </w:pPr>
      <w:r w:rsidRPr="00A077FB">
        <w:rPr>
          <w:sz w:val="20"/>
        </w:rPr>
        <w:tab/>
        <w:t>Solicitor for the intervener the Attorney General of Quebec:  Attorney General of Quebec, Québec.</w:t>
      </w:r>
    </w:p>
    <w:p w:rsidR="006E561B" w:rsidRDefault="006E561B" w:rsidP="006E561B">
      <w:pPr>
        <w:pStyle w:val="SCCLawFirm"/>
        <w:spacing w:line="240" w:lineRule="auto"/>
        <w:rPr>
          <w:sz w:val="20"/>
        </w:rPr>
      </w:pPr>
    </w:p>
    <w:p w:rsidR="006E561B" w:rsidRPr="006E561B" w:rsidRDefault="006E561B" w:rsidP="006E561B">
      <w:pPr>
        <w:jc w:val="both"/>
        <w:rPr>
          <w:i/>
          <w:sz w:val="20"/>
          <w:szCs w:val="20"/>
        </w:rPr>
      </w:pPr>
      <w:r w:rsidRPr="00A077FB">
        <w:rPr>
          <w:sz w:val="20"/>
          <w:szCs w:val="20"/>
        </w:rPr>
        <w:tab/>
      </w:r>
      <w:r w:rsidRPr="006E561B">
        <w:rPr>
          <w:i/>
          <w:sz w:val="20"/>
          <w:szCs w:val="20"/>
        </w:rPr>
        <w:t>Solicitor for the intervener the Attorney General of British Columbia:  Attorney General of British Columbia, Victoria.</w:t>
      </w:r>
    </w:p>
    <w:p w:rsidR="006E561B" w:rsidRPr="006E561B" w:rsidRDefault="006E561B" w:rsidP="006E561B">
      <w:pPr>
        <w:jc w:val="both"/>
        <w:rPr>
          <w:rFonts w:cs="Times New Roman"/>
          <w:sz w:val="20"/>
          <w:szCs w:val="20"/>
        </w:rPr>
      </w:pPr>
    </w:p>
    <w:p w:rsidR="005C6840" w:rsidRDefault="00414F7B" w:rsidP="005C6840">
      <w:pPr>
        <w:rPr>
          <w:lang w:val="fr-CA"/>
        </w:rPr>
      </w:pPr>
      <w:r w:rsidRPr="00414F7B">
        <w:rPr>
          <w:rFonts w:cs="Times New Roman"/>
          <w:sz w:val="20"/>
          <w:szCs w:val="20"/>
          <w:lang w:val="fr-CA"/>
        </w:rPr>
        <w:pict>
          <v:rect id="_x0000_i1086" style="width:144.3pt;height:1pt" o:hrpct="300" o:hralign="center" o:hrstd="t" o:hrnoshade="t" o:hr="t" fillcolor="black [3213]" stroked="f"/>
        </w:pict>
      </w:r>
      <w:r w:rsidR="005C6840">
        <w:rPr>
          <w:lang w:val="fr-CA"/>
        </w:rPr>
        <w:br w:type="page"/>
      </w:r>
    </w:p>
    <w:p w:rsidR="00A30DAE" w:rsidRDefault="00A30DAE" w:rsidP="005C6840">
      <w:pPr>
        <w:tabs>
          <w:tab w:val="left" w:pos="-1440"/>
        </w:tabs>
        <w:ind w:left="720" w:hanging="720"/>
        <w:jc w:val="both"/>
        <w:rPr>
          <w:sz w:val="20"/>
          <w:szCs w:val="20"/>
        </w:rPr>
      </w:pPr>
      <w:r w:rsidRPr="00486208">
        <w:rPr>
          <w:i/>
          <w:sz w:val="20"/>
          <w:szCs w:val="20"/>
        </w:rPr>
        <w:lastRenderedPageBreak/>
        <w:t>Matthew Leslie Maybin et al. v. Her Majesty the Queen</w:t>
      </w:r>
      <w:r w:rsidRPr="00486208">
        <w:rPr>
          <w:sz w:val="20"/>
          <w:szCs w:val="20"/>
        </w:rPr>
        <w:t xml:space="preserve"> (B.C.) (34011)</w:t>
      </w:r>
    </w:p>
    <w:p w:rsidR="005C6840" w:rsidRPr="003B3977" w:rsidRDefault="001156A5" w:rsidP="001156A5">
      <w:pPr>
        <w:jc w:val="both"/>
        <w:rPr>
          <w:spacing w:val="3"/>
          <w:sz w:val="20"/>
          <w:szCs w:val="20"/>
        </w:rPr>
      </w:pPr>
      <w:r w:rsidRPr="00A960E4">
        <w:rPr>
          <w:b/>
          <w:sz w:val="20"/>
          <w:szCs w:val="20"/>
        </w:rPr>
        <w:t xml:space="preserve">Indexed as:  R. </w:t>
      </w:r>
      <w:r w:rsidRPr="00A960E4">
        <w:rPr>
          <w:b/>
          <w:i/>
          <w:sz w:val="20"/>
          <w:szCs w:val="20"/>
        </w:rPr>
        <w:t>v.</w:t>
      </w:r>
      <w:r w:rsidRPr="00A960E4">
        <w:rPr>
          <w:b/>
          <w:sz w:val="20"/>
          <w:szCs w:val="20"/>
        </w:rPr>
        <w:t xml:space="preserve"> Maybin</w:t>
      </w:r>
      <w:r>
        <w:rPr>
          <w:b/>
          <w:sz w:val="20"/>
          <w:szCs w:val="20"/>
        </w:rPr>
        <w:t xml:space="preserve"> / </w:t>
      </w:r>
      <w:r w:rsidRPr="0092778C">
        <w:rPr>
          <w:b/>
          <w:sz w:val="20"/>
          <w:szCs w:val="20"/>
        </w:rPr>
        <w:t xml:space="preserve">Répertorié : R. </w:t>
      </w:r>
      <w:r w:rsidRPr="0092778C">
        <w:rPr>
          <w:b/>
          <w:i/>
          <w:sz w:val="20"/>
          <w:szCs w:val="20"/>
        </w:rPr>
        <w:t>c.</w:t>
      </w:r>
      <w:r w:rsidRPr="0092778C">
        <w:rPr>
          <w:b/>
          <w:sz w:val="20"/>
          <w:szCs w:val="20"/>
        </w:rPr>
        <w:t xml:space="preserve"> Maybin</w:t>
      </w:r>
    </w:p>
    <w:p w:rsidR="005C6840" w:rsidRPr="00146189" w:rsidRDefault="005C6840" w:rsidP="005C6840">
      <w:pPr>
        <w:pStyle w:val="SCCSystemYear"/>
        <w:jc w:val="both"/>
        <w:rPr>
          <w:sz w:val="20"/>
        </w:rPr>
      </w:pPr>
      <w:r w:rsidRPr="00146189">
        <w:rPr>
          <w:sz w:val="20"/>
        </w:rPr>
        <w:t>Neutral citation:  201</w:t>
      </w:r>
      <w:r w:rsidR="00A30DAE" w:rsidRPr="00146189">
        <w:rPr>
          <w:sz w:val="20"/>
        </w:rPr>
        <w:t>2</w:t>
      </w:r>
      <w:r w:rsidRPr="00146189">
        <w:rPr>
          <w:sz w:val="20"/>
        </w:rPr>
        <w:t xml:space="preserve"> SCC </w:t>
      </w:r>
      <w:r w:rsidR="007F387B" w:rsidRPr="00146189">
        <w:rPr>
          <w:sz w:val="20"/>
        </w:rPr>
        <w:t>2</w:t>
      </w:r>
      <w:r w:rsidR="00A30DAE" w:rsidRPr="00146189">
        <w:rPr>
          <w:sz w:val="20"/>
        </w:rPr>
        <w:t>4</w:t>
      </w:r>
      <w:r w:rsidRPr="00146189">
        <w:rPr>
          <w:sz w:val="20"/>
        </w:rPr>
        <w:t xml:space="preserve"> / Référence neutre : 201</w:t>
      </w:r>
      <w:r w:rsidR="00A30DAE" w:rsidRPr="00146189">
        <w:rPr>
          <w:sz w:val="20"/>
        </w:rPr>
        <w:t>2</w:t>
      </w:r>
      <w:r w:rsidRPr="00146189">
        <w:rPr>
          <w:sz w:val="20"/>
        </w:rPr>
        <w:t xml:space="preserve"> CSC </w:t>
      </w:r>
      <w:r w:rsidR="007F387B" w:rsidRPr="00146189">
        <w:rPr>
          <w:sz w:val="20"/>
        </w:rPr>
        <w:t>2</w:t>
      </w:r>
      <w:r w:rsidR="00A30DAE" w:rsidRPr="00146189">
        <w:rPr>
          <w:sz w:val="20"/>
        </w:rPr>
        <w:t>4</w:t>
      </w:r>
    </w:p>
    <w:p w:rsidR="005C6840" w:rsidRPr="001156A5" w:rsidRDefault="005C6840" w:rsidP="005C6840">
      <w:pPr>
        <w:rPr>
          <w:sz w:val="20"/>
          <w:szCs w:val="20"/>
          <w:lang w:val="fr-CA"/>
        </w:rPr>
      </w:pPr>
      <w:r w:rsidRPr="001156A5">
        <w:rPr>
          <w:sz w:val="20"/>
          <w:szCs w:val="20"/>
          <w:lang w:val="fr-CA"/>
        </w:rPr>
        <w:t xml:space="preserve">Hearing:  </w:t>
      </w:r>
      <w:r w:rsidR="001156A5">
        <w:rPr>
          <w:sz w:val="20"/>
          <w:szCs w:val="20"/>
          <w:lang w:val="fr-CA"/>
        </w:rPr>
        <w:t xml:space="preserve">December </w:t>
      </w:r>
      <w:r w:rsidRPr="001156A5">
        <w:rPr>
          <w:sz w:val="20"/>
          <w:szCs w:val="20"/>
          <w:lang w:val="fr-CA"/>
        </w:rPr>
        <w:t>1</w:t>
      </w:r>
      <w:r w:rsidR="001156A5">
        <w:rPr>
          <w:sz w:val="20"/>
          <w:szCs w:val="20"/>
          <w:lang w:val="fr-CA"/>
        </w:rPr>
        <w:t>5</w:t>
      </w:r>
      <w:r w:rsidRPr="001156A5">
        <w:rPr>
          <w:sz w:val="20"/>
          <w:szCs w:val="20"/>
          <w:lang w:val="fr-CA"/>
        </w:rPr>
        <w:t>, 201</w:t>
      </w:r>
      <w:r w:rsidR="001156A5">
        <w:rPr>
          <w:sz w:val="20"/>
          <w:szCs w:val="20"/>
          <w:lang w:val="fr-CA"/>
        </w:rPr>
        <w:t>1</w:t>
      </w:r>
      <w:r w:rsidRPr="001156A5">
        <w:rPr>
          <w:sz w:val="20"/>
          <w:szCs w:val="20"/>
          <w:lang w:val="fr-CA"/>
        </w:rPr>
        <w:t xml:space="preserve"> / Judgment:  </w:t>
      </w:r>
      <w:r w:rsidR="00A30DAE" w:rsidRPr="001156A5">
        <w:rPr>
          <w:sz w:val="20"/>
          <w:szCs w:val="20"/>
          <w:lang w:val="fr-CA"/>
        </w:rPr>
        <w:t>May</w:t>
      </w:r>
      <w:r w:rsidRPr="001156A5">
        <w:rPr>
          <w:sz w:val="20"/>
          <w:szCs w:val="20"/>
          <w:lang w:val="fr-CA"/>
        </w:rPr>
        <w:t xml:space="preserve"> </w:t>
      </w:r>
      <w:r w:rsidR="00A30DAE" w:rsidRPr="001156A5">
        <w:rPr>
          <w:sz w:val="20"/>
          <w:szCs w:val="20"/>
          <w:lang w:val="fr-CA"/>
        </w:rPr>
        <w:t>1</w:t>
      </w:r>
      <w:r w:rsidRPr="001156A5">
        <w:rPr>
          <w:sz w:val="20"/>
          <w:szCs w:val="20"/>
          <w:lang w:val="fr-CA"/>
        </w:rPr>
        <w:t>8, 201</w:t>
      </w:r>
      <w:r w:rsidR="00A30DAE" w:rsidRPr="001156A5">
        <w:rPr>
          <w:sz w:val="20"/>
          <w:szCs w:val="20"/>
          <w:lang w:val="fr-CA"/>
        </w:rPr>
        <w:t>2</w:t>
      </w:r>
    </w:p>
    <w:p w:rsidR="005C6840" w:rsidRPr="00146189" w:rsidRDefault="005C6840" w:rsidP="005C6840">
      <w:pPr>
        <w:rPr>
          <w:sz w:val="20"/>
          <w:szCs w:val="20"/>
          <w:lang w:val="fr-CA"/>
        </w:rPr>
      </w:pPr>
      <w:r w:rsidRPr="00146189">
        <w:rPr>
          <w:sz w:val="20"/>
          <w:szCs w:val="20"/>
          <w:lang w:val="fr-CA"/>
        </w:rPr>
        <w:t>Audition : Le 1</w:t>
      </w:r>
      <w:r w:rsidR="001156A5">
        <w:rPr>
          <w:sz w:val="20"/>
          <w:szCs w:val="20"/>
          <w:lang w:val="fr-CA"/>
        </w:rPr>
        <w:t>5 déce</w:t>
      </w:r>
      <w:r w:rsidRPr="00146189">
        <w:rPr>
          <w:sz w:val="20"/>
          <w:szCs w:val="20"/>
          <w:lang w:val="fr-CA"/>
        </w:rPr>
        <w:t>m</w:t>
      </w:r>
      <w:r w:rsidR="001156A5">
        <w:rPr>
          <w:sz w:val="20"/>
          <w:szCs w:val="20"/>
          <w:lang w:val="fr-CA"/>
        </w:rPr>
        <w:t>bre</w:t>
      </w:r>
      <w:r w:rsidRPr="00146189">
        <w:rPr>
          <w:sz w:val="20"/>
          <w:szCs w:val="20"/>
          <w:lang w:val="fr-CA"/>
        </w:rPr>
        <w:t xml:space="preserve"> 201</w:t>
      </w:r>
      <w:r w:rsidR="001156A5">
        <w:rPr>
          <w:sz w:val="20"/>
          <w:szCs w:val="20"/>
          <w:lang w:val="fr-CA"/>
        </w:rPr>
        <w:t>1</w:t>
      </w:r>
      <w:r w:rsidRPr="00146189">
        <w:rPr>
          <w:sz w:val="20"/>
          <w:szCs w:val="20"/>
          <w:lang w:val="fr-CA"/>
        </w:rPr>
        <w:t xml:space="preserve"> / Jugement : Le </w:t>
      </w:r>
      <w:r w:rsidR="00A30DAE" w:rsidRPr="00146189">
        <w:rPr>
          <w:sz w:val="20"/>
          <w:szCs w:val="20"/>
          <w:lang w:val="fr-CA"/>
        </w:rPr>
        <w:t>1</w:t>
      </w:r>
      <w:r w:rsidRPr="00146189">
        <w:rPr>
          <w:sz w:val="20"/>
          <w:szCs w:val="20"/>
          <w:lang w:val="fr-CA"/>
        </w:rPr>
        <w:t xml:space="preserve">8 </w:t>
      </w:r>
      <w:r w:rsidR="00A30DAE" w:rsidRPr="00146189">
        <w:rPr>
          <w:sz w:val="20"/>
          <w:szCs w:val="20"/>
          <w:lang w:val="fr-CA"/>
        </w:rPr>
        <w:t>mai</w:t>
      </w:r>
      <w:r w:rsidRPr="00146189">
        <w:rPr>
          <w:sz w:val="20"/>
          <w:szCs w:val="20"/>
          <w:lang w:val="fr-CA"/>
        </w:rPr>
        <w:t xml:space="preserve"> 201</w:t>
      </w:r>
      <w:r w:rsidR="00A30DAE" w:rsidRPr="00146189">
        <w:rPr>
          <w:sz w:val="20"/>
          <w:szCs w:val="20"/>
          <w:lang w:val="fr-CA"/>
        </w:rPr>
        <w:t>2</w:t>
      </w:r>
    </w:p>
    <w:p w:rsidR="005C6840" w:rsidRPr="003B3977" w:rsidRDefault="00414F7B" w:rsidP="005C6840">
      <w:pPr>
        <w:rPr>
          <w:sz w:val="20"/>
          <w:szCs w:val="20"/>
          <w:lang w:val="fr-CA"/>
        </w:rPr>
      </w:pPr>
      <w:r w:rsidRPr="00414F7B">
        <w:rPr>
          <w:i/>
          <w:sz w:val="20"/>
          <w:szCs w:val="20"/>
        </w:rPr>
        <w:pict>
          <v:rect id="_x0000_i1087"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1156A5" w:rsidRPr="00A960E4" w:rsidRDefault="001156A5" w:rsidP="001156A5">
      <w:pPr>
        <w:jc w:val="both"/>
        <w:rPr>
          <w:sz w:val="20"/>
          <w:szCs w:val="20"/>
        </w:rPr>
      </w:pPr>
      <w:r w:rsidRPr="00A960E4">
        <w:rPr>
          <w:sz w:val="20"/>
          <w:szCs w:val="20"/>
        </w:rPr>
        <w:t>Present:  LeBel, Fish, Abella, Rothstein, Cromwell, Moldaver and Karakatsanis JJ.</w:t>
      </w:r>
    </w:p>
    <w:p w:rsidR="001156A5" w:rsidRPr="001156A5" w:rsidRDefault="001156A5" w:rsidP="001156A5">
      <w:pPr>
        <w:pStyle w:val="SCCLowerCourtNameLowercase"/>
        <w:spacing w:line="240" w:lineRule="auto"/>
        <w:rPr>
          <w:sz w:val="20"/>
          <w:lang w:val="en-CA"/>
        </w:rPr>
      </w:pPr>
    </w:p>
    <w:p w:rsidR="001156A5" w:rsidRPr="00A960E4" w:rsidRDefault="001156A5" w:rsidP="001156A5">
      <w:pPr>
        <w:pStyle w:val="SCCNormalDoubleSpacing"/>
        <w:spacing w:line="240" w:lineRule="auto"/>
        <w:rPr>
          <w:i/>
          <w:sz w:val="20"/>
        </w:rPr>
      </w:pPr>
      <w:r w:rsidRPr="00A960E4">
        <w:rPr>
          <w:i/>
          <w:sz w:val="20"/>
        </w:rPr>
        <w:tab/>
        <w:t xml:space="preserve">Criminal law — Offences — Manslaughter — Causation — Accused punching victim in head during barroom altercation rendering him unconscious — Third party intervening and punching victim in head — Victim dying from injuries — When does an intervening act by another person sever causal connection between accused’s act and victim’s death, thereby absolving accused of legal responsibility? — Whether it was open to trial judge to find that accused’s assaults remained a significant contributing cause of death despite intervening act. </w:t>
      </w:r>
    </w:p>
    <w:p w:rsidR="001156A5" w:rsidRDefault="001156A5" w:rsidP="001156A5">
      <w:pPr>
        <w:pStyle w:val="SCCNormalDoubleSpacing"/>
        <w:spacing w:line="240" w:lineRule="auto"/>
        <w:rPr>
          <w:sz w:val="20"/>
        </w:rPr>
      </w:pPr>
    </w:p>
    <w:p w:rsidR="001156A5" w:rsidRPr="00A960E4" w:rsidRDefault="001156A5" w:rsidP="001156A5">
      <w:pPr>
        <w:pStyle w:val="SCCNormalDoubleSpacing"/>
        <w:spacing w:line="240" w:lineRule="auto"/>
        <w:rPr>
          <w:sz w:val="20"/>
        </w:rPr>
      </w:pPr>
      <w:r w:rsidRPr="00A960E4">
        <w:rPr>
          <w:sz w:val="20"/>
        </w:rPr>
        <w:tab/>
        <w:t>Late at night, in a busy bar, the accused brothers T and M repeatedly punched the victim in the face and head.  T eventually struck a blow that rendered the victim unconscious.  Arriving on the scene within seconds, a bar bouncer then struck the victim in the head.  The medical evidence was inconclusive about which blows caused death.  As a result, the trial judge acquitted the accused brothers and the bouncer.  The Court of Appeal was unanimous that the accused’s assaults were factually a contributing cause of death — “but for” their actions, the victim would not have died.  Furthermore, the majority of the Court of Appeal concluded that the risk of harm caused by the intervening actor could have been reasonably foreseeable to the accused.  The dissenting judge did not agree that the accused could have reasonably foreseen the conduct of the intervening actor, and also concluded that the intentional act of a third party (bouncer) acting independently severed legal causation.  The appeal was allowed, the acquittals were set aside and a new trial was ordered.</w:t>
      </w:r>
    </w:p>
    <w:p w:rsidR="001156A5" w:rsidRDefault="001156A5" w:rsidP="001156A5">
      <w:pPr>
        <w:pStyle w:val="SCCNormalDoubleSpacing"/>
        <w:spacing w:line="240" w:lineRule="auto"/>
        <w:rPr>
          <w:sz w:val="20"/>
        </w:rPr>
      </w:pPr>
    </w:p>
    <w:p w:rsidR="001156A5" w:rsidRPr="00A960E4" w:rsidRDefault="001156A5" w:rsidP="001156A5">
      <w:pPr>
        <w:pStyle w:val="SCCNormalDoubleSpacing"/>
        <w:spacing w:line="240" w:lineRule="auto"/>
        <w:rPr>
          <w:sz w:val="20"/>
        </w:rPr>
      </w:pPr>
      <w:r w:rsidRPr="00A960E4">
        <w:rPr>
          <w:sz w:val="20"/>
        </w:rPr>
        <w:tab/>
      </w:r>
      <w:r w:rsidRPr="00A960E4">
        <w:rPr>
          <w:i/>
          <w:sz w:val="20"/>
        </w:rPr>
        <w:t>Held</w:t>
      </w:r>
      <w:r w:rsidRPr="00A960E4">
        <w:rPr>
          <w:sz w:val="20"/>
        </w:rPr>
        <w:t>:  The appeal should be dismissed.</w:t>
      </w:r>
    </w:p>
    <w:p w:rsidR="001156A5" w:rsidRDefault="001156A5" w:rsidP="001156A5">
      <w:pPr>
        <w:pStyle w:val="SCCNormalDoubleSpacing"/>
        <w:spacing w:line="240" w:lineRule="auto"/>
        <w:rPr>
          <w:sz w:val="20"/>
        </w:rPr>
      </w:pPr>
    </w:p>
    <w:p w:rsidR="001156A5" w:rsidRPr="00A960E4" w:rsidRDefault="001156A5" w:rsidP="001156A5">
      <w:pPr>
        <w:pStyle w:val="SCCNormalDoubleSpacing"/>
        <w:spacing w:line="240" w:lineRule="auto"/>
        <w:rPr>
          <w:sz w:val="20"/>
        </w:rPr>
      </w:pPr>
      <w:r w:rsidRPr="00A960E4">
        <w:rPr>
          <w:sz w:val="20"/>
        </w:rPr>
        <w:tab/>
        <w:t>Courts have used a number of analytical approaches to determine when an intervening act absolves the accused of legal responsibility for manslaughter.  For example, both the “reasonable foreseeability” and the “intentional, independent act” approach may be useful in assessing legal causation depending on the specific factual matrix.  These approaches grapple with the issue of the moral connection between the accused’s acts and the death; they acknowledge that an intervening act that is reasonably foreseeable to the accused may well not break the chain of causation, and that an independent and intentional act by a third party may in some cases make it unfair to hold the accused responsible.  These approaches may be useful tools depending upon the factual context.  However, the analysis must focus on first principles and recognize that these tools are analytical aids and do not alter the standard of legal causation or substitute new tests.  Even in cases where it is alleged that an intervening act has interrupted the chain of legal causation, the causation test remains whether the dangerous and unlawful acts of the accused are a significant contributing cause of the victim’s death.</w:t>
      </w:r>
    </w:p>
    <w:p w:rsidR="001156A5" w:rsidRDefault="001156A5" w:rsidP="001156A5">
      <w:pPr>
        <w:pStyle w:val="SCCNormalDoubleSpacing"/>
        <w:spacing w:line="240" w:lineRule="auto"/>
        <w:rPr>
          <w:sz w:val="20"/>
        </w:rPr>
      </w:pPr>
    </w:p>
    <w:p w:rsidR="001156A5" w:rsidRPr="00A960E4" w:rsidRDefault="001156A5" w:rsidP="001156A5">
      <w:pPr>
        <w:pStyle w:val="SCCNormalDoubleSpacing"/>
        <w:spacing w:line="240" w:lineRule="auto"/>
        <w:rPr>
          <w:sz w:val="20"/>
        </w:rPr>
      </w:pPr>
      <w:r w:rsidRPr="00A960E4">
        <w:rPr>
          <w:sz w:val="20"/>
        </w:rPr>
        <w:tab/>
        <w:t>The reasonable foreseeability approach questions whether it is fair to attribute the resulting death to the initial actor and posits that an accused who undertakes a dangerous act, and in so doing contributes to a death, should bear the risk that other foreseeable acts may intervene and contribute to that death.  The time to assess reasonable foreseeability is at the time of the initial unlawful act, rather than at the time of the intervening act as it is too restrictive to require that the precise details of the event be objectively foreseeable.  It is the general nature of the intervening acts and the accompanying risk of harm that needs to be reasonably foreseeable.  The intervening acts and the ensuing non</w:t>
      </w:r>
      <w:r w:rsidRPr="00A960E4">
        <w:rPr>
          <w:sz w:val="20"/>
        </w:rPr>
        <w:noBreakHyphen/>
        <w:t>trivial harm must be reasonably foreseeable in the sense that the acts and the harm that actually transpired flowed reasonably from the conduct of the accused.  If so, then the accused’s actions may remain a significant contributing cause of death.</w:t>
      </w:r>
    </w:p>
    <w:p w:rsidR="001156A5" w:rsidRDefault="001156A5" w:rsidP="001156A5">
      <w:pPr>
        <w:pStyle w:val="SCCNormalDoubleSpacing"/>
        <w:spacing w:line="240" w:lineRule="auto"/>
        <w:rPr>
          <w:sz w:val="20"/>
        </w:rPr>
      </w:pPr>
    </w:p>
    <w:p w:rsidR="001156A5" w:rsidRPr="00A960E4" w:rsidRDefault="001156A5" w:rsidP="001156A5">
      <w:pPr>
        <w:pStyle w:val="SCCNormalDoubleSpacing"/>
        <w:spacing w:line="240" w:lineRule="auto"/>
        <w:rPr>
          <w:sz w:val="20"/>
        </w:rPr>
      </w:pPr>
      <w:r w:rsidRPr="00A960E4">
        <w:rPr>
          <w:sz w:val="20"/>
        </w:rPr>
        <w:tab/>
        <w:t>Whether an intervening act is independent is sometimes framed as a question of whether the intervening act is a response to the acts of the accused.  In other words, did the act of the accused merely set the scene, allowing other circumstances to (coincidentally) intervene, or did the act of the accused trigger or provoke the action of the intervening party?  If the intervening act is a direct response or is directly linked to the accused’s actions, and does not by its nature overwhelm the original actions, then the accused cannot be said to be morally innocent of the death.</w:t>
      </w:r>
    </w:p>
    <w:p w:rsidR="001156A5" w:rsidRDefault="001156A5" w:rsidP="001156A5">
      <w:pPr>
        <w:pStyle w:val="SCCNormalDoubleSpacing"/>
        <w:spacing w:line="240" w:lineRule="auto"/>
        <w:rPr>
          <w:sz w:val="20"/>
        </w:rPr>
      </w:pPr>
    </w:p>
    <w:p w:rsidR="001156A5" w:rsidRDefault="001156A5" w:rsidP="001156A5">
      <w:pPr>
        <w:pStyle w:val="SCCNormalDoubleSpacing"/>
        <w:spacing w:line="240" w:lineRule="auto"/>
        <w:rPr>
          <w:sz w:val="20"/>
        </w:rPr>
      </w:pPr>
      <w:r w:rsidRPr="00A960E4">
        <w:rPr>
          <w:sz w:val="20"/>
        </w:rPr>
        <w:lastRenderedPageBreak/>
        <w:tab/>
        <w:t>In this case, it was open to the trial judge to conclude that it was reasonably foreseeable that the fight would escalate and other patrons would join or seek to end the fight or that the bouncers would use force to seek to gain control of the situation.  Further, it was open to the trial judge to find that the bouncer’s act was closely connected in time, place, circumstance, nature and effect with the accused’s acts and the effects of the accused’s actions were still subsisting and not spent at the time the bouncer acted.  Therefore, based upon the trial judge’s findings of fact, it was open to him to conclude that the general nature of the intervening act and the accompanying risk of harm were reasonably foreseeable; and that the act was in direct response to the accused’s unlawful actions.  The judge could have concluded that the bouncer’s assault did not necessarily constitute an intervening act that severed the link between the accused’s conduct and the victim’s death, such that it would absolve them of moral and legal responsibility.  The trial judge could have found that the accused’s actions remained a significant contributing cause of the death.</w:t>
      </w:r>
    </w:p>
    <w:p w:rsidR="001156A5" w:rsidRPr="00A960E4" w:rsidRDefault="001156A5" w:rsidP="001156A5">
      <w:pPr>
        <w:pStyle w:val="SCCNormalDoubleSpacing"/>
        <w:spacing w:line="240" w:lineRule="auto"/>
        <w:rPr>
          <w:sz w:val="20"/>
        </w:rPr>
      </w:pPr>
    </w:p>
    <w:p w:rsidR="001156A5" w:rsidRDefault="001156A5" w:rsidP="001156A5">
      <w:pPr>
        <w:pStyle w:val="SCCNormalDoubleSpacing"/>
        <w:spacing w:line="240" w:lineRule="auto"/>
        <w:rPr>
          <w:sz w:val="20"/>
        </w:rPr>
      </w:pPr>
      <w:r w:rsidRPr="001156A5">
        <w:rPr>
          <w:sz w:val="20"/>
        </w:rPr>
        <w:tab/>
      </w:r>
      <w:r w:rsidRPr="00A960E4">
        <w:rPr>
          <w:sz w:val="20"/>
        </w:rPr>
        <w:t>APPEAL from a judgment of the British Columbia Court of Appeal (Finch C.J.B.C. and Ryan and Huddart JJ.A.), 2010 BCCA 527, 295 B.C.A.C. 298, 263 C.C.C. (3d) 485, 81 C.R. (6th) 48, [2010] B.C.J. No. 2311 (QL), 2010 CarswellBC 3168, setting aside the acquittals entered by Halfyard J., 2008 BCSC 1277 (CanLII), [2008] B.C.J. No. 2037 (QL), 2008 CarswellBC 2284, and ordering a new trial.  Appeal dismissed.</w:t>
      </w:r>
    </w:p>
    <w:p w:rsidR="001156A5" w:rsidRPr="00A960E4" w:rsidRDefault="001156A5" w:rsidP="001156A5">
      <w:pPr>
        <w:pStyle w:val="SCCNormalDoubleSpacing"/>
        <w:spacing w:line="240" w:lineRule="auto"/>
        <w:rPr>
          <w:sz w:val="20"/>
        </w:rPr>
      </w:pPr>
    </w:p>
    <w:p w:rsidR="001156A5" w:rsidRPr="00A960E4" w:rsidRDefault="001156A5" w:rsidP="001156A5">
      <w:pPr>
        <w:pStyle w:val="SCCNormalDoubleSpacing"/>
        <w:spacing w:line="240" w:lineRule="auto"/>
        <w:rPr>
          <w:sz w:val="20"/>
        </w:rPr>
      </w:pPr>
      <w:r w:rsidRPr="00A960E4">
        <w:rPr>
          <w:i/>
          <w:sz w:val="20"/>
        </w:rPr>
        <w:tab/>
        <w:t>J. M. Peter Firestone</w:t>
      </w:r>
      <w:r w:rsidRPr="00A960E4">
        <w:rPr>
          <w:sz w:val="20"/>
        </w:rPr>
        <w:t xml:space="preserve"> and </w:t>
      </w:r>
      <w:r w:rsidRPr="00A960E4">
        <w:rPr>
          <w:i/>
          <w:sz w:val="20"/>
        </w:rPr>
        <w:t>Catherine Tyhurst</w:t>
      </w:r>
      <w:r w:rsidRPr="00A960E4">
        <w:rPr>
          <w:sz w:val="20"/>
        </w:rPr>
        <w:t>, for the appellants.</w:t>
      </w:r>
    </w:p>
    <w:p w:rsidR="001156A5" w:rsidRDefault="001156A5" w:rsidP="001156A5">
      <w:pPr>
        <w:pStyle w:val="SCCNormalDoubleSpacing"/>
        <w:spacing w:line="240" w:lineRule="auto"/>
        <w:rPr>
          <w:i/>
          <w:sz w:val="20"/>
        </w:rPr>
      </w:pPr>
    </w:p>
    <w:p w:rsidR="001156A5" w:rsidRPr="00A960E4" w:rsidRDefault="001156A5" w:rsidP="001156A5">
      <w:pPr>
        <w:pStyle w:val="SCCNormalDoubleSpacing"/>
        <w:spacing w:line="240" w:lineRule="auto"/>
        <w:rPr>
          <w:sz w:val="20"/>
        </w:rPr>
      </w:pPr>
      <w:r w:rsidRPr="00A960E4">
        <w:rPr>
          <w:i/>
          <w:sz w:val="20"/>
        </w:rPr>
        <w:tab/>
        <w:t>John M. Gordon, Q.C.,</w:t>
      </w:r>
      <w:r w:rsidRPr="00A960E4">
        <w:rPr>
          <w:sz w:val="20"/>
        </w:rPr>
        <w:t xml:space="preserve"> and </w:t>
      </w:r>
      <w:r w:rsidRPr="00A960E4">
        <w:rPr>
          <w:i/>
          <w:sz w:val="20"/>
        </w:rPr>
        <w:t>Elizabeth A. Campbell</w:t>
      </w:r>
      <w:r w:rsidRPr="00A960E4">
        <w:rPr>
          <w:sz w:val="20"/>
        </w:rPr>
        <w:t>, for the respondent.</w:t>
      </w:r>
    </w:p>
    <w:p w:rsidR="001156A5" w:rsidRDefault="001156A5" w:rsidP="001156A5">
      <w:pPr>
        <w:pStyle w:val="SCCNormalDoubleSpacing"/>
        <w:spacing w:line="240" w:lineRule="auto"/>
        <w:rPr>
          <w:i/>
          <w:sz w:val="20"/>
        </w:rPr>
      </w:pPr>
    </w:p>
    <w:p w:rsidR="001156A5" w:rsidRPr="00A960E4" w:rsidRDefault="001156A5" w:rsidP="001156A5">
      <w:pPr>
        <w:pStyle w:val="SCCNormalDoubleSpacing"/>
        <w:spacing w:line="240" w:lineRule="auto"/>
        <w:rPr>
          <w:sz w:val="20"/>
        </w:rPr>
      </w:pPr>
      <w:r w:rsidRPr="00A960E4">
        <w:rPr>
          <w:i/>
          <w:sz w:val="20"/>
        </w:rPr>
        <w:tab/>
        <w:t>Lucy Cecchetto</w:t>
      </w:r>
      <w:r w:rsidRPr="00A960E4">
        <w:rPr>
          <w:sz w:val="20"/>
        </w:rPr>
        <w:t>, for the intervener.</w:t>
      </w:r>
    </w:p>
    <w:p w:rsidR="001156A5" w:rsidRDefault="001156A5" w:rsidP="001156A5">
      <w:pPr>
        <w:pStyle w:val="SCCLawFirm"/>
        <w:spacing w:line="240" w:lineRule="auto"/>
        <w:rPr>
          <w:sz w:val="20"/>
        </w:rPr>
      </w:pPr>
    </w:p>
    <w:p w:rsidR="001156A5" w:rsidRPr="00A960E4" w:rsidRDefault="001156A5" w:rsidP="001156A5">
      <w:pPr>
        <w:pStyle w:val="SCCLawFirm"/>
        <w:spacing w:line="240" w:lineRule="auto"/>
        <w:rPr>
          <w:sz w:val="20"/>
        </w:rPr>
      </w:pPr>
      <w:r w:rsidRPr="00A960E4">
        <w:rPr>
          <w:sz w:val="20"/>
        </w:rPr>
        <w:tab/>
        <w:t>Solicitors for the appellants:  Firestone &amp; Tyhurst, Victoria.</w:t>
      </w:r>
    </w:p>
    <w:p w:rsidR="001156A5" w:rsidRDefault="001156A5" w:rsidP="001156A5">
      <w:pPr>
        <w:pStyle w:val="SCCLawFirm"/>
        <w:spacing w:line="240" w:lineRule="auto"/>
        <w:rPr>
          <w:sz w:val="20"/>
        </w:rPr>
      </w:pPr>
    </w:p>
    <w:p w:rsidR="001156A5" w:rsidRPr="00A960E4" w:rsidRDefault="001156A5" w:rsidP="001156A5">
      <w:pPr>
        <w:pStyle w:val="SCCLawFirm"/>
        <w:spacing w:line="240" w:lineRule="auto"/>
        <w:rPr>
          <w:sz w:val="20"/>
        </w:rPr>
      </w:pPr>
      <w:r w:rsidRPr="00A960E4">
        <w:rPr>
          <w:sz w:val="20"/>
        </w:rPr>
        <w:tab/>
        <w:t>Solicitor for the respondent:  Attorney General of British Columbia, Vancouver.</w:t>
      </w:r>
    </w:p>
    <w:p w:rsidR="001156A5" w:rsidRDefault="001156A5" w:rsidP="001156A5">
      <w:pPr>
        <w:pStyle w:val="SCCLawFirm"/>
        <w:spacing w:line="240" w:lineRule="auto"/>
        <w:rPr>
          <w:sz w:val="20"/>
        </w:rPr>
      </w:pPr>
    </w:p>
    <w:p w:rsidR="001156A5" w:rsidRDefault="001156A5" w:rsidP="001156A5">
      <w:pPr>
        <w:pStyle w:val="SCCLawFirm"/>
        <w:spacing w:line="240" w:lineRule="auto"/>
        <w:rPr>
          <w:sz w:val="20"/>
        </w:rPr>
      </w:pPr>
      <w:r w:rsidRPr="00A960E4">
        <w:rPr>
          <w:sz w:val="20"/>
        </w:rPr>
        <w:tab/>
        <w:t>Solicitor for the intervener:  Attorney General of Ontario, Toronto.</w:t>
      </w:r>
    </w:p>
    <w:p w:rsidR="003B3977" w:rsidRPr="0028361F" w:rsidRDefault="003B3977" w:rsidP="003B3977">
      <w:pPr>
        <w:rPr>
          <w:sz w:val="20"/>
          <w:szCs w:val="20"/>
          <w:lang w:val="fr-CA"/>
        </w:rPr>
      </w:pPr>
      <w:r w:rsidRPr="0028361F">
        <w:rPr>
          <w:sz w:val="20"/>
          <w:szCs w:val="20"/>
          <w:lang w:val="fr-CA"/>
        </w:rPr>
        <w:t>________________________</w:t>
      </w:r>
    </w:p>
    <w:p w:rsidR="003B3977" w:rsidRPr="0028361F" w:rsidRDefault="003B3977" w:rsidP="003B3977">
      <w:pPr>
        <w:rPr>
          <w:sz w:val="20"/>
          <w:szCs w:val="20"/>
          <w:lang w:val="fr-CA"/>
        </w:rPr>
      </w:pPr>
    </w:p>
    <w:p w:rsidR="001156A5" w:rsidRPr="001156A5" w:rsidRDefault="001156A5" w:rsidP="001156A5">
      <w:pPr>
        <w:jc w:val="both"/>
        <w:rPr>
          <w:sz w:val="20"/>
          <w:szCs w:val="20"/>
          <w:lang w:val="fr-CA"/>
        </w:rPr>
      </w:pPr>
      <w:r w:rsidRPr="001156A5">
        <w:rPr>
          <w:sz w:val="20"/>
          <w:szCs w:val="20"/>
          <w:lang w:val="fr-CA"/>
        </w:rPr>
        <w:t>Présents : Les juges LeBel, Fish, Abella, Rothstein, Cromwell, Moldaver et Karakatsanis.</w:t>
      </w:r>
    </w:p>
    <w:p w:rsidR="001156A5" w:rsidRDefault="001156A5" w:rsidP="001156A5">
      <w:pPr>
        <w:pStyle w:val="SCCLowerCourtNameLowercase"/>
        <w:spacing w:line="240" w:lineRule="auto"/>
        <w:rPr>
          <w:sz w:val="20"/>
        </w:rPr>
      </w:pPr>
    </w:p>
    <w:p w:rsidR="001156A5" w:rsidRPr="001156A5" w:rsidRDefault="001156A5" w:rsidP="001156A5">
      <w:pPr>
        <w:pStyle w:val="SCCNormalDoubleSpacing"/>
        <w:spacing w:line="240" w:lineRule="auto"/>
        <w:rPr>
          <w:i/>
          <w:sz w:val="20"/>
          <w:lang w:val="fr-CA"/>
        </w:rPr>
      </w:pPr>
      <w:r w:rsidRPr="001156A5">
        <w:rPr>
          <w:i/>
          <w:sz w:val="20"/>
          <w:lang w:val="fr-CA"/>
        </w:rPr>
        <w:tab/>
        <w:t>Droit criminel — Infractions — Homicide involontaire coupable — Causalité — Accusé ayant fait perdre connaissance à la victime en lui assenant un coup de poing à la tête lors d’une bagarre dans un bar — Intervention d’un tiers qui a frappé la victime à la tête — Victime décédée à la suite de ses blessures — Quand un acte intermédiaire commis par un tiers rompt</w:t>
      </w:r>
      <w:r w:rsidRPr="001156A5">
        <w:rPr>
          <w:i/>
          <w:sz w:val="20"/>
          <w:lang w:val="fr-CA"/>
        </w:rPr>
        <w:noBreakHyphen/>
        <w:t>il le lien de causalité entre l’acte de l’accusé et la mort de la victime de sorte que l’accusé est exonéré de toute responsabilité légale? — Le juge du procès pouvait</w:t>
      </w:r>
      <w:r w:rsidRPr="001156A5">
        <w:rPr>
          <w:i/>
          <w:sz w:val="20"/>
          <w:lang w:val="fr-CA"/>
        </w:rPr>
        <w:noBreakHyphen/>
        <w:t xml:space="preserve">il conclure que les agressions commises par l’accusé demeuraient une cause ayant contribué à la mort de façon appréciable malgré l’acte intermédiaire? </w:t>
      </w:r>
    </w:p>
    <w:p w:rsidR="001156A5" w:rsidRPr="001156A5" w:rsidRDefault="001156A5" w:rsidP="001156A5">
      <w:pPr>
        <w:pStyle w:val="SCCNormalDoubleSpacing"/>
        <w:spacing w:line="240" w:lineRule="auto"/>
        <w:rPr>
          <w:sz w:val="20"/>
          <w:lang w:val="fr-CA"/>
        </w:rPr>
      </w:pPr>
    </w:p>
    <w:p w:rsidR="001156A5" w:rsidRPr="001156A5" w:rsidRDefault="001156A5" w:rsidP="001156A5">
      <w:pPr>
        <w:pStyle w:val="SCCNormalDoubleSpacing"/>
        <w:spacing w:line="240" w:lineRule="auto"/>
        <w:rPr>
          <w:sz w:val="20"/>
          <w:lang w:val="fr-CA"/>
        </w:rPr>
      </w:pPr>
      <w:r w:rsidRPr="001156A5">
        <w:rPr>
          <w:sz w:val="20"/>
          <w:lang w:val="fr-CA"/>
        </w:rPr>
        <w:tab/>
        <w:t xml:space="preserve">Tard la nuit, dans un bar </w:t>
      </w:r>
      <w:r w:rsidRPr="0092778C">
        <w:rPr>
          <w:sz w:val="20"/>
          <w:lang w:val="fr-FR"/>
        </w:rPr>
        <w:t>bondé</w:t>
      </w:r>
      <w:r w:rsidRPr="001156A5">
        <w:rPr>
          <w:sz w:val="20"/>
          <w:lang w:val="fr-CA"/>
        </w:rPr>
        <w:t xml:space="preserve">, les frères accusés, T et M, </w:t>
      </w:r>
      <w:r w:rsidRPr="0092778C">
        <w:rPr>
          <w:sz w:val="20"/>
          <w:lang w:val="fr-FR"/>
        </w:rPr>
        <w:t>ont assené à la victime plusieurs coups de poing au visage et à la tête</w:t>
      </w:r>
      <w:r w:rsidRPr="001156A5">
        <w:rPr>
          <w:sz w:val="20"/>
          <w:lang w:val="fr-CA"/>
        </w:rPr>
        <w:t xml:space="preserve">.  T </w:t>
      </w:r>
      <w:r w:rsidRPr="0092778C">
        <w:rPr>
          <w:sz w:val="20"/>
          <w:lang w:val="fr-FR"/>
        </w:rPr>
        <w:t>a fini par lui donner un coup qui lui a fait perdre connaissance</w:t>
      </w:r>
      <w:r w:rsidRPr="001156A5">
        <w:rPr>
          <w:sz w:val="20"/>
          <w:lang w:val="fr-CA"/>
        </w:rPr>
        <w:t xml:space="preserve">.  </w:t>
      </w:r>
      <w:r w:rsidRPr="0092778C">
        <w:rPr>
          <w:sz w:val="20"/>
          <w:lang w:val="fr-FR"/>
        </w:rPr>
        <w:t>En quelques secondes, un portier du bar est arrivé et a frappé la victime à la tête</w:t>
      </w:r>
      <w:r w:rsidRPr="001156A5">
        <w:rPr>
          <w:sz w:val="20"/>
          <w:lang w:val="fr-CA"/>
        </w:rPr>
        <w:t xml:space="preserve">.  </w:t>
      </w:r>
      <w:r w:rsidRPr="0092778C">
        <w:rPr>
          <w:sz w:val="20"/>
          <w:lang w:val="fr-FR"/>
        </w:rPr>
        <w:t>La preuve médicale n’a pas établi de manière concluante quels coups avaient causé la mort</w:t>
      </w:r>
      <w:r w:rsidRPr="001156A5">
        <w:rPr>
          <w:sz w:val="20"/>
          <w:lang w:val="fr-CA"/>
        </w:rPr>
        <w:t xml:space="preserve">.  </w:t>
      </w:r>
      <w:r w:rsidRPr="0092778C">
        <w:rPr>
          <w:sz w:val="20"/>
          <w:lang w:val="fr-FR"/>
        </w:rPr>
        <w:t>Le juge du procès a donc acquitté les frères accusés et le portier</w:t>
      </w:r>
      <w:r w:rsidRPr="001156A5">
        <w:rPr>
          <w:sz w:val="20"/>
          <w:lang w:val="fr-CA"/>
        </w:rPr>
        <w:t xml:space="preserve">.  </w:t>
      </w:r>
      <w:r w:rsidRPr="0092778C">
        <w:rPr>
          <w:sz w:val="20"/>
          <w:lang w:val="fr-FR"/>
        </w:rPr>
        <w:t>La Cour d’appel a conclu à l’unanimité que, sur le plan factuel, les agressions commises par les appelants avaient contribué à la mort</w:t>
      </w:r>
      <w:r w:rsidRPr="001156A5">
        <w:rPr>
          <w:sz w:val="20"/>
          <w:lang w:val="fr-CA"/>
        </w:rPr>
        <w:t xml:space="preserve"> — </w:t>
      </w:r>
      <w:r w:rsidRPr="0092778C">
        <w:rPr>
          <w:sz w:val="20"/>
          <w:lang w:val="fr-FR"/>
        </w:rPr>
        <w:t>« n’eussent été » leurs actes, la victime n’aurait pas perdu la vie</w:t>
      </w:r>
      <w:r w:rsidRPr="001156A5">
        <w:rPr>
          <w:sz w:val="20"/>
          <w:lang w:val="fr-CA"/>
        </w:rPr>
        <w:t xml:space="preserve">.  Les juges majoritaires ont en outre conclu que les accusés </w:t>
      </w:r>
      <w:r w:rsidRPr="0092778C">
        <w:rPr>
          <w:sz w:val="20"/>
          <w:lang w:val="fr-FR"/>
        </w:rPr>
        <w:t>auraient pu raisonnablement prévoir le risque du préjudice causé subséquemment par le tiers.  Le juge dissident n’était pas d’avis que les accusés auraient pu raisonnablement prévoir la conduite du tiers, et il a conclu que l’acte délibéré d’un tiers (le portier) agissant de manière indépendante avait rompu le lien de causalité juridique</w:t>
      </w:r>
      <w:r w:rsidRPr="001156A5">
        <w:rPr>
          <w:sz w:val="20"/>
          <w:lang w:val="fr-CA"/>
        </w:rPr>
        <w:t>.  La Cour d’appel a accueilli l’appel, annulé les acquittements et ordonné la tenue d’un nouveau procès.</w:t>
      </w:r>
    </w:p>
    <w:p w:rsidR="001156A5" w:rsidRPr="001156A5" w:rsidRDefault="001156A5" w:rsidP="001156A5">
      <w:pPr>
        <w:pStyle w:val="SCCNormalDoubleSpacing"/>
        <w:spacing w:line="240" w:lineRule="auto"/>
        <w:rPr>
          <w:sz w:val="20"/>
          <w:lang w:val="fr-CA"/>
        </w:rPr>
      </w:pPr>
    </w:p>
    <w:p w:rsidR="001156A5" w:rsidRPr="001156A5" w:rsidRDefault="001156A5" w:rsidP="001156A5">
      <w:pPr>
        <w:pStyle w:val="SCCNormalDoubleSpacing"/>
        <w:spacing w:line="240" w:lineRule="auto"/>
        <w:rPr>
          <w:sz w:val="20"/>
          <w:lang w:val="fr-CA"/>
        </w:rPr>
      </w:pPr>
      <w:r w:rsidRPr="001156A5">
        <w:rPr>
          <w:sz w:val="20"/>
          <w:lang w:val="fr-CA"/>
        </w:rPr>
        <w:tab/>
      </w:r>
      <w:r w:rsidRPr="001156A5">
        <w:rPr>
          <w:i/>
          <w:sz w:val="20"/>
          <w:lang w:val="fr-CA"/>
        </w:rPr>
        <w:t>Arrêt :</w:t>
      </w:r>
      <w:r w:rsidRPr="001156A5">
        <w:rPr>
          <w:sz w:val="20"/>
          <w:lang w:val="fr-CA"/>
        </w:rPr>
        <w:t xml:space="preserve"> Le pourvoi est rejeté.</w:t>
      </w:r>
    </w:p>
    <w:p w:rsidR="001156A5" w:rsidRDefault="001156A5" w:rsidP="001156A5">
      <w:pPr>
        <w:pStyle w:val="SCCNormalDoubleSpacing"/>
        <w:spacing w:line="240" w:lineRule="auto"/>
        <w:rPr>
          <w:sz w:val="20"/>
          <w:lang w:val="fr-FR"/>
        </w:rPr>
      </w:pPr>
    </w:p>
    <w:p w:rsidR="001156A5" w:rsidRPr="001156A5" w:rsidRDefault="001156A5" w:rsidP="001156A5">
      <w:pPr>
        <w:pStyle w:val="SCCNormalDoubleSpacing"/>
        <w:spacing w:line="240" w:lineRule="auto"/>
        <w:rPr>
          <w:sz w:val="20"/>
          <w:lang w:val="fr-CA"/>
        </w:rPr>
      </w:pPr>
      <w:r w:rsidRPr="0092778C">
        <w:rPr>
          <w:sz w:val="20"/>
          <w:lang w:val="fr-FR"/>
        </w:rPr>
        <w:tab/>
        <w:t>Les tribunaux ont employé plusieurs méthodes d’analyse pour établir les circonstances dans lesquelles un acte intermédiaire exonère l’accusé de toute responsabilité juridique pour homicide involontaire coupable</w:t>
      </w:r>
      <w:r w:rsidRPr="001156A5">
        <w:rPr>
          <w:sz w:val="20"/>
          <w:lang w:val="fr-CA"/>
        </w:rPr>
        <w:t xml:space="preserve">.  Ainsi, </w:t>
      </w:r>
      <w:r w:rsidRPr="0092778C">
        <w:rPr>
          <w:sz w:val="20"/>
          <w:lang w:val="fr-FR"/>
        </w:rPr>
        <w:t>les concepts de « prévisibilité raisonnable » et d’« acte délibéré et indépendant » peuvent tous deux se révéler utiles pour apprécier la causalité juridique, selon les faits particuliers en cause</w:t>
      </w:r>
      <w:r w:rsidRPr="001156A5">
        <w:rPr>
          <w:sz w:val="20"/>
          <w:lang w:val="fr-CA"/>
        </w:rPr>
        <w:t xml:space="preserve">. </w:t>
      </w:r>
      <w:r w:rsidRPr="0092778C">
        <w:rPr>
          <w:sz w:val="20"/>
          <w:lang w:val="fr-FR"/>
        </w:rPr>
        <w:t xml:space="preserve">Ces méthodes évaluent le lien moral entre les actes </w:t>
      </w:r>
      <w:r w:rsidRPr="0092778C">
        <w:rPr>
          <w:sz w:val="20"/>
          <w:lang w:val="fr-FR"/>
        </w:rPr>
        <w:lastRenderedPageBreak/>
        <w:t>de l’accusé et la mort de la victime; elles reconnaissent qu’un acte intermédiaire que l’accusé pouvait raisonnablement prévoir ne rompt pas nécessairement le lien de causalité et que l’acte indépendant et délibéré d’un tiers peut, dans certains cas, faire en sorte qu’il soit injuste de tenir l’accusé responsable du résultat</w:t>
      </w:r>
      <w:r w:rsidRPr="001156A5">
        <w:rPr>
          <w:sz w:val="20"/>
          <w:lang w:val="fr-CA"/>
        </w:rPr>
        <w:t xml:space="preserve">.  </w:t>
      </w:r>
      <w:r w:rsidRPr="0092778C">
        <w:rPr>
          <w:sz w:val="20"/>
          <w:lang w:val="fr-FR"/>
        </w:rPr>
        <w:t>Ces méthodes constituent des outils qui peuvent s’avérer utiles, selon les faits en cause</w:t>
      </w:r>
      <w:r w:rsidRPr="001156A5">
        <w:rPr>
          <w:sz w:val="20"/>
          <w:lang w:val="fr-CA"/>
        </w:rPr>
        <w:t xml:space="preserve">.  </w:t>
      </w:r>
      <w:r w:rsidRPr="0092778C">
        <w:rPr>
          <w:sz w:val="20"/>
          <w:lang w:val="fr-FR"/>
        </w:rPr>
        <w:t>Néanmoins, l’analyse doit être axée sur les principes fondamentaux et reconnaître que ces concepts sont des outils d’analyse qui n’ont pas pour effet de modifier le critère de causalité ou de substituer de nouveaux critères au critère établi.  Même lorsqu’une partie prétend qu’un acte intermédiaire a rompu le lien de causalité juridique, le critère de causalité demeure le même</w:t>
      </w:r>
      <w:r w:rsidRPr="0092778C">
        <w:rPr>
          <w:i/>
          <w:sz w:val="20"/>
          <w:lang w:val="fr-FR"/>
        </w:rPr>
        <w:t> :</w:t>
      </w:r>
      <w:r w:rsidRPr="0092778C">
        <w:rPr>
          <w:sz w:val="20"/>
          <w:lang w:val="fr-FR"/>
        </w:rPr>
        <w:t xml:space="preserve"> les actes dangereux et illégaux de l’accusé ont</w:t>
      </w:r>
      <w:r w:rsidRPr="0092778C">
        <w:rPr>
          <w:sz w:val="20"/>
          <w:lang w:val="fr-FR"/>
        </w:rPr>
        <w:noBreakHyphen/>
        <w:t>ils contribué de façon appréciable à la mort de la victime?</w:t>
      </w:r>
    </w:p>
    <w:p w:rsidR="001156A5" w:rsidRPr="001156A5" w:rsidRDefault="001156A5" w:rsidP="001156A5">
      <w:pPr>
        <w:pStyle w:val="SCCNormalDoubleSpacing"/>
        <w:spacing w:line="240" w:lineRule="auto"/>
        <w:rPr>
          <w:sz w:val="20"/>
          <w:lang w:val="fr-CA"/>
        </w:rPr>
      </w:pPr>
    </w:p>
    <w:p w:rsidR="001156A5" w:rsidRPr="001156A5" w:rsidRDefault="001156A5" w:rsidP="001156A5">
      <w:pPr>
        <w:pStyle w:val="SCCNormalDoubleSpacing"/>
        <w:spacing w:line="240" w:lineRule="auto"/>
        <w:rPr>
          <w:sz w:val="20"/>
          <w:lang w:val="fr-CA"/>
        </w:rPr>
      </w:pPr>
      <w:r w:rsidRPr="001156A5">
        <w:rPr>
          <w:sz w:val="20"/>
          <w:lang w:val="fr-CA"/>
        </w:rPr>
        <w:tab/>
        <w:t xml:space="preserve">La méthode de la prévisibilité raisonnable soulève la question de savoir s’il est </w:t>
      </w:r>
      <w:r w:rsidRPr="0092778C">
        <w:rPr>
          <w:sz w:val="20"/>
          <w:lang w:val="fr-FR"/>
        </w:rPr>
        <w:t>juste d’imputer la mort ainsi causée à l’auteur des actes initiaux</w:t>
      </w:r>
      <w:r w:rsidRPr="001156A5">
        <w:rPr>
          <w:sz w:val="20"/>
          <w:lang w:val="fr-CA"/>
        </w:rPr>
        <w:t xml:space="preserve"> et veut que </w:t>
      </w:r>
      <w:r w:rsidRPr="0092778C">
        <w:rPr>
          <w:sz w:val="20"/>
          <w:lang w:val="fr-FR"/>
        </w:rPr>
        <w:t>l’accusé qui commet un acte dangereux et contribue ainsi à la mort d’une personne doive assumer le risque que d’autres actes prévisibles soient commis et contribuent à la mort</w:t>
      </w:r>
      <w:r w:rsidRPr="001156A5">
        <w:rPr>
          <w:sz w:val="20"/>
          <w:lang w:val="fr-CA"/>
        </w:rPr>
        <w:t>.  L’</w:t>
      </w:r>
      <w:r w:rsidRPr="0092778C">
        <w:rPr>
          <w:sz w:val="20"/>
          <w:lang w:val="fr-FR"/>
        </w:rPr>
        <w:t>appréciation de la prévisibilité raisonnable se situe au moment de l’acte illégal initial, et non au moment de l’acte intermédiaire, car il serait trop restrictif d’exiger que les détails exacts de l’événement soient objectivement prévisibles</w:t>
      </w:r>
      <w:r w:rsidRPr="001156A5">
        <w:rPr>
          <w:sz w:val="20"/>
          <w:lang w:val="fr-CA"/>
        </w:rPr>
        <w:t xml:space="preserve">. </w:t>
      </w:r>
      <w:r w:rsidRPr="0092778C">
        <w:rPr>
          <w:sz w:val="20"/>
          <w:lang w:val="fr-FR"/>
        </w:rPr>
        <w:t xml:space="preserve"> C’est la nature générale des actes intermédiaires et le risque de préjudice qu’ils présentent qui doivent être raisonnablement prévisibles</w:t>
      </w:r>
      <w:r w:rsidRPr="001156A5">
        <w:rPr>
          <w:sz w:val="20"/>
          <w:lang w:val="fr-CA"/>
        </w:rPr>
        <w:t>.  L</w:t>
      </w:r>
      <w:r w:rsidRPr="0092778C">
        <w:rPr>
          <w:sz w:val="20"/>
          <w:lang w:val="fr-FR"/>
        </w:rPr>
        <w:t>es actes intermédiaires et le préjudice non négligeable qui en découle doivent avoir été raisonnablement prévisibles, en ce sens que les actes et le préjudice qu’ils ont réellement causé découlaient raisonnablement de la conduite de l’accusé</w:t>
      </w:r>
      <w:r w:rsidRPr="001156A5">
        <w:rPr>
          <w:sz w:val="20"/>
          <w:lang w:val="fr-CA"/>
        </w:rPr>
        <w:t>.  Si c’est le cas, les actes de l’accusé</w:t>
      </w:r>
      <w:r w:rsidRPr="0092778C">
        <w:rPr>
          <w:sz w:val="20"/>
          <w:lang w:val="fr-FR"/>
        </w:rPr>
        <w:t xml:space="preserve"> peuvent demeurer une cause ayant contribué de manière appréciable à la mort</w:t>
      </w:r>
      <w:r w:rsidRPr="001156A5">
        <w:rPr>
          <w:sz w:val="20"/>
          <w:lang w:val="fr-CA"/>
        </w:rPr>
        <w:t>.</w:t>
      </w:r>
    </w:p>
    <w:p w:rsidR="001156A5" w:rsidRPr="001156A5" w:rsidRDefault="001156A5" w:rsidP="001156A5">
      <w:pPr>
        <w:pStyle w:val="SCCNormalDoubleSpacing"/>
        <w:spacing w:line="240" w:lineRule="auto"/>
        <w:rPr>
          <w:sz w:val="20"/>
          <w:lang w:val="fr-CA"/>
        </w:rPr>
      </w:pPr>
    </w:p>
    <w:p w:rsidR="001156A5" w:rsidRPr="001156A5" w:rsidRDefault="001156A5" w:rsidP="001156A5">
      <w:pPr>
        <w:pStyle w:val="SCCNormalDoubleSpacing"/>
        <w:spacing w:line="240" w:lineRule="auto"/>
        <w:rPr>
          <w:sz w:val="20"/>
          <w:lang w:val="fr-CA"/>
        </w:rPr>
      </w:pPr>
      <w:r w:rsidRPr="001156A5">
        <w:rPr>
          <w:sz w:val="20"/>
          <w:lang w:val="fr-CA"/>
        </w:rPr>
        <w:tab/>
        <w:t>La question de savoir si un acte intermédiaire est indépendant est parfois</w:t>
      </w:r>
      <w:r w:rsidRPr="0092778C">
        <w:rPr>
          <w:sz w:val="20"/>
          <w:lang w:val="fr-FR"/>
        </w:rPr>
        <w:t xml:space="preserve"> formulée comme s’agissant de savoir si l’acte intermédiaire a été commis en réaction aux actes de l’accusé</w:t>
      </w:r>
      <w:r w:rsidRPr="001156A5">
        <w:rPr>
          <w:sz w:val="20"/>
          <w:lang w:val="fr-CA"/>
        </w:rPr>
        <w:t xml:space="preserve">.  </w:t>
      </w:r>
      <w:r w:rsidRPr="0092778C">
        <w:rPr>
          <w:sz w:val="20"/>
          <w:lang w:val="fr-FR"/>
        </w:rPr>
        <w:t>Autrement dit, l’acte de l’accusé a</w:t>
      </w:r>
      <w:r w:rsidRPr="0092778C">
        <w:rPr>
          <w:sz w:val="20"/>
          <w:lang w:val="fr-FR"/>
        </w:rPr>
        <w:noBreakHyphen/>
        <w:t>t</w:t>
      </w:r>
      <w:r w:rsidRPr="0092778C">
        <w:rPr>
          <w:sz w:val="20"/>
          <w:lang w:val="fr-FR"/>
        </w:rPr>
        <w:noBreakHyphen/>
        <w:t>il simplement établi la toile de fond ayant permis que d’autres faits surviennent (par coïncidence), ou a</w:t>
      </w:r>
      <w:r w:rsidRPr="0092778C">
        <w:rPr>
          <w:sz w:val="20"/>
          <w:lang w:val="fr-FR"/>
        </w:rPr>
        <w:noBreakHyphen/>
        <w:t>t</w:t>
      </w:r>
      <w:r w:rsidRPr="0092778C">
        <w:rPr>
          <w:sz w:val="20"/>
          <w:lang w:val="fr-FR"/>
        </w:rPr>
        <w:noBreakHyphen/>
        <w:t xml:space="preserve">il plutôt déclenché ou provoqué l’intervention subséquente du tiers? </w:t>
      </w:r>
      <w:r w:rsidRPr="001156A5">
        <w:rPr>
          <w:sz w:val="20"/>
          <w:lang w:val="fr-CA"/>
        </w:rPr>
        <w:t xml:space="preserve"> </w:t>
      </w:r>
      <w:r w:rsidRPr="0092778C">
        <w:rPr>
          <w:sz w:val="20"/>
          <w:lang w:val="fr-FR"/>
        </w:rPr>
        <w:t>Si l’acte intermédiaire est une réaction directe ou est directement lié aux actes des accusés et ne supplante pas, de par sa nature, les actes initiaux, les accusés ne peuvent être jugés moralement innocents relativement à la mort de la victime</w:t>
      </w:r>
      <w:r w:rsidRPr="001156A5">
        <w:rPr>
          <w:sz w:val="20"/>
          <w:lang w:val="fr-CA"/>
        </w:rPr>
        <w:t>.</w:t>
      </w:r>
    </w:p>
    <w:p w:rsidR="001156A5" w:rsidRPr="001156A5" w:rsidRDefault="001156A5" w:rsidP="001156A5">
      <w:pPr>
        <w:pStyle w:val="SCCNormalDoubleSpacing"/>
        <w:tabs>
          <w:tab w:val="left" w:pos="1170"/>
        </w:tabs>
        <w:spacing w:line="240" w:lineRule="auto"/>
        <w:rPr>
          <w:sz w:val="20"/>
          <w:lang w:val="fr-CA"/>
        </w:rPr>
      </w:pPr>
    </w:p>
    <w:p w:rsidR="001156A5" w:rsidRDefault="001156A5" w:rsidP="00B83784">
      <w:pPr>
        <w:pStyle w:val="SCCNormalDoubleSpacing"/>
        <w:spacing w:line="240" w:lineRule="auto"/>
        <w:rPr>
          <w:sz w:val="20"/>
          <w:lang w:val="fr-FR"/>
        </w:rPr>
      </w:pPr>
      <w:r w:rsidRPr="001156A5">
        <w:rPr>
          <w:sz w:val="20"/>
          <w:lang w:val="fr-CA"/>
        </w:rPr>
        <w:tab/>
        <w:t xml:space="preserve">En l’espèce, il </w:t>
      </w:r>
      <w:r w:rsidRPr="0092778C">
        <w:rPr>
          <w:sz w:val="20"/>
          <w:lang w:val="fr-FR"/>
        </w:rPr>
        <w:t>était possible pour le juge du procès de conclure qu’il était raisonnablement prévisible que la bagarre dégénère et que d’autres clients y prennent part ou tentent d’y mettre fin, ou que les portiers emploient la force en tentant de maîtriser la situation.  Le juge du procès aurait aussi pu conclure que l’acte du portier était étroitement lié aux actes des accusés — en raison du moment et du lieu où il a été commis, des circonstances dans lesquelles il l’a été, de sa nature et de son effet — et que l’effet des actes des accusés subsistait, sans qu’il y ait été « mis fin » au moment où le portier est intervenu</w:t>
      </w:r>
      <w:r w:rsidRPr="001156A5">
        <w:rPr>
          <w:sz w:val="20"/>
          <w:lang w:val="fr-CA"/>
        </w:rPr>
        <w:t xml:space="preserve">.  Par conséquent, </w:t>
      </w:r>
      <w:r w:rsidRPr="0092778C">
        <w:rPr>
          <w:sz w:val="20"/>
          <w:lang w:val="fr-FR"/>
        </w:rPr>
        <w:t>le juge du procès pouvait, à partir de ses constatations de fait, conclure que la nature générale de l’acte intermédiaire et le risque de préjudice en découlant étaient raisonnablement prévisibles et que cet acte avait été commis en réaction directe aux actes illégaux des accusés.  Le juge aurait pu conclure que l’agression par le portier ne constituait pas forcément un acte intermédiaire ayant rompu le lien entre la conduite des accusés et la mort de la victime, ce qui les aurait exonérés de toute responsabilité morale et juridique</w:t>
      </w:r>
      <w:r w:rsidRPr="001156A5">
        <w:rPr>
          <w:sz w:val="20"/>
          <w:lang w:val="fr-CA"/>
        </w:rPr>
        <w:t xml:space="preserve">.  </w:t>
      </w:r>
      <w:r w:rsidRPr="0092778C">
        <w:rPr>
          <w:sz w:val="20"/>
          <w:lang w:val="fr-FR"/>
        </w:rPr>
        <w:t>Le juge du procès aurait pu conclure que les actes des appelants demeuraient une cause ayant contribué de façon appréciable à la mort.</w:t>
      </w:r>
    </w:p>
    <w:p w:rsidR="001156A5" w:rsidRPr="001156A5" w:rsidRDefault="001156A5" w:rsidP="001156A5">
      <w:pPr>
        <w:pStyle w:val="SCCNormalDoubleSpacing"/>
        <w:tabs>
          <w:tab w:val="left" w:pos="1170"/>
        </w:tabs>
        <w:spacing w:line="240" w:lineRule="auto"/>
        <w:rPr>
          <w:sz w:val="20"/>
          <w:lang w:val="fr-CA"/>
        </w:rPr>
      </w:pPr>
    </w:p>
    <w:p w:rsidR="001156A5" w:rsidRPr="001156A5" w:rsidRDefault="001156A5" w:rsidP="001156A5">
      <w:pPr>
        <w:pStyle w:val="SCCNormalDoubleSpacing"/>
        <w:spacing w:line="240" w:lineRule="auto"/>
        <w:rPr>
          <w:sz w:val="20"/>
          <w:lang w:val="fr-CA"/>
        </w:rPr>
      </w:pPr>
      <w:r w:rsidRPr="001156A5">
        <w:rPr>
          <w:sz w:val="20"/>
          <w:lang w:val="fr-CA"/>
        </w:rPr>
        <w:tab/>
        <w:t>POURVOI contre un arrêt de la Cour d’appel de la Colombie</w:t>
      </w:r>
      <w:r w:rsidRPr="001156A5">
        <w:rPr>
          <w:sz w:val="20"/>
          <w:lang w:val="fr-CA"/>
        </w:rPr>
        <w:noBreakHyphen/>
        <w:t>Britannique (le juge en chef Finch et les juges Ryan et Huddart), 2010 BCCA 527, 295 B.C.A.C. 298, 263 C.C.C. (3d) 485, 81 C.R. (6th) 48, [2010] B.C.J. No. 2311 (QL), 2010 CarswellBC 3168, qui a annulé les acquittements prononcés par le juge Halfyard, 2008 BCSC 1277 (CanLII), [2008] B.C.J. No. 2037 (QL), 2008 CarswellBC 2284, et qui a ordonné la tenue d’un nouveau procès.  Pourvoi rejeté.</w:t>
      </w:r>
    </w:p>
    <w:p w:rsidR="001156A5" w:rsidRPr="001156A5" w:rsidRDefault="001156A5" w:rsidP="001156A5">
      <w:pPr>
        <w:pStyle w:val="SCCNormalDoubleSpacing"/>
        <w:spacing w:line="240" w:lineRule="auto"/>
        <w:rPr>
          <w:i/>
          <w:sz w:val="20"/>
          <w:lang w:val="fr-CA"/>
        </w:rPr>
      </w:pPr>
    </w:p>
    <w:p w:rsidR="001156A5" w:rsidRPr="001156A5" w:rsidRDefault="001156A5" w:rsidP="001156A5">
      <w:pPr>
        <w:pStyle w:val="SCCNormalDoubleSpacing"/>
        <w:spacing w:line="240" w:lineRule="auto"/>
        <w:rPr>
          <w:sz w:val="20"/>
          <w:lang w:val="fr-CA"/>
        </w:rPr>
      </w:pPr>
      <w:r w:rsidRPr="001156A5">
        <w:rPr>
          <w:i/>
          <w:sz w:val="20"/>
          <w:lang w:val="fr-CA"/>
        </w:rPr>
        <w:tab/>
        <w:t>J. M. Peter Firestone</w:t>
      </w:r>
      <w:r w:rsidRPr="001156A5">
        <w:rPr>
          <w:sz w:val="20"/>
          <w:lang w:val="fr-CA"/>
        </w:rPr>
        <w:t xml:space="preserve"> et </w:t>
      </w:r>
      <w:r w:rsidRPr="001156A5">
        <w:rPr>
          <w:i/>
          <w:sz w:val="20"/>
          <w:lang w:val="fr-CA"/>
        </w:rPr>
        <w:t>Catherine Tyhurst</w:t>
      </w:r>
      <w:r w:rsidRPr="001156A5">
        <w:rPr>
          <w:sz w:val="20"/>
          <w:lang w:val="fr-CA"/>
        </w:rPr>
        <w:t>, pour les appelants.</w:t>
      </w:r>
    </w:p>
    <w:p w:rsidR="001156A5" w:rsidRPr="001156A5" w:rsidRDefault="001156A5" w:rsidP="001156A5">
      <w:pPr>
        <w:pStyle w:val="SCCNormalDoubleSpacing"/>
        <w:spacing w:line="240" w:lineRule="auto"/>
        <w:rPr>
          <w:i/>
          <w:sz w:val="20"/>
          <w:lang w:val="fr-CA"/>
        </w:rPr>
      </w:pPr>
    </w:p>
    <w:p w:rsidR="001156A5" w:rsidRPr="001156A5" w:rsidRDefault="001156A5" w:rsidP="001156A5">
      <w:pPr>
        <w:pStyle w:val="SCCNormalDoubleSpacing"/>
        <w:spacing w:line="240" w:lineRule="auto"/>
        <w:rPr>
          <w:sz w:val="20"/>
          <w:lang w:val="fr-CA"/>
        </w:rPr>
      </w:pPr>
      <w:r w:rsidRPr="001156A5">
        <w:rPr>
          <w:i/>
          <w:sz w:val="20"/>
          <w:lang w:val="fr-CA"/>
        </w:rPr>
        <w:tab/>
        <w:t>John M. Gordon, c.r.,</w:t>
      </w:r>
      <w:r w:rsidRPr="001156A5">
        <w:rPr>
          <w:sz w:val="20"/>
          <w:lang w:val="fr-CA"/>
        </w:rPr>
        <w:t xml:space="preserve"> et </w:t>
      </w:r>
      <w:r w:rsidRPr="001156A5">
        <w:rPr>
          <w:i/>
          <w:sz w:val="20"/>
          <w:lang w:val="fr-CA"/>
        </w:rPr>
        <w:t>Elizabeth A. Campbell</w:t>
      </w:r>
      <w:r w:rsidRPr="001156A5">
        <w:rPr>
          <w:sz w:val="20"/>
          <w:lang w:val="fr-CA"/>
        </w:rPr>
        <w:t>, pour l’intimée.</w:t>
      </w:r>
    </w:p>
    <w:p w:rsidR="001156A5" w:rsidRPr="001156A5" w:rsidRDefault="001156A5" w:rsidP="001156A5">
      <w:pPr>
        <w:pStyle w:val="SCCNormalDoubleSpacing"/>
        <w:spacing w:line="240" w:lineRule="auto"/>
        <w:rPr>
          <w:i/>
          <w:sz w:val="20"/>
          <w:lang w:val="fr-CA"/>
        </w:rPr>
      </w:pPr>
    </w:p>
    <w:p w:rsidR="001156A5" w:rsidRPr="001156A5" w:rsidRDefault="001156A5" w:rsidP="001156A5">
      <w:pPr>
        <w:pStyle w:val="SCCNormalDoubleSpacing"/>
        <w:spacing w:line="240" w:lineRule="auto"/>
        <w:rPr>
          <w:sz w:val="20"/>
          <w:lang w:val="fr-CA"/>
        </w:rPr>
      </w:pPr>
      <w:r w:rsidRPr="001156A5">
        <w:rPr>
          <w:i/>
          <w:sz w:val="20"/>
          <w:lang w:val="fr-CA"/>
        </w:rPr>
        <w:tab/>
        <w:t>Lucy Cecchetto</w:t>
      </w:r>
      <w:r w:rsidRPr="001156A5">
        <w:rPr>
          <w:sz w:val="20"/>
          <w:lang w:val="fr-CA"/>
        </w:rPr>
        <w:t>, pour l’intervenant.</w:t>
      </w:r>
    </w:p>
    <w:p w:rsidR="001156A5" w:rsidRPr="001156A5" w:rsidRDefault="001156A5" w:rsidP="001156A5">
      <w:pPr>
        <w:pStyle w:val="SCCLawFirm"/>
        <w:spacing w:line="240" w:lineRule="auto"/>
        <w:rPr>
          <w:sz w:val="20"/>
          <w:lang w:val="fr-CA"/>
        </w:rPr>
      </w:pPr>
    </w:p>
    <w:p w:rsidR="001156A5" w:rsidRDefault="001156A5">
      <w:pPr>
        <w:rPr>
          <w:rFonts w:eastAsia="Times New Roman" w:cs="Times New Roman"/>
          <w:i/>
          <w:sz w:val="20"/>
          <w:szCs w:val="20"/>
          <w:lang w:val="fr-CA" w:eastAsia="en-CA"/>
        </w:rPr>
      </w:pPr>
      <w:r>
        <w:rPr>
          <w:sz w:val="20"/>
          <w:lang w:val="fr-CA"/>
        </w:rPr>
        <w:br w:type="page"/>
      </w:r>
    </w:p>
    <w:p w:rsidR="001156A5" w:rsidRPr="001156A5" w:rsidRDefault="001156A5" w:rsidP="001156A5">
      <w:pPr>
        <w:pStyle w:val="SCCLawFirm"/>
        <w:spacing w:line="240" w:lineRule="auto"/>
        <w:rPr>
          <w:sz w:val="20"/>
          <w:lang w:val="fr-CA"/>
        </w:rPr>
      </w:pPr>
      <w:r w:rsidRPr="001156A5">
        <w:rPr>
          <w:sz w:val="20"/>
          <w:lang w:val="fr-CA"/>
        </w:rPr>
        <w:lastRenderedPageBreak/>
        <w:tab/>
        <w:t>Procureurs des appelants : Firestone &amp; Tyhurst, Victoria.</w:t>
      </w:r>
    </w:p>
    <w:p w:rsidR="001156A5" w:rsidRDefault="001156A5">
      <w:pPr>
        <w:rPr>
          <w:rFonts w:eastAsia="Times New Roman" w:cs="Times New Roman"/>
          <w:i/>
          <w:sz w:val="20"/>
          <w:szCs w:val="20"/>
          <w:lang w:val="fr-CA" w:eastAsia="en-CA"/>
        </w:rPr>
      </w:pPr>
    </w:p>
    <w:p w:rsidR="001156A5" w:rsidRPr="001156A5" w:rsidRDefault="001156A5" w:rsidP="001156A5">
      <w:pPr>
        <w:pStyle w:val="SCCLawFirm"/>
        <w:spacing w:line="240" w:lineRule="auto"/>
        <w:rPr>
          <w:sz w:val="20"/>
          <w:lang w:val="fr-CA"/>
        </w:rPr>
      </w:pPr>
      <w:r w:rsidRPr="001156A5">
        <w:rPr>
          <w:sz w:val="20"/>
          <w:lang w:val="fr-CA"/>
        </w:rPr>
        <w:tab/>
        <w:t>Procureur de l’intimée : Procureur général de la Colombie</w:t>
      </w:r>
      <w:r w:rsidRPr="001156A5">
        <w:rPr>
          <w:sz w:val="20"/>
          <w:lang w:val="fr-CA"/>
        </w:rPr>
        <w:noBreakHyphen/>
        <w:t>Britannique, Vancouver.</w:t>
      </w:r>
    </w:p>
    <w:p w:rsidR="001156A5" w:rsidRPr="001156A5" w:rsidRDefault="001156A5" w:rsidP="001156A5">
      <w:pPr>
        <w:pStyle w:val="SCCLawFirm"/>
        <w:spacing w:line="240" w:lineRule="auto"/>
        <w:rPr>
          <w:sz w:val="20"/>
          <w:lang w:val="fr-CA"/>
        </w:rPr>
      </w:pPr>
    </w:p>
    <w:p w:rsidR="001156A5" w:rsidRPr="001156A5" w:rsidRDefault="001156A5" w:rsidP="001156A5">
      <w:pPr>
        <w:pStyle w:val="SCCLawFirm"/>
        <w:spacing w:line="240" w:lineRule="auto"/>
        <w:rPr>
          <w:sz w:val="20"/>
          <w:lang w:val="fr-CA"/>
        </w:rPr>
      </w:pPr>
      <w:r w:rsidRPr="001156A5">
        <w:rPr>
          <w:sz w:val="20"/>
          <w:lang w:val="fr-CA"/>
        </w:rPr>
        <w:tab/>
        <w:t>Procureur de l’intervenant : Procureur général de l’Ontario, Toronto.</w:t>
      </w:r>
    </w:p>
    <w:p w:rsidR="001156A5" w:rsidRDefault="001156A5" w:rsidP="003B3977">
      <w:pPr>
        <w:rPr>
          <w:sz w:val="20"/>
          <w:szCs w:val="20"/>
          <w:lang w:val="fr-CA"/>
        </w:rPr>
      </w:pPr>
    </w:p>
    <w:p w:rsidR="001156A5" w:rsidRDefault="00414F7B" w:rsidP="003B3977">
      <w:pPr>
        <w:rPr>
          <w:sz w:val="20"/>
          <w:szCs w:val="20"/>
          <w:lang w:val="fr-CA"/>
        </w:rPr>
      </w:pPr>
      <w:r w:rsidRPr="00414F7B">
        <w:rPr>
          <w:rFonts w:cs="Times New Roman"/>
          <w:sz w:val="20"/>
          <w:szCs w:val="20"/>
          <w:lang w:val="fr-CA"/>
        </w:rPr>
        <w:pict>
          <v:rect id="_x0000_i1088" style="width:144.3pt;height:1pt" o:hrpct="300" o:hralign="center" o:hrstd="t" o:hrnoshade="t" o:hr="t" fillcolor="black [3213]" stroked="f"/>
        </w:pict>
      </w:r>
    </w:p>
    <w:p w:rsidR="001156A5" w:rsidRPr="001156A5" w:rsidRDefault="001156A5" w:rsidP="003B3977">
      <w:pPr>
        <w:rPr>
          <w:sz w:val="20"/>
          <w:szCs w:val="20"/>
          <w:lang w:val="fr-CA"/>
        </w:rPr>
      </w:pPr>
    </w:p>
    <w:p w:rsidR="005C6840" w:rsidRPr="001156A5" w:rsidRDefault="005C6840" w:rsidP="005C6840">
      <w:pPr>
        <w:jc w:val="both"/>
        <w:rPr>
          <w:sz w:val="20"/>
          <w:szCs w:val="20"/>
          <w:lang w:val="fr-CA"/>
        </w:rPr>
      </w:pPr>
    </w:p>
    <w:p w:rsidR="00102926" w:rsidRPr="001156A5" w:rsidRDefault="00102926" w:rsidP="00782AE4">
      <w:pPr>
        <w:jc w:val="both"/>
        <w:rPr>
          <w:sz w:val="20"/>
          <w:szCs w:val="20"/>
          <w:lang w:val="fr-CA"/>
        </w:rPr>
        <w:sectPr w:rsidR="00102926" w:rsidRPr="001156A5" w:rsidSect="00782AE4">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28361F"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D0B49" w:rsidRPr="0028361F"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Judgments reported in [201</w:t>
            </w:r>
            <w:r w:rsidR="000C02A3">
              <w:rPr>
                <w:rFonts w:cs="Times New Roman"/>
                <w:b/>
                <w:bCs/>
                <w:sz w:val="20"/>
                <w:szCs w:val="20"/>
                <w:lang w:val="en-GB"/>
              </w:rPr>
              <w:t>1</w:t>
            </w:r>
            <w:r w:rsidRPr="00DD0B49">
              <w:rPr>
                <w:rFonts w:cs="Times New Roman"/>
                <w:b/>
                <w:bCs/>
                <w:sz w:val="20"/>
                <w:szCs w:val="20"/>
                <w:lang w:val="en-GB"/>
              </w:rPr>
              <w:t xml:space="preserve">] </w:t>
            </w:r>
            <w:r w:rsidR="000C02A3">
              <w:rPr>
                <w:rFonts w:cs="Times New Roman"/>
                <w:b/>
                <w:bCs/>
                <w:sz w:val="20"/>
                <w:szCs w:val="20"/>
                <w:lang w:val="en-GB"/>
              </w:rPr>
              <w:t>3</w:t>
            </w:r>
            <w:r w:rsidRPr="00DD0B49">
              <w:rPr>
                <w:rFonts w:cs="Times New Roman"/>
                <w:b/>
                <w:bCs/>
                <w:sz w:val="20"/>
                <w:szCs w:val="20"/>
                <w:lang w:val="en-GB"/>
              </w:rPr>
              <w:t xml:space="preserve"> S.C.R. Part </w:t>
            </w:r>
            <w:r w:rsidR="000C02A3">
              <w:rPr>
                <w:rFonts w:cs="Times New Roman"/>
                <w:b/>
                <w:bCs/>
                <w:sz w:val="20"/>
                <w:szCs w:val="20"/>
                <w:lang w:val="en-GB"/>
              </w:rPr>
              <w:t>4</w:t>
            </w:r>
          </w:p>
          <w:p w:rsidR="00DD0B49" w:rsidRPr="00DD0B49" w:rsidRDefault="00DD0B49" w:rsidP="003B3977">
            <w:pPr>
              <w:rPr>
                <w:rFonts w:cs="Times New Roman"/>
                <w:sz w:val="20"/>
                <w:szCs w:val="20"/>
                <w:lang w:val="en-GB"/>
              </w:rPr>
            </w:pPr>
          </w:p>
          <w:p w:rsidR="00DD0B49" w:rsidRPr="00DD0B49" w:rsidRDefault="000C02A3" w:rsidP="003B3977">
            <w:pPr>
              <w:rPr>
                <w:rFonts w:cs="Times New Roman"/>
                <w:sz w:val="20"/>
                <w:szCs w:val="20"/>
                <w:lang w:val="en-GB"/>
              </w:rPr>
            </w:pPr>
            <w:r>
              <w:rPr>
                <w:rFonts w:cs="Times New Roman"/>
                <w:sz w:val="20"/>
                <w:szCs w:val="20"/>
                <w:lang w:val="en-GB"/>
              </w:rPr>
              <w:t xml:space="preserve">Copthorne Holdings Ltd. </w:t>
            </w:r>
            <w:r w:rsidR="00DD0B49" w:rsidRPr="00DD0B49">
              <w:rPr>
                <w:rFonts w:cs="Times New Roman"/>
                <w:i/>
                <w:sz w:val="20"/>
                <w:szCs w:val="20"/>
                <w:lang w:val="en-GB"/>
              </w:rPr>
              <w:t>v.</w:t>
            </w:r>
            <w:r w:rsidR="00DD0B49" w:rsidRPr="00DD0B49">
              <w:rPr>
                <w:rFonts w:cs="Times New Roman"/>
                <w:sz w:val="20"/>
                <w:szCs w:val="20"/>
                <w:lang w:val="en-GB"/>
              </w:rPr>
              <w:t xml:space="preserve"> C</w:t>
            </w:r>
            <w:r>
              <w:rPr>
                <w:rFonts w:cs="Times New Roman"/>
                <w:sz w:val="20"/>
                <w:szCs w:val="20"/>
                <w:lang w:val="en-GB"/>
              </w:rPr>
              <w:t>a</w:t>
            </w:r>
            <w:r w:rsidR="00DD0B49" w:rsidRPr="00DD0B49">
              <w:rPr>
                <w:rFonts w:cs="Times New Roman"/>
                <w:sz w:val="20"/>
                <w:szCs w:val="20"/>
                <w:lang w:val="en-GB"/>
              </w:rPr>
              <w:t>na</w:t>
            </w:r>
            <w:r>
              <w:rPr>
                <w:rFonts w:cs="Times New Roman"/>
                <w:sz w:val="20"/>
                <w:szCs w:val="20"/>
                <w:lang w:val="en-GB"/>
              </w:rPr>
              <w:t>da</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0C02A3">
              <w:rPr>
                <w:rFonts w:cs="Times New Roman"/>
                <w:sz w:val="20"/>
                <w:szCs w:val="20"/>
                <w:lang w:val="en-GB"/>
              </w:rPr>
              <w:t>1</w:t>
            </w:r>
            <w:r w:rsidRPr="00DD0B49">
              <w:rPr>
                <w:rFonts w:cs="Times New Roman"/>
                <w:sz w:val="20"/>
                <w:szCs w:val="20"/>
                <w:lang w:val="en-GB"/>
              </w:rPr>
              <w:t xml:space="preserve"> SCC </w:t>
            </w:r>
            <w:r w:rsidR="000C02A3">
              <w:rPr>
                <w:rFonts w:cs="Times New Roman"/>
                <w:sz w:val="20"/>
                <w:szCs w:val="20"/>
                <w:lang w:val="en-GB"/>
              </w:rPr>
              <w:t>63</w:t>
            </w:r>
            <w:r w:rsidRPr="00DD0B49">
              <w:rPr>
                <w:rFonts w:cs="Times New Roman"/>
                <w:sz w:val="20"/>
                <w:szCs w:val="20"/>
                <w:lang w:val="en-GB"/>
              </w:rPr>
              <w:t>, [201</w:t>
            </w:r>
            <w:r w:rsidR="000C02A3">
              <w:rPr>
                <w:rFonts w:cs="Times New Roman"/>
                <w:sz w:val="20"/>
                <w:szCs w:val="20"/>
                <w:lang w:val="en-GB"/>
              </w:rPr>
              <w:t>1</w:t>
            </w:r>
            <w:r w:rsidRPr="00DD0B49">
              <w:rPr>
                <w:rFonts w:cs="Times New Roman"/>
                <w:sz w:val="20"/>
                <w:szCs w:val="20"/>
                <w:lang w:val="en-GB"/>
              </w:rPr>
              <w:t xml:space="preserve">] </w:t>
            </w:r>
            <w:r w:rsidR="000C02A3">
              <w:rPr>
                <w:rFonts w:cs="Times New Roman"/>
                <w:sz w:val="20"/>
                <w:szCs w:val="20"/>
                <w:lang w:val="en-GB"/>
              </w:rPr>
              <w:t>3</w:t>
            </w:r>
            <w:r w:rsidRPr="00DD0B49">
              <w:rPr>
                <w:rFonts w:cs="Times New Roman"/>
                <w:sz w:val="20"/>
                <w:szCs w:val="20"/>
                <w:lang w:val="en-GB"/>
              </w:rPr>
              <w:t xml:space="preserve"> S.C.R. </w:t>
            </w:r>
            <w:r w:rsidR="000C02A3">
              <w:rPr>
                <w:rFonts w:cs="Times New Roman"/>
                <w:sz w:val="20"/>
                <w:szCs w:val="20"/>
                <w:lang w:val="en-GB"/>
              </w:rPr>
              <w:t>72</w:t>
            </w:r>
            <w:r w:rsidRPr="00DD0B49">
              <w:rPr>
                <w:rFonts w:cs="Times New Roman"/>
                <w:sz w:val="20"/>
                <w:szCs w:val="20"/>
                <w:lang w:val="en-GB"/>
              </w:rPr>
              <w:t>1</w:t>
            </w:r>
          </w:p>
          <w:p w:rsidR="00DD0B49" w:rsidRPr="00DD0B49" w:rsidRDefault="00DD0B49" w:rsidP="003B3977">
            <w:pPr>
              <w:rPr>
                <w:rFonts w:cs="Times New Roman"/>
                <w:sz w:val="20"/>
                <w:szCs w:val="20"/>
                <w:lang w:val="en-GB"/>
              </w:rPr>
            </w:pPr>
          </w:p>
          <w:p w:rsidR="00DD0B49" w:rsidRPr="00DD0B49" w:rsidRDefault="000C02A3" w:rsidP="003B3977">
            <w:pPr>
              <w:rPr>
                <w:rFonts w:cs="Times New Roman"/>
                <w:sz w:val="20"/>
                <w:szCs w:val="20"/>
                <w:lang w:val="en-GB"/>
              </w:rPr>
            </w:pPr>
            <w:r>
              <w:rPr>
                <w:rFonts w:cs="Times New Roman"/>
                <w:sz w:val="20"/>
                <w:szCs w:val="20"/>
                <w:lang w:val="en-GB"/>
              </w:rPr>
              <w:t>L.M.P</w:t>
            </w:r>
            <w:r w:rsidR="00DD0B49" w:rsidRPr="00DD0B49">
              <w:rPr>
                <w:rFonts w:cs="Times New Roman"/>
                <w:sz w:val="20"/>
                <w:szCs w:val="20"/>
                <w:lang w:val="en-GB"/>
              </w:rPr>
              <w:t xml:space="preserve">. </w:t>
            </w:r>
            <w:r w:rsidR="00DD0B49" w:rsidRPr="00DD0B49">
              <w:rPr>
                <w:rFonts w:cs="Times New Roman"/>
                <w:i/>
                <w:iCs/>
                <w:sz w:val="20"/>
                <w:szCs w:val="20"/>
                <w:lang w:val="en-GB"/>
              </w:rPr>
              <w:t>v.</w:t>
            </w:r>
            <w:r w:rsidR="00DD0B49" w:rsidRPr="00DD0B49">
              <w:rPr>
                <w:rFonts w:cs="Times New Roman"/>
                <w:iCs/>
                <w:sz w:val="20"/>
                <w:szCs w:val="20"/>
                <w:lang w:val="en-GB"/>
              </w:rPr>
              <w:t xml:space="preserve"> </w:t>
            </w:r>
            <w:r>
              <w:rPr>
                <w:rFonts w:cs="Times New Roman"/>
                <w:iCs/>
                <w:sz w:val="20"/>
                <w:szCs w:val="20"/>
                <w:lang w:val="en-GB"/>
              </w:rPr>
              <w:t>L.S.</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0C02A3">
              <w:rPr>
                <w:rFonts w:cs="Times New Roman"/>
                <w:sz w:val="20"/>
                <w:szCs w:val="20"/>
                <w:lang w:val="en-GB"/>
              </w:rPr>
              <w:t>1</w:t>
            </w:r>
            <w:r w:rsidRPr="00DD0B49">
              <w:rPr>
                <w:rFonts w:cs="Times New Roman"/>
                <w:sz w:val="20"/>
                <w:szCs w:val="20"/>
                <w:lang w:val="en-GB"/>
              </w:rPr>
              <w:t xml:space="preserve"> SCC </w:t>
            </w:r>
            <w:r w:rsidR="000C02A3">
              <w:rPr>
                <w:rFonts w:cs="Times New Roman"/>
                <w:sz w:val="20"/>
                <w:szCs w:val="20"/>
                <w:lang w:val="en-GB"/>
              </w:rPr>
              <w:t>64</w:t>
            </w:r>
            <w:r w:rsidRPr="00DD0B49">
              <w:rPr>
                <w:rFonts w:cs="Times New Roman"/>
                <w:sz w:val="20"/>
                <w:szCs w:val="20"/>
                <w:lang w:val="en-GB"/>
              </w:rPr>
              <w:t>, [201</w:t>
            </w:r>
            <w:r w:rsidR="000C02A3">
              <w:rPr>
                <w:rFonts w:cs="Times New Roman"/>
                <w:sz w:val="20"/>
                <w:szCs w:val="20"/>
                <w:lang w:val="en-GB"/>
              </w:rPr>
              <w:t>1</w:t>
            </w:r>
            <w:r w:rsidRPr="00DD0B49">
              <w:rPr>
                <w:rFonts w:cs="Times New Roman"/>
                <w:sz w:val="20"/>
                <w:szCs w:val="20"/>
                <w:lang w:val="en-GB"/>
              </w:rPr>
              <w:t xml:space="preserve">] </w:t>
            </w:r>
            <w:r w:rsidR="000C02A3">
              <w:rPr>
                <w:rFonts w:cs="Times New Roman"/>
                <w:sz w:val="20"/>
                <w:szCs w:val="20"/>
                <w:lang w:val="en-GB"/>
              </w:rPr>
              <w:t>3</w:t>
            </w:r>
            <w:r w:rsidRPr="00DD0B49">
              <w:rPr>
                <w:rFonts w:cs="Times New Roman"/>
                <w:sz w:val="20"/>
                <w:szCs w:val="20"/>
                <w:lang w:val="en-GB"/>
              </w:rPr>
              <w:t xml:space="preserve"> S.C.R. 7</w:t>
            </w:r>
            <w:r w:rsidR="000C02A3">
              <w:rPr>
                <w:rFonts w:cs="Times New Roman"/>
                <w:sz w:val="20"/>
                <w:szCs w:val="20"/>
                <w:lang w:val="en-GB"/>
              </w:rPr>
              <w:t>7</w:t>
            </w:r>
            <w:r w:rsidRPr="00DD0B49">
              <w:rPr>
                <w:rFonts w:cs="Times New Roman"/>
                <w:sz w:val="20"/>
                <w:szCs w:val="20"/>
                <w:lang w:val="en-GB"/>
              </w:rPr>
              <w:t>5</w:t>
            </w:r>
          </w:p>
          <w:p w:rsidR="00DD0B49" w:rsidRPr="00DD0B49" w:rsidRDefault="00DD0B49" w:rsidP="003B3977">
            <w:pPr>
              <w:rPr>
                <w:rFonts w:cs="Times New Roman"/>
                <w:iCs/>
                <w:sz w:val="20"/>
                <w:szCs w:val="20"/>
                <w:lang w:val="en-GB"/>
              </w:rPr>
            </w:pPr>
          </w:p>
          <w:p w:rsidR="00DD0B49" w:rsidRPr="00DD0B49" w:rsidRDefault="00DD0B49" w:rsidP="003B3977">
            <w:pPr>
              <w:rPr>
                <w:rFonts w:cs="Times New Roman"/>
                <w:iCs/>
                <w:sz w:val="20"/>
                <w:szCs w:val="20"/>
                <w:lang w:val="en-GB"/>
              </w:rPr>
            </w:pPr>
            <w:r w:rsidRPr="00DD0B49">
              <w:rPr>
                <w:rFonts w:cs="Times New Roman"/>
                <w:iCs/>
                <w:sz w:val="20"/>
                <w:szCs w:val="20"/>
                <w:lang w:val="en-GB"/>
              </w:rPr>
              <w:t>R.</w:t>
            </w:r>
            <w:r w:rsidR="000C02A3">
              <w:rPr>
                <w:rFonts w:cs="Times New Roman"/>
                <w:iCs/>
                <w:sz w:val="20"/>
                <w:szCs w:val="20"/>
                <w:lang w:val="en-GB"/>
              </w:rPr>
              <w:t>P.</w:t>
            </w:r>
            <w:r w:rsidRPr="00DD0B49">
              <w:rPr>
                <w:rFonts w:cs="Times New Roman"/>
                <w:iCs/>
                <w:sz w:val="20"/>
                <w:szCs w:val="20"/>
                <w:lang w:val="en-GB"/>
              </w:rPr>
              <w:t xml:space="preserve"> </w:t>
            </w:r>
            <w:r w:rsidRPr="00DD0B49">
              <w:rPr>
                <w:rFonts w:cs="Times New Roman"/>
                <w:i/>
                <w:iCs/>
                <w:sz w:val="20"/>
                <w:szCs w:val="20"/>
                <w:lang w:val="en-GB"/>
              </w:rPr>
              <w:t>v.</w:t>
            </w:r>
            <w:r w:rsidRPr="00DD0B49">
              <w:rPr>
                <w:rFonts w:cs="Times New Roman"/>
                <w:iCs/>
                <w:sz w:val="20"/>
                <w:szCs w:val="20"/>
                <w:lang w:val="en-GB"/>
              </w:rPr>
              <w:t xml:space="preserve"> </w:t>
            </w:r>
            <w:r w:rsidR="000C02A3">
              <w:rPr>
                <w:rFonts w:cs="Times New Roman"/>
                <w:iCs/>
                <w:sz w:val="20"/>
                <w:szCs w:val="20"/>
                <w:lang w:val="en-GB"/>
              </w:rPr>
              <w:t>R.C.</w:t>
            </w:r>
            <w:r w:rsidRPr="00DD0B49">
              <w:rPr>
                <w:rFonts w:cs="Times New Roman"/>
                <w:iCs/>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0C02A3">
              <w:rPr>
                <w:rFonts w:cs="Times New Roman"/>
                <w:sz w:val="20"/>
                <w:szCs w:val="20"/>
                <w:lang w:val="en-GB"/>
              </w:rPr>
              <w:t>1</w:t>
            </w:r>
            <w:r w:rsidRPr="00DD0B49">
              <w:rPr>
                <w:rFonts w:cs="Times New Roman"/>
                <w:sz w:val="20"/>
                <w:szCs w:val="20"/>
                <w:lang w:val="en-GB"/>
              </w:rPr>
              <w:t xml:space="preserve"> SCC </w:t>
            </w:r>
            <w:r w:rsidR="000C02A3">
              <w:rPr>
                <w:rFonts w:cs="Times New Roman"/>
                <w:sz w:val="20"/>
                <w:szCs w:val="20"/>
                <w:lang w:val="en-GB"/>
              </w:rPr>
              <w:t>65</w:t>
            </w:r>
            <w:r w:rsidRPr="00DD0B49">
              <w:rPr>
                <w:rFonts w:cs="Times New Roman"/>
                <w:sz w:val="20"/>
                <w:szCs w:val="20"/>
                <w:lang w:val="en-GB"/>
              </w:rPr>
              <w:t>, [201</w:t>
            </w:r>
            <w:r w:rsidR="000C02A3">
              <w:rPr>
                <w:rFonts w:cs="Times New Roman"/>
                <w:sz w:val="20"/>
                <w:szCs w:val="20"/>
                <w:lang w:val="en-GB"/>
              </w:rPr>
              <w:t>1</w:t>
            </w:r>
            <w:r w:rsidRPr="00DD0B49">
              <w:rPr>
                <w:rFonts w:cs="Times New Roman"/>
                <w:sz w:val="20"/>
                <w:szCs w:val="20"/>
                <w:lang w:val="en-GB"/>
              </w:rPr>
              <w:t xml:space="preserve">] </w:t>
            </w:r>
            <w:r w:rsidR="000C02A3">
              <w:rPr>
                <w:rFonts w:cs="Times New Roman"/>
                <w:sz w:val="20"/>
                <w:szCs w:val="20"/>
                <w:lang w:val="en-GB"/>
              </w:rPr>
              <w:t>3</w:t>
            </w:r>
            <w:r w:rsidRPr="00DD0B49">
              <w:rPr>
                <w:rFonts w:cs="Times New Roman"/>
                <w:sz w:val="20"/>
                <w:szCs w:val="20"/>
                <w:lang w:val="en-GB"/>
              </w:rPr>
              <w:t xml:space="preserve"> S.C.R. </w:t>
            </w:r>
            <w:r w:rsidR="000C02A3">
              <w:rPr>
                <w:rFonts w:cs="Times New Roman"/>
                <w:sz w:val="20"/>
                <w:szCs w:val="20"/>
                <w:lang w:val="en-GB"/>
              </w:rPr>
              <w:t>819</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R</w:t>
            </w:r>
            <w:r w:rsidR="000C02A3">
              <w:rPr>
                <w:rFonts w:cs="Times New Roman"/>
                <w:sz w:val="20"/>
                <w:szCs w:val="20"/>
                <w:lang w:val="en-GB"/>
              </w:rPr>
              <w:t xml:space="preserve">eference re </w:t>
            </w:r>
            <w:r w:rsidR="000C02A3">
              <w:rPr>
                <w:rFonts w:cs="Times New Roman"/>
                <w:i/>
                <w:iCs/>
                <w:sz w:val="20"/>
                <w:szCs w:val="20"/>
                <w:lang w:val="en-GB"/>
              </w:rPr>
              <w:t>Securities Act</w:t>
            </w:r>
            <w:r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0C02A3">
              <w:rPr>
                <w:rFonts w:cs="Times New Roman"/>
                <w:sz w:val="20"/>
                <w:szCs w:val="20"/>
                <w:lang w:val="en-GB"/>
              </w:rPr>
              <w:t>1</w:t>
            </w:r>
            <w:r w:rsidRPr="00DD0B49">
              <w:rPr>
                <w:rFonts w:cs="Times New Roman"/>
                <w:sz w:val="20"/>
                <w:szCs w:val="20"/>
                <w:lang w:val="en-GB"/>
              </w:rPr>
              <w:t xml:space="preserve"> SCC </w:t>
            </w:r>
            <w:r w:rsidR="000C02A3">
              <w:rPr>
                <w:rFonts w:cs="Times New Roman"/>
                <w:sz w:val="20"/>
                <w:szCs w:val="20"/>
                <w:lang w:val="en-GB"/>
              </w:rPr>
              <w:t>66</w:t>
            </w:r>
            <w:r w:rsidRPr="00DD0B49">
              <w:rPr>
                <w:rFonts w:cs="Times New Roman"/>
                <w:sz w:val="20"/>
                <w:szCs w:val="20"/>
                <w:lang w:val="en-GB"/>
              </w:rPr>
              <w:t>, [201</w:t>
            </w:r>
            <w:r w:rsidR="000C02A3">
              <w:rPr>
                <w:rFonts w:cs="Times New Roman"/>
                <w:sz w:val="20"/>
                <w:szCs w:val="20"/>
                <w:lang w:val="en-GB"/>
              </w:rPr>
              <w:t>1</w:t>
            </w:r>
            <w:r w:rsidRPr="00DD0B49">
              <w:rPr>
                <w:rFonts w:cs="Times New Roman"/>
                <w:sz w:val="20"/>
                <w:szCs w:val="20"/>
                <w:lang w:val="en-GB"/>
              </w:rPr>
              <w:t xml:space="preserve">] </w:t>
            </w:r>
            <w:r w:rsidR="000C02A3">
              <w:rPr>
                <w:rFonts w:cs="Times New Roman"/>
                <w:sz w:val="20"/>
                <w:szCs w:val="20"/>
                <w:lang w:val="en-GB"/>
              </w:rPr>
              <w:t>3</w:t>
            </w:r>
            <w:r w:rsidRPr="00DD0B49">
              <w:rPr>
                <w:rFonts w:cs="Times New Roman"/>
                <w:sz w:val="20"/>
                <w:szCs w:val="20"/>
                <w:lang w:val="en-GB"/>
              </w:rPr>
              <w:t xml:space="preserve"> S.C.R. 8</w:t>
            </w:r>
            <w:r w:rsidR="000C02A3">
              <w:rPr>
                <w:rFonts w:cs="Times New Roman"/>
                <w:sz w:val="20"/>
                <w:szCs w:val="20"/>
                <w:lang w:val="en-GB"/>
              </w:rPr>
              <w:t>37</w:t>
            </w:r>
          </w:p>
          <w:p w:rsidR="00DD0B49" w:rsidRPr="00DD0B49" w:rsidRDefault="00DD0B49" w:rsidP="003B3977">
            <w:pPr>
              <w:rPr>
                <w:rFonts w:cs="Times New Roman"/>
                <w:sz w:val="20"/>
                <w:szCs w:val="20"/>
                <w:lang w:val="en-GB"/>
              </w:rPr>
            </w:pPr>
          </w:p>
          <w:p w:rsidR="00DD0B49" w:rsidRPr="00DD0B49" w:rsidRDefault="00414F7B" w:rsidP="003B3977">
            <w:pPr>
              <w:keepNext/>
              <w:keepLines/>
              <w:rPr>
                <w:rFonts w:cs="Times New Roman"/>
                <w:bCs/>
                <w:sz w:val="20"/>
                <w:szCs w:val="20"/>
                <w:lang w:val="fr-CA"/>
              </w:rPr>
            </w:pPr>
            <w:r w:rsidRPr="00414F7B">
              <w:rPr>
                <w:rFonts w:cs="Times New Roman"/>
                <w:sz w:val="20"/>
                <w:szCs w:val="20"/>
              </w:rPr>
              <w:pict>
                <v:rect id="_x0000_i1091"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c>
          <w:tcPr>
            <w:tcW w:w="840" w:type="dxa"/>
            <w:tcBorders>
              <w:top w:val="nil"/>
              <w:left w:val="nil"/>
              <w:bottom w:val="nil"/>
              <w:right w:val="nil"/>
            </w:tcBorders>
          </w:tcPr>
          <w:p w:rsidR="00DD0B49" w:rsidRPr="00DD0B49" w:rsidRDefault="00DD0B49" w:rsidP="003B3977">
            <w:pPr>
              <w:rPr>
                <w:rFonts w:cs="Times New Roman"/>
                <w:b/>
                <w:bCs/>
                <w:sz w:val="20"/>
                <w:szCs w:val="20"/>
                <w:lang w:val="fr-CA"/>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Jugements publiés dans [201</w:t>
            </w:r>
            <w:r w:rsidR="000C02A3">
              <w:rPr>
                <w:rFonts w:cs="Times New Roman"/>
                <w:b/>
                <w:bCs/>
                <w:sz w:val="20"/>
                <w:szCs w:val="20"/>
                <w:lang w:val="fr-CA"/>
              </w:rPr>
              <w:t>1</w:t>
            </w:r>
            <w:r w:rsidRPr="00DD0B49">
              <w:rPr>
                <w:rFonts w:cs="Times New Roman"/>
                <w:b/>
                <w:bCs/>
                <w:sz w:val="20"/>
                <w:szCs w:val="20"/>
                <w:lang w:val="fr-CA"/>
              </w:rPr>
              <w:t xml:space="preserve">] </w:t>
            </w:r>
            <w:r w:rsidR="000C02A3">
              <w:rPr>
                <w:rFonts w:cs="Times New Roman"/>
                <w:b/>
                <w:bCs/>
                <w:sz w:val="20"/>
                <w:szCs w:val="20"/>
                <w:lang w:val="fr-CA"/>
              </w:rPr>
              <w:t>3</w:t>
            </w:r>
            <w:r w:rsidRPr="00DD0B49">
              <w:rPr>
                <w:rFonts w:cs="Times New Roman"/>
                <w:b/>
                <w:bCs/>
                <w:sz w:val="20"/>
                <w:szCs w:val="20"/>
                <w:lang w:val="fr-CA"/>
              </w:rPr>
              <w:t xml:space="preserve"> R.C.S. Partie </w:t>
            </w:r>
            <w:r w:rsidR="000C02A3">
              <w:rPr>
                <w:rFonts w:cs="Times New Roman"/>
                <w:b/>
                <w:bCs/>
                <w:sz w:val="20"/>
                <w:szCs w:val="20"/>
                <w:lang w:val="fr-CA"/>
              </w:rPr>
              <w:t>4</w:t>
            </w:r>
          </w:p>
          <w:p w:rsidR="00DD0B49" w:rsidRPr="00DD0B49" w:rsidRDefault="00DD0B49" w:rsidP="003B3977">
            <w:pPr>
              <w:rPr>
                <w:rFonts w:cs="Times New Roman"/>
                <w:b/>
                <w:bCs/>
                <w:sz w:val="20"/>
                <w:szCs w:val="20"/>
                <w:lang w:val="fr-CA"/>
              </w:rPr>
            </w:pPr>
          </w:p>
          <w:p w:rsidR="00DD0B49" w:rsidRPr="000C02A3" w:rsidRDefault="000C02A3" w:rsidP="003B3977">
            <w:pPr>
              <w:rPr>
                <w:rFonts w:cs="Times New Roman"/>
                <w:sz w:val="20"/>
                <w:szCs w:val="20"/>
              </w:rPr>
            </w:pPr>
            <w:r w:rsidRPr="000C02A3">
              <w:rPr>
                <w:rFonts w:cs="Times New Roman"/>
                <w:sz w:val="20"/>
                <w:szCs w:val="20"/>
              </w:rPr>
              <w:t xml:space="preserve">Corthorne Holdings Ltd. </w:t>
            </w:r>
            <w:r w:rsidR="00DD0B49" w:rsidRPr="000C02A3">
              <w:rPr>
                <w:rFonts w:cs="Times New Roman"/>
                <w:i/>
                <w:sz w:val="20"/>
                <w:szCs w:val="20"/>
              </w:rPr>
              <w:t>c.</w:t>
            </w:r>
            <w:r w:rsidR="00DD0B49" w:rsidRPr="000C02A3">
              <w:rPr>
                <w:rFonts w:cs="Times New Roman"/>
                <w:sz w:val="20"/>
                <w:szCs w:val="20"/>
              </w:rPr>
              <w:t xml:space="preserve"> C</w:t>
            </w:r>
            <w:r>
              <w:rPr>
                <w:rFonts w:cs="Times New Roman"/>
                <w:sz w:val="20"/>
                <w:szCs w:val="20"/>
              </w:rPr>
              <w:t>a</w:t>
            </w:r>
            <w:r w:rsidR="00DD0B49" w:rsidRPr="000C02A3">
              <w:rPr>
                <w:rFonts w:cs="Times New Roman"/>
                <w:sz w:val="20"/>
                <w:szCs w:val="20"/>
              </w:rPr>
              <w:t>na</w:t>
            </w:r>
            <w:r>
              <w:rPr>
                <w:rFonts w:cs="Times New Roman"/>
                <w:sz w:val="20"/>
                <w:szCs w:val="20"/>
              </w:rPr>
              <w:t>d</w:t>
            </w:r>
            <w:r w:rsidR="00DD0B49" w:rsidRPr="000C02A3">
              <w:rPr>
                <w:rFonts w:cs="Times New Roman"/>
                <w:sz w:val="20"/>
                <w:szCs w:val="20"/>
              </w:rPr>
              <w:t>a,</w:t>
            </w:r>
          </w:p>
          <w:p w:rsidR="00DD0B49" w:rsidRPr="00DD0B49" w:rsidRDefault="00DD0B49" w:rsidP="003B3977">
            <w:pPr>
              <w:rPr>
                <w:rFonts w:cs="Times New Roman"/>
                <w:sz w:val="20"/>
                <w:szCs w:val="20"/>
              </w:rPr>
            </w:pPr>
            <w:r w:rsidRPr="00DD0B49">
              <w:rPr>
                <w:rFonts w:cs="Times New Roman"/>
                <w:sz w:val="20"/>
                <w:szCs w:val="20"/>
              </w:rPr>
              <w:t>201</w:t>
            </w:r>
            <w:r w:rsidR="000C02A3">
              <w:rPr>
                <w:rFonts w:cs="Times New Roman"/>
                <w:sz w:val="20"/>
                <w:szCs w:val="20"/>
              </w:rPr>
              <w:t>1</w:t>
            </w:r>
            <w:r w:rsidRPr="00DD0B49">
              <w:rPr>
                <w:rFonts w:cs="Times New Roman"/>
                <w:sz w:val="20"/>
                <w:szCs w:val="20"/>
              </w:rPr>
              <w:t xml:space="preserve"> CSC </w:t>
            </w:r>
            <w:r w:rsidR="000C02A3">
              <w:rPr>
                <w:rFonts w:cs="Times New Roman"/>
                <w:sz w:val="20"/>
                <w:szCs w:val="20"/>
              </w:rPr>
              <w:t>6</w:t>
            </w:r>
            <w:r w:rsidRPr="00DD0B49">
              <w:rPr>
                <w:rFonts w:cs="Times New Roman"/>
                <w:sz w:val="20"/>
                <w:szCs w:val="20"/>
              </w:rPr>
              <w:t>3, [201</w:t>
            </w:r>
            <w:r w:rsidR="000C02A3">
              <w:rPr>
                <w:rFonts w:cs="Times New Roman"/>
                <w:sz w:val="20"/>
                <w:szCs w:val="20"/>
              </w:rPr>
              <w:t>1</w:t>
            </w:r>
            <w:r w:rsidRPr="00DD0B49">
              <w:rPr>
                <w:rFonts w:cs="Times New Roman"/>
                <w:sz w:val="20"/>
                <w:szCs w:val="20"/>
              </w:rPr>
              <w:t xml:space="preserve">] </w:t>
            </w:r>
            <w:r w:rsidR="000C02A3">
              <w:rPr>
                <w:rFonts w:cs="Times New Roman"/>
                <w:sz w:val="20"/>
                <w:szCs w:val="20"/>
              </w:rPr>
              <w:t>3</w:t>
            </w:r>
            <w:r w:rsidRPr="00DD0B49">
              <w:rPr>
                <w:rFonts w:cs="Times New Roman"/>
                <w:sz w:val="20"/>
                <w:szCs w:val="20"/>
              </w:rPr>
              <w:t xml:space="preserve"> R.C.S. </w:t>
            </w:r>
            <w:r w:rsidR="000C02A3">
              <w:rPr>
                <w:rFonts w:cs="Times New Roman"/>
                <w:sz w:val="20"/>
                <w:szCs w:val="20"/>
              </w:rPr>
              <w:t>72</w:t>
            </w:r>
            <w:r w:rsidRPr="00DD0B49">
              <w:rPr>
                <w:rFonts w:cs="Times New Roman"/>
                <w:sz w:val="20"/>
                <w:szCs w:val="20"/>
              </w:rPr>
              <w:t>1</w:t>
            </w:r>
          </w:p>
          <w:p w:rsidR="00DD0B49" w:rsidRPr="00DD0B49" w:rsidRDefault="00DD0B49" w:rsidP="003B3977">
            <w:pPr>
              <w:rPr>
                <w:rFonts w:cs="Times New Roman"/>
                <w:sz w:val="20"/>
                <w:szCs w:val="20"/>
              </w:rPr>
            </w:pPr>
          </w:p>
          <w:p w:rsidR="00DD0B49" w:rsidRPr="00DD0B49" w:rsidRDefault="007B2772" w:rsidP="003B3977">
            <w:pPr>
              <w:rPr>
                <w:rFonts w:cs="Times New Roman"/>
                <w:sz w:val="20"/>
                <w:szCs w:val="20"/>
              </w:rPr>
            </w:pPr>
            <w:r>
              <w:rPr>
                <w:rFonts w:cs="Times New Roman"/>
                <w:sz w:val="20"/>
                <w:szCs w:val="20"/>
              </w:rPr>
              <w:t xml:space="preserve">L.M.P. </w:t>
            </w:r>
            <w:r w:rsidR="00DD0B49" w:rsidRPr="00DD0B49">
              <w:rPr>
                <w:rFonts w:cs="Times New Roman"/>
                <w:i/>
                <w:iCs/>
                <w:sz w:val="20"/>
                <w:szCs w:val="20"/>
              </w:rPr>
              <w:t>c.</w:t>
            </w:r>
            <w:r w:rsidR="00DD0B49" w:rsidRPr="00DD0B49">
              <w:rPr>
                <w:rFonts w:cs="Times New Roman"/>
                <w:iCs/>
                <w:sz w:val="20"/>
                <w:szCs w:val="20"/>
              </w:rPr>
              <w:t xml:space="preserve"> </w:t>
            </w:r>
            <w:r>
              <w:rPr>
                <w:rFonts w:cs="Times New Roman"/>
                <w:iCs/>
                <w:sz w:val="20"/>
                <w:szCs w:val="20"/>
              </w:rPr>
              <w:t>L.S.</w:t>
            </w:r>
            <w:r w:rsidR="00DD0B49" w:rsidRPr="00DD0B49">
              <w:rPr>
                <w:rFonts w:cs="Times New Roman"/>
                <w:sz w:val="20"/>
                <w:szCs w:val="20"/>
              </w:rPr>
              <w:t>,</w:t>
            </w:r>
          </w:p>
          <w:p w:rsidR="00DD0B49" w:rsidRPr="00DD0B49" w:rsidRDefault="00DD0B49" w:rsidP="003B3977">
            <w:pPr>
              <w:rPr>
                <w:rFonts w:cs="Times New Roman"/>
                <w:sz w:val="20"/>
                <w:szCs w:val="20"/>
              </w:rPr>
            </w:pPr>
            <w:r w:rsidRPr="00DD0B49">
              <w:rPr>
                <w:rFonts w:cs="Times New Roman"/>
                <w:sz w:val="20"/>
                <w:szCs w:val="20"/>
              </w:rPr>
              <w:t>201</w:t>
            </w:r>
            <w:r w:rsidR="007B2772">
              <w:rPr>
                <w:rFonts w:cs="Times New Roman"/>
                <w:sz w:val="20"/>
                <w:szCs w:val="20"/>
              </w:rPr>
              <w:t>1</w:t>
            </w:r>
            <w:r w:rsidRPr="00DD0B49">
              <w:rPr>
                <w:rFonts w:cs="Times New Roman"/>
                <w:sz w:val="20"/>
                <w:szCs w:val="20"/>
              </w:rPr>
              <w:t xml:space="preserve"> CSC </w:t>
            </w:r>
            <w:r w:rsidR="007B2772">
              <w:rPr>
                <w:rFonts w:cs="Times New Roman"/>
                <w:sz w:val="20"/>
                <w:szCs w:val="20"/>
              </w:rPr>
              <w:t>64</w:t>
            </w:r>
            <w:r w:rsidRPr="00DD0B49">
              <w:rPr>
                <w:rFonts w:cs="Times New Roman"/>
                <w:sz w:val="20"/>
                <w:szCs w:val="20"/>
              </w:rPr>
              <w:t>, [201</w:t>
            </w:r>
            <w:r w:rsidR="007B2772">
              <w:rPr>
                <w:rFonts w:cs="Times New Roman"/>
                <w:sz w:val="20"/>
                <w:szCs w:val="20"/>
              </w:rPr>
              <w:t>1</w:t>
            </w:r>
            <w:r w:rsidRPr="00DD0B49">
              <w:rPr>
                <w:rFonts w:cs="Times New Roman"/>
                <w:sz w:val="20"/>
                <w:szCs w:val="20"/>
              </w:rPr>
              <w:t xml:space="preserve">] </w:t>
            </w:r>
            <w:r w:rsidR="007B2772">
              <w:rPr>
                <w:rFonts w:cs="Times New Roman"/>
                <w:sz w:val="20"/>
                <w:szCs w:val="20"/>
              </w:rPr>
              <w:t>3</w:t>
            </w:r>
            <w:r w:rsidRPr="00DD0B49">
              <w:rPr>
                <w:rFonts w:cs="Times New Roman"/>
                <w:sz w:val="20"/>
                <w:szCs w:val="20"/>
              </w:rPr>
              <w:t xml:space="preserve"> R.C.S. 7</w:t>
            </w:r>
            <w:r w:rsidR="007B2772">
              <w:rPr>
                <w:rFonts w:cs="Times New Roman"/>
                <w:sz w:val="20"/>
                <w:szCs w:val="20"/>
              </w:rPr>
              <w:t>7</w:t>
            </w:r>
            <w:r w:rsidRPr="00DD0B49">
              <w:rPr>
                <w:rFonts w:cs="Times New Roman"/>
                <w:sz w:val="20"/>
                <w:szCs w:val="20"/>
              </w:rPr>
              <w:t>5</w:t>
            </w:r>
          </w:p>
          <w:p w:rsidR="00DD0B49" w:rsidRPr="00DD0B49" w:rsidRDefault="00DD0B49" w:rsidP="003B3977">
            <w:pPr>
              <w:rPr>
                <w:rFonts w:cs="Times New Roman"/>
                <w:iCs/>
                <w:sz w:val="20"/>
                <w:szCs w:val="20"/>
              </w:rPr>
            </w:pPr>
          </w:p>
          <w:p w:rsidR="00DD0B49" w:rsidRPr="00DD0B49" w:rsidRDefault="00DD0B49" w:rsidP="003B3977">
            <w:pPr>
              <w:rPr>
                <w:rFonts w:cs="Times New Roman"/>
                <w:iCs/>
                <w:sz w:val="20"/>
                <w:szCs w:val="20"/>
                <w:lang w:val="en-GB"/>
              </w:rPr>
            </w:pPr>
            <w:r w:rsidRPr="00DD0B49">
              <w:rPr>
                <w:rFonts w:cs="Times New Roman"/>
                <w:iCs/>
                <w:sz w:val="20"/>
                <w:szCs w:val="20"/>
                <w:lang w:val="en-GB"/>
              </w:rPr>
              <w:t>R.</w:t>
            </w:r>
            <w:r w:rsidR="007B2772">
              <w:rPr>
                <w:rFonts w:cs="Times New Roman"/>
                <w:iCs/>
                <w:sz w:val="20"/>
                <w:szCs w:val="20"/>
                <w:lang w:val="en-GB"/>
              </w:rPr>
              <w:t>P.</w:t>
            </w:r>
            <w:r w:rsidRPr="00DD0B49">
              <w:rPr>
                <w:rFonts w:cs="Times New Roman"/>
                <w:iCs/>
                <w:sz w:val="20"/>
                <w:szCs w:val="20"/>
                <w:lang w:val="en-GB"/>
              </w:rPr>
              <w:t xml:space="preserve"> </w:t>
            </w:r>
            <w:r w:rsidRPr="00DD0B49">
              <w:rPr>
                <w:rFonts w:cs="Times New Roman"/>
                <w:i/>
                <w:iCs/>
                <w:sz w:val="20"/>
                <w:szCs w:val="20"/>
                <w:lang w:val="en-GB"/>
              </w:rPr>
              <w:t>c.</w:t>
            </w:r>
            <w:r w:rsidRPr="00DD0B49">
              <w:rPr>
                <w:rFonts w:cs="Times New Roman"/>
                <w:iCs/>
                <w:sz w:val="20"/>
                <w:szCs w:val="20"/>
                <w:lang w:val="en-GB"/>
              </w:rPr>
              <w:t xml:space="preserve"> </w:t>
            </w:r>
            <w:r w:rsidR="007B2772">
              <w:rPr>
                <w:rFonts w:cs="Times New Roman"/>
                <w:iCs/>
                <w:sz w:val="20"/>
                <w:szCs w:val="20"/>
                <w:lang w:val="en-GB"/>
              </w:rPr>
              <w:t>R.C.</w:t>
            </w:r>
            <w:r w:rsidRPr="00DD0B49">
              <w:rPr>
                <w:rFonts w:cs="Times New Roman"/>
                <w:iCs/>
                <w:sz w:val="20"/>
                <w:szCs w:val="20"/>
                <w:lang w:val="en-GB"/>
              </w:rPr>
              <w:t>,</w:t>
            </w:r>
          </w:p>
          <w:p w:rsidR="00DD0B49" w:rsidRPr="00CA10EB" w:rsidRDefault="00DD0B49" w:rsidP="003B3977">
            <w:pPr>
              <w:rPr>
                <w:rFonts w:cs="Times New Roman"/>
                <w:sz w:val="20"/>
                <w:szCs w:val="20"/>
                <w:lang w:val="fr-CA"/>
              </w:rPr>
            </w:pPr>
            <w:r w:rsidRPr="00CA10EB">
              <w:rPr>
                <w:rFonts w:cs="Times New Roman"/>
                <w:sz w:val="20"/>
                <w:szCs w:val="20"/>
                <w:lang w:val="fr-CA"/>
              </w:rPr>
              <w:t>201</w:t>
            </w:r>
            <w:r w:rsidR="007B2772" w:rsidRPr="00CA10EB">
              <w:rPr>
                <w:rFonts w:cs="Times New Roman"/>
                <w:sz w:val="20"/>
                <w:szCs w:val="20"/>
                <w:lang w:val="fr-CA"/>
              </w:rPr>
              <w:t>1</w:t>
            </w:r>
            <w:r w:rsidRPr="00CA10EB">
              <w:rPr>
                <w:rFonts w:cs="Times New Roman"/>
                <w:sz w:val="20"/>
                <w:szCs w:val="20"/>
                <w:lang w:val="fr-CA"/>
              </w:rPr>
              <w:t xml:space="preserve"> CSC </w:t>
            </w:r>
            <w:r w:rsidR="007B2772" w:rsidRPr="00CA10EB">
              <w:rPr>
                <w:rFonts w:cs="Times New Roman"/>
                <w:sz w:val="20"/>
                <w:szCs w:val="20"/>
                <w:lang w:val="fr-CA"/>
              </w:rPr>
              <w:t>65</w:t>
            </w:r>
            <w:r w:rsidRPr="00CA10EB">
              <w:rPr>
                <w:rFonts w:cs="Times New Roman"/>
                <w:sz w:val="20"/>
                <w:szCs w:val="20"/>
                <w:lang w:val="fr-CA"/>
              </w:rPr>
              <w:t>, [201</w:t>
            </w:r>
            <w:r w:rsidR="007B2772" w:rsidRPr="00CA10EB">
              <w:rPr>
                <w:rFonts w:cs="Times New Roman"/>
                <w:sz w:val="20"/>
                <w:szCs w:val="20"/>
                <w:lang w:val="fr-CA"/>
              </w:rPr>
              <w:t>1</w:t>
            </w:r>
            <w:r w:rsidRPr="00CA10EB">
              <w:rPr>
                <w:rFonts w:cs="Times New Roman"/>
                <w:sz w:val="20"/>
                <w:szCs w:val="20"/>
                <w:lang w:val="fr-CA"/>
              </w:rPr>
              <w:t xml:space="preserve">] </w:t>
            </w:r>
            <w:r w:rsidR="007B2772" w:rsidRPr="00CA10EB">
              <w:rPr>
                <w:rFonts w:cs="Times New Roman"/>
                <w:sz w:val="20"/>
                <w:szCs w:val="20"/>
                <w:lang w:val="fr-CA"/>
              </w:rPr>
              <w:t>3</w:t>
            </w:r>
            <w:r w:rsidRPr="00CA10EB">
              <w:rPr>
                <w:rFonts w:cs="Times New Roman"/>
                <w:sz w:val="20"/>
                <w:szCs w:val="20"/>
                <w:lang w:val="fr-CA"/>
              </w:rPr>
              <w:t xml:space="preserve"> R.C.S. </w:t>
            </w:r>
            <w:r w:rsidR="007B2772" w:rsidRPr="00CA10EB">
              <w:rPr>
                <w:rFonts w:cs="Times New Roman"/>
                <w:sz w:val="20"/>
                <w:szCs w:val="20"/>
                <w:lang w:val="fr-CA"/>
              </w:rPr>
              <w:t>819</w:t>
            </w:r>
          </w:p>
          <w:p w:rsidR="00DD0B49" w:rsidRPr="00CA10EB" w:rsidRDefault="00DD0B49" w:rsidP="003B3977">
            <w:pPr>
              <w:rPr>
                <w:rFonts w:cs="Times New Roman"/>
                <w:sz w:val="20"/>
                <w:szCs w:val="20"/>
                <w:lang w:val="fr-CA"/>
              </w:rPr>
            </w:pPr>
          </w:p>
          <w:p w:rsidR="00DD0B49" w:rsidRPr="007B2772" w:rsidRDefault="007B2772" w:rsidP="003B3977">
            <w:pPr>
              <w:rPr>
                <w:rFonts w:cs="Times New Roman"/>
                <w:sz w:val="20"/>
                <w:szCs w:val="20"/>
                <w:lang w:val="fr-CA"/>
              </w:rPr>
            </w:pPr>
            <w:r w:rsidRPr="007B2772">
              <w:rPr>
                <w:rFonts w:cs="Times New Roman"/>
                <w:sz w:val="20"/>
                <w:szCs w:val="20"/>
                <w:lang w:val="fr-CA"/>
              </w:rPr>
              <w:t>Renv</w:t>
            </w:r>
            <w:r w:rsidR="00DD0B49" w:rsidRPr="007B2772">
              <w:rPr>
                <w:rFonts w:cs="Times New Roman"/>
                <w:sz w:val="20"/>
                <w:szCs w:val="20"/>
                <w:lang w:val="fr-CA"/>
              </w:rPr>
              <w:t>o</w:t>
            </w:r>
            <w:r w:rsidRPr="007B2772">
              <w:rPr>
                <w:rFonts w:cs="Times New Roman"/>
                <w:sz w:val="20"/>
                <w:szCs w:val="20"/>
                <w:lang w:val="fr-CA"/>
              </w:rPr>
              <w:t xml:space="preserve">i relatif à la </w:t>
            </w:r>
            <w:r w:rsidRPr="007B2772">
              <w:rPr>
                <w:rFonts w:cs="Times New Roman"/>
                <w:i/>
                <w:iCs/>
                <w:sz w:val="20"/>
                <w:szCs w:val="20"/>
                <w:lang w:val="fr-CA"/>
              </w:rPr>
              <w:t>Loi sur les valeurs mobilières</w:t>
            </w:r>
            <w:r w:rsidR="00DD0B49" w:rsidRPr="007B2772">
              <w:rPr>
                <w:rFonts w:cs="Times New Roman"/>
                <w:sz w:val="20"/>
                <w:szCs w:val="20"/>
                <w:lang w:val="fr-CA"/>
              </w:rPr>
              <w:t>,</w:t>
            </w:r>
          </w:p>
          <w:p w:rsidR="00DD0B49" w:rsidRPr="00DD0B49" w:rsidRDefault="00DD0B49" w:rsidP="003B3977">
            <w:pPr>
              <w:rPr>
                <w:rFonts w:cs="Times New Roman"/>
                <w:sz w:val="20"/>
                <w:szCs w:val="20"/>
              </w:rPr>
            </w:pPr>
            <w:r w:rsidRPr="00DD0B49">
              <w:rPr>
                <w:rFonts w:cs="Times New Roman"/>
                <w:sz w:val="20"/>
                <w:szCs w:val="20"/>
              </w:rPr>
              <w:t>201</w:t>
            </w:r>
            <w:r w:rsidR="007B2772">
              <w:rPr>
                <w:rFonts w:cs="Times New Roman"/>
                <w:sz w:val="20"/>
                <w:szCs w:val="20"/>
              </w:rPr>
              <w:t>1</w:t>
            </w:r>
            <w:r w:rsidRPr="00DD0B49">
              <w:rPr>
                <w:rFonts w:cs="Times New Roman"/>
                <w:sz w:val="20"/>
                <w:szCs w:val="20"/>
              </w:rPr>
              <w:t xml:space="preserve"> CSC </w:t>
            </w:r>
            <w:r w:rsidR="007B2772">
              <w:rPr>
                <w:rFonts w:cs="Times New Roman"/>
                <w:sz w:val="20"/>
                <w:szCs w:val="20"/>
              </w:rPr>
              <w:t>66</w:t>
            </w:r>
            <w:r w:rsidRPr="00DD0B49">
              <w:rPr>
                <w:rFonts w:cs="Times New Roman"/>
                <w:sz w:val="20"/>
                <w:szCs w:val="20"/>
              </w:rPr>
              <w:t>, [201</w:t>
            </w:r>
            <w:r w:rsidR="007B2772">
              <w:rPr>
                <w:rFonts w:cs="Times New Roman"/>
                <w:sz w:val="20"/>
                <w:szCs w:val="20"/>
              </w:rPr>
              <w:t>1</w:t>
            </w:r>
            <w:r w:rsidRPr="00DD0B49">
              <w:rPr>
                <w:rFonts w:cs="Times New Roman"/>
                <w:sz w:val="20"/>
                <w:szCs w:val="20"/>
              </w:rPr>
              <w:t xml:space="preserve">] </w:t>
            </w:r>
            <w:r w:rsidR="007B2772">
              <w:rPr>
                <w:rFonts w:cs="Times New Roman"/>
                <w:sz w:val="20"/>
                <w:szCs w:val="20"/>
              </w:rPr>
              <w:t>3</w:t>
            </w:r>
            <w:r w:rsidRPr="00DD0B49">
              <w:rPr>
                <w:rFonts w:cs="Times New Roman"/>
                <w:sz w:val="20"/>
                <w:szCs w:val="20"/>
              </w:rPr>
              <w:t xml:space="preserve"> R.C.S. </w:t>
            </w:r>
            <w:r w:rsidR="007B2772">
              <w:rPr>
                <w:rFonts w:cs="Times New Roman"/>
                <w:sz w:val="20"/>
                <w:szCs w:val="20"/>
              </w:rPr>
              <w:t>83</w:t>
            </w:r>
            <w:r w:rsidRPr="00DD0B49">
              <w:rPr>
                <w:rFonts w:cs="Times New Roman"/>
                <w:sz w:val="20"/>
                <w:szCs w:val="20"/>
              </w:rPr>
              <w:t>7</w:t>
            </w:r>
          </w:p>
          <w:p w:rsidR="00DD0B49" w:rsidRPr="00DD0B49" w:rsidRDefault="00DD0B49" w:rsidP="003B3977">
            <w:pPr>
              <w:keepNext/>
              <w:keepLines/>
              <w:rPr>
                <w:rFonts w:cs="Times New Roman"/>
                <w:bCs/>
                <w:sz w:val="20"/>
                <w:szCs w:val="20"/>
                <w:lang w:val="fr-CA"/>
              </w:rPr>
            </w:pPr>
          </w:p>
          <w:p w:rsidR="00DD0B49" w:rsidRPr="00DD0B49" w:rsidRDefault="00414F7B" w:rsidP="003B3977">
            <w:pPr>
              <w:rPr>
                <w:rFonts w:cs="Times New Roman"/>
                <w:sz w:val="20"/>
                <w:szCs w:val="20"/>
              </w:rPr>
            </w:pPr>
            <w:r w:rsidRPr="00414F7B">
              <w:rPr>
                <w:rFonts w:cs="Times New Roman"/>
                <w:sz w:val="20"/>
                <w:szCs w:val="20"/>
              </w:rPr>
              <w:pict>
                <v:rect id="_x0000_i1092"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r>
    </w:tbl>
    <w:p w:rsidR="00DD0B49" w:rsidRDefault="00DD0B49" w:rsidP="006B6926">
      <w:pPr>
        <w:rPr>
          <w:sz w:val="20"/>
          <w:szCs w:val="20"/>
          <w:lang w:val="fr-CA"/>
        </w:rPr>
      </w:pPr>
    </w:p>
    <w:p w:rsidR="00DD0B49" w:rsidRDefault="00DD0B49" w:rsidP="006B6926">
      <w:pPr>
        <w:rPr>
          <w:sz w:val="20"/>
          <w:szCs w:val="20"/>
          <w:lang w:val="fr-CA"/>
        </w:rPr>
      </w:pPr>
    </w:p>
    <w:p w:rsidR="00DD0B49" w:rsidRPr="00C50A5C" w:rsidRDefault="00DD0B49" w:rsidP="006B6926">
      <w:pPr>
        <w:rPr>
          <w:sz w:val="20"/>
          <w:szCs w:val="20"/>
          <w:lang w:val="fr-CA"/>
        </w:rPr>
      </w:pPr>
    </w:p>
    <w:p w:rsidR="006B6926" w:rsidRPr="00C50A5C" w:rsidRDefault="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p w:rsidR="00E903A1" w:rsidRPr="002E0C7E" w:rsidRDefault="00414F7B"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9"/>
      <w:footerReference w:type="default" r:id="rId70"/>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089" w:rsidRDefault="001A0089" w:rsidP="00A87207">
      <w:r>
        <w:separator/>
      </w:r>
    </w:p>
  </w:endnote>
  <w:endnote w:type="continuationSeparator" w:id="0">
    <w:p w:rsidR="001A0089" w:rsidRDefault="001A0089"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A0089"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A0089" w:rsidRDefault="001A0089">
    <w:pPr>
      <w:tabs>
        <w:tab w:val="center" w:pos="4740"/>
      </w:tabs>
    </w:pPr>
    <w:r>
      <w:tab/>
      <w:t xml:space="preserve">- </w:t>
    </w:r>
    <w:r>
      <w:pgNum/>
    </w: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414F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14F7B">
      <w:rPr>
        <w:lang w:val="fr-CA"/>
      </w:rPr>
      <w:pict>
        <v:rect id="_x0000_i1066" style="width:480.95pt;height:1pt" o:hralign="center" o:hrstd="t" o:hrnoshade="t" o:hr="t" fillcolor="black [3213]" stroked="f"/>
      </w:pict>
    </w:r>
  </w:p>
  <w:p w:rsidR="001A0089" w:rsidRPr="0009648D" w:rsidRDefault="001A0089" w:rsidP="00ED7E83">
    <w:pPr>
      <w:tabs>
        <w:tab w:val="center" w:pos="4680"/>
      </w:tabs>
    </w:pPr>
    <w:r>
      <w:tab/>
    </w:r>
    <w:r w:rsidRPr="0009648D">
      <w:t xml:space="preserve">- </w:t>
    </w:r>
    <w:fldSimple w:instr=" PAGE   \* MERGEFORMAT ">
      <w:r w:rsidR="005C6F6A">
        <w:rPr>
          <w:noProof/>
        </w:rPr>
        <w:t>781</w:t>
      </w:r>
    </w:fldSimple>
    <w:r w:rsidRPr="0009648D">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414F7B">
    <w:pPr>
      <w:pStyle w:val="Footer"/>
      <w:rPr>
        <w:lang w:val="fr-CA"/>
      </w:rPr>
    </w:pPr>
    <w:r w:rsidRPr="00414F7B">
      <w:rPr>
        <w:lang w:val="fr-CA"/>
      </w:rPr>
      <w:pict>
        <v:rect id="_x0000_i1067" style="width:480.95pt;height:1pt" o:hralign="center" o:hrstd="t" o:hrnoshade="t" o:hr="t" fillcolor="black [3213]" stroked="f"/>
      </w:pict>
    </w:r>
  </w:p>
  <w:p w:rsidR="001A0089" w:rsidRDefault="001A0089" w:rsidP="00245129">
    <w:pPr>
      <w:tabs>
        <w:tab w:val="center" w:pos="4680"/>
      </w:tabs>
    </w:pPr>
    <w:r>
      <w:tab/>
    </w:r>
    <w:r w:rsidRPr="0009648D">
      <w:t xml:space="preserve">- </w:t>
    </w:r>
    <w:fldSimple w:instr=" PAGE   \* MERGEFORMAT ">
      <w:r w:rsidR="005C6F6A">
        <w:rPr>
          <w:noProof/>
        </w:rPr>
        <w:t>757</w:t>
      </w:r>
    </w:fldSimple>
    <w:r w:rsidRPr="0009648D">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A0089"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A0089" w:rsidRDefault="001A0089">
    <w:pPr>
      <w:tabs>
        <w:tab w:val="center" w:pos="4740"/>
      </w:tabs>
    </w:pPr>
    <w:r>
      <w:tab/>
      <w:t xml:space="preserve">- </w:t>
    </w:r>
    <w:r>
      <w:pgNum/>
    </w:r>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414F7B" w:rsidP="00755F22">
    <w:pPr>
      <w:tabs>
        <w:tab w:val="left" w:pos="-1440"/>
        <w:tab w:val="left" w:pos="-720"/>
      </w:tabs>
    </w:pPr>
    <w:r>
      <w:pict>
        <v:rect id="_x0000_i1072" style="width:480.95pt;height:1pt" o:hralign="center" o:hrstd="t" o:hrnoshade="t" o:hr="t" fillcolor="black [3213]" stroked="f"/>
      </w:pict>
    </w:r>
  </w:p>
  <w:p w:rsidR="001A0089" w:rsidRDefault="001A0089" w:rsidP="00EB2B90">
    <w:pPr>
      <w:tabs>
        <w:tab w:val="center" w:pos="4680"/>
      </w:tabs>
    </w:pPr>
    <w:r>
      <w:tab/>
      <w:t xml:space="preserve">- </w:t>
    </w:r>
    <w:fldSimple w:instr=" PAGE   \* MERGEFORMAT ">
      <w:r w:rsidR="005C6F6A">
        <w:rPr>
          <w:noProof/>
        </w:rPr>
        <w:t>785</w:t>
      </w:r>
    </w:fldSimple>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414F7B" w:rsidP="00EB2B90">
    <w:pPr>
      <w:tabs>
        <w:tab w:val="center" w:pos="4680"/>
      </w:tabs>
    </w:pPr>
    <w:r>
      <w:pict>
        <v:rect id="_x0000_i1073" style="width:480.95pt;height:1pt" o:hralign="center" o:hrstd="t" o:hrnoshade="t" o:hr="t" fillcolor="black [3213]" stroked="f"/>
      </w:pict>
    </w:r>
  </w:p>
  <w:p w:rsidR="001A0089" w:rsidRPr="0031432F" w:rsidRDefault="001A0089" w:rsidP="00EB2B90">
    <w:pPr>
      <w:tabs>
        <w:tab w:val="center" w:pos="4680"/>
      </w:tabs>
    </w:pPr>
    <w:r>
      <w:tab/>
      <w:t xml:space="preserve">- </w:t>
    </w:r>
    <w:fldSimple w:instr=" PAGE   \* MERGEFORMAT ">
      <w:r w:rsidR="005C6F6A">
        <w:rPr>
          <w:noProof/>
        </w:rPr>
        <w:t>782</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A0089"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A0089" w:rsidRDefault="001A0089">
    <w:pPr>
      <w:tabs>
        <w:tab w:val="center" w:pos="4740"/>
      </w:tabs>
    </w:pPr>
    <w:r>
      <w:tab/>
      <w:t xml:space="preserve">- </w:t>
    </w:r>
    <w:r>
      <w:pgNum/>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414F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14F7B">
      <w:rPr>
        <w:lang w:val="fr-CA"/>
      </w:rPr>
      <w:pict>
        <v:rect id="_x0000_i1075" style="width:480.95pt;height:1pt" o:hralign="center" o:hrstd="t" o:hrnoshade="t" o:hr="t" fillcolor="black [3213]" stroked="f"/>
      </w:pict>
    </w:r>
  </w:p>
  <w:p w:rsidR="001A0089" w:rsidRDefault="001A0089" w:rsidP="00EB2B90">
    <w:pPr>
      <w:tabs>
        <w:tab w:val="center" w:pos="4680"/>
      </w:tabs>
    </w:pPr>
    <w:r>
      <w:tab/>
      <w:t xml:space="preserve">- </w:t>
    </w:r>
    <w:fldSimple w:instr=" PAGE   \* MERGEFORMAT ">
      <w:r>
        <w:rPr>
          <w:noProof/>
        </w:rPr>
        <w:t>519</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414F7B">
    <w:pPr>
      <w:pStyle w:val="Footer"/>
      <w:rPr>
        <w:lang w:val="fr-CA"/>
      </w:rPr>
    </w:pPr>
    <w:r w:rsidRPr="00414F7B">
      <w:rPr>
        <w:lang w:val="fr-CA"/>
      </w:rPr>
      <w:pict>
        <v:rect id="_x0000_i1076" style="width:480.95pt;height:1pt" o:hralign="center" o:hrstd="t" o:hrnoshade="t" o:hr="t" fillcolor="black [3213]" stroked="f"/>
      </w:pict>
    </w:r>
  </w:p>
  <w:p w:rsidR="001A0089" w:rsidRDefault="001A0089" w:rsidP="00EB2B90">
    <w:pPr>
      <w:tabs>
        <w:tab w:val="center" w:pos="4680"/>
      </w:tabs>
    </w:pPr>
    <w:r>
      <w:tab/>
      <w:t xml:space="preserve">- </w:t>
    </w:r>
    <w:fldSimple w:instr=" PAGE   \* MERGEFORMAT ">
      <w:r w:rsidR="005C6F6A">
        <w:rPr>
          <w:noProof/>
        </w:rPr>
        <w:t>786</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A0089"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A0089" w:rsidRDefault="001A0089">
    <w:pPr>
      <w:tabs>
        <w:tab w:val="center" w:pos="4740"/>
      </w:tabs>
    </w:pPr>
    <w:r>
      <w:tab/>
      <w:t xml:space="preserve">- </w:t>
    </w:r>
    <w:r>
      <w:pgNum/>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414F7B" w:rsidP="00732DB7">
    <w:r>
      <w:pict>
        <v:rect id="_x0000_i1079" style="width:480.95pt;height:1pt" o:hralign="center" o:hrstd="t" o:hrnoshade="t" o:hr="t" fillcolor="black" stroked="f"/>
      </w:pict>
    </w:r>
  </w:p>
  <w:p w:rsidR="001A0089" w:rsidRDefault="001A0089">
    <w:pPr>
      <w:tabs>
        <w:tab w:val="center" w:pos="4740"/>
      </w:tabs>
      <w:spacing w:line="0" w:lineRule="atLeast"/>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414F7B">
    <w:pPr>
      <w:pStyle w:val="Footer"/>
    </w:pPr>
    <w:r>
      <w:pict>
        <v:rect id="_x0000_i1080" style="width:480.95pt;height:1pt" o:hralign="center" o:hrstd="t" o:hrnoshade="t" o:hr="t" fillcolor="black" stroked="f"/>
      </w:pict>
    </w:r>
  </w:p>
  <w:p w:rsidR="001A0089" w:rsidRPr="00283C52" w:rsidRDefault="001A0089">
    <w:pPr>
      <w:pStyle w:val="Footer"/>
    </w:pPr>
    <w:r>
      <w:tab/>
    </w:r>
    <w:r w:rsidRPr="00283C52">
      <w:t xml:space="preserve">- </w:t>
    </w:r>
    <w:r w:rsidRPr="00283C52">
      <w:pgNum/>
    </w:r>
    <w:r w:rsidRPr="00283C52">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A0089"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A0089" w:rsidRDefault="001A008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414F7B" w:rsidP="00732DB7">
    <w:r>
      <w:pict>
        <v:rect id="_x0000_i1083" style="width:480.95pt;height:1pt" o:hralign="center" o:hrstd="t" o:hrnoshade="t" o:hr="t" fillcolor="black" stroked="f"/>
      </w:pict>
    </w:r>
  </w:p>
  <w:p w:rsidR="001A0089" w:rsidRDefault="001A0089">
    <w:pPr>
      <w:tabs>
        <w:tab w:val="center" w:pos="4740"/>
      </w:tabs>
      <w:spacing w:line="0" w:lineRule="atLeast"/>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414F7B">
    <w:pPr>
      <w:pStyle w:val="Footer"/>
    </w:pPr>
    <w:r>
      <w:pict>
        <v:rect id="_x0000_i1084" style="width:480.95pt;height:1pt" o:hralign="center" o:hrstd="t" o:hrnoshade="t" o:hr="t" fillcolor="black [3213]" stroked="f"/>
      </w:pict>
    </w:r>
  </w:p>
  <w:p w:rsidR="001A0089" w:rsidRPr="003C2C0F" w:rsidRDefault="001A0089" w:rsidP="00697C62">
    <w:pPr>
      <w:tabs>
        <w:tab w:val="center" w:pos="4680"/>
      </w:tabs>
    </w:pPr>
    <w:r>
      <w:tab/>
      <w:t xml:space="preserve">- </w:t>
    </w:r>
    <w:fldSimple w:instr=" PAGE   \* MERGEFORMAT ">
      <w:r w:rsidR="005C6F6A">
        <w:rPr>
          <w:noProof/>
        </w:rPr>
        <w:t>789</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A0089"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A0089" w:rsidRDefault="001A0089">
    <w:pPr>
      <w:tabs>
        <w:tab w:val="center" w:pos="4740"/>
      </w:tabs>
    </w:pPr>
    <w:r>
      <w:tab/>
      <w:t xml:space="preserve">- </w:t>
    </w:r>
    <w:r>
      <w:pgNum/>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A0089" w:rsidRDefault="00414F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9" style="width:480.95pt;height:1pt" o:hralign="center" o:hrstd="t" o:hrnoshade="t" o:hr="t" fillcolor="black [3213]" stroked="f"/>
      </w:pict>
    </w:r>
  </w:p>
  <w:p w:rsidR="001A0089" w:rsidRDefault="001A0089" w:rsidP="00782AE4">
    <w:pPr>
      <w:tabs>
        <w:tab w:val="center" w:pos="4680"/>
      </w:tabs>
    </w:pPr>
    <w:r>
      <w:tab/>
      <w:t xml:space="preserve">- </w:t>
    </w:r>
    <w:r w:rsidR="00414F7B" w:rsidRPr="001775C1">
      <w:rPr>
        <w:szCs w:val="24"/>
      </w:rPr>
      <w:fldChar w:fldCharType="begin"/>
    </w:r>
    <w:r w:rsidRPr="001775C1">
      <w:rPr>
        <w:szCs w:val="24"/>
      </w:rPr>
      <w:instrText xml:space="preserve"> PAGE   \* MERGEFORMAT </w:instrText>
    </w:r>
    <w:r w:rsidR="00414F7B" w:rsidRPr="001775C1">
      <w:rPr>
        <w:szCs w:val="24"/>
      </w:rPr>
      <w:fldChar w:fldCharType="separate"/>
    </w:r>
    <w:r w:rsidR="005C6F6A">
      <w:rPr>
        <w:noProof/>
        <w:szCs w:val="24"/>
      </w:rPr>
      <w:t>797</w:t>
    </w:r>
    <w:r w:rsidR="00414F7B" w:rsidRPr="001775C1">
      <w:rPr>
        <w:szCs w:val="24"/>
      </w:rPr>
      <w:fldChar w:fldCharType="end"/>
    </w:r>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414F7B" w:rsidP="00782AE4">
    <w:pPr>
      <w:tabs>
        <w:tab w:val="center" w:pos="4680"/>
      </w:tabs>
    </w:pPr>
    <w:r>
      <w:pict>
        <v:rect id="_x0000_i1090" style="width:480.95pt;height:1pt" o:hralign="center" o:hrstd="t" o:hrnoshade="t" o:hr="t" fillcolor="black [3213]" stroked="f"/>
      </w:pict>
    </w:r>
  </w:p>
  <w:p w:rsidR="001A0089" w:rsidRDefault="001A0089" w:rsidP="00782AE4">
    <w:pPr>
      <w:tabs>
        <w:tab w:val="center" w:pos="4680"/>
      </w:tabs>
    </w:pPr>
    <w:r>
      <w:tab/>
      <w:t xml:space="preserve">- </w:t>
    </w:r>
    <w:r w:rsidR="00414F7B" w:rsidRPr="001775C1">
      <w:rPr>
        <w:szCs w:val="24"/>
      </w:rPr>
      <w:fldChar w:fldCharType="begin"/>
    </w:r>
    <w:r w:rsidRPr="001775C1">
      <w:rPr>
        <w:szCs w:val="24"/>
      </w:rPr>
      <w:instrText xml:space="preserve"> PAGE   \* MERGEFORMAT </w:instrText>
    </w:r>
    <w:r w:rsidR="00414F7B" w:rsidRPr="001775C1">
      <w:rPr>
        <w:szCs w:val="24"/>
      </w:rPr>
      <w:fldChar w:fldCharType="separate"/>
    </w:r>
    <w:r w:rsidR="005C6F6A">
      <w:rPr>
        <w:noProof/>
        <w:szCs w:val="24"/>
      </w:rPr>
      <w:t>790</w:t>
    </w:r>
    <w:r w:rsidR="00414F7B" w:rsidRPr="001775C1">
      <w:rPr>
        <w:szCs w:val="24"/>
      </w:rPr>
      <w:fldChar w:fldCharType="end"/>
    </w:r>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414F7B">
    <w:r w:rsidRPr="00414F7B">
      <w:rPr>
        <w:lang w:val="fr-CA"/>
      </w:rPr>
      <w:pict>
        <v:rect id="_x0000_i1093" style="width:480.95pt;height:1pt" o:hralign="center" o:hrstd="t" o:hrnoshade="t" o:hr="t" fillcolor="black [3213]" stroked="f"/>
      </w:pict>
    </w:r>
  </w:p>
  <w:p w:rsidR="001A0089" w:rsidRDefault="001A0089" w:rsidP="006B6926">
    <w:pPr>
      <w:tabs>
        <w:tab w:val="center" w:pos="4680"/>
      </w:tabs>
    </w:pPr>
    <w:r>
      <w:tab/>
      <w:t xml:space="preserve">- </w:t>
    </w:r>
    <w:fldSimple w:instr="PAGE ">
      <w:r>
        <w:rPr>
          <w:noProof/>
        </w:rPr>
        <w:t>540</w:t>
      </w:r>
    </w:fldSimple>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414F7B" w:rsidP="006B6926">
    <w:pPr>
      <w:tabs>
        <w:tab w:val="center" w:pos="4680"/>
      </w:tabs>
      <w:rPr>
        <w:lang w:val="fr-CA"/>
      </w:rPr>
    </w:pPr>
    <w:r w:rsidRPr="00414F7B">
      <w:rPr>
        <w:lang w:val="fr-CA"/>
      </w:rPr>
      <w:pict>
        <v:rect id="_x0000_i1094" style="width:480.95pt;height:1pt" o:hralign="center" o:hrstd="t" o:hrnoshade="t" o:hr="t" fillcolor="black [3213]" stroked="f"/>
      </w:pict>
    </w:r>
  </w:p>
  <w:p w:rsidR="001A0089" w:rsidRDefault="001A0089" w:rsidP="006B6926">
    <w:pPr>
      <w:tabs>
        <w:tab w:val="center" w:pos="4680"/>
      </w:tabs>
    </w:pPr>
    <w:r>
      <w:tab/>
      <w:t xml:space="preserve">- </w:t>
    </w:r>
    <w:fldSimple w:instr="PAGE ">
      <w:r w:rsidR="005C6F6A">
        <w:rPr>
          <w:noProof/>
        </w:rPr>
        <w:t>798</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Pr="00924065" w:rsidRDefault="001A0089" w:rsidP="00924065">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414F7B" w:rsidP="00A87207">
    <w:pPr>
      <w:pStyle w:val="Footer"/>
    </w:pPr>
    <w:r>
      <w:pict>
        <v:rect id="_x0000_i1031" style="width:480.95pt;height:1pt" o:hralign="center" o:hrstd="t" o:hrnoshade="t" o:hr="t" fillcolor="black [3213]" stroked="f"/>
      </w:pict>
    </w:r>
  </w:p>
  <w:p w:rsidR="001A0089" w:rsidRPr="00B7374B" w:rsidRDefault="001A0089" w:rsidP="00B7374B">
    <w:pPr>
      <w:tabs>
        <w:tab w:val="center" w:pos="4680"/>
      </w:tabs>
      <w:rPr>
        <w:szCs w:val="24"/>
      </w:rPr>
    </w:pPr>
    <w:r w:rsidRPr="00954D22">
      <w:rPr>
        <w:szCs w:val="24"/>
      </w:rPr>
      <w:tab/>
      <w:t xml:space="preserve">- </w:t>
    </w:r>
    <w:r w:rsidR="00414F7B" w:rsidRPr="00954D22">
      <w:rPr>
        <w:szCs w:val="24"/>
      </w:rPr>
      <w:fldChar w:fldCharType="begin"/>
    </w:r>
    <w:r w:rsidRPr="00954D22">
      <w:rPr>
        <w:szCs w:val="24"/>
      </w:rPr>
      <w:instrText xml:space="preserve"> PAGE   \* MERGEFORMAT </w:instrText>
    </w:r>
    <w:r w:rsidR="00414F7B" w:rsidRPr="00954D22">
      <w:rPr>
        <w:szCs w:val="24"/>
      </w:rPr>
      <w:fldChar w:fldCharType="separate"/>
    </w:r>
    <w:r>
      <w:rPr>
        <w:noProof/>
        <w:szCs w:val="24"/>
      </w:rPr>
      <w:t>754</w:t>
    </w:r>
    <w:r w:rsidR="00414F7B"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414F7B" w:rsidP="00755F22">
    <w:pPr>
      <w:tabs>
        <w:tab w:val="left" w:pos="-1440"/>
        <w:tab w:val="left" w:pos="-720"/>
      </w:tabs>
    </w:pPr>
    <w:r>
      <w:pict>
        <v:rect id="_x0000_i1032" style="width:480.95pt;height:1pt" o:hralign="center" o:hrstd="t" o:hrnoshade="t" o:hr="t" fillcolor="black [3213]" stroked="f"/>
      </w:pict>
    </w:r>
  </w:p>
  <w:p w:rsidR="001A0089" w:rsidRPr="00954D22" w:rsidRDefault="001A0089" w:rsidP="00B7374B">
    <w:pPr>
      <w:tabs>
        <w:tab w:val="center" w:pos="4680"/>
      </w:tabs>
      <w:rPr>
        <w:szCs w:val="24"/>
      </w:rPr>
    </w:pPr>
    <w:r w:rsidRPr="00954D22">
      <w:rPr>
        <w:szCs w:val="24"/>
      </w:rPr>
      <w:tab/>
      <w:t xml:space="preserve">- </w:t>
    </w:r>
    <w:r w:rsidR="00414F7B">
      <w:rPr>
        <w:szCs w:val="24"/>
      </w:rPr>
      <w:fldChar w:fldCharType="begin"/>
    </w:r>
    <w:r>
      <w:rPr>
        <w:szCs w:val="24"/>
      </w:rPr>
      <w:instrText xml:space="preserve"> PAGE   \* MERGEFORMAT </w:instrText>
    </w:r>
    <w:r w:rsidR="00414F7B">
      <w:rPr>
        <w:szCs w:val="24"/>
      </w:rPr>
      <w:fldChar w:fldCharType="separate"/>
    </w:r>
    <w:r w:rsidR="005C6F6A">
      <w:rPr>
        <w:noProof/>
        <w:szCs w:val="24"/>
      </w:rPr>
      <w:t>753</w:t>
    </w:r>
    <w:r w:rsidR="00414F7B">
      <w:rPr>
        <w:szCs w:val="24"/>
      </w:rPr>
      <w:fldChar w:fldCharType="end"/>
    </w:r>
    <w:r w:rsidRPr="00954D22">
      <w:rPr>
        <w:szCs w:val="24"/>
      </w:rPr>
      <w:t xml:space="preserve"> -</w:t>
    </w:r>
  </w:p>
  <w:p w:rsidR="001A0089" w:rsidRDefault="001A008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414F7B" w:rsidP="00A87207">
    <w:pPr>
      <w:pStyle w:val="Footer"/>
    </w:pPr>
    <w:r>
      <w:pict>
        <v:rect id="_x0000_i1034" style="width:480.95pt;height:1pt" o:hralign="center" o:hrstd="t" o:hrnoshade="t" o:hr="t" fillcolor="black [3213]" stroked="f"/>
      </w:pict>
    </w:r>
  </w:p>
  <w:p w:rsidR="001A0089" w:rsidRPr="00B7374B" w:rsidRDefault="001A0089" w:rsidP="00B7374B">
    <w:pPr>
      <w:tabs>
        <w:tab w:val="center" w:pos="4680"/>
      </w:tabs>
      <w:rPr>
        <w:szCs w:val="24"/>
      </w:rPr>
    </w:pPr>
    <w:r w:rsidRPr="00954D22">
      <w:rPr>
        <w:szCs w:val="24"/>
      </w:rPr>
      <w:tab/>
      <w:t xml:space="preserve">- </w:t>
    </w:r>
    <w:r w:rsidR="00414F7B" w:rsidRPr="00954D22">
      <w:rPr>
        <w:szCs w:val="24"/>
      </w:rPr>
      <w:fldChar w:fldCharType="begin"/>
    </w:r>
    <w:r w:rsidRPr="00954D22">
      <w:rPr>
        <w:szCs w:val="24"/>
      </w:rPr>
      <w:instrText xml:space="preserve"> PAGE   \* MERGEFORMAT </w:instrText>
    </w:r>
    <w:r w:rsidR="00414F7B" w:rsidRPr="00954D22">
      <w:rPr>
        <w:szCs w:val="24"/>
      </w:rPr>
      <w:fldChar w:fldCharType="separate"/>
    </w:r>
    <w:r>
      <w:rPr>
        <w:noProof/>
        <w:szCs w:val="24"/>
      </w:rPr>
      <w:t>755</w:t>
    </w:r>
    <w:r w:rsidR="00414F7B"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414F7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1A0089" w:rsidRPr="00954D22" w:rsidRDefault="001A0089" w:rsidP="00B7374B">
    <w:pPr>
      <w:tabs>
        <w:tab w:val="center" w:pos="4680"/>
      </w:tabs>
      <w:rPr>
        <w:szCs w:val="24"/>
      </w:rPr>
    </w:pPr>
    <w:r w:rsidRPr="00954D22">
      <w:rPr>
        <w:szCs w:val="24"/>
      </w:rPr>
      <w:tab/>
      <w:t xml:space="preserve">- </w:t>
    </w:r>
    <w:r w:rsidR="00414F7B" w:rsidRPr="00954D22">
      <w:rPr>
        <w:szCs w:val="24"/>
      </w:rPr>
      <w:fldChar w:fldCharType="begin"/>
    </w:r>
    <w:r w:rsidRPr="00954D22">
      <w:rPr>
        <w:szCs w:val="24"/>
      </w:rPr>
      <w:instrText xml:space="preserve"> PAGE   \* MERGEFORMAT </w:instrText>
    </w:r>
    <w:r w:rsidR="00414F7B" w:rsidRPr="00954D22">
      <w:rPr>
        <w:szCs w:val="24"/>
      </w:rPr>
      <w:fldChar w:fldCharType="separate"/>
    </w:r>
    <w:r w:rsidR="005C6F6A">
      <w:rPr>
        <w:noProof/>
        <w:szCs w:val="24"/>
      </w:rPr>
      <w:t>754</w:t>
    </w:r>
    <w:r w:rsidR="00414F7B"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414F7B" w:rsidP="00A87207">
    <w:pPr>
      <w:pStyle w:val="Footer"/>
    </w:pPr>
    <w:r>
      <w:pict>
        <v:rect id="_x0000_i1038" style="width:480.95pt;height:1pt" o:hralign="center" o:hrstd="t" o:hrnoshade="t" o:hr="t" fillcolor="black [3213]" stroked="f"/>
      </w:pict>
    </w:r>
  </w:p>
  <w:p w:rsidR="001A0089" w:rsidRPr="00B7374B" w:rsidRDefault="001A0089" w:rsidP="00B7374B">
    <w:pPr>
      <w:tabs>
        <w:tab w:val="center" w:pos="4680"/>
      </w:tabs>
      <w:rPr>
        <w:szCs w:val="24"/>
      </w:rPr>
    </w:pPr>
    <w:r w:rsidRPr="00954D22">
      <w:rPr>
        <w:szCs w:val="24"/>
      </w:rPr>
      <w:tab/>
      <w:t xml:space="preserve">- </w:t>
    </w:r>
    <w:r w:rsidR="00414F7B" w:rsidRPr="00954D22">
      <w:rPr>
        <w:szCs w:val="24"/>
      </w:rPr>
      <w:fldChar w:fldCharType="begin"/>
    </w:r>
    <w:r w:rsidRPr="00954D22">
      <w:rPr>
        <w:szCs w:val="24"/>
      </w:rPr>
      <w:instrText xml:space="preserve"> PAGE   \* MERGEFORMAT </w:instrText>
    </w:r>
    <w:r w:rsidR="00414F7B" w:rsidRPr="00954D22">
      <w:rPr>
        <w:szCs w:val="24"/>
      </w:rPr>
      <w:fldChar w:fldCharType="separate"/>
    </w:r>
    <w:r w:rsidR="005C6F6A">
      <w:rPr>
        <w:noProof/>
        <w:szCs w:val="24"/>
      </w:rPr>
      <w:t>756</w:t>
    </w:r>
    <w:r w:rsidR="00414F7B" w:rsidRPr="00954D22">
      <w:rPr>
        <w:szCs w:val="24"/>
      </w:rPr>
      <w:fldChar w:fldCharType="end"/>
    </w:r>
    <w:r>
      <w:rPr>
        <w:szCs w:val="24"/>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414F7B" w:rsidP="0044776A">
    <w:pPr>
      <w:tabs>
        <w:tab w:val="left" w:pos="-1440"/>
        <w:tab w:val="left" w:pos="-720"/>
      </w:tabs>
    </w:pPr>
    <w:r>
      <w:pict>
        <v:rect id="_x0000_i1039" style="width:480.95pt;height:1pt" o:hralign="center" o:hrstd="t" o:hrnoshade="t" o:hr="t" fillcolor="black [3213]" stroked="f"/>
      </w:pict>
    </w:r>
  </w:p>
  <w:p w:rsidR="001A0089" w:rsidRPr="00954D22" w:rsidRDefault="001A0089" w:rsidP="00B7374B">
    <w:pPr>
      <w:tabs>
        <w:tab w:val="center" w:pos="4680"/>
      </w:tabs>
      <w:rPr>
        <w:szCs w:val="24"/>
      </w:rPr>
    </w:pPr>
    <w:r w:rsidRPr="00954D22">
      <w:rPr>
        <w:szCs w:val="24"/>
      </w:rPr>
      <w:tab/>
      <w:t xml:space="preserve">- </w:t>
    </w:r>
    <w:r w:rsidR="00414F7B" w:rsidRPr="00954D22">
      <w:rPr>
        <w:szCs w:val="24"/>
      </w:rPr>
      <w:fldChar w:fldCharType="begin"/>
    </w:r>
    <w:r w:rsidRPr="00954D22">
      <w:rPr>
        <w:szCs w:val="24"/>
      </w:rPr>
      <w:instrText xml:space="preserve"> PAGE   \* MERGEFORMAT </w:instrText>
    </w:r>
    <w:r w:rsidR="00414F7B" w:rsidRPr="00954D22">
      <w:rPr>
        <w:szCs w:val="24"/>
      </w:rPr>
      <w:fldChar w:fldCharType="separate"/>
    </w:r>
    <w:r w:rsidR="005C6F6A">
      <w:rPr>
        <w:noProof/>
        <w:szCs w:val="24"/>
      </w:rPr>
      <w:t>755</w:t>
    </w:r>
    <w:r w:rsidR="00414F7B" w:rsidRPr="00954D22">
      <w:rPr>
        <w:szCs w:val="24"/>
      </w:rPr>
      <w:fldChar w:fldCharType="end"/>
    </w:r>
    <w:r w:rsidRPr="00954D22">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089" w:rsidRDefault="001A0089" w:rsidP="00A87207">
      <w:r>
        <w:separator/>
      </w:r>
    </w:p>
  </w:footnote>
  <w:footnote w:type="continuationSeparator" w:id="0">
    <w:p w:rsidR="001A0089" w:rsidRDefault="001A0089"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A0089" w:rsidRPr="0028361F">
      <w:tc>
        <w:tcPr>
          <w:tcW w:w="4200" w:type="dxa"/>
          <w:tcMar>
            <w:left w:w="0" w:type="dxa"/>
            <w:right w:w="0" w:type="dxa"/>
          </w:tcMar>
        </w:tcPr>
        <w:p w:rsidR="001A0089" w:rsidRDefault="001A00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A0089" w:rsidRDefault="001A00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A0089" w:rsidRDefault="001A00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A0089" w:rsidRPr="00FF6BA5" w:rsidRDefault="001A00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A0089" w:rsidRPr="00FF6BA5"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A0089" w:rsidRPr="00FF6BA5"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A0089" w:rsidRPr="00FF6BA5"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A0089" w:rsidRPr="0028361F" w:rsidTr="00245129">
      <w:tc>
        <w:tcPr>
          <w:tcW w:w="4200" w:type="dxa"/>
          <w:tcMar>
            <w:left w:w="0" w:type="dxa"/>
            <w:right w:w="0" w:type="dxa"/>
          </w:tcMar>
        </w:tcPr>
        <w:p w:rsidR="001A0089" w:rsidRPr="00755F22" w:rsidRDefault="001A00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A0089" w:rsidRPr="00755F22" w:rsidRDefault="001A00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A0089" w:rsidRPr="00755F22" w:rsidRDefault="001A008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A0089" w:rsidRPr="00755F22" w:rsidRDefault="001A008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A0089" w:rsidRPr="00755F22" w:rsidRDefault="001A008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A0089" w:rsidRPr="00755F22" w:rsidRDefault="001A00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A0089" w:rsidRPr="00FF6BA5" w:rsidRDefault="001A0089" w:rsidP="00755F22">
    <w:pPr>
      <w:tabs>
        <w:tab w:val="left" w:pos="-1440"/>
        <w:tab w:val="left" w:pos="-720"/>
      </w:tabs>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A0089">
      <w:tc>
        <w:tcPr>
          <w:tcW w:w="4230" w:type="dxa"/>
          <w:tcMar>
            <w:left w:w="0" w:type="dxa"/>
            <w:right w:w="0" w:type="dxa"/>
          </w:tcMar>
        </w:tcPr>
        <w:p w:rsidR="001A0089" w:rsidRDefault="001A00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A0089" w:rsidRDefault="001A00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A0089" w:rsidRDefault="001A00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A0089">
      <w:trPr>
        <w:gridAfter w:val="2"/>
        <w:wAfter w:w="5250" w:type="dxa"/>
      </w:trPr>
      <w:tc>
        <w:tcPr>
          <w:tcW w:w="4230" w:type="dxa"/>
          <w:tcMar>
            <w:left w:w="0" w:type="dxa"/>
            <w:right w:w="0" w:type="dxa"/>
          </w:tcMar>
        </w:tcPr>
        <w:p w:rsidR="001A0089"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A0089"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A0089" w:rsidRPr="00755F22" w:rsidTr="00245129">
      <w:tc>
        <w:tcPr>
          <w:tcW w:w="4230" w:type="dxa"/>
          <w:tcMar>
            <w:left w:w="0" w:type="dxa"/>
            <w:right w:w="0" w:type="dxa"/>
          </w:tcMar>
        </w:tcPr>
        <w:p w:rsidR="001A0089" w:rsidRPr="00755F22" w:rsidRDefault="001A0089" w:rsidP="00831CA9">
          <w:pPr>
            <w:keepNext/>
            <w:keepLines/>
            <w:rPr>
              <w:sz w:val="20"/>
              <w:szCs w:val="20"/>
            </w:rPr>
          </w:pPr>
          <w:r w:rsidRPr="00755F22">
            <w:rPr>
              <w:sz w:val="20"/>
              <w:szCs w:val="20"/>
            </w:rPr>
            <w:t>MOTIONS</w:t>
          </w:r>
        </w:p>
      </w:tc>
      <w:tc>
        <w:tcPr>
          <w:tcW w:w="1170" w:type="dxa"/>
          <w:tcMar>
            <w:left w:w="0" w:type="dxa"/>
            <w:right w:w="0" w:type="dxa"/>
          </w:tcMar>
        </w:tcPr>
        <w:p w:rsidR="001A0089" w:rsidRPr="00755F22" w:rsidRDefault="001A0089" w:rsidP="00831CA9">
          <w:pPr>
            <w:keepLines/>
            <w:jc w:val="center"/>
            <w:rPr>
              <w:sz w:val="20"/>
              <w:szCs w:val="20"/>
            </w:rPr>
          </w:pPr>
        </w:p>
        <w:p w:rsidR="001A0089" w:rsidRPr="00755F22" w:rsidRDefault="001A0089" w:rsidP="00831CA9">
          <w:pPr>
            <w:keepLines/>
            <w:tabs>
              <w:tab w:val="left" w:pos="-1440"/>
              <w:tab w:val="left" w:pos="-720"/>
            </w:tabs>
            <w:jc w:val="center"/>
            <w:rPr>
              <w:sz w:val="20"/>
              <w:szCs w:val="20"/>
            </w:rPr>
          </w:pPr>
        </w:p>
      </w:tc>
      <w:tc>
        <w:tcPr>
          <w:tcW w:w="4080" w:type="dxa"/>
          <w:tcMar>
            <w:left w:w="0" w:type="dxa"/>
            <w:right w:w="0" w:type="dxa"/>
          </w:tcMar>
        </w:tcPr>
        <w:p w:rsidR="001A0089" w:rsidRPr="00BA6468" w:rsidRDefault="001A0089" w:rsidP="00BA6468">
          <w:pPr>
            <w:keepLines/>
            <w:rPr>
              <w:sz w:val="20"/>
              <w:szCs w:val="20"/>
              <w:lang w:val="fr-CA"/>
            </w:rPr>
          </w:pPr>
          <w:r w:rsidRPr="00BA6468">
            <w:rPr>
              <w:sz w:val="20"/>
              <w:szCs w:val="20"/>
              <w:lang w:val="fr-CA"/>
            </w:rPr>
            <w:t>REQUÊTES</w:t>
          </w:r>
        </w:p>
      </w:tc>
    </w:tr>
  </w:tbl>
  <w:p w:rsidR="001A0089" w:rsidRDefault="001A0089" w:rsidP="00831CA9">
    <w:pPr>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A0089" w:rsidRPr="0028361F">
      <w:tc>
        <w:tcPr>
          <w:tcW w:w="4200" w:type="dxa"/>
          <w:tcMar>
            <w:left w:w="0" w:type="dxa"/>
            <w:right w:w="0" w:type="dxa"/>
          </w:tcMar>
        </w:tcPr>
        <w:p w:rsidR="001A0089" w:rsidRDefault="001A00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A0089" w:rsidRDefault="001A00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A0089" w:rsidRPr="00B01A03" w:rsidRDefault="001A00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A0089" w:rsidRPr="00B01A03"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A0089" w:rsidRPr="00B01A03"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1A0089" w:rsidRPr="0028361F" w:rsidTr="00245129">
      <w:tc>
        <w:tcPr>
          <w:tcW w:w="4200" w:type="dxa"/>
          <w:tcMar>
            <w:left w:w="0" w:type="dxa"/>
            <w:right w:w="0" w:type="dxa"/>
          </w:tcMar>
        </w:tcPr>
        <w:p w:rsidR="001A0089" w:rsidRPr="00F40249" w:rsidRDefault="001A008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A0089" w:rsidRDefault="001A0089" w:rsidP="00102926">
          <w:pPr>
            <w:keepNext/>
            <w:keepLines/>
            <w:tabs>
              <w:tab w:val="left" w:pos="-1440"/>
              <w:tab w:val="left" w:pos="-720"/>
            </w:tabs>
            <w:jc w:val="center"/>
            <w:rPr>
              <w:sz w:val="20"/>
              <w:szCs w:val="20"/>
            </w:rPr>
          </w:pPr>
        </w:p>
        <w:p w:rsidR="001A0089" w:rsidRDefault="001A0089" w:rsidP="00102926">
          <w:pPr>
            <w:keepNext/>
            <w:keepLines/>
            <w:tabs>
              <w:tab w:val="left" w:pos="-1440"/>
              <w:tab w:val="left" w:pos="-720"/>
            </w:tabs>
            <w:jc w:val="center"/>
            <w:rPr>
              <w:sz w:val="20"/>
              <w:szCs w:val="20"/>
            </w:rPr>
          </w:pPr>
        </w:p>
        <w:p w:rsidR="001A0089" w:rsidRPr="00F40249" w:rsidRDefault="001A0089" w:rsidP="00102926">
          <w:pPr>
            <w:keepNext/>
            <w:keepLines/>
            <w:tabs>
              <w:tab w:val="left" w:pos="-1440"/>
              <w:tab w:val="left" w:pos="-720"/>
            </w:tabs>
            <w:jc w:val="center"/>
            <w:rPr>
              <w:sz w:val="20"/>
              <w:szCs w:val="20"/>
            </w:rPr>
          </w:pPr>
        </w:p>
      </w:tc>
      <w:tc>
        <w:tcPr>
          <w:tcW w:w="4230" w:type="dxa"/>
          <w:tcMar>
            <w:left w:w="0" w:type="dxa"/>
            <w:right w:w="0" w:type="dxa"/>
          </w:tcMar>
        </w:tcPr>
        <w:p w:rsidR="001A0089" w:rsidRPr="00F40249" w:rsidRDefault="001A008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A0089" w:rsidRPr="00B01A03" w:rsidRDefault="001A008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A0089" w:rsidRPr="0028361F">
      <w:tc>
        <w:tcPr>
          <w:tcW w:w="4200" w:type="dxa"/>
          <w:tcMar>
            <w:left w:w="0" w:type="dxa"/>
            <w:right w:w="0" w:type="dxa"/>
          </w:tcMar>
        </w:tcPr>
        <w:p w:rsidR="001A0089" w:rsidRDefault="001A00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A0089" w:rsidRDefault="001A00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A0089" w:rsidRPr="00283C52" w:rsidRDefault="001A00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A0089" w:rsidRPr="00283C52"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A0089" w:rsidRPr="00283C52"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A0089" w:rsidRPr="0028361F" w:rsidTr="00245129">
      <w:tc>
        <w:tcPr>
          <w:tcW w:w="4200" w:type="dxa"/>
          <w:tcMar>
            <w:left w:w="0" w:type="dxa"/>
            <w:right w:w="0" w:type="dxa"/>
          </w:tcMar>
        </w:tcPr>
        <w:p w:rsidR="001A0089" w:rsidRPr="00732DB7" w:rsidRDefault="001A0089"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1A0089" w:rsidRPr="00732DB7" w:rsidRDefault="001A0089" w:rsidP="00732DB7">
          <w:pPr>
            <w:keepNext/>
            <w:keepLines/>
            <w:tabs>
              <w:tab w:val="left" w:pos="-1440"/>
              <w:tab w:val="left" w:pos="-720"/>
            </w:tabs>
            <w:jc w:val="center"/>
            <w:rPr>
              <w:sz w:val="20"/>
              <w:szCs w:val="20"/>
            </w:rPr>
          </w:pPr>
        </w:p>
        <w:p w:rsidR="001A0089" w:rsidRPr="00732DB7" w:rsidRDefault="001A0089" w:rsidP="00732DB7">
          <w:pPr>
            <w:keepNext/>
            <w:keepLines/>
            <w:tabs>
              <w:tab w:val="left" w:pos="-1440"/>
              <w:tab w:val="left" w:pos="-720"/>
            </w:tabs>
            <w:jc w:val="center"/>
            <w:rPr>
              <w:sz w:val="20"/>
              <w:szCs w:val="20"/>
            </w:rPr>
          </w:pPr>
        </w:p>
        <w:p w:rsidR="001A0089" w:rsidRPr="00732DB7" w:rsidRDefault="001A0089" w:rsidP="00732DB7">
          <w:pPr>
            <w:keepNext/>
            <w:keepLines/>
            <w:tabs>
              <w:tab w:val="left" w:pos="-1440"/>
              <w:tab w:val="left" w:pos="-720"/>
            </w:tabs>
            <w:jc w:val="center"/>
            <w:rPr>
              <w:sz w:val="20"/>
              <w:szCs w:val="20"/>
            </w:rPr>
          </w:pPr>
        </w:p>
      </w:tc>
      <w:tc>
        <w:tcPr>
          <w:tcW w:w="4080" w:type="dxa"/>
          <w:tcMar>
            <w:left w:w="0" w:type="dxa"/>
            <w:right w:w="0" w:type="dxa"/>
          </w:tcMar>
        </w:tcPr>
        <w:p w:rsidR="001A0089" w:rsidRPr="00732DB7" w:rsidRDefault="001A008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A0089" w:rsidRPr="00283C52" w:rsidRDefault="001A008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A0089" w:rsidRPr="0028361F">
      <w:tc>
        <w:tcPr>
          <w:tcW w:w="4200" w:type="dxa"/>
          <w:tcMar>
            <w:left w:w="0" w:type="dxa"/>
            <w:right w:w="0" w:type="dxa"/>
          </w:tcMar>
        </w:tcPr>
        <w:p w:rsidR="001A0089" w:rsidRDefault="001A00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A0089" w:rsidRDefault="001A00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A0089" w:rsidRDefault="001A00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A0089" w:rsidRPr="003C2C0F" w:rsidRDefault="001A00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A0089" w:rsidRPr="003C2C0F"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A0089" w:rsidRPr="003C2C0F"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A0089" w:rsidRPr="0028361F" w:rsidTr="00245129">
      <w:tc>
        <w:tcPr>
          <w:tcW w:w="4200" w:type="dxa"/>
          <w:tcMar>
            <w:left w:w="0" w:type="dxa"/>
            <w:right w:w="0" w:type="dxa"/>
          </w:tcMar>
        </w:tcPr>
        <w:p w:rsidR="001A0089" w:rsidRPr="00FF6EEC" w:rsidRDefault="001A0089" w:rsidP="00FF6EEC">
          <w:pPr>
            <w:rPr>
              <w:sz w:val="20"/>
              <w:szCs w:val="20"/>
            </w:rPr>
          </w:pPr>
          <w:r w:rsidRPr="00FF6EEC">
            <w:rPr>
              <w:sz w:val="20"/>
              <w:szCs w:val="20"/>
            </w:rPr>
            <w:t>PRONOUNCEMENTS OF APPEALS RESERVED</w:t>
          </w:r>
        </w:p>
      </w:tc>
      <w:tc>
        <w:tcPr>
          <w:tcW w:w="1200" w:type="dxa"/>
          <w:tcMar>
            <w:left w:w="0" w:type="dxa"/>
            <w:right w:w="0" w:type="dxa"/>
          </w:tcMar>
        </w:tcPr>
        <w:p w:rsidR="001A0089" w:rsidRPr="00FF6EEC" w:rsidRDefault="001A0089" w:rsidP="00FF6EEC">
          <w:pPr>
            <w:jc w:val="center"/>
            <w:rPr>
              <w:sz w:val="20"/>
              <w:szCs w:val="20"/>
            </w:rPr>
          </w:pPr>
        </w:p>
        <w:p w:rsidR="001A0089" w:rsidRPr="00FF6EEC" w:rsidRDefault="001A0089" w:rsidP="00FF6EEC">
          <w:pPr>
            <w:jc w:val="center"/>
            <w:rPr>
              <w:sz w:val="20"/>
              <w:szCs w:val="20"/>
            </w:rPr>
          </w:pPr>
        </w:p>
        <w:p w:rsidR="001A0089" w:rsidRPr="00FF6EEC" w:rsidRDefault="001A0089" w:rsidP="00FF6EEC">
          <w:pPr>
            <w:jc w:val="center"/>
            <w:rPr>
              <w:sz w:val="20"/>
              <w:szCs w:val="20"/>
            </w:rPr>
          </w:pPr>
        </w:p>
      </w:tc>
      <w:tc>
        <w:tcPr>
          <w:tcW w:w="4080" w:type="dxa"/>
          <w:tcMar>
            <w:left w:w="0" w:type="dxa"/>
            <w:right w:w="0" w:type="dxa"/>
          </w:tcMar>
        </w:tcPr>
        <w:p w:rsidR="001A0089" w:rsidRPr="00FF6EEC" w:rsidRDefault="001A0089" w:rsidP="00FF6EEC">
          <w:pPr>
            <w:rPr>
              <w:sz w:val="20"/>
              <w:szCs w:val="20"/>
              <w:lang w:val="fr-CA"/>
            </w:rPr>
          </w:pPr>
          <w:r w:rsidRPr="00FF6EEC">
            <w:rPr>
              <w:sz w:val="20"/>
              <w:szCs w:val="20"/>
              <w:lang w:val="fr-CA"/>
            </w:rPr>
            <w:t>JUGEMENTS RENDUS SUR LES APPELS EN DÉLIBÉRÉ</w:t>
          </w:r>
        </w:p>
      </w:tc>
    </w:tr>
  </w:tbl>
  <w:p w:rsidR="001A0089" w:rsidRPr="003C2C0F" w:rsidRDefault="001A0089"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A0089">
      <w:tc>
        <w:tcPr>
          <w:tcW w:w="4230" w:type="dxa"/>
          <w:tcMar>
            <w:left w:w="0" w:type="dxa"/>
            <w:right w:w="0" w:type="dxa"/>
          </w:tcMar>
        </w:tcPr>
        <w:p w:rsidR="001A0089" w:rsidRDefault="001A00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A0089" w:rsidRDefault="001A00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A0089" w:rsidRDefault="001A00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A0089" w:rsidRDefault="001A00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A0089" w:rsidRDefault="001A00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A0089" w:rsidRDefault="001A00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A0089"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A0089" w:rsidRDefault="001A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A0089" w:rsidRPr="00782AE4" w:rsidTr="00245129">
      <w:tc>
        <w:tcPr>
          <w:tcW w:w="4230" w:type="dxa"/>
          <w:tcMar>
            <w:left w:w="0" w:type="dxa"/>
            <w:right w:w="0" w:type="dxa"/>
          </w:tcMar>
        </w:tcPr>
        <w:p w:rsidR="001A0089" w:rsidRPr="00782AE4" w:rsidRDefault="001A0089" w:rsidP="00102926">
          <w:pPr>
            <w:keepNext/>
            <w:keepLines/>
            <w:tabs>
              <w:tab w:val="left" w:pos="-1440"/>
              <w:tab w:val="left" w:pos="-720"/>
            </w:tabs>
            <w:rPr>
              <w:sz w:val="20"/>
              <w:szCs w:val="20"/>
            </w:rPr>
          </w:pPr>
          <w:r w:rsidRPr="00782AE4">
            <w:rPr>
              <w:sz w:val="20"/>
              <w:szCs w:val="20"/>
            </w:rPr>
            <w:t xml:space="preserve">HEADNOTES OF RECENT </w:t>
          </w:r>
        </w:p>
        <w:p w:rsidR="001A0089" w:rsidRPr="00782AE4" w:rsidRDefault="001A00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A0089" w:rsidRDefault="001A0089" w:rsidP="00102926">
          <w:pPr>
            <w:keepNext/>
            <w:keepLines/>
            <w:tabs>
              <w:tab w:val="left" w:pos="-1440"/>
              <w:tab w:val="left" w:pos="-720"/>
            </w:tabs>
            <w:jc w:val="center"/>
            <w:rPr>
              <w:sz w:val="20"/>
              <w:szCs w:val="20"/>
            </w:rPr>
          </w:pPr>
        </w:p>
        <w:p w:rsidR="001A0089" w:rsidRDefault="001A0089" w:rsidP="00102926">
          <w:pPr>
            <w:keepNext/>
            <w:keepLines/>
            <w:tabs>
              <w:tab w:val="left" w:pos="-1440"/>
              <w:tab w:val="left" w:pos="-720"/>
            </w:tabs>
            <w:jc w:val="center"/>
            <w:rPr>
              <w:sz w:val="20"/>
              <w:szCs w:val="20"/>
            </w:rPr>
          </w:pPr>
        </w:p>
        <w:p w:rsidR="001A0089" w:rsidRPr="00782AE4" w:rsidRDefault="001A0089" w:rsidP="00102926">
          <w:pPr>
            <w:keepNext/>
            <w:keepLines/>
            <w:tabs>
              <w:tab w:val="left" w:pos="-1440"/>
              <w:tab w:val="left" w:pos="-720"/>
            </w:tabs>
            <w:jc w:val="center"/>
            <w:rPr>
              <w:sz w:val="20"/>
              <w:szCs w:val="20"/>
            </w:rPr>
          </w:pPr>
        </w:p>
      </w:tc>
      <w:tc>
        <w:tcPr>
          <w:tcW w:w="4080" w:type="dxa"/>
          <w:tcMar>
            <w:left w:w="0" w:type="dxa"/>
            <w:right w:w="0" w:type="dxa"/>
          </w:tcMar>
        </w:tcPr>
        <w:p w:rsidR="001A0089" w:rsidRPr="00102926" w:rsidRDefault="001A00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A0089" w:rsidRPr="00782AE4" w:rsidRDefault="001A0089" w:rsidP="00102926">
          <w:pPr>
            <w:keepLines/>
            <w:tabs>
              <w:tab w:val="left" w:pos="-1440"/>
              <w:tab w:val="left" w:pos="-720"/>
            </w:tabs>
            <w:rPr>
              <w:sz w:val="20"/>
              <w:szCs w:val="20"/>
            </w:rPr>
          </w:pPr>
          <w:r w:rsidRPr="00102926">
            <w:rPr>
              <w:sz w:val="20"/>
              <w:szCs w:val="20"/>
              <w:lang w:val="fr-CA"/>
            </w:rPr>
            <w:t>RÉCENTS</w:t>
          </w:r>
        </w:p>
      </w:tc>
    </w:tr>
  </w:tbl>
  <w:p w:rsidR="001A0089" w:rsidRDefault="001A008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1A0089" w:rsidRPr="0028361F" w:rsidTr="00245129">
      <w:tc>
        <w:tcPr>
          <w:tcW w:w="4320" w:type="dxa"/>
        </w:tcPr>
        <w:p w:rsidR="001A0089" w:rsidRPr="006B6926" w:rsidRDefault="001A0089" w:rsidP="006B6926">
          <w:pPr>
            <w:keepNext/>
            <w:keepLines/>
            <w:rPr>
              <w:bCs/>
              <w:sz w:val="20"/>
              <w:szCs w:val="20"/>
              <w:lang w:val="en-GB"/>
            </w:rPr>
          </w:pPr>
          <w:r w:rsidRPr="006B6926">
            <w:rPr>
              <w:bCs/>
              <w:sz w:val="20"/>
              <w:szCs w:val="20"/>
              <w:lang w:val="en-GB"/>
            </w:rPr>
            <w:t>SUPREME COURT REPORTS</w:t>
          </w:r>
        </w:p>
      </w:tc>
      <w:tc>
        <w:tcPr>
          <w:tcW w:w="840" w:type="dxa"/>
        </w:tcPr>
        <w:p w:rsidR="001A0089" w:rsidRDefault="001A0089" w:rsidP="006B6926">
          <w:pPr>
            <w:jc w:val="center"/>
            <w:rPr>
              <w:bCs/>
              <w:sz w:val="20"/>
              <w:szCs w:val="20"/>
              <w:lang w:val="en-GB"/>
            </w:rPr>
          </w:pPr>
        </w:p>
        <w:p w:rsidR="001A0089" w:rsidRPr="006B6926" w:rsidRDefault="001A0089" w:rsidP="006B6926">
          <w:pPr>
            <w:jc w:val="center"/>
            <w:rPr>
              <w:bCs/>
              <w:sz w:val="20"/>
              <w:szCs w:val="20"/>
              <w:lang w:val="en-GB"/>
            </w:rPr>
          </w:pPr>
        </w:p>
      </w:tc>
      <w:tc>
        <w:tcPr>
          <w:tcW w:w="4320" w:type="dxa"/>
        </w:tcPr>
        <w:p w:rsidR="001A0089" w:rsidRPr="006B6926" w:rsidRDefault="001A0089" w:rsidP="006B6926">
          <w:pPr>
            <w:keepNext/>
            <w:keepLines/>
            <w:rPr>
              <w:bCs/>
              <w:sz w:val="20"/>
              <w:szCs w:val="20"/>
              <w:lang w:val="fr-CA"/>
            </w:rPr>
          </w:pPr>
          <w:r w:rsidRPr="006B6926">
            <w:rPr>
              <w:bCs/>
              <w:sz w:val="20"/>
              <w:szCs w:val="20"/>
              <w:lang w:val="fr-CA"/>
            </w:rPr>
            <w:t>RECUEIL DES ARRÊTS DE LA COUR SUPRÊME</w:t>
          </w:r>
        </w:p>
      </w:tc>
    </w:tr>
  </w:tbl>
  <w:p w:rsidR="001A0089" w:rsidRPr="000924F7" w:rsidRDefault="001A0089">
    <w:pPr>
      <w:pStyle w:val="Header"/>
      <w:rPr>
        <w:lang w:val="fr-CA"/>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1A0089" w:rsidRPr="0044776A" w:rsidTr="00245129">
      <w:tc>
        <w:tcPr>
          <w:tcW w:w="4290" w:type="dxa"/>
          <w:tcMar>
            <w:left w:w="0" w:type="dxa"/>
            <w:right w:w="0" w:type="dxa"/>
          </w:tcMar>
        </w:tcPr>
        <w:p w:rsidR="001A0089" w:rsidRPr="0044776A" w:rsidRDefault="001A008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A0089" w:rsidRPr="0044776A" w:rsidRDefault="001A0089" w:rsidP="002E2327">
          <w:pPr>
            <w:keepNext/>
            <w:keepLines/>
            <w:tabs>
              <w:tab w:val="left" w:pos="-1440"/>
              <w:tab w:val="left" w:pos="-720"/>
            </w:tabs>
            <w:jc w:val="center"/>
            <w:rPr>
              <w:sz w:val="20"/>
              <w:szCs w:val="20"/>
            </w:rPr>
          </w:pPr>
        </w:p>
        <w:p w:rsidR="001A0089" w:rsidRPr="0044776A" w:rsidRDefault="001A0089" w:rsidP="002E2327">
          <w:pPr>
            <w:keepNext/>
            <w:keepLines/>
            <w:tabs>
              <w:tab w:val="left" w:pos="-1440"/>
              <w:tab w:val="left" w:pos="-720"/>
            </w:tabs>
            <w:jc w:val="center"/>
            <w:rPr>
              <w:sz w:val="20"/>
              <w:szCs w:val="20"/>
            </w:rPr>
          </w:pPr>
        </w:p>
        <w:p w:rsidR="001A0089" w:rsidRPr="0044776A" w:rsidRDefault="001A0089" w:rsidP="002E2327">
          <w:pPr>
            <w:keepNext/>
            <w:keepLines/>
            <w:tabs>
              <w:tab w:val="left" w:pos="-1440"/>
              <w:tab w:val="left" w:pos="-720"/>
            </w:tabs>
            <w:jc w:val="center"/>
            <w:rPr>
              <w:sz w:val="20"/>
              <w:szCs w:val="20"/>
            </w:rPr>
          </w:pPr>
        </w:p>
      </w:tc>
      <w:tc>
        <w:tcPr>
          <w:tcW w:w="4320" w:type="dxa"/>
          <w:tcMar>
            <w:left w:w="0" w:type="dxa"/>
            <w:right w:w="0" w:type="dxa"/>
          </w:tcMar>
        </w:tcPr>
        <w:p w:rsidR="001A0089" w:rsidRPr="0044776A" w:rsidRDefault="001A0089" w:rsidP="002E2327">
          <w:pPr>
            <w:keepLines/>
            <w:rPr>
              <w:sz w:val="20"/>
              <w:szCs w:val="20"/>
              <w:lang w:val="fr-CA"/>
            </w:rPr>
          </w:pPr>
          <w:r w:rsidRPr="0044776A">
            <w:rPr>
              <w:sz w:val="20"/>
              <w:szCs w:val="20"/>
              <w:lang w:val="fr-CA"/>
            </w:rPr>
            <w:t>DEMANDES D'AUTORISATION D'APPEL DÉPOSÉES</w:t>
          </w:r>
        </w:p>
      </w:tc>
    </w:tr>
  </w:tbl>
  <w:p w:rsidR="001A0089" w:rsidRDefault="001A008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A0089" w:rsidRPr="0028361F" w:rsidTr="00245129">
      <w:tc>
        <w:tcPr>
          <w:tcW w:w="4200" w:type="dxa"/>
          <w:tcMar>
            <w:left w:w="0" w:type="dxa"/>
            <w:right w:w="0" w:type="dxa"/>
          </w:tcMar>
        </w:tcPr>
        <w:p w:rsidR="001A0089" w:rsidRPr="0044776A" w:rsidRDefault="001A0089" w:rsidP="0044776A">
          <w:pPr>
            <w:keepNext/>
            <w:keepLines/>
            <w:widowControl w:val="0"/>
            <w:rPr>
              <w:sz w:val="20"/>
              <w:szCs w:val="20"/>
            </w:rPr>
          </w:pPr>
          <w:r>
            <w:rPr>
              <w:sz w:val="20"/>
              <w:szCs w:val="20"/>
            </w:rPr>
            <w:t>APPLICATIONS FOR LEAVE</w:t>
          </w:r>
        </w:p>
        <w:p w:rsidR="001A0089" w:rsidRPr="0044776A" w:rsidRDefault="001A008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A0089" w:rsidRPr="0044776A" w:rsidRDefault="001A0089" w:rsidP="0044776A">
          <w:pPr>
            <w:keepNext/>
            <w:keepLines/>
            <w:widowControl w:val="0"/>
            <w:jc w:val="center"/>
            <w:rPr>
              <w:sz w:val="20"/>
              <w:szCs w:val="20"/>
            </w:rPr>
          </w:pPr>
        </w:p>
        <w:p w:rsidR="001A0089" w:rsidRPr="0044776A" w:rsidRDefault="001A0089" w:rsidP="0044776A">
          <w:pPr>
            <w:keepNext/>
            <w:keepLines/>
            <w:widowControl w:val="0"/>
            <w:jc w:val="center"/>
            <w:rPr>
              <w:sz w:val="20"/>
              <w:szCs w:val="20"/>
            </w:rPr>
          </w:pPr>
        </w:p>
        <w:p w:rsidR="001A0089" w:rsidRPr="0044776A" w:rsidRDefault="001A0089" w:rsidP="0044776A">
          <w:pPr>
            <w:keepNext/>
            <w:keepLines/>
            <w:widowControl w:val="0"/>
            <w:jc w:val="center"/>
            <w:rPr>
              <w:sz w:val="20"/>
              <w:szCs w:val="20"/>
            </w:rPr>
          </w:pPr>
        </w:p>
      </w:tc>
      <w:tc>
        <w:tcPr>
          <w:tcW w:w="4080" w:type="dxa"/>
          <w:tcMar>
            <w:left w:w="0" w:type="dxa"/>
            <w:right w:w="0" w:type="dxa"/>
          </w:tcMar>
        </w:tcPr>
        <w:p w:rsidR="001A0089" w:rsidRPr="0044776A" w:rsidRDefault="001A0089" w:rsidP="0044776A">
          <w:pPr>
            <w:keepLines/>
            <w:widowControl w:val="0"/>
            <w:rPr>
              <w:sz w:val="20"/>
              <w:szCs w:val="20"/>
              <w:lang w:val="fr-CA"/>
            </w:rPr>
          </w:pPr>
          <w:r w:rsidRPr="0044776A">
            <w:rPr>
              <w:sz w:val="20"/>
              <w:szCs w:val="20"/>
              <w:lang w:val="fr-CA"/>
            </w:rPr>
            <w:t>DEMANDES SOUMISES À LA COUR DEPUIS LA DERNIÈRE PARUTION</w:t>
          </w:r>
        </w:p>
        <w:p w:rsidR="001A0089" w:rsidRPr="0044776A" w:rsidRDefault="001A0089" w:rsidP="0044776A">
          <w:pPr>
            <w:widowControl w:val="0"/>
            <w:rPr>
              <w:sz w:val="20"/>
              <w:szCs w:val="20"/>
              <w:lang w:val="fr-CA"/>
            </w:rPr>
          </w:pPr>
        </w:p>
      </w:tc>
    </w:tr>
  </w:tbl>
  <w:p w:rsidR="001A0089" w:rsidRPr="002E2327" w:rsidRDefault="001A0089">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1A0089" w:rsidRPr="0044776A" w:rsidTr="00245129">
      <w:tc>
        <w:tcPr>
          <w:tcW w:w="4200" w:type="dxa"/>
          <w:tcMar>
            <w:left w:w="0" w:type="dxa"/>
            <w:right w:w="0" w:type="dxa"/>
          </w:tcMar>
        </w:tcPr>
        <w:p w:rsidR="001A0089" w:rsidRPr="0044776A" w:rsidRDefault="001A0089" w:rsidP="0044776A">
          <w:pPr>
            <w:rPr>
              <w:sz w:val="20"/>
              <w:szCs w:val="20"/>
            </w:rPr>
          </w:pPr>
          <w:r w:rsidRPr="0044776A">
            <w:rPr>
              <w:sz w:val="20"/>
              <w:szCs w:val="20"/>
            </w:rPr>
            <w:t>ORAL HEARING ORDERED</w:t>
          </w:r>
        </w:p>
      </w:tc>
      <w:tc>
        <w:tcPr>
          <w:tcW w:w="1200" w:type="dxa"/>
          <w:tcMar>
            <w:left w:w="0" w:type="dxa"/>
            <w:right w:w="0" w:type="dxa"/>
          </w:tcMar>
        </w:tcPr>
        <w:p w:rsidR="001A0089" w:rsidRPr="0044776A" w:rsidRDefault="001A0089" w:rsidP="0044776A">
          <w:pPr>
            <w:keepLines/>
            <w:jc w:val="center"/>
            <w:rPr>
              <w:rFonts w:ascii="Times New" w:hAnsi="Times New"/>
              <w:sz w:val="20"/>
              <w:szCs w:val="20"/>
            </w:rPr>
          </w:pPr>
        </w:p>
        <w:p w:rsidR="001A0089" w:rsidRPr="0044776A" w:rsidRDefault="001A0089" w:rsidP="0044776A">
          <w:pPr>
            <w:keepLines/>
            <w:jc w:val="center"/>
            <w:rPr>
              <w:rFonts w:ascii="Times New" w:hAnsi="Times New"/>
              <w:sz w:val="20"/>
              <w:szCs w:val="20"/>
            </w:rPr>
          </w:pPr>
        </w:p>
      </w:tc>
      <w:tc>
        <w:tcPr>
          <w:tcW w:w="4230" w:type="dxa"/>
          <w:tcMar>
            <w:left w:w="0" w:type="dxa"/>
            <w:right w:w="0" w:type="dxa"/>
          </w:tcMar>
        </w:tcPr>
        <w:p w:rsidR="001A0089" w:rsidRPr="0044776A" w:rsidRDefault="001A0089" w:rsidP="0044776A">
          <w:pPr>
            <w:rPr>
              <w:sz w:val="20"/>
              <w:szCs w:val="20"/>
              <w:lang w:val="fr-CA"/>
            </w:rPr>
          </w:pPr>
          <w:r w:rsidRPr="0044776A">
            <w:rPr>
              <w:sz w:val="20"/>
              <w:szCs w:val="20"/>
              <w:lang w:val="fr-CA"/>
            </w:rPr>
            <w:t>AUDIENCE ORDONNÉE</w:t>
          </w:r>
        </w:p>
      </w:tc>
    </w:tr>
  </w:tbl>
  <w:p w:rsidR="001A0089" w:rsidRPr="002E2327" w:rsidRDefault="001A0089">
    <w:pPr>
      <w:pStyle w:val="Header"/>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89" w:rsidRDefault="001A00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34837"/>
  </w:hdrShapeDefaults>
  <w:footnotePr>
    <w:footnote w:id="-1"/>
    <w:footnote w:id="0"/>
  </w:footnotePr>
  <w:endnotePr>
    <w:endnote w:id="-1"/>
    <w:endnote w:id="0"/>
  </w:endnotePr>
  <w:compat/>
  <w:rsids>
    <w:rsidRoot w:val="00FF13E8"/>
    <w:rsid w:val="0003223B"/>
    <w:rsid w:val="000327B2"/>
    <w:rsid w:val="00096BD9"/>
    <w:rsid w:val="000B3C9A"/>
    <w:rsid w:val="000B40A2"/>
    <w:rsid w:val="000B4624"/>
    <w:rsid w:val="000C02A3"/>
    <w:rsid w:val="000C0ACD"/>
    <w:rsid w:val="000F4785"/>
    <w:rsid w:val="000F6E47"/>
    <w:rsid w:val="00102926"/>
    <w:rsid w:val="0010587F"/>
    <w:rsid w:val="00111C6B"/>
    <w:rsid w:val="001156A5"/>
    <w:rsid w:val="0012102B"/>
    <w:rsid w:val="00123B4C"/>
    <w:rsid w:val="00125F40"/>
    <w:rsid w:val="0013369E"/>
    <w:rsid w:val="00146189"/>
    <w:rsid w:val="00164E6D"/>
    <w:rsid w:val="001A0089"/>
    <w:rsid w:val="001B157C"/>
    <w:rsid w:val="001B5C23"/>
    <w:rsid w:val="001D0D5F"/>
    <w:rsid w:val="001D6B8C"/>
    <w:rsid w:val="001F1F83"/>
    <w:rsid w:val="001F2112"/>
    <w:rsid w:val="00200F55"/>
    <w:rsid w:val="002021A9"/>
    <w:rsid w:val="002139A7"/>
    <w:rsid w:val="00215F7C"/>
    <w:rsid w:val="00217BDA"/>
    <w:rsid w:val="0022323B"/>
    <w:rsid w:val="00230CB6"/>
    <w:rsid w:val="002410B8"/>
    <w:rsid w:val="00242AEE"/>
    <w:rsid w:val="00245129"/>
    <w:rsid w:val="00245879"/>
    <w:rsid w:val="0025557F"/>
    <w:rsid w:val="00267FD5"/>
    <w:rsid w:val="0028361F"/>
    <w:rsid w:val="002868D0"/>
    <w:rsid w:val="002A27D1"/>
    <w:rsid w:val="002A4AFA"/>
    <w:rsid w:val="002B516C"/>
    <w:rsid w:val="002D72EB"/>
    <w:rsid w:val="002E2327"/>
    <w:rsid w:val="002E3583"/>
    <w:rsid w:val="002E5576"/>
    <w:rsid w:val="002E74AC"/>
    <w:rsid w:val="003208F0"/>
    <w:rsid w:val="003259F3"/>
    <w:rsid w:val="00331B52"/>
    <w:rsid w:val="003359D3"/>
    <w:rsid w:val="00355967"/>
    <w:rsid w:val="00382C47"/>
    <w:rsid w:val="00384384"/>
    <w:rsid w:val="003866AE"/>
    <w:rsid w:val="003B3977"/>
    <w:rsid w:val="003B408C"/>
    <w:rsid w:val="003B5095"/>
    <w:rsid w:val="003B7427"/>
    <w:rsid w:val="00414F7B"/>
    <w:rsid w:val="00423362"/>
    <w:rsid w:val="00432989"/>
    <w:rsid w:val="00440E24"/>
    <w:rsid w:val="0044776A"/>
    <w:rsid w:val="00460AFC"/>
    <w:rsid w:val="0047471F"/>
    <w:rsid w:val="004B195E"/>
    <w:rsid w:val="004B66B4"/>
    <w:rsid w:val="004B7F60"/>
    <w:rsid w:val="004C07E9"/>
    <w:rsid w:val="004C1AAC"/>
    <w:rsid w:val="004C4819"/>
    <w:rsid w:val="004F090E"/>
    <w:rsid w:val="00523242"/>
    <w:rsid w:val="0052348D"/>
    <w:rsid w:val="00527CC7"/>
    <w:rsid w:val="005337C9"/>
    <w:rsid w:val="00571CA4"/>
    <w:rsid w:val="00582136"/>
    <w:rsid w:val="005C6840"/>
    <w:rsid w:val="005C6F6A"/>
    <w:rsid w:val="005F263E"/>
    <w:rsid w:val="005F406A"/>
    <w:rsid w:val="00600252"/>
    <w:rsid w:val="006010BE"/>
    <w:rsid w:val="00612A40"/>
    <w:rsid w:val="00636D01"/>
    <w:rsid w:val="00660A9F"/>
    <w:rsid w:val="00675479"/>
    <w:rsid w:val="00696BF9"/>
    <w:rsid w:val="00697C62"/>
    <w:rsid w:val="006A329B"/>
    <w:rsid w:val="006A7EB8"/>
    <w:rsid w:val="006B6926"/>
    <w:rsid w:val="006C3F47"/>
    <w:rsid w:val="006C5F7A"/>
    <w:rsid w:val="006D4280"/>
    <w:rsid w:val="006E06AF"/>
    <w:rsid w:val="006E561B"/>
    <w:rsid w:val="006F350F"/>
    <w:rsid w:val="006F3559"/>
    <w:rsid w:val="00732DB7"/>
    <w:rsid w:val="0074232A"/>
    <w:rsid w:val="0074238B"/>
    <w:rsid w:val="00744E52"/>
    <w:rsid w:val="00745EF7"/>
    <w:rsid w:val="00752362"/>
    <w:rsid w:val="00755F22"/>
    <w:rsid w:val="00766E4A"/>
    <w:rsid w:val="007820CE"/>
    <w:rsid w:val="00782AE4"/>
    <w:rsid w:val="0079724F"/>
    <w:rsid w:val="007A3EAE"/>
    <w:rsid w:val="007B2772"/>
    <w:rsid w:val="007C04FC"/>
    <w:rsid w:val="007D3E0F"/>
    <w:rsid w:val="007E4852"/>
    <w:rsid w:val="007F387B"/>
    <w:rsid w:val="007F5815"/>
    <w:rsid w:val="00802863"/>
    <w:rsid w:val="00815B3C"/>
    <w:rsid w:val="0082783A"/>
    <w:rsid w:val="00831CA9"/>
    <w:rsid w:val="008440EE"/>
    <w:rsid w:val="00850E1F"/>
    <w:rsid w:val="0085476B"/>
    <w:rsid w:val="0086493F"/>
    <w:rsid w:val="00890A27"/>
    <w:rsid w:val="00890FEB"/>
    <w:rsid w:val="00891726"/>
    <w:rsid w:val="008955A6"/>
    <w:rsid w:val="008D292F"/>
    <w:rsid w:val="008E03DC"/>
    <w:rsid w:val="00924065"/>
    <w:rsid w:val="00930D68"/>
    <w:rsid w:val="00932DB4"/>
    <w:rsid w:val="00941A4B"/>
    <w:rsid w:val="0094447C"/>
    <w:rsid w:val="009458C3"/>
    <w:rsid w:val="00946242"/>
    <w:rsid w:val="0095096B"/>
    <w:rsid w:val="0095513F"/>
    <w:rsid w:val="00970CD3"/>
    <w:rsid w:val="009723FA"/>
    <w:rsid w:val="00982EC2"/>
    <w:rsid w:val="00984546"/>
    <w:rsid w:val="00996510"/>
    <w:rsid w:val="009D1F15"/>
    <w:rsid w:val="009D555E"/>
    <w:rsid w:val="009D7F05"/>
    <w:rsid w:val="009E1439"/>
    <w:rsid w:val="009F3024"/>
    <w:rsid w:val="00A0016F"/>
    <w:rsid w:val="00A0355E"/>
    <w:rsid w:val="00A146B2"/>
    <w:rsid w:val="00A30DAE"/>
    <w:rsid w:val="00A375D1"/>
    <w:rsid w:val="00A51D10"/>
    <w:rsid w:val="00A52A83"/>
    <w:rsid w:val="00A54292"/>
    <w:rsid w:val="00A6552C"/>
    <w:rsid w:val="00A87207"/>
    <w:rsid w:val="00A935AA"/>
    <w:rsid w:val="00AB2201"/>
    <w:rsid w:val="00AD3259"/>
    <w:rsid w:val="00AD32D6"/>
    <w:rsid w:val="00AE3150"/>
    <w:rsid w:val="00AF1715"/>
    <w:rsid w:val="00AF3904"/>
    <w:rsid w:val="00B010C0"/>
    <w:rsid w:val="00B0322F"/>
    <w:rsid w:val="00B16B96"/>
    <w:rsid w:val="00B430A8"/>
    <w:rsid w:val="00B4740D"/>
    <w:rsid w:val="00B61629"/>
    <w:rsid w:val="00B644CF"/>
    <w:rsid w:val="00B7374B"/>
    <w:rsid w:val="00B73CE8"/>
    <w:rsid w:val="00B83784"/>
    <w:rsid w:val="00B90DC0"/>
    <w:rsid w:val="00BA116A"/>
    <w:rsid w:val="00BA5582"/>
    <w:rsid w:val="00BA6468"/>
    <w:rsid w:val="00BD06DA"/>
    <w:rsid w:val="00BD2F0C"/>
    <w:rsid w:val="00BD4217"/>
    <w:rsid w:val="00BF25F3"/>
    <w:rsid w:val="00C06378"/>
    <w:rsid w:val="00C11649"/>
    <w:rsid w:val="00C1697B"/>
    <w:rsid w:val="00C21CB5"/>
    <w:rsid w:val="00C32872"/>
    <w:rsid w:val="00C359AA"/>
    <w:rsid w:val="00C50A5C"/>
    <w:rsid w:val="00C50FDF"/>
    <w:rsid w:val="00C63381"/>
    <w:rsid w:val="00C73D06"/>
    <w:rsid w:val="00C73E1B"/>
    <w:rsid w:val="00C759B4"/>
    <w:rsid w:val="00C77713"/>
    <w:rsid w:val="00C86921"/>
    <w:rsid w:val="00CA10EB"/>
    <w:rsid w:val="00CA4CA4"/>
    <w:rsid w:val="00CB43D5"/>
    <w:rsid w:val="00CC1F8E"/>
    <w:rsid w:val="00CC4D84"/>
    <w:rsid w:val="00CE18B3"/>
    <w:rsid w:val="00CE198A"/>
    <w:rsid w:val="00D00A3B"/>
    <w:rsid w:val="00D039B9"/>
    <w:rsid w:val="00D518C6"/>
    <w:rsid w:val="00D64901"/>
    <w:rsid w:val="00D76BDF"/>
    <w:rsid w:val="00D862C1"/>
    <w:rsid w:val="00D93B50"/>
    <w:rsid w:val="00D94670"/>
    <w:rsid w:val="00DA46F6"/>
    <w:rsid w:val="00DB516E"/>
    <w:rsid w:val="00DD0B49"/>
    <w:rsid w:val="00E04BD6"/>
    <w:rsid w:val="00E06DFA"/>
    <w:rsid w:val="00E20A0A"/>
    <w:rsid w:val="00E356C7"/>
    <w:rsid w:val="00E3708E"/>
    <w:rsid w:val="00E41EC0"/>
    <w:rsid w:val="00E42F15"/>
    <w:rsid w:val="00E44C31"/>
    <w:rsid w:val="00E45FE4"/>
    <w:rsid w:val="00E574E2"/>
    <w:rsid w:val="00E61070"/>
    <w:rsid w:val="00E64FA7"/>
    <w:rsid w:val="00E770CB"/>
    <w:rsid w:val="00E83D1A"/>
    <w:rsid w:val="00E903A1"/>
    <w:rsid w:val="00E91A76"/>
    <w:rsid w:val="00E940EB"/>
    <w:rsid w:val="00EB2B90"/>
    <w:rsid w:val="00EC164E"/>
    <w:rsid w:val="00ED7E83"/>
    <w:rsid w:val="00EF4B63"/>
    <w:rsid w:val="00F0068D"/>
    <w:rsid w:val="00F0576D"/>
    <w:rsid w:val="00F14E6D"/>
    <w:rsid w:val="00F15EA8"/>
    <w:rsid w:val="00F16C8D"/>
    <w:rsid w:val="00F26C61"/>
    <w:rsid w:val="00F33CCE"/>
    <w:rsid w:val="00F34149"/>
    <w:rsid w:val="00F37384"/>
    <w:rsid w:val="00F40249"/>
    <w:rsid w:val="00F526C8"/>
    <w:rsid w:val="00F9272D"/>
    <w:rsid w:val="00F9518C"/>
    <w:rsid w:val="00FA316E"/>
    <w:rsid w:val="00FA59EF"/>
    <w:rsid w:val="00FB19A2"/>
    <w:rsid w:val="00FD4A4B"/>
    <w:rsid w:val="00FE525C"/>
    <w:rsid w:val="00FE7429"/>
    <w:rsid w:val="00FF13E8"/>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Ssoc">
    <w:name w:val="SCC.Ssoc"/>
    <w:basedOn w:val="Normal"/>
    <w:next w:val="Normal"/>
    <w:link w:val="SCCSsocChar"/>
    <w:rsid w:val="00CA4CA4"/>
    <w:rPr>
      <w:rFonts w:eastAsia="Calibri" w:cs="Times New Roman"/>
      <w:i/>
      <w:sz w:val="20"/>
      <w:szCs w:val="20"/>
    </w:rPr>
  </w:style>
  <w:style w:type="character" w:customStyle="1" w:styleId="SCCSsocChar">
    <w:name w:val="SCC.Ssoc Char"/>
    <w:basedOn w:val="DefaultParagraphFont"/>
    <w:link w:val="SCCSsoc"/>
    <w:rsid w:val="00CA4CA4"/>
    <w:rPr>
      <w:rFonts w:eastAsia="Calibri" w:cs="Times New Roman"/>
      <w:i/>
      <w:sz w:val="20"/>
      <w:szCs w:val="20"/>
      <w:lang w:val="en-CA"/>
    </w:rPr>
  </w:style>
  <w:style w:type="paragraph" w:customStyle="1" w:styleId="SCCBanSummary">
    <w:name w:val="SCC.BanSummary"/>
    <w:basedOn w:val="Normal"/>
    <w:next w:val="Normal"/>
    <w:link w:val="SCCBanSummaryChar"/>
    <w:uiPriority w:val="99"/>
    <w:rsid w:val="00C359AA"/>
    <w:pPr>
      <w:jc w:val="both"/>
    </w:pPr>
    <w:rPr>
      <w:rFonts w:eastAsia="Calibri" w:cs="Times New Roman"/>
      <w:smallCaps/>
    </w:rPr>
  </w:style>
  <w:style w:type="character" w:customStyle="1" w:styleId="SCCBanSummaryChar">
    <w:name w:val="SCC.BanSummary Char"/>
    <w:basedOn w:val="DefaultParagraphFont"/>
    <w:link w:val="SCCBanSummary"/>
    <w:uiPriority w:val="99"/>
    <w:locked/>
    <w:rsid w:val="00C359AA"/>
    <w:rPr>
      <w:rFonts w:eastAsia="Calibri" w:cs="Times New Roman"/>
      <w:smallCaps/>
      <w:lang w:val="en-CA"/>
    </w:rPr>
  </w:style>
  <w:style w:type="paragraph" w:customStyle="1" w:styleId="SCCLsocParty">
    <w:name w:val="SCC.Lsoc.Party"/>
    <w:basedOn w:val="Normal"/>
    <w:next w:val="Normal"/>
    <w:link w:val="SCCLsocPartyChar"/>
    <w:rsid w:val="0052348D"/>
    <w:pPr>
      <w:jc w:val="center"/>
    </w:pPr>
    <w:rPr>
      <w:rFonts w:eastAsia="Calibri" w:cs="Times New Roman"/>
      <w:lang w:val="fr-CA"/>
    </w:rPr>
  </w:style>
  <w:style w:type="character" w:customStyle="1" w:styleId="SCCLsocPartyChar">
    <w:name w:val="SCC.Lsoc.Party Char"/>
    <w:basedOn w:val="DefaultParagraphFont"/>
    <w:link w:val="SCCLsocParty"/>
    <w:rsid w:val="0052348D"/>
    <w:rPr>
      <w:rFonts w:eastAsia="Calibri" w:cs="Times New Roman"/>
      <w:lang w:val="fr-CA"/>
    </w:rPr>
  </w:style>
  <w:style w:type="paragraph" w:customStyle="1" w:styleId="SCCLowerCourtNameLowercase">
    <w:name w:val="SCC.LowerCourtNameLowercase"/>
    <w:basedOn w:val="SCCNormalDoubleSpacing"/>
    <w:next w:val="SCCNormalDoubleSpacing"/>
    <w:rsid w:val="006E561B"/>
    <w:pPr>
      <w:tabs>
        <w:tab w:val="left" w:pos="1168"/>
      </w:tabs>
    </w:pPr>
    <w:rPr>
      <w:smallCaps/>
      <w:lang w:val="fr-CA"/>
    </w:rPr>
  </w:style>
  <w:style w:type="paragraph" w:customStyle="1" w:styleId="ParaNoNdepar-AltN">
    <w:name w:val="Para. No. / Nº de par. - Alt N"/>
    <w:qFormat/>
    <w:rsid w:val="006E561B"/>
    <w:pPr>
      <w:numPr>
        <w:numId w:val="2"/>
      </w:numPr>
      <w:spacing w:before="480" w:after="480" w:line="480" w:lineRule="auto"/>
      <w:jc w:val="both"/>
    </w:pPr>
    <w:rPr>
      <w:rFonts w:eastAsiaTheme="minorEastAsia"/>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header" Target="header27.xml"/><Relationship Id="rId68" Type="http://schemas.openxmlformats.org/officeDocument/2006/relationships/footer" Target="footer29.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header" Target="header24.xml"/><Relationship Id="rId61" Type="http://schemas.openxmlformats.org/officeDocument/2006/relationships/footer" Target="footer25.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6.xml"/><Relationship Id="rId65"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30.xml"/><Relationship Id="rId8" Type="http://schemas.openxmlformats.org/officeDocument/2006/relationships/image" Target="media/image1.wmf"/><Relationship Id="rId51" Type="http://schemas.openxmlformats.org/officeDocument/2006/relationships/header" Target="header21.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header" Target="header29.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6.xml"/><Relationship Id="rId70"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C469A-F8A6-4CE4-88E3-78A9376C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19592</Words>
  <Characters>111679</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2012-05-18T18:09:00Z</dcterms:created>
  <dcterms:modified xsi:type="dcterms:W3CDTF">2012-05-18T18:09:00Z</dcterms:modified>
</cp:coreProperties>
</file>