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3626B6"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3626B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626B6"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3626B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626B6" w:rsidTr="002E5576">
        <w:tc>
          <w:tcPr>
            <w:tcW w:w="4518" w:type="dxa"/>
          </w:tcPr>
          <w:p w:rsidR="00BF25F3" w:rsidRPr="002E2327" w:rsidRDefault="007333FF"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7333FF"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3626B6"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3626B6"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957F2F" w:rsidP="00F0068D">
      <w:pPr>
        <w:pBdr>
          <w:bottom w:val="single" w:sz="6" w:space="1" w:color="auto"/>
        </w:pBdr>
        <w:tabs>
          <w:tab w:val="center" w:pos="4680"/>
          <w:tab w:val="right" w:pos="9360"/>
        </w:tabs>
        <w:rPr>
          <w:lang w:val="fr-CA"/>
        </w:rPr>
      </w:pPr>
      <w:r>
        <w:rPr>
          <w:lang w:val="fr-CA"/>
        </w:rPr>
        <w:t>A</w:t>
      </w:r>
      <w:r w:rsidR="00C73D06">
        <w:rPr>
          <w:lang w:val="fr-CA"/>
        </w:rPr>
        <w:t>u</w:t>
      </w:r>
      <w:r>
        <w:rPr>
          <w:lang w:val="fr-CA"/>
        </w:rPr>
        <w:t>gust</w:t>
      </w:r>
      <w:r w:rsidR="00440E24" w:rsidRPr="00675479">
        <w:rPr>
          <w:lang w:val="fr-CA"/>
        </w:rPr>
        <w:t xml:space="preserve"> </w:t>
      </w:r>
      <w:r w:rsidR="00C73D06">
        <w:rPr>
          <w:lang w:val="fr-CA"/>
        </w:rPr>
        <w:t>3</w:t>
      </w:r>
      <w:r>
        <w:rPr>
          <w:lang w:val="fr-CA"/>
        </w:rPr>
        <w:t>1</w:t>
      </w:r>
      <w:r w:rsidR="00440E24" w:rsidRPr="00675479">
        <w:rPr>
          <w:lang w:val="fr-CA"/>
        </w:rPr>
        <w:t>, 201</w:t>
      </w:r>
      <w:r w:rsidR="00C73D06">
        <w:rPr>
          <w:lang w:val="fr-CA"/>
        </w:rPr>
        <w:t>2</w:t>
      </w:r>
      <w:r w:rsidR="00F0068D" w:rsidRPr="00675479">
        <w:rPr>
          <w:lang w:val="fr-CA"/>
        </w:rPr>
        <w:tab/>
        <w:t>1</w:t>
      </w:r>
      <w:r>
        <w:rPr>
          <w:lang w:val="fr-CA"/>
        </w:rPr>
        <w:t>173</w:t>
      </w:r>
      <w:r w:rsidR="00F0068D" w:rsidRPr="00675479">
        <w:rPr>
          <w:lang w:val="fr-CA"/>
        </w:rPr>
        <w:t xml:space="preserve"> - </w:t>
      </w:r>
      <w:r w:rsidR="00942EBA">
        <w:rPr>
          <w:lang w:val="fr-CA"/>
        </w:rPr>
        <w:t>1265</w:t>
      </w:r>
      <w:r w:rsidR="00440E24" w:rsidRPr="00675479">
        <w:rPr>
          <w:lang w:val="fr-CA"/>
        </w:rPr>
        <w:tab/>
      </w:r>
      <w:r w:rsidR="00440E24" w:rsidRPr="002E2327">
        <w:rPr>
          <w:lang w:val="fr-CA"/>
        </w:rPr>
        <w:t>Le</w:t>
      </w:r>
      <w:r w:rsidR="00C73D06">
        <w:rPr>
          <w:lang w:val="fr-CA"/>
        </w:rPr>
        <w:t xml:space="preserve"> </w:t>
      </w:r>
      <w:r>
        <w:rPr>
          <w:lang w:val="fr-CA"/>
        </w:rPr>
        <w:t>3</w:t>
      </w:r>
      <w:r w:rsidR="003359D3">
        <w:rPr>
          <w:lang w:val="fr-CA"/>
        </w:rPr>
        <w:t>1</w:t>
      </w:r>
      <w:r w:rsidR="00C73D06">
        <w:rPr>
          <w:lang w:val="fr-CA"/>
        </w:rPr>
        <w:t xml:space="preserve"> </w:t>
      </w:r>
      <w:r w:rsidR="00440E24" w:rsidRPr="002E2327">
        <w:rPr>
          <w:lang w:val="fr-CA"/>
        </w:rPr>
        <w:t>a</w:t>
      </w:r>
      <w:r>
        <w:rPr>
          <w:lang w:val="fr-CA"/>
        </w:rPr>
        <w:t>oût</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3626B6"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Default="00B54293" w:rsidP="0095096B">
            <w:pPr>
              <w:tabs>
                <w:tab w:val="right" w:pos="9360"/>
              </w:tabs>
              <w:rPr>
                <w:rFonts w:cs="Times New Roman"/>
                <w:sz w:val="20"/>
                <w:szCs w:val="20"/>
              </w:rPr>
            </w:pPr>
            <w:r w:rsidRPr="002E2327">
              <w:rPr>
                <w:rFonts w:cs="Times New Roman"/>
                <w:sz w:val="20"/>
                <w:szCs w:val="20"/>
              </w:rPr>
              <w:t>I</w:t>
            </w:r>
            <w:r w:rsidR="0095096B" w:rsidRPr="002E2327">
              <w:rPr>
                <w:rFonts w:cs="Times New Roman"/>
                <w:sz w:val="20"/>
                <w:szCs w:val="20"/>
              </w:rPr>
              <w:t>ssue</w:t>
            </w:r>
          </w:p>
          <w:p w:rsidR="00B54293" w:rsidRPr="002E2327" w:rsidRDefault="00B54293"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B54293">
            <w:pPr>
              <w:tabs>
                <w:tab w:val="right" w:pos="9360"/>
              </w:tabs>
              <w:rPr>
                <w:rFonts w:cs="Times New Roman"/>
                <w:sz w:val="20"/>
                <w:szCs w:val="20"/>
              </w:rPr>
            </w:pPr>
          </w:p>
        </w:tc>
        <w:tc>
          <w:tcPr>
            <w:tcW w:w="1980" w:type="dxa"/>
          </w:tcPr>
          <w:p w:rsidR="0095096B" w:rsidRPr="002E2327" w:rsidRDefault="00424003" w:rsidP="0095096B">
            <w:pPr>
              <w:jc w:val="center"/>
              <w:rPr>
                <w:rFonts w:cs="Times New Roman"/>
                <w:sz w:val="20"/>
                <w:szCs w:val="20"/>
              </w:rPr>
            </w:pPr>
            <w:r>
              <w:rPr>
                <w:rFonts w:cs="Times New Roman"/>
                <w:sz w:val="20"/>
                <w:szCs w:val="20"/>
              </w:rPr>
              <w:t xml:space="preserve">1173 </w:t>
            </w:r>
            <w:r w:rsidR="007333FF" w:rsidRPr="002E2327">
              <w:rPr>
                <w:rFonts w:cs="Times New Roman"/>
                <w:sz w:val="20"/>
                <w:szCs w:val="20"/>
              </w:rPr>
              <w:fldChar w:fldCharType="begin"/>
            </w:r>
            <w:r w:rsidR="0095096B" w:rsidRPr="002E2327">
              <w:rPr>
                <w:rFonts w:cs="Times New Roman"/>
                <w:sz w:val="20"/>
                <w:szCs w:val="20"/>
              </w:rPr>
              <w:instrText xml:space="preserve"> SEQ CHAPTER \h \r 1</w:instrText>
            </w:r>
            <w:r w:rsidR="007333FF"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1175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B0B1F" w:rsidP="0095096B">
            <w:pPr>
              <w:jc w:val="center"/>
              <w:rPr>
                <w:rFonts w:cs="Times New Roman"/>
                <w:sz w:val="20"/>
                <w:szCs w:val="20"/>
              </w:rPr>
            </w:pPr>
            <w:r>
              <w:rPr>
                <w:rFonts w:cs="Times New Roman"/>
                <w:sz w:val="20"/>
                <w:szCs w:val="20"/>
              </w:rPr>
              <w:t xml:space="preserve">1176 </w:t>
            </w:r>
            <w:r w:rsidR="0095096B" w:rsidRPr="002E2327">
              <w:rPr>
                <w:rFonts w:cs="Times New Roman"/>
                <w:sz w:val="20"/>
                <w:szCs w:val="20"/>
              </w:rPr>
              <w:t>-</w:t>
            </w:r>
            <w:r w:rsidR="00C2704B">
              <w:rPr>
                <w:rFonts w:cs="Times New Roman"/>
                <w:sz w:val="20"/>
                <w:szCs w:val="20"/>
              </w:rPr>
              <w:t xml:space="preserve"> 1179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54293" w:rsidP="0095096B">
            <w:pPr>
              <w:jc w:val="center"/>
              <w:rPr>
                <w:rFonts w:cs="Times New Roman"/>
                <w:sz w:val="20"/>
                <w:szCs w:val="20"/>
              </w:rPr>
            </w:pPr>
            <w:r>
              <w:rPr>
                <w:rFonts w:cs="Times New Roman"/>
                <w:sz w:val="20"/>
                <w:szCs w:val="20"/>
              </w:rPr>
              <w:t xml:space="preserve">1180 </w:t>
            </w:r>
            <w:r w:rsidR="0095096B" w:rsidRPr="002E2327">
              <w:rPr>
                <w:rFonts w:cs="Times New Roman"/>
                <w:sz w:val="20"/>
                <w:szCs w:val="20"/>
              </w:rPr>
              <w:t>-</w:t>
            </w:r>
            <w:r w:rsidR="0088663A">
              <w:rPr>
                <w:rFonts w:cs="Times New Roman"/>
                <w:sz w:val="20"/>
                <w:szCs w:val="20"/>
              </w:rPr>
              <w:t xml:space="preserve"> 1236</w:t>
            </w:r>
          </w:p>
          <w:p w:rsidR="0095096B" w:rsidRDefault="0095096B" w:rsidP="0095096B">
            <w:pPr>
              <w:jc w:val="center"/>
              <w:rPr>
                <w:rFonts w:cs="Times New Roman"/>
                <w:sz w:val="20"/>
                <w:szCs w:val="20"/>
              </w:rPr>
            </w:pPr>
          </w:p>
          <w:p w:rsidR="00B54293" w:rsidRPr="002E2327" w:rsidRDefault="00B54293" w:rsidP="0095096B">
            <w:pPr>
              <w:jc w:val="center"/>
              <w:rPr>
                <w:rFonts w:cs="Times New Roman"/>
                <w:sz w:val="20"/>
                <w:szCs w:val="20"/>
              </w:rPr>
            </w:pPr>
          </w:p>
          <w:p w:rsidR="0095096B" w:rsidRPr="002E2327" w:rsidRDefault="0088663A" w:rsidP="0095096B">
            <w:pPr>
              <w:jc w:val="center"/>
              <w:rPr>
                <w:rFonts w:cs="Times New Roman"/>
                <w:sz w:val="20"/>
                <w:szCs w:val="20"/>
              </w:rPr>
            </w:pPr>
            <w:r>
              <w:rPr>
                <w:rFonts w:cs="Times New Roman"/>
                <w:sz w:val="20"/>
                <w:szCs w:val="20"/>
              </w:rPr>
              <w:t xml:space="preserve">1237 </w:t>
            </w:r>
            <w:r w:rsidR="0095096B" w:rsidRPr="002E2327">
              <w:rPr>
                <w:rFonts w:cs="Times New Roman"/>
                <w:sz w:val="20"/>
                <w:szCs w:val="20"/>
              </w:rPr>
              <w:t>-</w:t>
            </w:r>
            <w:r w:rsidR="00942EBA">
              <w:rPr>
                <w:rFonts w:cs="Times New Roman"/>
                <w:sz w:val="20"/>
                <w:szCs w:val="20"/>
              </w:rPr>
              <w:t xml:space="preserve"> 1252</w:t>
            </w:r>
          </w:p>
          <w:p w:rsidR="0095096B" w:rsidRPr="002E2327" w:rsidRDefault="0095096B" w:rsidP="0095096B">
            <w:pPr>
              <w:jc w:val="center"/>
              <w:rPr>
                <w:rFonts w:cs="Times New Roman"/>
                <w:sz w:val="20"/>
                <w:szCs w:val="20"/>
              </w:rPr>
            </w:pPr>
          </w:p>
          <w:p w:rsidR="0095096B" w:rsidRPr="002E2327" w:rsidRDefault="00942EBA" w:rsidP="0095096B">
            <w:pPr>
              <w:jc w:val="center"/>
              <w:rPr>
                <w:rFonts w:cs="Times New Roman"/>
                <w:sz w:val="20"/>
                <w:szCs w:val="20"/>
              </w:rPr>
            </w:pPr>
            <w:r>
              <w:rPr>
                <w:rFonts w:cs="Times New Roman"/>
                <w:sz w:val="20"/>
                <w:szCs w:val="20"/>
              </w:rPr>
              <w:t>1253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42EBA" w:rsidP="0095096B">
            <w:pPr>
              <w:jc w:val="center"/>
              <w:rPr>
                <w:rFonts w:cs="Times New Roman"/>
                <w:sz w:val="20"/>
                <w:szCs w:val="20"/>
              </w:rPr>
            </w:pPr>
            <w:r>
              <w:rPr>
                <w:rFonts w:cs="Times New Roman"/>
                <w:sz w:val="20"/>
                <w:szCs w:val="20"/>
              </w:rPr>
              <w:t>1254</w:t>
            </w:r>
          </w:p>
          <w:p w:rsidR="0095096B" w:rsidRDefault="0095096B" w:rsidP="0095096B">
            <w:pPr>
              <w:jc w:val="center"/>
              <w:rPr>
                <w:rFonts w:cs="Times New Roman"/>
                <w:sz w:val="20"/>
                <w:szCs w:val="20"/>
              </w:rPr>
            </w:pPr>
          </w:p>
          <w:p w:rsidR="00B54293" w:rsidRPr="002E2327" w:rsidRDefault="00B54293" w:rsidP="0095096B">
            <w:pPr>
              <w:jc w:val="center"/>
              <w:rPr>
                <w:rFonts w:cs="Times New Roman"/>
                <w:sz w:val="20"/>
                <w:szCs w:val="20"/>
              </w:rPr>
            </w:pPr>
          </w:p>
          <w:p w:rsidR="0095096B" w:rsidRPr="002E2327" w:rsidRDefault="00942EBA" w:rsidP="0095096B">
            <w:pPr>
              <w:jc w:val="center"/>
              <w:rPr>
                <w:rFonts w:cs="Times New Roman"/>
                <w:sz w:val="20"/>
                <w:szCs w:val="20"/>
              </w:rPr>
            </w:pPr>
            <w:r>
              <w:rPr>
                <w:rFonts w:cs="Times New Roman"/>
                <w:sz w:val="20"/>
                <w:szCs w:val="20"/>
              </w:rPr>
              <w:t xml:space="preserve">1255 </w:t>
            </w:r>
            <w:r w:rsidR="0095096B" w:rsidRPr="002E2327">
              <w:rPr>
                <w:rFonts w:cs="Times New Roman"/>
                <w:sz w:val="20"/>
                <w:szCs w:val="20"/>
              </w:rPr>
              <w:t>-</w:t>
            </w:r>
            <w:r>
              <w:rPr>
                <w:rFonts w:cs="Times New Roman"/>
                <w:sz w:val="20"/>
                <w:szCs w:val="20"/>
              </w:rPr>
              <w:t xml:space="preserve"> 1264</w:t>
            </w:r>
          </w:p>
          <w:p w:rsidR="0095096B" w:rsidRPr="002E2327" w:rsidRDefault="0095096B" w:rsidP="0095096B">
            <w:pPr>
              <w:jc w:val="center"/>
              <w:rPr>
                <w:rFonts w:cs="Times New Roman"/>
                <w:sz w:val="20"/>
                <w:szCs w:val="20"/>
              </w:rPr>
            </w:pPr>
          </w:p>
          <w:p w:rsidR="0095096B" w:rsidRPr="002E2327" w:rsidRDefault="00942EBA" w:rsidP="0095096B">
            <w:pPr>
              <w:jc w:val="center"/>
              <w:rPr>
                <w:rFonts w:cs="Times New Roman"/>
                <w:sz w:val="20"/>
                <w:szCs w:val="20"/>
              </w:rPr>
            </w:pPr>
            <w:r>
              <w:rPr>
                <w:rFonts w:cs="Times New Roman"/>
                <w:sz w:val="20"/>
                <w:szCs w:val="20"/>
              </w:rPr>
              <w:t>1265</w:t>
            </w:r>
          </w:p>
          <w:p w:rsidR="00A87207" w:rsidRPr="002E2327" w:rsidRDefault="00A87207" w:rsidP="009B0B1F">
            <w:pPr>
              <w:jc w:val="center"/>
              <w:rPr>
                <w:rFonts w:cs="Times New Roman"/>
                <w:sz w:val="20"/>
                <w:szCs w:val="20"/>
              </w:rPr>
            </w:pPr>
          </w:p>
        </w:tc>
        <w:tc>
          <w:tcPr>
            <w:tcW w:w="3888" w:type="dxa"/>
          </w:tcPr>
          <w:p w:rsidR="0095096B" w:rsidRPr="002E2327" w:rsidRDefault="007333FF"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B54293">
            <w:pPr>
              <w:tabs>
                <w:tab w:val="right" w:pos="9360"/>
              </w:tabs>
              <w:rPr>
                <w:rFonts w:cs="Times New Roman"/>
                <w:sz w:val="20"/>
                <w:szCs w:val="20"/>
                <w:lang w:val="fr-CA"/>
              </w:rPr>
            </w:pPr>
          </w:p>
        </w:tc>
      </w:tr>
    </w:tbl>
    <w:p w:rsidR="0095096B" w:rsidRPr="0060124A" w:rsidRDefault="0095096B" w:rsidP="0095096B">
      <w:pPr>
        <w:tabs>
          <w:tab w:val="right" w:pos="9360"/>
        </w:tabs>
        <w:rPr>
          <w:lang w:val="fr-CA"/>
        </w:rPr>
      </w:pPr>
    </w:p>
    <w:p w:rsidR="00B54293" w:rsidRPr="0060124A" w:rsidRDefault="00B54293" w:rsidP="0095096B">
      <w:pPr>
        <w:tabs>
          <w:tab w:val="right" w:pos="9360"/>
        </w:tabs>
        <w:rPr>
          <w:lang w:val="fr-CA"/>
        </w:rPr>
      </w:pPr>
    </w:p>
    <w:p w:rsidR="00B54293" w:rsidRPr="0060124A" w:rsidRDefault="00B54293" w:rsidP="0095096B">
      <w:pPr>
        <w:tabs>
          <w:tab w:val="right" w:pos="9360"/>
        </w:tabs>
        <w:rPr>
          <w:lang w:val="fr-CA"/>
        </w:rPr>
      </w:pPr>
    </w:p>
    <w:p w:rsidR="00B54293" w:rsidRPr="0060124A" w:rsidRDefault="00B54293" w:rsidP="0095096B">
      <w:pPr>
        <w:tabs>
          <w:tab w:val="right" w:pos="9360"/>
        </w:tabs>
        <w:rPr>
          <w:lang w:val="fr-CA"/>
        </w:rPr>
      </w:pPr>
    </w:p>
    <w:p w:rsidR="00B54293" w:rsidRPr="0060124A" w:rsidRDefault="00B54293" w:rsidP="0095096B">
      <w:pPr>
        <w:tabs>
          <w:tab w:val="right" w:pos="9360"/>
        </w:tabs>
        <w:rPr>
          <w:lang w:val="fr-CA"/>
        </w:rPr>
      </w:pPr>
    </w:p>
    <w:p w:rsidR="00B54293" w:rsidRPr="0060124A" w:rsidRDefault="00B54293" w:rsidP="0095096B">
      <w:pPr>
        <w:tabs>
          <w:tab w:val="right" w:pos="9360"/>
        </w:tabs>
        <w:rPr>
          <w:lang w:val="fr-CA"/>
        </w:rPr>
      </w:pPr>
    </w:p>
    <w:tbl>
      <w:tblPr>
        <w:tblStyle w:val="TableGrid"/>
        <w:tblW w:w="0" w:type="auto"/>
        <w:tblLook w:val="04A0"/>
      </w:tblPr>
      <w:tblGrid>
        <w:gridCol w:w="9576"/>
      </w:tblGrid>
      <w:tr w:rsidR="0079724F" w:rsidRPr="003626B6"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897D74" w:rsidP="003B3977">
            <w:pPr>
              <w:rPr>
                <w:b/>
                <w:sz w:val="20"/>
                <w:szCs w:val="20"/>
              </w:rPr>
            </w:pPr>
            <w:r>
              <w:rPr>
                <w:b/>
                <w:sz w:val="20"/>
                <w:szCs w:val="20"/>
              </w:rPr>
              <w:t>Shawn Shea</w:t>
            </w:r>
          </w:p>
          <w:p w:rsidR="00242AEE" w:rsidRPr="00A935AA" w:rsidRDefault="00242AEE" w:rsidP="003B3977">
            <w:pPr>
              <w:tabs>
                <w:tab w:val="left" w:pos="-1440"/>
                <w:tab w:val="left" w:pos="-720"/>
              </w:tabs>
              <w:rPr>
                <w:sz w:val="20"/>
                <w:szCs w:val="20"/>
              </w:rPr>
            </w:pPr>
            <w:r w:rsidRPr="00A935AA">
              <w:rPr>
                <w:sz w:val="20"/>
                <w:szCs w:val="20"/>
              </w:rPr>
              <w:tab/>
            </w:r>
            <w:r w:rsidR="00897D74">
              <w:rPr>
                <w:sz w:val="20"/>
                <w:szCs w:val="20"/>
              </w:rPr>
              <w:t>Shawn Shea</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957F2F">
              <w:rPr>
                <w:sz w:val="20"/>
                <w:szCs w:val="20"/>
              </w:rPr>
              <w:t>4</w:t>
            </w:r>
            <w:r w:rsidR="00897D74">
              <w:rPr>
                <w:sz w:val="20"/>
                <w:szCs w:val="20"/>
              </w:rPr>
              <w:t>870</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897D74" w:rsidP="003B3977">
            <w:pPr>
              <w:tabs>
                <w:tab w:val="left" w:pos="-1440"/>
                <w:tab w:val="left" w:pos="-720"/>
              </w:tabs>
              <w:rPr>
                <w:b/>
                <w:sz w:val="20"/>
                <w:szCs w:val="20"/>
              </w:rPr>
            </w:pPr>
            <w:r>
              <w:rPr>
                <w:b/>
                <w:sz w:val="20"/>
                <w:szCs w:val="20"/>
              </w:rPr>
              <w:t xml:space="preserve">Her Majesty the Queen </w:t>
            </w:r>
            <w:r w:rsidR="00242AEE" w:rsidRPr="00A935AA">
              <w:rPr>
                <w:b/>
                <w:sz w:val="20"/>
                <w:szCs w:val="20"/>
              </w:rPr>
              <w:t>(</w:t>
            </w:r>
            <w:r>
              <w:rPr>
                <w:b/>
                <w:sz w:val="20"/>
                <w:szCs w:val="20"/>
              </w:rPr>
              <w:t>N</w:t>
            </w:r>
            <w:r w:rsidR="00242AEE" w:rsidRPr="00A935AA">
              <w:rPr>
                <w:b/>
                <w:sz w:val="20"/>
                <w:szCs w:val="20"/>
              </w:rPr>
              <w:t>.</w:t>
            </w:r>
            <w:r>
              <w:rPr>
                <w:b/>
                <w:sz w:val="20"/>
                <w:szCs w:val="20"/>
              </w:rPr>
              <w:t>S</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897D74">
              <w:rPr>
                <w:sz w:val="20"/>
                <w:szCs w:val="20"/>
              </w:rPr>
              <w:t>Mark A. Scott</w:t>
            </w:r>
          </w:p>
          <w:p w:rsidR="00242AEE" w:rsidRPr="00A935AA" w:rsidRDefault="00242AEE" w:rsidP="003B3977">
            <w:pPr>
              <w:tabs>
                <w:tab w:val="left" w:pos="-1440"/>
                <w:tab w:val="left" w:pos="-720"/>
              </w:tabs>
              <w:rPr>
                <w:sz w:val="20"/>
                <w:szCs w:val="20"/>
              </w:rPr>
            </w:pPr>
            <w:r w:rsidRPr="00A935AA">
              <w:rPr>
                <w:sz w:val="20"/>
                <w:szCs w:val="20"/>
              </w:rPr>
              <w:tab/>
            </w:r>
            <w:r w:rsidR="00897D74">
              <w:rPr>
                <w:sz w:val="20"/>
                <w:szCs w:val="20"/>
              </w:rPr>
              <w:t xml:space="preserve">Public Prosecution Service of Nova </w:t>
            </w:r>
            <w:r w:rsidR="00897D74">
              <w:rPr>
                <w:sz w:val="20"/>
                <w:szCs w:val="20"/>
              </w:rPr>
              <w:tab/>
              <w:t>Scotia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FILING DATE: 2</w:t>
            </w:r>
            <w:r w:rsidR="00897D74">
              <w:rPr>
                <w:sz w:val="20"/>
                <w:szCs w:val="20"/>
              </w:rPr>
              <w:t>8</w:t>
            </w:r>
            <w:r w:rsidRPr="00A935AA">
              <w:rPr>
                <w:sz w:val="20"/>
                <w:szCs w:val="20"/>
              </w:rPr>
              <w:t>.0</w:t>
            </w:r>
            <w:r w:rsidR="00897D74">
              <w:rPr>
                <w:sz w:val="20"/>
                <w:szCs w:val="20"/>
              </w:rPr>
              <w:t>2</w:t>
            </w:r>
            <w:r w:rsidRPr="00A935AA">
              <w:rPr>
                <w:sz w:val="20"/>
                <w:szCs w:val="20"/>
              </w:rPr>
              <w:t>.201</w:t>
            </w:r>
            <w:r w:rsidR="00957F2F">
              <w:rPr>
                <w:sz w:val="20"/>
                <w:szCs w:val="20"/>
              </w:rPr>
              <w:t>2</w:t>
            </w:r>
          </w:p>
          <w:p w:rsidR="00242AEE" w:rsidRPr="00A935AA" w:rsidRDefault="007333FF" w:rsidP="003B3977">
            <w:pPr>
              <w:rPr>
                <w:sz w:val="20"/>
                <w:szCs w:val="20"/>
              </w:rPr>
            </w:pPr>
            <w:r w:rsidRPr="007333FF">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897D74" w:rsidP="003B3977">
            <w:pPr>
              <w:keepNext/>
              <w:keepLines/>
              <w:tabs>
                <w:tab w:val="left" w:pos="-1440"/>
                <w:tab w:val="left" w:pos="-720"/>
              </w:tabs>
              <w:rPr>
                <w:b/>
                <w:sz w:val="20"/>
                <w:szCs w:val="20"/>
              </w:rPr>
            </w:pPr>
            <w:r>
              <w:rPr>
                <w:b/>
                <w:sz w:val="20"/>
                <w:szCs w:val="20"/>
              </w:rPr>
              <w:t>Ranko Todorovic</w:t>
            </w:r>
          </w:p>
          <w:p w:rsidR="00242AEE" w:rsidRPr="00A935AA" w:rsidRDefault="00242AEE" w:rsidP="003B3977">
            <w:pPr>
              <w:keepNext/>
              <w:keepLines/>
              <w:tabs>
                <w:tab w:val="left" w:pos="-1440"/>
                <w:tab w:val="left" w:pos="-720"/>
              </w:tabs>
              <w:rPr>
                <w:sz w:val="20"/>
                <w:szCs w:val="20"/>
              </w:rPr>
            </w:pPr>
            <w:r w:rsidRPr="00A935AA">
              <w:rPr>
                <w:sz w:val="20"/>
                <w:szCs w:val="20"/>
              </w:rPr>
              <w:tab/>
            </w:r>
            <w:r w:rsidR="00897D74">
              <w:rPr>
                <w:sz w:val="20"/>
                <w:szCs w:val="20"/>
              </w:rPr>
              <w:t>Ranko Todorovic</w:t>
            </w:r>
          </w:p>
          <w:p w:rsidR="00242AEE" w:rsidRPr="00A935AA" w:rsidRDefault="00242AEE" w:rsidP="003B3977">
            <w:pPr>
              <w:keepNext/>
              <w:keepLines/>
              <w:tabs>
                <w:tab w:val="left" w:pos="-1440"/>
                <w:tab w:val="left" w:pos="-720"/>
              </w:tabs>
              <w:rPr>
                <w:sz w:val="20"/>
                <w:szCs w:val="20"/>
              </w:rPr>
            </w:pPr>
          </w:p>
          <w:p w:rsidR="00242AEE" w:rsidRPr="00897D74" w:rsidRDefault="00242AEE" w:rsidP="003B3977">
            <w:pPr>
              <w:keepNext/>
              <w:keepLines/>
              <w:tabs>
                <w:tab w:val="left" w:pos="-1440"/>
                <w:tab w:val="left" w:pos="-720"/>
              </w:tabs>
              <w:rPr>
                <w:sz w:val="20"/>
                <w:szCs w:val="20"/>
              </w:rPr>
            </w:pPr>
            <w:r w:rsidRPr="00A935AA">
              <w:rPr>
                <w:sz w:val="20"/>
                <w:szCs w:val="20"/>
              </w:rPr>
              <w:tab/>
            </w:r>
            <w:r w:rsidRPr="00897D74">
              <w:rPr>
                <w:sz w:val="20"/>
                <w:szCs w:val="20"/>
              </w:rPr>
              <w:t>v. (3</w:t>
            </w:r>
            <w:r w:rsidR="00957F2F" w:rsidRPr="00897D74">
              <w:rPr>
                <w:sz w:val="20"/>
                <w:szCs w:val="20"/>
              </w:rPr>
              <w:t>4</w:t>
            </w:r>
            <w:r w:rsidR="00897D74">
              <w:rPr>
                <w:sz w:val="20"/>
                <w:szCs w:val="20"/>
              </w:rPr>
              <w:t>822</w:t>
            </w:r>
            <w:r w:rsidRPr="00897D74">
              <w:rPr>
                <w:sz w:val="20"/>
                <w:szCs w:val="20"/>
              </w:rPr>
              <w:t>)</w:t>
            </w:r>
          </w:p>
          <w:p w:rsidR="00242AEE" w:rsidRPr="00897D74" w:rsidRDefault="00242AEE" w:rsidP="003B3977">
            <w:pPr>
              <w:keepNext/>
              <w:keepLines/>
              <w:tabs>
                <w:tab w:val="left" w:pos="-1440"/>
                <w:tab w:val="left" w:pos="-720"/>
              </w:tabs>
              <w:rPr>
                <w:sz w:val="20"/>
                <w:szCs w:val="20"/>
              </w:rPr>
            </w:pPr>
          </w:p>
          <w:p w:rsidR="00242AEE" w:rsidRPr="00897D74" w:rsidRDefault="00B6794D" w:rsidP="003B3977">
            <w:pPr>
              <w:keepNext/>
              <w:keepLines/>
              <w:tabs>
                <w:tab w:val="left" w:pos="-1440"/>
                <w:tab w:val="left" w:pos="-720"/>
              </w:tabs>
              <w:rPr>
                <w:b/>
                <w:sz w:val="20"/>
                <w:szCs w:val="20"/>
              </w:rPr>
            </w:pPr>
            <w:r>
              <w:rPr>
                <w:b/>
                <w:sz w:val="20"/>
                <w:szCs w:val="20"/>
              </w:rPr>
              <w:t xml:space="preserve">Her Majesty the Queen in Right of Ontario </w:t>
            </w:r>
            <w:r w:rsidR="00242AEE" w:rsidRPr="00897D74">
              <w:rPr>
                <w:b/>
                <w:sz w:val="20"/>
                <w:szCs w:val="20"/>
              </w:rPr>
              <w:t>(Ont.)</w:t>
            </w:r>
          </w:p>
          <w:p w:rsidR="00242AEE" w:rsidRPr="00897D74" w:rsidRDefault="00242AEE" w:rsidP="003B3977">
            <w:pPr>
              <w:keepNext/>
              <w:keepLines/>
              <w:tabs>
                <w:tab w:val="left" w:pos="-1440"/>
                <w:tab w:val="left" w:pos="-720"/>
              </w:tabs>
              <w:rPr>
                <w:sz w:val="20"/>
                <w:szCs w:val="20"/>
              </w:rPr>
            </w:pPr>
            <w:r w:rsidRPr="00897D74">
              <w:rPr>
                <w:sz w:val="20"/>
                <w:szCs w:val="20"/>
              </w:rPr>
              <w:tab/>
            </w:r>
            <w:r w:rsidR="00B6794D">
              <w:rPr>
                <w:sz w:val="20"/>
                <w:szCs w:val="20"/>
              </w:rPr>
              <w:t>Edmund S. Huang</w:t>
            </w:r>
          </w:p>
          <w:p w:rsidR="00242AEE" w:rsidRPr="00897D74" w:rsidRDefault="00242AEE" w:rsidP="003B3977">
            <w:pPr>
              <w:keepNext/>
              <w:keepLines/>
              <w:tabs>
                <w:tab w:val="left" w:pos="-1440"/>
                <w:tab w:val="left" w:pos="-720"/>
              </w:tabs>
              <w:rPr>
                <w:sz w:val="20"/>
                <w:szCs w:val="20"/>
              </w:rPr>
            </w:pPr>
            <w:r w:rsidRPr="00897D74">
              <w:rPr>
                <w:sz w:val="20"/>
                <w:szCs w:val="20"/>
              </w:rPr>
              <w:tab/>
            </w:r>
            <w:r w:rsidR="00B6794D">
              <w:rPr>
                <w:sz w:val="20"/>
                <w:szCs w:val="20"/>
              </w:rPr>
              <w:t>A.G. of Ontario</w:t>
            </w:r>
          </w:p>
          <w:p w:rsidR="00242AEE" w:rsidRPr="00897D74" w:rsidRDefault="00242AEE" w:rsidP="003B3977">
            <w:pPr>
              <w:keepNext/>
              <w:keepLines/>
              <w:tabs>
                <w:tab w:val="left" w:pos="-1440"/>
                <w:tab w:val="left" w:pos="-720"/>
              </w:tabs>
              <w:rPr>
                <w:sz w:val="20"/>
                <w:szCs w:val="20"/>
              </w:rPr>
            </w:pPr>
          </w:p>
          <w:p w:rsidR="00242AEE" w:rsidRDefault="00B6794D" w:rsidP="00B6794D">
            <w:pPr>
              <w:rPr>
                <w:sz w:val="20"/>
                <w:szCs w:val="20"/>
                <w:lang w:val="fr-CA"/>
              </w:rPr>
            </w:pPr>
            <w:r>
              <w:rPr>
                <w:sz w:val="20"/>
                <w:szCs w:val="20"/>
              </w:rPr>
              <w:t>and between</w:t>
            </w:r>
          </w:p>
          <w:p w:rsidR="00B6794D" w:rsidRPr="00A935AA" w:rsidRDefault="00B6794D" w:rsidP="00B6794D">
            <w:pPr>
              <w:rPr>
                <w:sz w:val="20"/>
                <w:szCs w:val="20"/>
              </w:rPr>
            </w:pPr>
          </w:p>
        </w:tc>
      </w:tr>
      <w:tr w:rsidR="00957F2F" w:rsidRPr="00A935AA" w:rsidTr="003B3977">
        <w:tc>
          <w:tcPr>
            <w:tcW w:w="4320" w:type="dxa"/>
            <w:shd w:val="clear" w:color="auto" w:fill="auto"/>
          </w:tcPr>
          <w:p w:rsidR="00B6794D" w:rsidRDefault="00B6794D" w:rsidP="00957F2F">
            <w:pPr>
              <w:rPr>
                <w:b/>
                <w:sz w:val="20"/>
                <w:szCs w:val="20"/>
              </w:rPr>
            </w:pPr>
          </w:p>
          <w:p w:rsidR="00957F2F" w:rsidRPr="00A935AA" w:rsidRDefault="00897D74" w:rsidP="00957F2F">
            <w:pPr>
              <w:rPr>
                <w:b/>
                <w:sz w:val="20"/>
                <w:szCs w:val="20"/>
              </w:rPr>
            </w:pPr>
            <w:r>
              <w:rPr>
                <w:b/>
                <w:sz w:val="20"/>
                <w:szCs w:val="20"/>
              </w:rPr>
              <w:t>Gary Pallister</w:t>
            </w:r>
          </w:p>
          <w:p w:rsidR="00957F2F" w:rsidRPr="00A935AA" w:rsidRDefault="00957F2F" w:rsidP="00957F2F">
            <w:pPr>
              <w:tabs>
                <w:tab w:val="left" w:pos="-1440"/>
                <w:tab w:val="left" w:pos="-720"/>
              </w:tabs>
              <w:rPr>
                <w:sz w:val="20"/>
                <w:szCs w:val="20"/>
              </w:rPr>
            </w:pPr>
            <w:r w:rsidRPr="00A935AA">
              <w:rPr>
                <w:sz w:val="20"/>
                <w:szCs w:val="20"/>
              </w:rPr>
              <w:tab/>
            </w:r>
            <w:r w:rsidR="00897D74">
              <w:rPr>
                <w:sz w:val="20"/>
                <w:szCs w:val="20"/>
              </w:rPr>
              <w:t>Gary Pallister</w:t>
            </w:r>
          </w:p>
          <w:p w:rsidR="00957F2F" w:rsidRPr="00A935AA" w:rsidRDefault="00957F2F" w:rsidP="00957F2F">
            <w:pPr>
              <w:tabs>
                <w:tab w:val="left" w:pos="-1440"/>
                <w:tab w:val="left" w:pos="-720"/>
              </w:tabs>
              <w:rPr>
                <w:sz w:val="20"/>
                <w:szCs w:val="20"/>
              </w:rPr>
            </w:pPr>
          </w:p>
          <w:p w:rsidR="00957F2F" w:rsidRPr="00A935AA" w:rsidRDefault="00957F2F" w:rsidP="00957F2F">
            <w:pPr>
              <w:tabs>
                <w:tab w:val="left" w:pos="-1440"/>
                <w:tab w:val="left" w:pos="-720"/>
              </w:tabs>
              <w:rPr>
                <w:sz w:val="20"/>
                <w:szCs w:val="20"/>
              </w:rPr>
            </w:pPr>
            <w:r w:rsidRPr="00A935AA">
              <w:rPr>
                <w:sz w:val="20"/>
                <w:szCs w:val="20"/>
              </w:rPr>
              <w:tab/>
              <w:t>v. (3</w:t>
            </w:r>
            <w:r>
              <w:rPr>
                <w:sz w:val="20"/>
                <w:szCs w:val="20"/>
              </w:rPr>
              <w:t>4</w:t>
            </w:r>
            <w:r w:rsidR="00897D74">
              <w:rPr>
                <w:sz w:val="20"/>
                <w:szCs w:val="20"/>
              </w:rPr>
              <w:t>748</w:t>
            </w:r>
            <w:r w:rsidRPr="00A935AA">
              <w:rPr>
                <w:sz w:val="20"/>
                <w:szCs w:val="20"/>
              </w:rPr>
              <w:t>)</w:t>
            </w:r>
          </w:p>
          <w:p w:rsidR="00957F2F" w:rsidRPr="00A935AA" w:rsidRDefault="00957F2F" w:rsidP="00957F2F">
            <w:pPr>
              <w:tabs>
                <w:tab w:val="left" w:pos="-1440"/>
                <w:tab w:val="left" w:pos="-720"/>
              </w:tabs>
              <w:rPr>
                <w:sz w:val="20"/>
                <w:szCs w:val="20"/>
              </w:rPr>
            </w:pPr>
          </w:p>
          <w:p w:rsidR="00957F2F" w:rsidRPr="00A935AA" w:rsidRDefault="00897D74" w:rsidP="00957F2F">
            <w:pPr>
              <w:tabs>
                <w:tab w:val="left" w:pos="-1440"/>
                <w:tab w:val="left" w:pos="-720"/>
              </w:tabs>
              <w:rPr>
                <w:b/>
                <w:sz w:val="20"/>
                <w:szCs w:val="20"/>
              </w:rPr>
            </w:pPr>
            <w:r>
              <w:rPr>
                <w:b/>
                <w:sz w:val="20"/>
                <w:szCs w:val="20"/>
              </w:rPr>
              <w:t xml:space="preserve">Her Majesty the Queen </w:t>
            </w:r>
            <w:r w:rsidR="00957F2F" w:rsidRPr="00A935AA">
              <w:rPr>
                <w:b/>
                <w:sz w:val="20"/>
                <w:szCs w:val="20"/>
              </w:rPr>
              <w:t>(</w:t>
            </w:r>
            <w:r>
              <w:rPr>
                <w:b/>
                <w:sz w:val="20"/>
                <w:szCs w:val="20"/>
              </w:rPr>
              <w:t>Ont</w:t>
            </w:r>
            <w:r w:rsidR="00957F2F" w:rsidRPr="00A935AA">
              <w:rPr>
                <w:b/>
                <w:sz w:val="20"/>
                <w:szCs w:val="20"/>
              </w:rPr>
              <w:t>.)</w:t>
            </w:r>
          </w:p>
          <w:p w:rsidR="00957F2F" w:rsidRPr="00A935AA" w:rsidRDefault="00957F2F" w:rsidP="00957F2F">
            <w:pPr>
              <w:tabs>
                <w:tab w:val="left" w:pos="-1440"/>
                <w:tab w:val="left" w:pos="-720"/>
              </w:tabs>
              <w:rPr>
                <w:sz w:val="20"/>
                <w:szCs w:val="20"/>
              </w:rPr>
            </w:pPr>
            <w:r w:rsidRPr="00A935AA">
              <w:rPr>
                <w:sz w:val="20"/>
                <w:szCs w:val="20"/>
              </w:rPr>
              <w:tab/>
            </w:r>
            <w:r w:rsidR="00897D74">
              <w:rPr>
                <w:sz w:val="20"/>
                <w:szCs w:val="20"/>
              </w:rPr>
              <w:t>Kevin R. Wilson</w:t>
            </w:r>
          </w:p>
          <w:p w:rsidR="00897D74" w:rsidRPr="00A935AA" w:rsidRDefault="00957F2F" w:rsidP="00897D74">
            <w:pPr>
              <w:tabs>
                <w:tab w:val="left" w:pos="-1440"/>
                <w:tab w:val="left" w:pos="-720"/>
              </w:tabs>
              <w:rPr>
                <w:sz w:val="20"/>
                <w:szCs w:val="20"/>
              </w:rPr>
            </w:pPr>
            <w:r w:rsidRPr="00A935AA">
              <w:rPr>
                <w:sz w:val="20"/>
                <w:szCs w:val="20"/>
              </w:rPr>
              <w:tab/>
            </w:r>
            <w:r w:rsidR="00897D74">
              <w:rPr>
                <w:sz w:val="20"/>
                <w:szCs w:val="20"/>
              </w:rPr>
              <w:t xml:space="preserve">Public Prosecution Service of Nova </w:t>
            </w:r>
            <w:r w:rsidR="00897D74">
              <w:rPr>
                <w:sz w:val="20"/>
                <w:szCs w:val="20"/>
              </w:rPr>
              <w:tab/>
              <w:t>Scotia</w:t>
            </w:r>
          </w:p>
          <w:p w:rsidR="00957F2F" w:rsidRPr="00A935AA" w:rsidRDefault="00957F2F" w:rsidP="00957F2F">
            <w:pPr>
              <w:tabs>
                <w:tab w:val="left" w:pos="-1440"/>
                <w:tab w:val="left" w:pos="-720"/>
              </w:tabs>
              <w:rPr>
                <w:sz w:val="20"/>
                <w:szCs w:val="20"/>
              </w:rPr>
            </w:pPr>
          </w:p>
          <w:p w:rsidR="00957F2F" w:rsidRPr="00A935AA" w:rsidRDefault="00957F2F" w:rsidP="00957F2F">
            <w:pPr>
              <w:rPr>
                <w:sz w:val="20"/>
                <w:szCs w:val="20"/>
              </w:rPr>
            </w:pPr>
            <w:r w:rsidRPr="00A935AA">
              <w:rPr>
                <w:sz w:val="20"/>
                <w:szCs w:val="20"/>
              </w:rPr>
              <w:t>FILING DATE: 2</w:t>
            </w:r>
            <w:r w:rsidR="00897D74">
              <w:rPr>
                <w:sz w:val="20"/>
                <w:szCs w:val="20"/>
              </w:rPr>
              <w:t>3</w:t>
            </w:r>
            <w:r w:rsidRPr="00A935AA">
              <w:rPr>
                <w:sz w:val="20"/>
                <w:szCs w:val="20"/>
              </w:rPr>
              <w:t>.0</w:t>
            </w:r>
            <w:r w:rsidR="00897D74">
              <w:rPr>
                <w:sz w:val="20"/>
                <w:szCs w:val="20"/>
              </w:rPr>
              <w:t>3</w:t>
            </w:r>
            <w:r w:rsidRPr="00A935AA">
              <w:rPr>
                <w:sz w:val="20"/>
                <w:szCs w:val="20"/>
              </w:rPr>
              <w:t>.201</w:t>
            </w:r>
            <w:r>
              <w:rPr>
                <w:sz w:val="20"/>
                <w:szCs w:val="20"/>
              </w:rPr>
              <w:t>2</w:t>
            </w:r>
          </w:p>
          <w:p w:rsidR="00957F2F" w:rsidRPr="00A935AA" w:rsidRDefault="007333FF" w:rsidP="00957F2F">
            <w:pPr>
              <w:rPr>
                <w:sz w:val="20"/>
                <w:szCs w:val="20"/>
              </w:rPr>
            </w:pPr>
            <w:r w:rsidRPr="007333FF">
              <w:rPr>
                <w:sz w:val="20"/>
                <w:szCs w:val="20"/>
                <w:lang w:val="fr-CA"/>
              </w:rPr>
              <w:pict>
                <v:rect id="_x0000_i1026" style="width:108pt;height:1pt" o:hrpct="0" o:hralign="center" o:hrstd="t" o:hrnoshade="t" o:hr="t" fillcolor="black [3213]" stroked="f"/>
              </w:pict>
            </w:r>
          </w:p>
        </w:tc>
        <w:tc>
          <w:tcPr>
            <w:tcW w:w="1181" w:type="dxa"/>
            <w:shd w:val="clear" w:color="auto" w:fill="auto"/>
          </w:tcPr>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Default="00957F2F" w:rsidP="00242AEE">
            <w:pPr>
              <w:jc w:val="center"/>
              <w:rPr>
                <w:sz w:val="20"/>
                <w:szCs w:val="20"/>
              </w:rPr>
            </w:pPr>
          </w:p>
          <w:p w:rsidR="00957F2F" w:rsidRPr="00A935AA" w:rsidRDefault="00957F2F" w:rsidP="00242AEE">
            <w:pPr>
              <w:jc w:val="center"/>
              <w:rPr>
                <w:sz w:val="20"/>
                <w:szCs w:val="20"/>
              </w:rPr>
            </w:pPr>
          </w:p>
        </w:tc>
        <w:tc>
          <w:tcPr>
            <w:tcW w:w="4320" w:type="dxa"/>
            <w:shd w:val="clear" w:color="auto" w:fill="auto"/>
          </w:tcPr>
          <w:p w:rsidR="00957F2F" w:rsidRPr="00A935AA" w:rsidRDefault="00B6794D" w:rsidP="00957F2F">
            <w:pPr>
              <w:keepNext/>
              <w:keepLines/>
              <w:tabs>
                <w:tab w:val="left" w:pos="-1440"/>
                <w:tab w:val="left" w:pos="-720"/>
              </w:tabs>
              <w:rPr>
                <w:b/>
                <w:sz w:val="20"/>
                <w:szCs w:val="20"/>
              </w:rPr>
            </w:pPr>
            <w:r>
              <w:rPr>
                <w:b/>
                <w:sz w:val="20"/>
                <w:szCs w:val="20"/>
              </w:rPr>
              <w:t>Ranko Todorovic</w:t>
            </w:r>
          </w:p>
          <w:p w:rsidR="00B6794D" w:rsidRPr="00A935AA" w:rsidRDefault="00957F2F" w:rsidP="00B6794D">
            <w:pPr>
              <w:keepNext/>
              <w:keepLines/>
              <w:tabs>
                <w:tab w:val="left" w:pos="-1440"/>
                <w:tab w:val="left" w:pos="-720"/>
              </w:tabs>
              <w:rPr>
                <w:sz w:val="20"/>
                <w:szCs w:val="20"/>
              </w:rPr>
            </w:pPr>
            <w:r w:rsidRPr="00A935AA">
              <w:rPr>
                <w:sz w:val="20"/>
                <w:szCs w:val="20"/>
              </w:rPr>
              <w:tab/>
            </w:r>
            <w:r w:rsidR="00B6794D">
              <w:rPr>
                <w:sz w:val="20"/>
                <w:szCs w:val="20"/>
              </w:rPr>
              <w:t>Ranko Todorovic</w:t>
            </w:r>
          </w:p>
          <w:p w:rsidR="00B6794D" w:rsidRPr="00A935AA" w:rsidRDefault="00B6794D" w:rsidP="00B6794D">
            <w:pPr>
              <w:keepNext/>
              <w:keepLines/>
              <w:tabs>
                <w:tab w:val="left" w:pos="-1440"/>
                <w:tab w:val="left" w:pos="-720"/>
              </w:tabs>
              <w:rPr>
                <w:sz w:val="20"/>
                <w:szCs w:val="20"/>
              </w:rPr>
            </w:pPr>
          </w:p>
          <w:p w:rsidR="00B6794D" w:rsidRPr="00897D74" w:rsidRDefault="00B6794D" w:rsidP="00B6794D">
            <w:pPr>
              <w:keepNext/>
              <w:keepLines/>
              <w:tabs>
                <w:tab w:val="left" w:pos="-1440"/>
                <w:tab w:val="left" w:pos="-720"/>
              </w:tabs>
              <w:rPr>
                <w:sz w:val="20"/>
                <w:szCs w:val="20"/>
              </w:rPr>
            </w:pPr>
            <w:r w:rsidRPr="00A935AA">
              <w:rPr>
                <w:sz w:val="20"/>
                <w:szCs w:val="20"/>
              </w:rPr>
              <w:tab/>
            </w:r>
            <w:r w:rsidRPr="00897D74">
              <w:rPr>
                <w:sz w:val="20"/>
                <w:szCs w:val="20"/>
              </w:rPr>
              <w:t>v. (34</w:t>
            </w:r>
            <w:r>
              <w:rPr>
                <w:sz w:val="20"/>
                <w:szCs w:val="20"/>
              </w:rPr>
              <w:t>822</w:t>
            </w:r>
            <w:r w:rsidRPr="00897D74">
              <w:rPr>
                <w:sz w:val="20"/>
                <w:szCs w:val="20"/>
              </w:rPr>
              <w:t>)</w:t>
            </w:r>
          </w:p>
          <w:p w:rsidR="00957F2F" w:rsidRPr="00B6794D" w:rsidRDefault="00957F2F" w:rsidP="00957F2F">
            <w:pPr>
              <w:keepNext/>
              <w:keepLines/>
              <w:tabs>
                <w:tab w:val="left" w:pos="-1440"/>
                <w:tab w:val="left" w:pos="-720"/>
              </w:tabs>
              <w:rPr>
                <w:sz w:val="20"/>
                <w:szCs w:val="20"/>
              </w:rPr>
            </w:pPr>
          </w:p>
          <w:p w:rsidR="00C832DD" w:rsidRPr="00B6794D" w:rsidRDefault="00C832DD" w:rsidP="00C832DD">
            <w:pPr>
              <w:keepNext/>
              <w:keepLines/>
              <w:tabs>
                <w:tab w:val="left" w:pos="-1440"/>
                <w:tab w:val="left" w:pos="-720"/>
              </w:tabs>
              <w:rPr>
                <w:b/>
                <w:sz w:val="20"/>
                <w:szCs w:val="20"/>
              </w:rPr>
            </w:pPr>
            <w:r w:rsidRPr="00B6794D">
              <w:rPr>
                <w:b/>
                <w:sz w:val="20"/>
                <w:szCs w:val="20"/>
              </w:rPr>
              <w:t>City of Hamilton (Ont.)</w:t>
            </w:r>
          </w:p>
          <w:p w:rsidR="00C832DD" w:rsidRPr="00B6794D" w:rsidRDefault="00C832DD" w:rsidP="00C832DD">
            <w:pPr>
              <w:keepNext/>
              <w:keepLines/>
              <w:tabs>
                <w:tab w:val="left" w:pos="-1440"/>
                <w:tab w:val="left" w:pos="-720"/>
              </w:tabs>
              <w:rPr>
                <w:sz w:val="20"/>
                <w:szCs w:val="20"/>
              </w:rPr>
            </w:pPr>
            <w:r w:rsidRPr="00B6794D">
              <w:rPr>
                <w:sz w:val="20"/>
                <w:szCs w:val="20"/>
              </w:rPr>
              <w:tab/>
            </w:r>
            <w:r>
              <w:rPr>
                <w:sz w:val="20"/>
                <w:szCs w:val="20"/>
              </w:rPr>
              <w:t>Lois Knepflar</w:t>
            </w:r>
          </w:p>
          <w:p w:rsidR="00C832DD" w:rsidRPr="00B6794D" w:rsidRDefault="00C832DD" w:rsidP="00C832DD">
            <w:pPr>
              <w:keepNext/>
              <w:keepLines/>
              <w:tabs>
                <w:tab w:val="left" w:pos="-1440"/>
                <w:tab w:val="left" w:pos="-720"/>
              </w:tabs>
              <w:rPr>
                <w:sz w:val="20"/>
                <w:szCs w:val="20"/>
              </w:rPr>
            </w:pPr>
            <w:r w:rsidRPr="00B6794D">
              <w:rPr>
                <w:sz w:val="20"/>
                <w:szCs w:val="20"/>
              </w:rPr>
              <w:tab/>
            </w:r>
            <w:r>
              <w:rPr>
                <w:sz w:val="20"/>
                <w:szCs w:val="20"/>
              </w:rPr>
              <w:t>City of Hamilton, Law Department</w:t>
            </w:r>
          </w:p>
          <w:p w:rsidR="00B6794D" w:rsidRPr="00897D74" w:rsidRDefault="00B6794D" w:rsidP="00B6794D">
            <w:pPr>
              <w:keepNext/>
              <w:keepLines/>
              <w:tabs>
                <w:tab w:val="left" w:pos="-1440"/>
                <w:tab w:val="left" w:pos="-720"/>
              </w:tabs>
              <w:rPr>
                <w:sz w:val="20"/>
                <w:szCs w:val="20"/>
              </w:rPr>
            </w:pPr>
          </w:p>
          <w:p w:rsidR="00B6794D" w:rsidRPr="00A935AA" w:rsidRDefault="00C832DD" w:rsidP="00B6794D">
            <w:pPr>
              <w:rPr>
                <w:sz w:val="20"/>
                <w:szCs w:val="20"/>
              </w:rPr>
            </w:pPr>
            <w:r w:rsidRPr="00A935AA">
              <w:rPr>
                <w:sz w:val="20"/>
                <w:szCs w:val="20"/>
              </w:rPr>
              <w:t xml:space="preserve">FILING DATE: </w:t>
            </w:r>
            <w:r>
              <w:rPr>
                <w:sz w:val="20"/>
                <w:szCs w:val="20"/>
              </w:rPr>
              <w:t>01</w:t>
            </w:r>
            <w:r w:rsidRPr="00A935AA">
              <w:rPr>
                <w:sz w:val="20"/>
                <w:szCs w:val="20"/>
              </w:rPr>
              <w:t>.0</w:t>
            </w:r>
            <w:r>
              <w:rPr>
                <w:sz w:val="20"/>
                <w:szCs w:val="20"/>
              </w:rPr>
              <w:t>5</w:t>
            </w:r>
            <w:r w:rsidRPr="00A935AA">
              <w:rPr>
                <w:sz w:val="20"/>
                <w:szCs w:val="20"/>
              </w:rPr>
              <w:t>.201</w:t>
            </w:r>
            <w:r>
              <w:rPr>
                <w:sz w:val="20"/>
                <w:szCs w:val="20"/>
              </w:rPr>
              <w:t>2</w:t>
            </w:r>
            <w:r w:rsidR="007333FF" w:rsidRPr="007333FF">
              <w:rPr>
                <w:sz w:val="20"/>
                <w:szCs w:val="20"/>
                <w:lang w:val="fr-CA"/>
              </w:rPr>
              <w:pict>
                <v:rect id="_x0000_i1027" style="width:108pt;height:1pt" o:hrpct="0" o:hralign="center" o:hrstd="t" o:hrnoshade="t" o:hr="t" fillcolor="black [3213]" stroked="f"/>
              </w:pict>
            </w:r>
          </w:p>
        </w:tc>
      </w:tr>
      <w:tr w:rsidR="00957F2F" w:rsidRPr="00A935AA" w:rsidTr="003B3977">
        <w:tc>
          <w:tcPr>
            <w:tcW w:w="4320" w:type="dxa"/>
            <w:shd w:val="clear" w:color="auto" w:fill="auto"/>
          </w:tcPr>
          <w:p w:rsidR="00C832DD" w:rsidRDefault="00C832DD" w:rsidP="00957F2F">
            <w:pPr>
              <w:rPr>
                <w:b/>
                <w:sz w:val="20"/>
                <w:szCs w:val="20"/>
              </w:rPr>
            </w:pPr>
          </w:p>
          <w:p w:rsidR="00957F2F" w:rsidRPr="00A935AA" w:rsidRDefault="00897D74" w:rsidP="00957F2F">
            <w:pPr>
              <w:rPr>
                <w:b/>
                <w:sz w:val="20"/>
                <w:szCs w:val="20"/>
              </w:rPr>
            </w:pPr>
            <w:r>
              <w:rPr>
                <w:b/>
                <w:sz w:val="20"/>
                <w:szCs w:val="20"/>
              </w:rPr>
              <w:t>Terrance Parker</w:t>
            </w:r>
          </w:p>
          <w:p w:rsidR="00957F2F" w:rsidRPr="00A935AA" w:rsidRDefault="00957F2F" w:rsidP="00957F2F">
            <w:pPr>
              <w:tabs>
                <w:tab w:val="left" w:pos="-1440"/>
                <w:tab w:val="left" w:pos="-720"/>
              </w:tabs>
              <w:rPr>
                <w:sz w:val="20"/>
                <w:szCs w:val="20"/>
              </w:rPr>
            </w:pPr>
            <w:r w:rsidRPr="00A935AA">
              <w:rPr>
                <w:sz w:val="20"/>
                <w:szCs w:val="20"/>
              </w:rPr>
              <w:tab/>
            </w:r>
            <w:r w:rsidR="00897D74">
              <w:rPr>
                <w:sz w:val="20"/>
                <w:szCs w:val="20"/>
              </w:rPr>
              <w:t>Terrance Parker</w:t>
            </w:r>
          </w:p>
          <w:p w:rsidR="00957F2F" w:rsidRPr="00A935AA" w:rsidRDefault="00957F2F" w:rsidP="00957F2F">
            <w:pPr>
              <w:tabs>
                <w:tab w:val="left" w:pos="-1440"/>
                <w:tab w:val="left" w:pos="-720"/>
              </w:tabs>
              <w:rPr>
                <w:sz w:val="20"/>
                <w:szCs w:val="20"/>
              </w:rPr>
            </w:pPr>
          </w:p>
          <w:p w:rsidR="00957F2F" w:rsidRPr="00A935AA" w:rsidRDefault="00957F2F" w:rsidP="00957F2F">
            <w:pPr>
              <w:tabs>
                <w:tab w:val="left" w:pos="-1440"/>
                <w:tab w:val="left" w:pos="-720"/>
              </w:tabs>
              <w:rPr>
                <w:sz w:val="20"/>
                <w:szCs w:val="20"/>
              </w:rPr>
            </w:pPr>
            <w:r w:rsidRPr="00A935AA">
              <w:rPr>
                <w:sz w:val="20"/>
                <w:szCs w:val="20"/>
              </w:rPr>
              <w:tab/>
              <w:t>v. (3</w:t>
            </w:r>
            <w:r>
              <w:rPr>
                <w:sz w:val="20"/>
                <w:szCs w:val="20"/>
              </w:rPr>
              <w:t>4</w:t>
            </w:r>
            <w:r w:rsidR="00897D74">
              <w:rPr>
                <w:sz w:val="20"/>
                <w:szCs w:val="20"/>
              </w:rPr>
              <w:t>756</w:t>
            </w:r>
            <w:r w:rsidRPr="00A935AA">
              <w:rPr>
                <w:sz w:val="20"/>
                <w:szCs w:val="20"/>
              </w:rPr>
              <w:t>)</w:t>
            </w:r>
          </w:p>
          <w:p w:rsidR="00957F2F" w:rsidRPr="00A935AA" w:rsidRDefault="00957F2F" w:rsidP="00957F2F">
            <w:pPr>
              <w:tabs>
                <w:tab w:val="left" w:pos="-1440"/>
                <w:tab w:val="left" w:pos="-720"/>
              </w:tabs>
              <w:rPr>
                <w:sz w:val="20"/>
                <w:szCs w:val="20"/>
              </w:rPr>
            </w:pPr>
          </w:p>
          <w:p w:rsidR="00957F2F" w:rsidRPr="00A935AA" w:rsidRDefault="00897D74" w:rsidP="00957F2F">
            <w:pPr>
              <w:tabs>
                <w:tab w:val="left" w:pos="-1440"/>
                <w:tab w:val="left" w:pos="-720"/>
              </w:tabs>
              <w:rPr>
                <w:b/>
                <w:sz w:val="20"/>
                <w:szCs w:val="20"/>
              </w:rPr>
            </w:pPr>
            <w:r>
              <w:rPr>
                <w:b/>
                <w:sz w:val="20"/>
                <w:szCs w:val="20"/>
              </w:rPr>
              <w:t xml:space="preserve">Her Majesty the Queen </w:t>
            </w:r>
            <w:r w:rsidR="00957F2F" w:rsidRPr="00A935AA">
              <w:rPr>
                <w:b/>
                <w:sz w:val="20"/>
                <w:szCs w:val="20"/>
              </w:rPr>
              <w:t>(</w:t>
            </w:r>
            <w:r>
              <w:rPr>
                <w:b/>
                <w:sz w:val="20"/>
                <w:szCs w:val="20"/>
              </w:rPr>
              <w:t>Ont</w:t>
            </w:r>
            <w:r w:rsidR="00957F2F" w:rsidRPr="00A935AA">
              <w:rPr>
                <w:b/>
                <w:sz w:val="20"/>
                <w:szCs w:val="20"/>
              </w:rPr>
              <w:t>.)</w:t>
            </w:r>
          </w:p>
          <w:p w:rsidR="00957F2F" w:rsidRPr="00A935AA" w:rsidRDefault="00957F2F" w:rsidP="00957F2F">
            <w:pPr>
              <w:tabs>
                <w:tab w:val="left" w:pos="-1440"/>
                <w:tab w:val="left" w:pos="-720"/>
              </w:tabs>
              <w:rPr>
                <w:sz w:val="20"/>
                <w:szCs w:val="20"/>
              </w:rPr>
            </w:pPr>
            <w:r w:rsidRPr="00A935AA">
              <w:rPr>
                <w:sz w:val="20"/>
                <w:szCs w:val="20"/>
              </w:rPr>
              <w:tab/>
            </w:r>
            <w:r w:rsidR="00897D74">
              <w:rPr>
                <w:sz w:val="20"/>
                <w:szCs w:val="20"/>
              </w:rPr>
              <w:t>Victor J. Paolone</w:t>
            </w:r>
          </w:p>
          <w:p w:rsidR="00957F2F" w:rsidRPr="00A935AA" w:rsidRDefault="00957F2F" w:rsidP="00957F2F">
            <w:pPr>
              <w:tabs>
                <w:tab w:val="left" w:pos="-1440"/>
                <w:tab w:val="left" w:pos="-720"/>
              </w:tabs>
              <w:rPr>
                <w:sz w:val="20"/>
                <w:szCs w:val="20"/>
              </w:rPr>
            </w:pPr>
            <w:r w:rsidRPr="00A935AA">
              <w:rPr>
                <w:sz w:val="20"/>
                <w:szCs w:val="20"/>
              </w:rPr>
              <w:tab/>
            </w:r>
            <w:r w:rsidR="00897D74">
              <w:rPr>
                <w:sz w:val="20"/>
                <w:szCs w:val="20"/>
              </w:rPr>
              <w:t>A.G. of Canada</w:t>
            </w:r>
          </w:p>
          <w:p w:rsidR="00957F2F" w:rsidRPr="00A935AA" w:rsidRDefault="00957F2F" w:rsidP="00957F2F">
            <w:pPr>
              <w:tabs>
                <w:tab w:val="left" w:pos="-1440"/>
                <w:tab w:val="left" w:pos="-720"/>
              </w:tabs>
              <w:rPr>
                <w:sz w:val="20"/>
                <w:szCs w:val="20"/>
              </w:rPr>
            </w:pPr>
          </w:p>
          <w:p w:rsidR="00957F2F" w:rsidRPr="00A935AA" w:rsidRDefault="00957F2F" w:rsidP="00957F2F">
            <w:pPr>
              <w:rPr>
                <w:sz w:val="20"/>
                <w:szCs w:val="20"/>
              </w:rPr>
            </w:pPr>
            <w:r w:rsidRPr="00A935AA">
              <w:rPr>
                <w:sz w:val="20"/>
                <w:szCs w:val="20"/>
              </w:rPr>
              <w:t>FILING DATE: 2</w:t>
            </w:r>
            <w:r w:rsidR="00897D74">
              <w:rPr>
                <w:sz w:val="20"/>
                <w:szCs w:val="20"/>
              </w:rPr>
              <w:t>3</w:t>
            </w:r>
            <w:r w:rsidRPr="00A935AA">
              <w:rPr>
                <w:sz w:val="20"/>
                <w:szCs w:val="20"/>
              </w:rPr>
              <w:t>.0</w:t>
            </w:r>
            <w:r w:rsidR="00897D74">
              <w:rPr>
                <w:sz w:val="20"/>
                <w:szCs w:val="20"/>
              </w:rPr>
              <w:t>3</w:t>
            </w:r>
            <w:r w:rsidRPr="00A935AA">
              <w:rPr>
                <w:sz w:val="20"/>
                <w:szCs w:val="20"/>
              </w:rPr>
              <w:t>.201</w:t>
            </w:r>
            <w:r>
              <w:rPr>
                <w:sz w:val="20"/>
                <w:szCs w:val="20"/>
              </w:rPr>
              <w:t>2</w:t>
            </w:r>
          </w:p>
          <w:p w:rsidR="00957F2F" w:rsidRPr="00A935AA" w:rsidRDefault="007333FF" w:rsidP="00957F2F">
            <w:pPr>
              <w:rPr>
                <w:sz w:val="20"/>
                <w:szCs w:val="20"/>
              </w:rPr>
            </w:pPr>
            <w:r w:rsidRPr="007333FF">
              <w:rPr>
                <w:sz w:val="20"/>
                <w:szCs w:val="20"/>
                <w:lang w:val="fr-CA"/>
              </w:rPr>
              <w:pict>
                <v:rect id="_x0000_i1028" style="width:108pt;height:1pt" o:hrpct="0" o:hralign="center" o:hrstd="t" o:hrnoshade="t" o:hr="t" fillcolor="black [3213]" stroked="f"/>
              </w:pict>
            </w:r>
          </w:p>
        </w:tc>
        <w:tc>
          <w:tcPr>
            <w:tcW w:w="1181" w:type="dxa"/>
            <w:shd w:val="clear" w:color="auto" w:fill="auto"/>
          </w:tcPr>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Default="00957F2F" w:rsidP="00242AEE">
            <w:pPr>
              <w:jc w:val="center"/>
              <w:rPr>
                <w:sz w:val="20"/>
                <w:szCs w:val="20"/>
              </w:rPr>
            </w:pPr>
          </w:p>
          <w:p w:rsidR="00957F2F" w:rsidRPr="00A935AA" w:rsidRDefault="00957F2F" w:rsidP="00242AEE">
            <w:pPr>
              <w:jc w:val="center"/>
              <w:rPr>
                <w:sz w:val="20"/>
                <w:szCs w:val="20"/>
              </w:rPr>
            </w:pPr>
          </w:p>
        </w:tc>
        <w:tc>
          <w:tcPr>
            <w:tcW w:w="4320" w:type="dxa"/>
            <w:shd w:val="clear" w:color="auto" w:fill="auto"/>
          </w:tcPr>
          <w:p w:rsidR="00957F2F" w:rsidRPr="00C832DD" w:rsidRDefault="00C832DD" w:rsidP="00957F2F">
            <w:pPr>
              <w:keepNext/>
              <w:keepLines/>
              <w:tabs>
                <w:tab w:val="left" w:pos="-1440"/>
                <w:tab w:val="left" w:pos="-720"/>
              </w:tabs>
              <w:rPr>
                <w:b/>
                <w:sz w:val="20"/>
                <w:szCs w:val="20"/>
              </w:rPr>
            </w:pPr>
            <w:r w:rsidRPr="00C832DD">
              <w:rPr>
                <w:b/>
                <w:sz w:val="20"/>
                <w:szCs w:val="20"/>
              </w:rPr>
              <w:t>David Black</w:t>
            </w:r>
          </w:p>
          <w:p w:rsidR="00C832DD" w:rsidRPr="00A935AA" w:rsidRDefault="00C832DD" w:rsidP="00C832DD">
            <w:pPr>
              <w:tabs>
                <w:tab w:val="left" w:pos="-1440"/>
                <w:tab w:val="left" w:pos="-720"/>
              </w:tabs>
              <w:rPr>
                <w:sz w:val="20"/>
                <w:szCs w:val="20"/>
              </w:rPr>
            </w:pPr>
            <w:r w:rsidRPr="00A935AA">
              <w:rPr>
                <w:sz w:val="20"/>
                <w:szCs w:val="20"/>
              </w:rPr>
              <w:tab/>
            </w:r>
            <w:r>
              <w:rPr>
                <w:sz w:val="20"/>
                <w:szCs w:val="20"/>
              </w:rPr>
              <w:t>David Black</w:t>
            </w:r>
          </w:p>
          <w:p w:rsidR="00C832DD" w:rsidRPr="00A935AA" w:rsidRDefault="00C832DD" w:rsidP="00C832DD">
            <w:pPr>
              <w:tabs>
                <w:tab w:val="left" w:pos="-1440"/>
                <w:tab w:val="left" w:pos="-720"/>
              </w:tabs>
              <w:rPr>
                <w:sz w:val="20"/>
                <w:szCs w:val="20"/>
              </w:rPr>
            </w:pPr>
          </w:p>
          <w:p w:rsidR="00C832DD" w:rsidRPr="00A935AA" w:rsidRDefault="00C832DD" w:rsidP="00C832DD">
            <w:pPr>
              <w:tabs>
                <w:tab w:val="left" w:pos="-1440"/>
                <w:tab w:val="left" w:pos="-720"/>
              </w:tabs>
              <w:rPr>
                <w:sz w:val="20"/>
                <w:szCs w:val="20"/>
              </w:rPr>
            </w:pPr>
            <w:r w:rsidRPr="00A935AA">
              <w:rPr>
                <w:sz w:val="20"/>
                <w:szCs w:val="20"/>
              </w:rPr>
              <w:tab/>
              <w:t>v. (3</w:t>
            </w:r>
            <w:r>
              <w:rPr>
                <w:sz w:val="20"/>
                <w:szCs w:val="20"/>
              </w:rPr>
              <w:t>4902</w:t>
            </w:r>
            <w:r w:rsidRPr="00A935AA">
              <w:rPr>
                <w:sz w:val="20"/>
                <w:szCs w:val="20"/>
              </w:rPr>
              <w:t>)</w:t>
            </w:r>
          </w:p>
          <w:p w:rsidR="00C832DD" w:rsidRPr="00A935AA" w:rsidRDefault="00C832DD" w:rsidP="00C832DD">
            <w:pPr>
              <w:tabs>
                <w:tab w:val="left" w:pos="-1440"/>
                <w:tab w:val="left" w:pos="-720"/>
              </w:tabs>
              <w:rPr>
                <w:sz w:val="20"/>
                <w:szCs w:val="20"/>
              </w:rPr>
            </w:pPr>
          </w:p>
          <w:p w:rsidR="00C832DD" w:rsidRPr="00A935AA" w:rsidRDefault="00C832DD" w:rsidP="00C832DD">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N.</w:t>
            </w:r>
            <w:r w:rsidRPr="00A935AA">
              <w:rPr>
                <w:b/>
                <w:sz w:val="20"/>
                <w:szCs w:val="20"/>
              </w:rPr>
              <w:t>B.</w:t>
            </w:r>
            <w:r>
              <w:rPr>
                <w:b/>
                <w:sz w:val="20"/>
                <w:szCs w:val="20"/>
              </w:rPr>
              <w:t>)</w:t>
            </w:r>
          </w:p>
          <w:p w:rsidR="00C832DD" w:rsidRPr="00A935AA" w:rsidRDefault="00C832DD" w:rsidP="00C832DD">
            <w:pPr>
              <w:tabs>
                <w:tab w:val="left" w:pos="-1440"/>
                <w:tab w:val="left" w:pos="-720"/>
              </w:tabs>
              <w:rPr>
                <w:sz w:val="20"/>
                <w:szCs w:val="20"/>
              </w:rPr>
            </w:pPr>
            <w:r w:rsidRPr="00A935AA">
              <w:rPr>
                <w:sz w:val="20"/>
                <w:szCs w:val="20"/>
              </w:rPr>
              <w:tab/>
            </w:r>
            <w:r>
              <w:rPr>
                <w:sz w:val="20"/>
                <w:szCs w:val="20"/>
              </w:rPr>
              <w:t>Karen Bailey</w:t>
            </w:r>
          </w:p>
          <w:p w:rsidR="00C832DD" w:rsidRPr="00A935AA" w:rsidRDefault="00C832DD" w:rsidP="00C832DD">
            <w:pPr>
              <w:tabs>
                <w:tab w:val="left" w:pos="-1440"/>
                <w:tab w:val="left" w:pos="-720"/>
              </w:tabs>
              <w:rPr>
                <w:sz w:val="20"/>
                <w:szCs w:val="20"/>
              </w:rPr>
            </w:pPr>
            <w:r w:rsidRPr="00A935AA">
              <w:rPr>
                <w:sz w:val="20"/>
                <w:szCs w:val="20"/>
              </w:rPr>
              <w:tab/>
            </w:r>
            <w:r>
              <w:rPr>
                <w:sz w:val="20"/>
                <w:szCs w:val="20"/>
              </w:rPr>
              <w:t>Public Prosecution Service of Canada</w:t>
            </w:r>
          </w:p>
          <w:p w:rsidR="00C832DD" w:rsidRPr="00A935AA" w:rsidRDefault="00C832DD" w:rsidP="00C832DD">
            <w:pPr>
              <w:tabs>
                <w:tab w:val="left" w:pos="-1440"/>
                <w:tab w:val="left" w:pos="-720"/>
              </w:tabs>
              <w:rPr>
                <w:sz w:val="20"/>
                <w:szCs w:val="20"/>
              </w:rPr>
            </w:pPr>
          </w:p>
          <w:p w:rsidR="00C832DD" w:rsidRPr="00A935AA" w:rsidRDefault="00C832DD" w:rsidP="00C832DD">
            <w:pPr>
              <w:rPr>
                <w:sz w:val="20"/>
                <w:szCs w:val="20"/>
              </w:rPr>
            </w:pPr>
            <w:r w:rsidRPr="00A935AA">
              <w:rPr>
                <w:sz w:val="20"/>
                <w:szCs w:val="20"/>
              </w:rPr>
              <w:t xml:space="preserve">FILING DATE: </w:t>
            </w:r>
            <w:r>
              <w:rPr>
                <w:sz w:val="20"/>
                <w:szCs w:val="20"/>
              </w:rPr>
              <w:t>13</w:t>
            </w:r>
            <w:r w:rsidRPr="00A935AA">
              <w:rPr>
                <w:sz w:val="20"/>
                <w:szCs w:val="20"/>
              </w:rPr>
              <w:t>.0</w:t>
            </w:r>
            <w:r>
              <w:rPr>
                <w:sz w:val="20"/>
                <w:szCs w:val="20"/>
              </w:rPr>
              <w:t>7</w:t>
            </w:r>
            <w:r w:rsidRPr="00A935AA">
              <w:rPr>
                <w:sz w:val="20"/>
                <w:szCs w:val="20"/>
              </w:rPr>
              <w:t>.201</w:t>
            </w:r>
            <w:r>
              <w:rPr>
                <w:sz w:val="20"/>
                <w:szCs w:val="20"/>
              </w:rPr>
              <w:t>2</w:t>
            </w:r>
          </w:p>
          <w:p w:rsidR="00C832DD" w:rsidRPr="00A935AA" w:rsidRDefault="007333FF" w:rsidP="00957F2F">
            <w:pPr>
              <w:keepNext/>
              <w:keepLines/>
              <w:tabs>
                <w:tab w:val="left" w:pos="-1440"/>
                <w:tab w:val="left" w:pos="-720"/>
              </w:tabs>
              <w:rPr>
                <w:sz w:val="20"/>
                <w:szCs w:val="20"/>
              </w:rPr>
            </w:pPr>
            <w:r w:rsidRPr="007333FF">
              <w:rPr>
                <w:sz w:val="20"/>
                <w:szCs w:val="20"/>
                <w:lang w:val="fr-CA"/>
              </w:rPr>
              <w:pict>
                <v:rect id="_x0000_i1029" style="width:108pt;height:1pt" o:hrpct="0" o:hralign="center" o:hrstd="t" o:hrnoshade="t" o:hr="t" fillcolor="black [3213]" stroked="f"/>
              </w:pict>
            </w:r>
          </w:p>
          <w:p w:rsidR="00957F2F" w:rsidRPr="00A935AA" w:rsidRDefault="00957F2F" w:rsidP="00C832DD">
            <w:pPr>
              <w:keepNext/>
              <w:keepLines/>
              <w:tabs>
                <w:tab w:val="left" w:pos="-1440"/>
                <w:tab w:val="left" w:pos="-720"/>
              </w:tabs>
              <w:rPr>
                <w:sz w:val="20"/>
                <w:szCs w:val="20"/>
              </w:rPr>
            </w:pPr>
          </w:p>
        </w:tc>
      </w:tr>
      <w:tr w:rsidR="00957F2F" w:rsidRPr="00B6145B" w:rsidTr="003B3977">
        <w:trPr>
          <w:cantSplit/>
        </w:trPr>
        <w:tc>
          <w:tcPr>
            <w:tcW w:w="4320" w:type="dxa"/>
            <w:shd w:val="clear" w:color="auto" w:fill="auto"/>
          </w:tcPr>
          <w:p w:rsidR="00957F2F" w:rsidRDefault="00957F2F" w:rsidP="00957F2F">
            <w:pPr>
              <w:rPr>
                <w:sz w:val="20"/>
                <w:szCs w:val="20"/>
              </w:rPr>
            </w:pPr>
          </w:p>
          <w:p w:rsidR="00C832DD" w:rsidRDefault="00C832DD" w:rsidP="00957F2F">
            <w:pPr>
              <w:rPr>
                <w:b/>
                <w:sz w:val="20"/>
                <w:szCs w:val="20"/>
              </w:rPr>
            </w:pPr>
            <w:r>
              <w:rPr>
                <w:b/>
                <w:sz w:val="20"/>
                <w:szCs w:val="20"/>
              </w:rPr>
              <w:t>476605 B.C. Ltd</w:t>
            </w:r>
          </w:p>
          <w:p w:rsidR="00C832DD" w:rsidRPr="00A935AA" w:rsidRDefault="00C832DD" w:rsidP="00C832DD">
            <w:pPr>
              <w:keepNext/>
              <w:keepLines/>
              <w:tabs>
                <w:tab w:val="left" w:pos="-1440"/>
                <w:tab w:val="left" w:pos="-720"/>
              </w:tabs>
              <w:rPr>
                <w:sz w:val="20"/>
                <w:szCs w:val="20"/>
              </w:rPr>
            </w:pPr>
            <w:r w:rsidRPr="00A935AA">
              <w:rPr>
                <w:sz w:val="20"/>
                <w:szCs w:val="20"/>
              </w:rPr>
              <w:tab/>
            </w:r>
            <w:r>
              <w:rPr>
                <w:sz w:val="20"/>
                <w:szCs w:val="20"/>
              </w:rPr>
              <w:t>Daniel Sorensen</w:t>
            </w:r>
          </w:p>
          <w:p w:rsidR="00C832DD" w:rsidRDefault="00C832DD" w:rsidP="00C832DD">
            <w:pPr>
              <w:keepNext/>
              <w:keepLines/>
              <w:tabs>
                <w:tab w:val="left" w:pos="-1440"/>
                <w:tab w:val="left" w:pos="-720"/>
              </w:tabs>
              <w:rPr>
                <w:sz w:val="20"/>
                <w:szCs w:val="20"/>
              </w:rPr>
            </w:pPr>
            <w:r w:rsidRPr="00A935AA">
              <w:rPr>
                <w:sz w:val="20"/>
                <w:szCs w:val="20"/>
              </w:rPr>
              <w:tab/>
            </w:r>
            <w:r>
              <w:rPr>
                <w:sz w:val="20"/>
                <w:szCs w:val="20"/>
              </w:rPr>
              <w:t>Waterstone Law Group LLP</w:t>
            </w:r>
          </w:p>
          <w:p w:rsidR="00C832DD" w:rsidRPr="00A935AA" w:rsidRDefault="00C832DD" w:rsidP="00C832DD">
            <w:pPr>
              <w:keepNext/>
              <w:keepLines/>
              <w:tabs>
                <w:tab w:val="left" w:pos="-1440"/>
                <w:tab w:val="left" w:pos="-720"/>
              </w:tabs>
              <w:rPr>
                <w:sz w:val="20"/>
                <w:szCs w:val="20"/>
              </w:rPr>
            </w:pPr>
          </w:p>
          <w:p w:rsidR="00C832DD" w:rsidRPr="00BB17EF" w:rsidRDefault="00C832DD" w:rsidP="00C832DD">
            <w:pPr>
              <w:keepNext/>
              <w:keepLines/>
              <w:tabs>
                <w:tab w:val="left" w:pos="-1440"/>
                <w:tab w:val="left" w:pos="-720"/>
              </w:tabs>
              <w:rPr>
                <w:sz w:val="20"/>
                <w:szCs w:val="20"/>
              </w:rPr>
            </w:pPr>
            <w:r w:rsidRPr="00A935AA">
              <w:rPr>
                <w:sz w:val="20"/>
                <w:szCs w:val="20"/>
              </w:rPr>
              <w:tab/>
            </w:r>
            <w:r w:rsidRPr="00BB17EF">
              <w:rPr>
                <w:sz w:val="20"/>
                <w:szCs w:val="20"/>
              </w:rPr>
              <w:t>v. (34</w:t>
            </w:r>
            <w:r>
              <w:rPr>
                <w:sz w:val="20"/>
                <w:szCs w:val="20"/>
              </w:rPr>
              <w:t>901</w:t>
            </w:r>
            <w:r w:rsidRPr="00BB17EF">
              <w:rPr>
                <w:sz w:val="20"/>
                <w:szCs w:val="20"/>
              </w:rPr>
              <w:t>)</w:t>
            </w:r>
          </w:p>
          <w:p w:rsidR="00C832DD" w:rsidRPr="00BB17EF" w:rsidRDefault="00C832DD" w:rsidP="00C832DD">
            <w:pPr>
              <w:keepNext/>
              <w:keepLines/>
              <w:tabs>
                <w:tab w:val="left" w:pos="-1440"/>
                <w:tab w:val="left" w:pos="-720"/>
              </w:tabs>
              <w:rPr>
                <w:sz w:val="20"/>
                <w:szCs w:val="20"/>
              </w:rPr>
            </w:pPr>
          </w:p>
          <w:p w:rsidR="00C832DD" w:rsidRPr="00BB17EF" w:rsidRDefault="00C832DD" w:rsidP="00C832DD">
            <w:pPr>
              <w:keepNext/>
              <w:keepLines/>
              <w:tabs>
                <w:tab w:val="left" w:pos="-1440"/>
                <w:tab w:val="left" w:pos="-720"/>
              </w:tabs>
              <w:rPr>
                <w:b/>
                <w:sz w:val="20"/>
                <w:szCs w:val="20"/>
              </w:rPr>
            </w:pPr>
            <w:r>
              <w:rPr>
                <w:b/>
                <w:sz w:val="20"/>
                <w:szCs w:val="20"/>
              </w:rPr>
              <w:t xml:space="preserve">Insurance Corporation of British Columbia </w:t>
            </w:r>
            <w:r w:rsidRPr="00BB17EF">
              <w:rPr>
                <w:b/>
                <w:sz w:val="20"/>
                <w:szCs w:val="20"/>
              </w:rPr>
              <w:t>(</w:t>
            </w:r>
            <w:r>
              <w:rPr>
                <w:b/>
                <w:sz w:val="20"/>
                <w:szCs w:val="20"/>
              </w:rPr>
              <w:t>B.C</w:t>
            </w:r>
            <w:r w:rsidRPr="00BB17EF">
              <w:rPr>
                <w:b/>
                <w:sz w:val="20"/>
                <w:szCs w:val="20"/>
              </w:rPr>
              <w:t>.)</w:t>
            </w:r>
          </w:p>
          <w:p w:rsidR="00C832DD" w:rsidRPr="00BB17EF" w:rsidRDefault="00C832DD" w:rsidP="00C832DD">
            <w:pPr>
              <w:keepNext/>
              <w:keepLines/>
              <w:tabs>
                <w:tab w:val="left" w:pos="-1440"/>
                <w:tab w:val="left" w:pos="-720"/>
              </w:tabs>
              <w:rPr>
                <w:sz w:val="20"/>
                <w:szCs w:val="20"/>
              </w:rPr>
            </w:pPr>
            <w:r w:rsidRPr="00BB17EF">
              <w:rPr>
                <w:sz w:val="20"/>
                <w:szCs w:val="20"/>
              </w:rPr>
              <w:tab/>
            </w:r>
            <w:r>
              <w:rPr>
                <w:sz w:val="20"/>
                <w:szCs w:val="20"/>
              </w:rPr>
              <w:t>Avon M. Mersey</w:t>
            </w:r>
          </w:p>
          <w:p w:rsidR="00C832DD" w:rsidRPr="00BB17EF" w:rsidRDefault="00C832DD" w:rsidP="00C832DD">
            <w:pPr>
              <w:keepNext/>
              <w:keepLines/>
              <w:tabs>
                <w:tab w:val="left" w:pos="-1440"/>
                <w:tab w:val="left" w:pos="-720"/>
              </w:tabs>
              <w:rPr>
                <w:sz w:val="20"/>
                <w:szCs w:val="20"/>
              </w:rPr>
            </w:pPr>
            <w:r w:rsidRPr="00BB17EF">
              <w:rPr>
                <w:sz w:val="20"/>
                <w:szCs w:val="20"/>
              </w:rPr>
              <w:tab/>
            </w:r>
            <w:r>
              <w:rPr>
                <w:sz w:val="20"/>
                <w:szCs w:val="20"/>
              </w:rPr>
              <w:t>Fasken Martineau DuMoulin LLP</w:t>
            </w:r>
          </w:p>
          <w:p w:rsidR="00C832DD" w:rsidRDefault="00C832DD" w:rsidP="00C832DD">
            <w:pPr>
              <w:rPr>
                <w:sz w:val="20"/>
                <w:szCs w:val="20"/>
              </w:rPr>
            </w:pPr>
          </w:p>
          <w:p w:rsidR="00C832DD" w:rsidRDefault="00C832DD" w:rsidP="00C832DD">
            <w:pPr>
              <w:rPr>
                <w:sz w:val="20"/>
                <w:szCs w:val="20"/>
              </w:rPr>
            </w:pPr>
            <w:r w:rsidRPr="00A935AA">
              <w:rPr>
                <w:sz w:val="20"/>
                <w:szCs w:val="20"/>
              </w:rPr>
              <w:t xml:space="preserve">FILING DATE: </w:t>
            </w:r>
            <w:r>
              <w:rPr>
                <w:sz w:val="20"/>
                <w:szCs w:val="20"/>
              </w:rPr>
              <w:t>1</w:t>
            </w:r>
            <w:r w:rsidRPr="00A935AA">
              <w:rPr>
                <w:sz w:val="20"/>
                <w:szCs w:val="20"/>
              </w:rPr>
              <w:t>8.0</w:t>
            </w:r>
            <w:r>
              <w:rPr>
                <w:sz w:val="20"/>
                <w:szCs w:val="20"/>
              </w:rPr>
              <w:t>7</w:t>
            </w:r>
            <w:r w:rsidRPr="00A935AA">
              <w:rPr>
                <w:sz w:val="20"/>
                <w:szCs w:val="20"/>
              </w:rPr>
              <w:t>.201</w:t>
            </w:r>
            <w:r>
              <w:rPr>
                <w:sz w:val="20"/>
                <w:szCs w:val="20"/>
              </w:rPr>
              <w:t>2</w:t>
            </w:r>
          </w:p>
          <w:p w:rsidR="00C832DD" w:rsidRPr="00C832DD" w:rsidRDefault="007333FF" w:rsidP="00C832DD">
            <w:pPr>
              <w:rPr>
                <w:sz w:val="20"/>
                <w:szCs w:val="20"/>
              </w:rPr>
            </w:pPr>
            <w:r w:rsidRPr="007333FF">
              <w:rPr>
                <w:sz w:val="20"/>
                <w:szCs w:val="20"/>
                <w:lang w:val="fr-CA"/>
              </w:rPr>
              <w:pict>
                <v:rect id="_x0000_i1030" style="width:108pt;height:1pt" o:hrpct="0" o:hralign="center" o:hrstd="t" o:hrnoshade="t" o:hr="t" fillcolor="black [3213]" stroked="f"/>
              </w:pict>
            </w:r>
          </w:p>
        </w:tc>
        <w:tc>
          <w:tcPr>
            <w:tcW w:w="1181" w:type="dxa"/>
            <w:shd w:val="clear" w:color="auto" w:fill="auto"/>
          </w:tcPr>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Default="00957F2F" w:rsidP="00242AEE">
            <w:pPr>
              <w:jc w:val="center"/>
              <w:rPr>
                <w:sz w:val="20"/>
                <w:szCs w:val="20"/>
              </w:rPr>
            </w:pPr>
          </w:p>
          <w:p w:rsidR="00C832DD" w:rsidRDefault="00C832DD" w:rsidP="00242AEE">
            <w:pPr>
              <w:jc w:val="center"/>
              <w:rPr>
                <w:sz w:val="20"/>
                <w:szCs w:val="20"/>
              </w:rPr>
            </w:pPr>
          </w:p>
          <w:p w:rsidR="00C832DD" w:rsidRDefault="00C832DD" w:rsidP="00242AEE">
            <w:pPr>
              <w:jc w:val="center"/>
              <w:rPr>
                <w:sz w:val="20"/>
                <w:szCs w:val="20"/>
              </w:rPr>
            </w:pPr>
          </w:p>
          <w:p w:rsidR="00C832DD" w:rsidRPr="00A935AA" w:rsidRDefault="00C832DD" w:rsidP="00242AEE">
            <w:pPr>
              <w:jc w:val="center"/>
              <w:rPr>
                <w:sz w:val="20"/>
                <w:szCs w:val="20"/>
              </w:rPr>
            </w:pPr>
          </w:p>
          <w:p w:rsidR="00957F2F" w:rsidRPr="00A935AA" w:rsidRDefault="00957F2F" w:rsidP="00242AEE">
            <w:pPr>
              <w:jc w:val="center"/>
              <w:rPr>
                <w:sz w:val="20"/>
                <w:szCs w:val="20"/>
              </w:rPr>
            </w:pPr>
          </w:p>
        </w:tc>
        <w:tc>
          <w:tcPr>
            <w:tcW w:w="4320" w:type="dxa"/>
            <w:shd w:val="clear" w:color="auto" w:fill="auto"/>
          </w:tcPr>
          <w:p w:rsidR="00C832DD" w:rsidRPr="00A935AA" w:rsidRDefault="00C832DD" w:rsidP="00C832DD">
            <w:pPr>
              <w:keepNext/>
              <w:keepLines/>
              <w:tabs>
                <w:tab w:val="left" w:pos="-1440"/>
                <w:tab w:val="left" w:pos="-720"/>
              </w:tabs>
              <w:rPr>
                <w:b/>
                <w:sz w:val="20"/>
                <w:szCs w:val="20"/>
              </w:rPr>
            </w:pPr>
            <w:r>
              <w:rPr>
                <w:b/>
                <w:sz w:val="20"/>
                <w:szCs w:val="20"/>
              </w:rPr>
              <w:t>M.B.</w:t>
            </w:r>
          </w:p>
          <w:p w:rsidR="00C832DD" w:rsidRPr="00A935AA" w:rsidRDefault="00C832DD" w:rsidP="00C832DD">
            <w:pPr>
              <w:keepNext/>
              <w:keepLines/>
              <w:tabs>
                <w:tab w:val="left" w:pos="-1440"/>
                <w:tab w:val="left" w:pos="-720"/>
              </w:tabs>
              <w:rPr>
                <w:sz w:val="20"/>
                <w:szCs w:val="20"/>
              </w:rPr>
            </w:pPr>
            <w:r w:rsidRPr="00A935AA">
              <w:rPr>
                <w:sz w:val="20"/>
                <w:szCs w:val="20"/>
              </w:rPr>
              <w:tab/>
            </w:r>
            <w:r>
              <w:rPr>
                <w:sz w:val="20"/>
                <w:szCs w:val="20"/>
              </w:rPr>
              <w:t>M.B.</w:t>
            </w:r>
          </w:p>
          <w:p w:rsidR="00C4747E" w:rsidRDefault="00C4747E" w:rsidP="00C832DD">
            <w:pPr>
              <w:keepNext/>
              <w:keepLines/>
              <w:tabs>
                <w:tab w:val="left" w:pos="-1440"/>
                <w:tab w:val="left" w:pos="-720"/>
              </w:tabs>
              <w:rPr>
                <w:sz w:val="20"/>
                <w:szCs w:val="20"/>
              </w:rPr>
            </w:pPr>
          </w:p>
          <w:p w:rsidR="00C832DD" w:rsidRPr="001125C1" w:rsidRDefault="00C832DD" w:rsidP="00C832DD">
            <w:pPr>
              <w:keepNext/>
              <w:keepLines/>
              <w:tabs>
                <w:tab w:val="left" w:pos="-1440"/>
                <w:tab w:val="left" w:pos="-720"/>
              </w:tabs>
              <w:rPr>
                <w:sz w:val="20"/>
                <w:szCs w:val="20"/>
              </w:rPr>
            </w:pPr>
            <w:r w:rsidRPr="00A935AA">
              <w:rPr>
                <w:sz w:val="20"/>
                <w:szCs w:val="20"/>
              </w:rPr>
              <w:tab/>
            </w:r>
            <w:r>
              <w:rPr>
                <w:sz w:val="20"/>
                <w:szCs w:val="20"/>
              </w:rPr>
              <w:t>c</w:t>
            </w:r>
            <w:r w:rsidRPr="001125C1">
              <w:rPr>
                <w:sz w:val="20"/>
                <w:szCs w:val="20"/>
              </w:rPr>
              <w:t>. (34903)</w:t>
            </w:r>
          </w:p>
          <w:p w:rsidR="00C832DD" w:rsidRPr="001125C1" w:rsidRDefault="00C832DD" w:rsidP="00C832DD">
            <w:pPr>
              <w:keepNext/>
              <w:keepLines/>
              <w:tabs>
                <w:tab w:val="left" w:pos="-1440"/>
                <w:tab w:val="left" w:pos="-720"/>
              </w:tabs>
              <w:rPr>
                <w:sz w:val="20"/>
                <w:szCs w:val="20"/>
              </w:rPr>
            </w:pPr>
          </w:p>
          <w:p w:rsidR="00C832DD" w:rsidRPr="001125C1" w:rsidRDefault="00C832DD" w:rsidP="00C832DD">
            <w:pPr>
              <w:keepNext/>
              <w:keepLines/>
              <w:tabs>
                <w:tab w:val="left" w:pos="-1440"/>
                <w:tab w:val="left" w:pos="-720"/>
              </w:tabs>
              <w:rPr>
                <w:b/>
                <w:sz w:val="20"/>
                <w:szCs w:val="20"/>
              </w:rPr>
            </w:pPr>
            <w:r w:rsidRPr="001125C1">
              <w:rPr>
                <w:b/>
                <w:sz w:val="20"/>
                <w:szCs w:val="20"/>
              </w:rPr>
              <w:t>N.</w:t>
            </w:r>
            <w:r>
              <w:rPr>
                <w:b/>
                <w:sz w:val="20"/>
                <w:szCs w:val="20"/>
              </w:rPr>
              <w:t xml:space="preserve">P. </w:t>
            </w:r>
            <w:r w:rsidRPr="001125C1">
              <w:rPr>
                <w:b/>
                <w:sz w:val="20"/>
                <w:szCs w:val="20"/>
              </w:rPr>
              <w:t>(</w:t>
            </w:r>
            <w:r>
              <w:rPr>
                <w:b/>
                <w:sz w:val="20"/>
                <w:szCs w:val="20"/>
              </w:rPr>
              <w:t>Qc</w:t>
            </w:r>
            <w:r w:rsidRPr="001125C1">
              <w:rPr>
                <w:b/>
                <w:sz w:val="20"/>
                <w:szCs w:val="20"/>
              </w:rPr>
              <w:t>)</w:t>
            </w:r>
          </w:p>
          <w:p w:rsidR="00C832DD" w:rsidRPr="00665450" w:rsidRDefault="00C832DD" w:rsidP="00C832DD">
            <w:pPr>
              <w:keepNext/>
              <w:keepLines/>
              <w:tabs>
                <w:tab w:val="left" w:pos="-1440"/>
                <w:tab w:val="left" w:pos="-720"/>
              </w:tabs>
              <w:rPr>
                <w:sz w:val="20"/>
                <w:szCs w:val="20"/>
              </w:rPr>
            </w:pPr>
            <w:r w:rsidRPr="001125C1">
              <w:rPr>
                <w:sz w:val="20"/>
                <w:szCs w:val="20"/>
              </w:rPr>
              <w:tab/>
            </w:r>
            <w:r w:rsidRPr="00665450">
              <w:rPr>
                <w:sz w:val="20"/>
                <w:szCs w:val="20"/>
              </w:rPr>
              <w:t>Howard L. Tatner</w:t>
            </w:r>
          </w:p>
          <w:p w:rsidR="00C832DD" w:rsidRPr="001125C1" w:rsidRDefault="00C832DD" w:rsidP="00C832DD">
            <w:pPr>
              <w:keepNext/>
              <w:keepLines/>
              <w:tabs>
                <w:tab w:val="left" w:pos="-1440"/>
                <w:tab w:val="left" w:pos="-720"/>
              </w:tabs>
              <w:rPr>
                <w:sz w:val="20"/>
                <w:szCs w:val="20"/>
                <w:lang w:val="fr-CA"/>
              </w:rPr>
            </w:pPr>
            <w:r w:rsidRPr="00665450">
              <w:rPr>
                <w:sz w:val="20"/>
                <w:szCs w:val="20"/>
              </w:rPr>
              <w:tab/>
            </w:r>
            <w:r w:rsidRPr="001125C1">
              <w:rPr>
                <w:sz w:val="20"/>
                <w:szCs w:val="20"/>
                <w:lang w:val="fr-CA"/>
              </w:rPr>
              <w:t>Tatner et Tatner</w:t>
            </w:r>
          </w:p>
          <w:p w:rsidR="00C832DD" w:rsidRPr="001125C1" w:rsidRDefault="00C832DD" w:rsidP="00C832DD">
            <w:pPr>
              <w:keepNext/>
              <w:keepLines/>
              <w:tabs>
                <w:tab w:val="left" w:pos="-1440"/>
                <w:tab w:val="left" w:pos="-720"/>
              </w:tabs>
              <w:rPr>
                <w:sz w:val="20"/>
                <w:szCs w:val="20"/>
                <w:lang w:val="fr-CA"/>
              </w:rPr>
            </w:pPr>
          </w:p>
          <w:p w:rsidR="00C832DD" w:rsidRDefault="00C832DD" w:rsidP="00C832DD">
            <w:pPr>
              <w:rPr>
                <w:sz w:val="20"/>
                <w:szCs w:val="20"/>
                <w:lang w:val="fr-CA"/>
              </w:rPr>
            </w:pPr>
            <w:r w:rsidRPr="001125C1">
              <w:rPr>
                <w:sz w:val="20"/>
                <w:szCs w:val="20"/>
                <w:lang w:val="fr-CA"/>
              </w:rPr>
              <w:t>DATE DE PRODUCTION : 25.07.2012</w:t>
            </w:r>
            <w:r w:rsidR="007333FF" w:rsidRPr="007333FF">
              <w:rPr>
                <w:sz w:val="20"/>
                <w:szCs w:val="20"/>
                <w:lang w:val="fr-CA"/>
              </w:rPr>
              <w:pict>
                <v:rect id="_x0000_i1031" style="width:108pt;height:1pt" o:hrpct="0" o:hralign="center" o:hrstd="t" o:hrnoshade="t" o:hr="t" fillcolor="black [3213]" stroked="f"/>
              </w:pict>
            </w:r>
          </w:p>
          <w:p w:rsidR="00957F2F" w:rsidRPr="00C832DD" w:rsidRDefault="00957F2F" w:rsidP="00B6794D">
            <w:pPr>
              <w:rPr>
                <w:sz w:val="20"/>
                <w:szCs w:val="20"/>
                <w:lang w:val="fr-CA"/>
              </w:rPr>
            </w:pPr>
          </w:p>
        </w:tc>
      </w:tr>
      <w:tr w:rsidR="00957F2F" w:rsidRPr="00C832DD" w:rsidTr="003B3977">
        <w:trPr>
          <w:cantSplit/>
        </w:trPr>
        <w:tc>
          <w:tcPr>
            <w:tcW w:w="4320" w:type="dxa"/>
            <w:shd w:val="clear" w:color="auto" w:fill="auto"/>
          </w:tcPr>
          <w:p w:rsidR="00957F2F" w:rsidRPr="00A935AA" w:rsidRDefault="00BB17EF" w:rsidP="00957F2F">
            <w:pPr>
              <w:rPr>
                <w:b/>
                <w:sz w:val="20"/>
                <w:szCs w:val="20"/>
              </w:rPr>
            </w:pPr>
            <w:r>
              <w:rPr>
                <w:b/>
                <w:sz w:val="20"/>
                <w:szCs w:val="20"/>
              </w:rPr>
              <w:lastRenderedPageBreak/>
              <w:t>John Murphy</w:t>
            </w:r>
          </w:p>
          <w:p w:rsidR="00957F2F" w:rsidRPr="00A935AA" w:rsidRDefault="00957F2F" w:rsidP="00957F2F">
            <w:pPr>
              <w:tabs>
                <w:tab w:val="left" w:pos="-1440"/>
                <w:tab w:val="left" w:pos="-720"/>
              </w:tabs>
              <w:rPr>
                <w:sz w:val="20"/>
                <w:szCs w:val="20"/>
              </w:rPr>
            </w:pPr>
            <w:r w:rsidRPr="00A935AA">
              <w:rPr>
                <w:sz w:val="20"/>
                <w:szCs w:val="20"/>
              </w:rPr>
              <w:tab/>
            </w:r>
            <w:r w:rsidR="00BB17EF">
              <w:rPr>
                <w:sz w:val="20"/>
                <w:szCs w:val="20"/>
              </w:rPr>
              <w:t>John Murphy</w:t>
            </w:r>
          </w:p>
          <w:p w:rsidR="00957F2F" w:rsidRPr="00A935AA" w:rsidRDefault="00957F2F" w:rsidP="00957F2F">
            <w:pPr>
              <w:tabs>
                <w:tab w:val="left" w:pos="-1440"/>
                <w:tab w:val="left" w:pos="-720"/>
              </w:tabs>
              <w:rPr>
                <w:sz w:val="20"/>
                <w:szCs w:val="20"/>
              </w:rPr>
            </w:pPr>
          </w:p>
          <w:p w:rsidR="00957F2F" w:rsidRPr="00A935AA" w:rsidRDefault="00957F2F" w:rsidP="00957F2F">
            <w:pPr>
              <w:tabs>
                <w:tab w:val="left" w:pos="-1440"/>
                <w:tab w:val="left" w:pos="-720"/>
              </w:tabs>
              <w:rPr>
                <w:sz w:val="20"/>
                <w:szCs w:val="20"/>
              </w:rPr>
            </w:pPr>
            <w:r w:rsidRPr="00A935AA">
              <w:rPr>
                <w:sz w:val="20"/>
                <w:szCs w:val="20"/>
              </w:rPr>
              <w:tab/>
              <w:t>v. (3</w:t>
            </w:r>
            <w:r w:rsidR="00BB17EF">
              <w:rPr>
                <w:sz w:val="20"/>
                <w:szCs w:val="20"/>
              </w:rPr>
              <w:t>3977</w:t>
            </w:r>
            <w:r w:rsidRPr="00A935AA">
              <w:rPr>
                <w:sz w:val="20"/>
                <w:szCs w:val="20"/>
              </w:rPr>
              <w:t>)</w:t>
            </w:r>
          </w:p>
          <w:p w:rsidR="00957F2F" w:rsidRPr="00A935AA" w:rsidRDefault="00957F2F" w:rsidP="00957F2F">
            <w:pPr>
              <w:tabs>
                <w:tab w:val="left" w:pos="-1440"/>
                <w:tab w:val="left" w:pos="-720"/>
              </w:tabs>
              <w:rPr>
                <w:sz w:val="20"/>
                <w:szCs w:val="20"/>
              </w:rPr>
            </w:pPr>
          </w:p>
          <w:p w:rsidR="00957F2F" w:rsidRPr="00BB17EF" w:rsidRDefault="00BB17EF" w:rsidP="00957F2F">
            <w:pPr>
              <w:tabs>
                <w:tab w:val="left" w:pos="-1440"/>
                <w:tab w:val="left" w:pos="-720"/>
              </w:tabs>
              <w:rPr>
                <w:b/>
                <w:sz w:val="20"/>
                <w:szCs w:val="20"/>
                <w:lang w:val="fr-CA"/>
              </w:rPr>
            </w:pPr>
            <w:r w:rsidRPr="00BB17EF">
              <w:rPr>
                <w:b/>
                <w:sz w:val="20"/>
                <w:szCs w:val="20"/>
                <w:lang w:val="fr-CA"/>
              </w:rPr>
              <w:t xml:space="preserve">John Wynne et al. </w:t>
            </w:r>
            <w:r w:rsidR="00957F2F" w:rsidRPr="00BB17EF">
              <w:rPr>
                <w:b/>
                <w:sz w:val="20"/>
                <w:szCs w:val="20"/>
                <w:lang w:val="fr-CA"/>
              </w:rPr>
              <w:t>(B.C.)</w:t>
            </w:r>
          </w:p>
          <w:p w:rsidR="00957F2F" w:rsidRPr="00BB17EF" w:rsidRDefault="00957F2F" w:rsidP="00957F2F">
            <w:pPr>
              <w:tabs>
                <w:tab w:val="left" w:pos="-1440"/>
                <w:tab w:val="left" w:pos="-720"/>
              </w:tabs>
              <w:rPr>
                <w:sz w:val="20"/>
                <w:szCs w:val="20"/>
              </w:rPr>
            </w:pPr>
            <w:r w:rsidRPr="00BB17EF">
              <w:rPr>
                <w:sz w:val="20"/>
                <w:szCs w:val="20"/>
                <w:lang w:val="fr-CA"/>
              </w:rPr>
              <w:tab/>
            </w:r>
            <w:r w:rsidR="00BB17EF" w:rsidRPr="00BB17EF">
              <w:rPr>
                <w:sz w:val="20"/>
                <w:szCs w:val="20"/>
              </w:rPr>
              <w:t>T.C. Arsenault</w:t>
            </w:r>
          </w:p>
          <w:p w:rsidR="00957F2F" w:rsidRDefault="00957F2F" w:rsidP="00957F2F">
            <w:pPr>
              <w:tabs>
                <w:tab w:val="left" w:pos="-1440"/>
                <w:tab w:val="left" w:pos="-720"/>
              </w:tabs>
              <w:rPr>
                <w:sz w:val="20"/>
                <w:szCs w:val="20"/>
              </w:rPr>
            </w:pPr>
            <w:r w:rsidRPr="00BB17EF">
              <w:rPr>
                <w:sz w:val="20"/>
                <w:szCs w:val="20"/>
              </w:rPr>
              <w:tab/>
            </w:r>
            <w:r w:rsidR="00BB17EF" w:rsidRPr="00BB17EF">
              <w:rPr>
                <w:sz w:val="20"/>
                <w:szCs w:val="20"/>
              </w:rPr>
              <w:t>Shortt &amp; Arsenault</w:t>
            </w:r>
          </w:p>
          <w:p w:rsidR="00BB17EF" w:rsidRPr="00BB17EF" w:rsidRDefault="00BB17EF" w:rsidP="00957F2F">
            <w:pPr>
              <w:tabs>
                <w:tab w:val="left" w:pos="-1440"/>
                <w:tab w:val="left" w:pos="-720"/>
              </w:tabs>
              <w:rPr>
                <w:sz w:val="20"/>
                <w:szCs w:val="20"/>
              </w:rPr>
            </w:pPr>
          </w:p>
          <w:p w:rsidR="00957F2F" w:rsidRPr="00BB17EF" w:rsidRDefault="00BB17EF" w:rsidP="00957F2F">
            <w:pPr>
              <w:tabs>
                <w:tab w:val="left" w:pos="-1440"/>
                <w:tab w:val="left" w:pos="-720"/>
              </w:tabs>
              <w:rPr>
                <w:sz w:val="20"/>
                <w:szCs w:val="20"/>
              </w:rPr>
            </w:pPr>
            <w:r w:rsidRPr="00BB17EF">
              <w:rPr>
                <w:sz w:val="20"/>
                <w:szCs w:val="20"/>
              </w:rPr>
              <w:t xml:space="preserve">and between </w:t>
            </w:r>
          </w:p>
          <w:p w:rsidR="00957F2F" w:rsidRDefault="00957F2F" w:rsidP="00957F2F">
            <w:pPr>
              <w:rPr>
                <w:sz w:val="20"/>
                <w:szCs w:val="20"/>
              </w:rPr>
            </w:pPr>
          </w:p>
          <w:p w:rsidR="001125C1" w:rsidRPr="00A935AA" w:rsidRDefault="001125C1" w:rsidP="001125C1">
            <w:pPr>
              <w:rPr>
                <w:sz w:val="20"/>
                <w:szCs w:val="20"/>
              </w:rPr>
            </w:pPr>
            <w:r>
              <w:rPr>
                <w:b/>
                <w:sz w:val="20"/>
                <w:szCs w:val="20"/>
              </w:rPr>
              <w:t>John Murphy de jure Business Manager of UA Local 170 of Journeymen and Apprentices of the Plumbing &amp; Pipefitting Industry of the United States of America and Canada, de jure, Trustee Beneficiary of P.S. Holdings Ltd. and Pension Plan</w:t>
            </w:r>
          </w:p>
        </w:tc>
        <w:tc>
          <w:tcPr>
            <w:tcW w:w="1181" w:type="dxa"/>
            <w:shd w:val="clear" w:color="auto" w:fill="auto"/>
          </w:tcPr>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Default="00957F2F" w:rsidP="00242AEE">
            <w:pPr>
              <w:jc w:val="center"/>
              <w:rPr>
                <w:sz w:val="20"/>
                <w:szCs w:val="20"/>
              </w:rPr>
            </w:pPr>
          </w:p>
          <w:p w:rsidR="001125C1" w:rsidRDefault="001125C1" w:rsidP="00242AEE">
            <w:pPr>
              <w:jc w:val="center"/>
              <w:rPr>
                <w:sz w:val="20"/>
                <w:szCs w:val="20"/>
              </w:rPr>
            </w:pPr>
          </w:p>
          <w:p w:rsidR="001125C1" w:rsidRDefault="001125C1" w:rsidP="00242AEE">
            <w:pPr>
              <w:jc w:val="center"/>
              <w:rPr>
                <w:sz w:val="20"/>
                <w:szCs w:val="20"/>
              </w:rPr>
            </w:pPr>
          </w:p>
          <w:p w:rsidR="001125C1" w:rsidRDefault="001125C1" w:rsidP="00242AEE">
            <w:pPr>
              <w:jc w:val="center"/>
              <w:rPr>
                <w:sz w:val="20"/>
                <w:szCs w:val="20"/>
              </w:rPr>
            </w:pPr>
          </w:p>
          <w:p w:rsidR="001125C1" w:rsidRDefault="001125C1" w:rsidP="00242AEE">
            <w:pPr>
              <w:jc w:val="center"/>
              <w:rPr>
                <w:sz w:val="20"/>
                <w:szCs w:val="20"/>
              </w:rPr>
            </w:pPr>
          </w:p>
          <w:p w:rsidR="001125C1" w:rsidRDefault="001125C1" w:rsidP="00242AEE">
            <w:pPr>
              <w:jc w:val="center"/>
              <w:rPr>
                <w:sz w:val="20"/>
                <w:szCs w:val="20"/>
              </w:rPr>
            </w:pPr>
          </w:p>
          <w:p w:rsidR="001125C1" w:rsidRPr="00A935AA" w:rsidRDefault="001125C1" w:rsidP="00242AEE">
            <w:pPr>
              <w:jc w:val="center"/>
              <w:rPr>
                <w:sz w:val="20"/>
                <w:szCs w:val="20"/>
              </w:rPr>
            </w:pPr>
          </w:p>
          <w:p w:rsidR="00957F2F" w:rsidRPr="00A935AA" w:rsidRDefault="00957F2F" w:rsidP="00242AEE">
            <w:pPr>
              <w:jc w:val="center"/>
              <w:rPr>
                <w:sz w:val="20"/>
                <w:szCs w:val="20"/>
              </w:rPr>
            </w:pPr>
          </w:p>
        </w:tc>
        <w:tc>
          <w:tcPr>
            <w:tcW w:w="4320" w:type="dxa"/>
            <w:shd w:val="clear" w:color="auto" w:fill="auto"/>
          </w:tcPr>
          <w:p w:rsidR="001125C1" w:rsidRPr="00D95EF8" w:rsidRDefault="00D95EF8" w:rsidP="00D95EF8">
            <w:pPr>
              <w:rPr>
                <w:b/>
                <w:sz w:val="20"/>
                <w:szCs w:val="20"/>
                <w:lang w:val="fr-CA"/>
              </w:rPr>
            </w:pPr>
            <w:r w:rsidRPr="00D95EF8">
              <w:rPr>
                <w:b/>
                <w:sz w:val="20"/>
                <w:szCs w:val="20"/>
                <w:lang w:val="fr-CA"/>
              </w:rPr>
              <w:t>Philippe Edmond Nahas</w:t>
            </w:r>
          </w:p>
          <w:p w:rsidR="00D95EF8" w:rsidRPr="00D95EF8" w:rsidRDefault="00D95EF8" w:rsidP="00D95EF8">
            <w:pPr>
              <w:tabs>
                <w:tab w:val="left" w:pos="-1440"/>
                <w:tab w:val="left" w:pos="-720"/>
              </w:tabs>
              <w:rPr>
                <w:sz w:val="20"/>
                <w:szCs w:val="20"/>
                <w:lang w:val="fr-CA"/>
              </w:rPr>
            </w:pPr>
            <w:r w:rsidRPr="00C4747E">
              <w:rPr>
                <w:sz w:val="20"/>
                <w:szCs w:val="20"/>
                <w:lang w:val="fr-CA"/>
              </w:rPr>
              <w:tab/>
            </w:r>
            <w:r w:rsidRPr="00D95EF8">
              <w:rPr>
                <w:sz w:val="20"/>
                <w:szCs w:val="20"/>
                <w:lang w:val="fr-CA"/>
              </w:rPr>
              <w:t>Philippe Edmond Nahas</w:t>
            </w:r>
          </w:p>
          <w:p w:rsidR="00D95EF8" w:rsidRPr="00D95EF8" w:rsidRDefault="00D95EF8" w:rsidP="00D95EF8">
            <w:pPr>
              <w:tabs>
                <w:tab w:val="left" w:pos="-1440"/>
                <w:tab w:val="left" w:pos="-720"/>
              </w:tabs>
              <w:rPr>
                <w:sz w:val="20"/>
                <w:szCs w:val="20"/>
                <w:lang w:val="fr-CA"/>
              </w:rPr>
            </w:pPr>
          </w:p>
          <w:p w:rsidR="00D95EF8" w:rsidRPr="001125C1" w:rsidRDefault="00D95EF8" w:rsidP="00D95EF8">
            <w:pPr>
              <w:tabs>
                <w:tab w:val="left" w:pos="-1440"/>
                <w:tab w:val="left" w:pos="-720"/>
              </w:tabs>
              <w:rPr>
                <w:sz w:val="20"/>
                <w:szCs w:val="20"/>
                <w:lang w:val="fr-CA"/>
              </w:rPr>
            </w:pPr>
            <w:r w:rsidRPr="00D95EF8">
              <w:rPr>
                <w:sz w:val="20"/>
                <w:szCs w:val="20"/>
                <w:lang w:val="fr-CA"/>
              </w:rPr>
              <w:tab/>
            </w:r>
            <w:r w:rsidRPr="001125C1">
              <w:rPr>
                <w:sz w:val="20"/>
                <w:szCs w:val="20"/>
                <w:lang w:val="fr-CA"/>
              </w:rPr>
              <w:t>v. (34912)</w:t>
            </w:r>
          </w:p>
          <w:p w:rsidR="00D95EF8" w:rsidRPr="001125C1" w:rsidRDefault="00D95EF8" w:rsidP="00D95EF8">
            <w:pPr>
              <w:tabs>
                <w:tab w:val="left" w:pos="-1440"/>
                <w:tab w:val="left" w:pos="-720"/>
              </w:tabs>
              <w:rPr>
                <w:sz w:val="20"/>
                <w:szCs w:val="20"/>
                <w:lang w:val="fr-CA"/>
              </w:rPr>
            </w:pPr>
          </w:p>
          <w:p w:rsidR="00D95EF8" w:rsidRPr="00D95EF8" w:rsidRDefault="00D95EF8" w:rsidP="00D95EF8">
            <w:pPr>
              <w:tabs>
                <w:tab w:val="left" w:pos="-1440"/>
                <w:tab w:val="left" w:pos="-720"/>
              </w:tabs>
              <w:rPr>
                <w:b/>
                <w:sz w:val="20"/>
                <w:szCs w:val="20"/>
                <w:lang w:val="fr-CA"/>
              </w:rPr>
            </w:pPr>
            <w:r w:rsidRPr="001125C1">
              <w:rPr>
                <w:b/>
                <w:sz w:val="20"/>
                <w:szCs w:val="20"/>
                <w:lang w:val="fr-CA"/>
              </w:rPr>
              <w:t xml:space="preserve">Barreau du Québec </w:t>
            </w:r>
            <w:r>
              <w:rPr>
                <w:b/>
                <w:sz w:val="20"/>
                <w:szCs w:val="20"/>
                <w:lang w:val="fr-CA"/>
              </w:rPr>
              <w:t xml:space="preserve">et al. </w:t>
            </w:r>
            <w:r w:rsidRPr="00D95EF8">
              <w:rPr>
                <w:b/>
                <w:sz w:val="20"/>
                <w:szCs w:val="20"/>
                <w:lang w:val="fr-CA"/>
              </w:rPr>
              <w:t>(Que.)</w:t>
            </w:r>
          </w:p>
          <w:p w:rsidR="00D95EF8" w:rsidRPr="00D95EF8" w:rsidRDefault="00D95EF8" w:rsidP="00D95EF8">
            <w:pPr>
              <w:tabs>
                <w:tab w:val="left" w:pos="-1440"/>
                <w:tab w:val="left" w:pos="-720"/>
              </w:tabs>
              <w:rPr>
                <w:sz w:val="20"/>
                <w:szCs w:val="20"/>
                <w:lang w:val="fr-CA"/>
              </w:rPr>
            </w:pPr>
            <w:r w:rsidRPr="00D95EF8">
              <w:rPr>
                <w:sz w:val="20"/>
                <w:szCs w:val="20"/>
                <w:lang w:val="fr-CA"/>
              </w:rPr>
              <w:tab/>
              <w:t>Carolena Gordon</w:t>
            </w:r>
          </w:p>
          <w:p w:rsidR="00D95EF8" w:rsidRDefault="00D95EF8" w:rsidP="00D95EF8">
            <w:pPr>
              <w:tabs>
                <w:tab w:val="left" w:pos="-1440"/>
                <w:tab w:val="left" w:pos="-720"/>
              </w:tabs>
              <w:rPr>
                <w:sz w:val="20"/>
                <w:szCs w:val="20"/>
                <w:lang w:val="fr-CA"/>
              </w:rPr>
            </w:pPr>
            <w:r w:rsidRPr="00D95EF8">
              <w:rPr>
                <w:sz w:val="20"/>
                <w:szCs w:val="20"/>
                <w:lang w:val="fr-CA"/>
              </w:rPr>
              <w:tab/>
            </w:r>
            <w:r w:rsidRPr="00C832DD">
              <w:rPr>
                <w:sz w:val="20"/>
                <w:szCs w:val="20"/>
                <w:lang w:val="fr-CA"/>
              </w:rPr>
              <w:t>Clyde &amp; Cie Canada s.e.n.c.r.l.</w:t>
            </w:r>
          </w:p>
          <w:p w:rsidR="00D95EF8" w:rsidRPr="00C832DD" w:rsidRDefault="00D95EF8" w:rsidP="00D95EF8">
            <w:pPr>
              <w:tabs>
                <w:tab w:val="left" w:pos="-1440"/>
                <w:tab w:val="left" w:pos="-720"/>
              </w:tabs>
              <w:rPr>
                <w:sz w:val="20"/>
                <w:szCs w:val="20"/>
                <w:lang w:val="fr-CA"/>
              </w:rPr>
            </w:pPr>
          </w:p>
          <w:p w:rsidR="00D95EF8" w:rsidRPr="00A935AA" w:rsidRDefault="00D95EF8" w:rsidP="00D95EF8">
            <w:pPr>
              <w:rPr>
                <w:sz w:val="20"/>
                <w:szCs w:val="20"/>
              </w:rPr>
            </w:pPr>
            <w:r w:rsidRPr="00A935AA">
              <w:rPr>
                <w:sz w:val="20"/>
                <w:szCs w:val="20"/>
              </w:rPr>
              <w:t>FILING DATE: 2</w:t>
            </w:r>
            <w:r>
              <w:rPr>
                <w:sz w:val="20"/>
                <w:szCs w:val="20"/>
              </w:rPr>
              <w:t>5</w:t>
            </w:r>
            <w:r w:rsidRPr="00A935AA">
              <w:rPr>
                <w:sz w:val="20"/>
                <w:szCs w:val="20"/>
              </w:rPr>
              <w:t>.0</w:t>
            </w:r>
            <w:r>
              <w:rPr>
                <w:sz w:val="20"/>
                <w:szCs w:val="20"/>
              </w:rPr>
              <w:t>7</w:t>
            </w:r>
            <w:r w:rsidRPr="00A935AA">
              <w:rPr>
                <w:sz w:val="20"/>
                <w:szCs w:val="20"/>
              </w:rPr>
              <w:t>.201</w:t>
            </w:r>
            <w:r>
              <w:rPr>
                <w:sz w:val="20"/>
                <w:szCs w:val="20"/>
              </w:rPr>
              <w:t>2</w:t>
            </w:r>
          </w:p>
          <w:p w:rsidR="00D95EF8" w:rsidRDefault="007333FF" w:rsidP="00D95EF8">
            <w:pPr>
              <w:rPr>
                <w:sz w:val="20"/>
                <w:szCs w:val="20"/>
                <w:lang w:val="fr-CA"/>
              </w:rPr>
            </w:pPr>
            <w:r w:rsidRPr="007333FF">
              <w:rPr>
                <w:sz w:val="20"/>
                <w:szCs w:val="20"/>
                <w:lang w:val="fr-CA"/>
              </w:rPr>
              <w:pict>
                <v:rect id="_x0000_i1032" style="width:108pt;height:1pt" o:hrpct="0" o:hralign="center" o:hrstd="t" o:hrnoshade="t" o:hr="t" fillcolor="black [3213]" stroked="f"/>
              </w:pict>
            </w:r>
          </w:p>
          <w:p w:rsidR="00D95EF8" w:rsidRDefault="00D95EF8" w:rsidP="00D95EF8">
            <w:pPr>
              <w:rPr>
                <w:sz w:val="20"/>
                <w:szCs w:val="20"/>
                <w:lang w:val="fr-CA"/>
              </w:rPr>
            </w:pPr>
          </w:p>
          <w:p w:rsidR="00D95EF8" w:rsidRDefault="00D95EF8" w:rsidP="00D95EF8">
            <w:pPr>
              <w:rPr>
                <w:b/>
                <w:sz w:val="20"/>
                <w:szCs w:val="20"/>
              </w:rPr>
            </w:pPr>
            <w:r w:rsidRPr="0029503C">
              <w:rPr>
                <w:b/>
                <w:sz w:val="20"/>
                <w:szCs w:val="20"/>
              </w:rPr>
              <w:t>Amec Americas Limited, dba: Amec Earth &amp; Environmental, a body corporate</w:t>
            </w:r>
          </w:p>
          <w:p w:rsidR="00D95EF8" w:rsidRPr="00A935AA" w:rsidRDefault="00D95EF8" w:rsidP="00D95EF8">
            <w:pPr>
              <w:keepNext/>
              <w:keepLines/>
              <w:tabs>
                <w:tab w:val="left" w:pos="-1440"/>
                <w:tab w:val="left" w:pos="-720"/>
              </w:tabs>
              <w:rPr>
                <w:sz w:val="20"/>
                <w:szCs w:val="20"/>
              </w:rPr>
            </w:pPr>
            <w:r w:rsidRPr="00A935AA">
              <w:rPr>
                <w:sz w:val="20"/>
                <w:szCs w:val="20"/>
              </w:rPr>
              <w:tab/>
            </w:r>
            <w:r>
              <w:rPr>
                <w:sz w:val="20"/>
                <w:szCs w:val="20"/>
              </w:rPr>
              <w:t xml:space="preserve">E. Thomas Christie </w:t>
            </w:r>
          </w:p>
          <w:p w:rsidR="00D95EF8" w:rsidRPr="00A935AA" w:rsidRDefault="00D95EF8" w:rsidP="00D95EF8">
            <w:pPr>
              <w:keepNext/>
              <w:keepLines/>
              <w:tabs>
                <w:tab w:val="left" w:pos="-1440"/>
                <w:tab w:val="left" w:pos="-720"/>
              </w:tabs>
              <w:rPr>
                <w:sz w:val="20"/>
                <w:szCs w:val="20"/>
              </w:rPr>
            </w:pPr>
            <w:r w:rsidRPr="00A935AA">
              <w:rPr>
                <w:sz w:val="20"/>
                <w:szCs w:val="20"/>
              </w:rPr>
              <w:tab/>
            </w:r>
            <w:r>
              <w:rPr>
                <w:sz w:val="20"/>
                <w:szCs w:val="20"/>
              </w:rPr>
              <w:t>Christie Law Office</w:t>
            </w:r>
          </w:p>
          <w:p w:rsidR="00D95EF8" w:rsidRPr="00C832DD" w:rsidRDefault="00D95EF8" w:rsidP="00D95EF8">
            <w:pPr>
              <w:rPr>
                <w:sz w:val="20"/>
                <w:szCs w:val="20"/>
                <w:lang w:val="fr-CA"/>
              </w:rPr>
            </w:pPr>
          </w:p>
        </w:tc>
      </w:tr>
      <w:tr w:rsidR="00957F2F" w:rsidRPr="00B6145B" w:rsidTr="003B3977">
        <w:trPr>
          <w:cantSplit/>
        </w:trPr>
        <w:tc>
          <w:tcPr>
            <w:tcW w:w="4320" w:type="dxa"/>
            <w:shd w:val="clear" w:color="auto" w:fill="auto"/>
          </w:tcPr>
          <w:p w:rsidR="00BB17EF" w:rsidRPr="00A935AA" w:rsidRDefault="00BB17EF" w:rsidP="00BB17EF">
            <w:pPr>
              <w:tabs>
                <w:tab w:val="left" w:pos="-1440"/>
                <w:tab w:val="left" w:pos="-720"/>
              </w:tabs>
              <w:rPr>
                <w:sz w:val="20"/>
                <w:szCs w:val="20"/>
              </w:rPr>
            </w:pPr>
            <w:r w:rsidRPr="00C4747E">
              <w:rPr>
                <w:sz w:val="20"/>
                <w:szCs w:val="20"/>
              </w:rPr>
              <w:tab/>
            </w:r>
            <w:r>
              <w:rPr>
                <w:sz w:val="20"/>
                <w:szCs w:val="20"/>
              </w:rPr>
              <w:t>John Murphy</w:t>
            </w:r>
          </w:p>
          <w:p w:rsidR="00BB17EF" w:rsidRPr="00A935AA" w:rsidRDefault="00BB17EF" w:rsidP="00BB17EF">
            <w:pPr>
              <w:tabs>
                <w:tab w:val="left" w:pos="-1440"/>
                <w:tab w:val="left" w:pos="-720"/>
              </w:tabs>
              <w:rPr>
                <w:sz w:val="20"/>
                <w:szCs w:val="20"/>
              </w:rPr>
            </w:pPr>
          </w:p>
          <w:p w:rsidR="00BB17EF" w:rsidRDefault="00BB17EF" w:rsidP="00BB17EF">
            <w:pPr>
              <w:tabs>
                <w:tab w:val="left" w:pos="-1440"/>
                <w:tab w:val="left" w:pos="-720"/>
              </w:tabs>
              <w:rPr>
                <w:sz w:val="20"/>
                <w:szCs w:val="20"/>
              </w:rPr>
            </w:pPr>
            <w:r w:rsidRPr="00A935AA">
              <w:rPr>
                <w:sz w:val="20"/>
                <w:szCs w:val="20"/>
              </w:rPr>
              <w:tab/>
              <w:t>v. (3</w:t>
            </w:r>
            <w:r>
              <w:rPr>
                <w:sz w:val="20"/>
                <w:szCs w:val="20"/>
              </w:rPr>
              <w:t>3977</w:t>
            </w:r>
            <w:r w:rsidRPr="00A935AA">
              <w:rPr>
                <w:sz w:val="20"/>
                <w:szCs w:val="20"/>
              </w:rPr>
              <w:t>)</w:t>
            </w:r>
          </w:p>
          <w:p w:rsidR="00BB17EF" w:rsidRDefault="00BB17EF" w:rsidP="00BB17EF">
            <w:pPr>
              <w:tabs>
                <w:tab w:val="left" w:pos="-1440"/>
                <w:tab w:val="left" w:pos="-720"/>
              </w:tabs>
              <w:rPr>
                <w:sz w:val="20"/>
                <w:szCs w:val="20"/>
              </w:rPr>
            </w:pPr>
          </w:p>
          <w:p w:rsidR="00BB17EF" w:rsidRPr="00BB17EF" w:rsidRDefault="00BB17EF" w:rsidP="00BB17EF">
            <w:pPr>
              <w:tabs>
                <w:tab w:val="left" w:pos="-1440"/>
                <w:tab w:val="left" w:pos="-720"/>
              </w:tabs>
              <w:rPr>
                <w:b/>
                <w:sz w:val="20"/>
                <w:szCs w:val="20"/>
              </w:rPr>
            </w:pPr>
            <w:r w:rsidRPr="00BB17EF">
              <w:rPr>
                <w:b/>
                <w:sz w:val="20"/>
                <w:szCs w:val="20"/>
              </w:rPr>
              <w:t>Morley Shortt</w:t>
            </w:r>
            <w:r>
              <w:rPr>
                <w:b/>
                <w:sz w:val="20"/>
                <w:szCs w:val="20"/>
              </w:rPr>
              <w:t>, admitted Sole Member et al.</w:t>
            </w:r>
          </w:p>
          <w:p w:rsidR="00BB17EF" w:rsidRDefault="00BB17EF" w:rsidP="00BB17EF">
            <w:pPr>
              <w:tabs>
                <w:tab w:val="left" w:pos="-1440"/>
                <w:tab w:val="left" w:pos="-720"/>
              </w:tabs>
              <w:rPr>
                <w:sz w:val="20"/>
                <w:szCs w:val="20"/>
              </w:rPr>
            </w:pPr>
            <w:r>
              <w:rPr>
                <w:sz w:val="20"/>
                <w:szCs w:val="20"/>
              </w:rPr>
              <w:tab/>
              <w:t>T.C. Arsenault</w:t>
            </w:r>
          </w:p>
          <w:p w:rsidR="00BB17EF" w:rsidRPr="00A935AA" w:rsidRDefault="00BB17EF" w:rsidP="00BB17EF">
            <w:pPr>
              <w:tabs>
                <w:tab w:val="left" w:pos="-1440"/>
                <w:tab w:val="left" w:pos="-720"/>
              </w:tabs>
              <w:rPr>
                <w:sz w:val="20"/>
                <w:szCs w:val="20"/>
              </w:rPr>
            </w:pPr>
            <w:r>
              <w:rPr>
                <w:sz w:val="20"/>
                <w:szCs w:val="20"/>
              </w:rPr>
              <w:tab/>
              <w:t>Shortt &amp; Arsenault</w:t>
            </w:r>
          </w:p>
          <w:p w:rsidR="00BB17EF" w:rsidRDefault="00BB17EF" w:rsidP="00BB17EF">
            <w:pPr>
              <w:rPr>
                <w:sz w:val="20"/>
                <w:szCs w:val="20"/>
              </w:rPr>
            </w:pPr>
          </w:p>
          <w:p w:rsidR="00BB17EF" w:rsidRPr="00A935AA" w:rsidRDefault="00BB17EF" w:rsidP="00BB17EF">
            <w:pPr>
              <w:rPr>
                <w:sz w:val="20"/>
                <w:szCs w:val="20"/>
              </w:rPr>
            </w:pPr>
            <w:r w:rsidRPr="00A935AA">
              <w:rPr>
                <w:sz w:val="20"/>
                <w:szCs w:val="20"/>
              </w:rPr>
              <w:t xml:space="preserve">FILING DATE: </w:t>
            </w:r>
            <w:r>
              <w:rPr>
                <w:sz w:val="20"/>
                <w:szCs w:val="20"/>
              </w:rPr>
              <w:t>1</w:t>
            </w:r>
            <w:r w:rsidRPr="00A935AA">
              <w:rPr>
                <w:sz w:val="20"/>
                <w:szCs w:val="20"/>
              </w:rPr>
              <w:t>2.0</w:t>
            </w:r>
            <w:r>
              <w:rPr>
                <w:sz w:val="20"/>
                <w:szCs w:val="20"/>
              </w:rPr>
              <w:t>7</w:t>
            </w:r>
            <w:r w:rsidRPr="00A935AA">
              <w:rPr>
                <w:sz w:val="20"/>
                <w:szCs w:val="20"/>
              </w:rPr>
              <w:t>.201</w:t>
            </w:r>
            <w:r>
              <w:rPr>
                <w:sz w:val="20"/>
                <w:szCs w:val="20"/>
              </w:rPr>
              <w:t>2</w:t>
            </w:r>
          </w:p>
          <w:p w:rsidR="00957F2F" w:rsidRPr="00A935AA" w:rsidRDefault="007333FF" w:rsidP="00957F2F">
            <w:pPr>
              <w:rPr>
                <w:sz w:val="20"/>
                <w:szCs w:val="20"/>
              </w:rPr>
            </w:pPr>
            <w:r w:rsidRPr="007333FF">
              <w:rPr>
                <w:sz w:val="20"/>
                <w:szCs w:val="20"/>
                <w:lang w:val="fr-CA"/>
              </w:rPr>
              <w:pict>
                <v:rect id="_x0000_i1033" style="width:108pt;height:1pt" o:hrpct="0" o:hralign="center" o:hrstd="t" o:hrnoshade="t" o:hr="t" fillcolor="black [3213]" stroked="f"/>
              </w:pict>
            </w:r>
          </w:p>
        </w:tc>
        <w:tc>
          <w:tcPr>
            <w:tcW w:w="1181" w:type="dxa"/>
            <w:shd w:val="clear" w:color="auto" w:fill="auto"/>
          </w:tcPr>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Pr="00A935AA" w:rsidRDefault="00957F2F" w:rsidP="00242AEE">
            <w:pPr>
              <w:jc w:val="center"/>
              <w:rPr>
                <w:sz w:val="20"/>
                <w:szCs w:val="20"/>
              </w:rPr>
            </w:pPr>
          </w:p>
          <w:p w:rsidR="00957F2F" w:rsidRDefault="00957F2F" w:rsidP="00242AEE">
            <w:pPr>
              <w:jc w:val="center"/>
              <w:rPr>
                <w:sz w:val="20"/>
                <w:szCs w:val="20"/>
              </w:rPr>
            </w:pPr>
          </w:p>
          <w:p w:rsidR="00D95EF8" w:rsidRPr="00A935AA" w:rsidRDefault="00D95EF8" w:rsidP="00242AEE">
            <w:pPr>
              <w:jc w:val="center"/>
              <w:rPr>
                <w:sz w:val="20"/>
                <w:szCs w:val="20"/>
              </w:rPr>
            </w:pPr>
          </w:p>
          <w:p w:rsidR="00957F2F" w:rsidRPr="00A935AA" w:rsidRDefault="00957F2F" w:rsidP="00242AEE">
            <w:pPr>
              <w:jc w:val="center"/>
              <w:rPr>
                <w:sz w:val="20"/>
                <w:szCs w:val="20"/>
              </w:rPr>
            </w:pPr>
          </w:p>
        </w:tc>
        <w:tc>
          <w:tcPr>
            <w:tcW w:w="4320" w:type="dxa"/>
            <w:shd w:val="clear" w:color="auto" w:fill="auto"/>
          </w:tcPr>
          <w:p w:rsidR="00D95EF8" w:rsidRPr="001125C1" w:rsidRDefault="00D95EF8" w:rsidP="00D95EF8">
            <w:pPr>
              <w:keepNext/>
              <w:keepLines/>
              <w:tabs>
                <w:tab w:val="left" w:pos="-1440"/>
                <w:tab w:val="left" w:pos="-720"/>
              </w:tabs>
              <w:rPr>
                <w:sz w:val="20"/>
                <w:szCs w:val="20"/>
              </w:rPr>
            </w:pPr>
            <w:r w:rsidRPr="00A935AA">
              <w:rPr>
                <w:sz w:val="20"/>
                <w:szCs w:val="20"/>
              </w:rPr>
              <w:tab/>
            </w:r>
            <w:r w:rsidRPr="001125C1">
              <w:rPr>
                <w:sz w:val="20"/>
                <w:szCs w:val="20"/>
              </w:rPr>
              <w:t>v. (34</w:t>
            </w:r>
            <w:r>
              <w:rPr>
                <w:sz w:val="20"/>
                <w:szCs w:val="20"/>
              </w:rPr>
              <w:t>905</w:t>
            </w:r>
            <w:r w:rsidRPr="001125C1">
              <w:rPr>
                <w:sz w:val="20"/>
                <w:szCs w:val="20"/>
              </w:rPr>
              <w:t>)</w:t>
            </w:r>
          </w:p>
          <w:p w:rsidR="00D95EF8" w:rsidRPr="001125C1" w:rsidRDefault="00D95EF8" w:rsidP="00D95EF8">
            <w:pPr>
              <w:keepNext/>
              <w:keepLines/>
              <w:tabs>
                <w:tab w:val="left" w:pos="-1440"/>
                <w:tab w:val="left" w:pos="-720"/>
              </w:tabs>
              <w:rPr>
                <w:sz w:val="20"/>
                <w:szCs w:val="20"/>
              </w:rPr>
            </w:pPr>
          </w:p>
          <w:p w:rsidR="00D95EF8" w:rsidRPr="001125C1" w:rsidRDefault="00D95EF8" w:rsidP="00D95EF8">
            <w:pPr>
              <w:keepNext/>
              <w:keepLines/>
              <w:tabs>
                <w:tab w:val="left" w:pos="-1440"/>
                <w:tab w:val="left" w:pos="-720"/>
              </w:tabs>
              <w:rPr>
                <w:b/>
                <w:sz w:val="20"/>
                <w:szCs w:val="20"/>
              </w:rPr>
            </w:pPr>
            <w:r>
              <w:rPr>
                <w:b/>
                <w:sz w:val="20"/>
                <w:szCs w:val="20"/>
              </w:rPr>
              <w:t xml:space="preserve">Lee MacWilliams </w:t>
            </w:r>
            <w:r w:rsidRPr="001125C1">
              <w:rPr>
                <w:b/>
                <w:sz w:val="20"/>
                <w:szCs w:val="20"/>
              </w:rPr>
              <w:t>(</w:t>
            </w:r>
            <w:r>
              <w:rPr>
                <w:b/>
                <w:sz w:val="20"/>
                <w:szCs w:val="20"/>
              </w:rPr>
              <w:t>N.B.</w:t>
            </w:r>
            <w:r w:rsidRPr="001125C1">
              <w:rPr>
                <w:b/>
                <w:sz w:val="20"/>
                <w:szCs w:val="20"/>
              </w:rPr>
              <w:t>)</w:t>
            </w:r>
          </w:p>
          <w:p w:rsidR="00D95EF8" w:rsidRPr="001125C1" w:rsidRDefault="00D95EF8" w:rsidP="00D95EF8">
            <w:pPr>
              <w:keepNext/>
              <w:keepLines/>
              <w:tabs>
                <w:tab w:val="left" w:pos="-1440"/>
                <w:tab w:val="left" w:pos="-720"/>
              </w:tabs>
              <w:rPr>
                <w:sz w:val="20"/>
                <w:szCs w:val="20"/>
              </w:rPr>
            </w:pPr>
            <w:r w:rsidRPr="001125C1">
              <w:rPr>
                <w:sz w:val="20"/>
                <w:szCs w:val="20"/>
              </w:rPr>
              <w:tab/>
            </w:r>
            <w:r>
              <w:rPr>
                <w:sz w:val="20"/>
                <w:szCs w:val="20"/>
              </w:rPr>
              <w:t>Daniel P.L. Leger</w:t>
            </w:r>
          </w:p>
          <w:p w:rsidR="00D95EF8" w:rsidRPr="001125C1" w:rsidRDefault="00D95EF8" w:rsidP="00D95EF8">
            <w:pPr>
              <w:keepNext/>
              <w:keepLines/>
              <w:tabs>
                <w:tab w:val="left" w:pos="-1440"/>
                <w:tab w:val="left" w:pos="-720"/>
              </w:tabs>
              <w:rPr>
                <w:sz w:val="20"/>
                <w:szCs w:val="20"/>
              </w:rPr>
            </w:pPr>
            <w:r w:rsidRPr="001125C1">
              <w:rPr>
                <w:sz w:val="20"/>
                <w:szCs w:val="20"/>
              </w:rPr>
              <w:tab/>
            </w:r>
            <w:r>
              <w:rPr>
                <w:sz w:val="20"/>
                <w:szCs w:val="20"/>
              </w:rPr>
              <w:t>Pink, Larkin</w:t>
            </w:r>
          </w:p>
          <w:p w:rsidR="00D95EF8" w:rsidRPr="001125C1" w:rsidRDefault="00D95EF8" w:rsidP="00D95EF8">
            <w:pPr>
              <w:keepNext/>
              <w:keepLines/>
              <w:tabs>
                <w:tab w:val="left" w:pos="-1440"/>
                <w:tab w:val="left" w:pos="-720"/>
              </w:tabs>
              <w:rPr>
                <w:sz w:val="20"/>
                <w:szCs w:val="20"/>
              </w:rPr>
            </w:pPr>
          </w:p>
          <w:p w:rsidR="00D95EF8" w:rsidRPr="00D95EF8" w:rsidRDefault="00D95EF8" w:rsidP="00D95EF8">
            <w:pPr>
              <w:rPr>
                <w:sz w:val="20"/>
                <w:szCs w:val="20"/>
              </w:rPr>
            </w:pPr>
            <w:r w:rsidRPr="00A935AA">
              <w:rPr>
                <w:sz w:val="20"/>
                <w:szCs w:val="20"/>
              </w:rPr>
              <w:t>FILING DATE: 2</w:t>
            </w:r>
            <w:r>
              <w:rPr>
                <w:sz w:val="20"/>
                <w:szCs w:val="20"/>
              </w:rPr>
              <w:t>6</w:t>
            </w:r>
            <w:r w:rsidRPr="00A935AA">
              <w:rPr>
                <w:sz w:val="20"/>
                <w:szCs w:val="20"/>
              </w:rPr>
              <w:t>.0</w:t>
            </w:r>
            <w:r>
              <w:rPr>
                <w:sz w:val="20"/>
                <w:szCs w:val="20"/>
              </w:rPr>
              <w:t>7</w:t>
            </w:r>
            <w:r w:rsidRPr="00A935AA">
              <w:rPr>
                <w:sz w:val="20"/>
                <w:szCs w:val="20"/>
              </w:rPr>
              <w:t>.201</w:t>
            </w:r>
            <w:r>
              <w:rPr>
                <w:sz w:val="20"/>
                <w:szCs w:val="20"/>
              </w:rPr>
              <w:t>2</w:t>
            </w:r>
          </w:p>
          <w:p w:rsidR="00D95EF8" w:rsidRDefault="007333FF" w:rsidP="00D95EF8">
            <w:pPr>
              <w:rPr>
                <w:sz w:val="20"/>
                <w:szCs w:val="20"/>
                <w:lang w:val="fr-CA"/>
              </w:rPr>
            </w:pPr>
            <w:r w:rsidRPr="007333FF">
              <w:rPr>
                <w:sz w:val="20"/>
                <w:szCs w:val="20"/>
                <w:lang w:val="fr-CA"/>
              </w:rPr>
              <w:pict>
                <v:rect id="_x0000_i1034" style="width:108pt;height:1pt" o:hrpct="0" o:hralign="center" o:hrstd="t" o:hrnoshade="t" o:hr="t" fillcolor="black [3213]" stroked="f"/>
              </w:pict>
            </w:r>
          </w:p>
          <w:p w:rsidR="0029503C" w:rsidRDefault="0029503C" w:rsidP="001125C1">
            <w:pPr>
              <w:rPr>
                <w:sz w:val="20"/>
                <w:szCs w:val="20"/>
                <w:lang w:val="fr-CA"/>
              </w:rPr>
            </w:pPr>
          </w:p>
          <w:p w:rsidR="0029503C" w:rsidRPr="00D95EF8" w:rsidRDefault="00D95EF8" w:rsidP="00D95EF8">
            <w:pPr>
              <w:keepNext/>
              <w:keepLines/>
              <w:tabs>
                <w:tab w:val="left" w:pos="-1440"/>
                <w:tab w:val="left" w:pos="-720"/>
              </w:tabs>
              <w:rPr>
                <w:sz w:val="20"/>
                <w:szCs w:val="20"/>
                <w:lang w:val="fr-CA"/>
              </w:rPr>
            </w:pPr>
            <w:r w:rsidRPr="0019550B">
              <w:rPr>
                <w:b/>
                <w:sz w:val="20"/>
                <w:szCs w:val="20"/>
                <w:lang w:val="fr-CA"/>
              </w:rPr>
              <w:t>Conseil Scolaire Francophone de la Colombie-Britannique</w:t>
            </w:r>
            <w:r>
              <w:rPr>
                <w:b/>
                <w:sz w:val="20"/>
                <w:szCs w:val="20"/>
                <w:lang w:val="fr-CA"/>
              </w:rPr>
              <w:t xml:space="preserve"> et autres</w:t>
            </w:r>
          </w:p>
        </w:tc>
      </w:tr>
      <w:tr w:rsidR="001125C1" w:rsidRPr="0019550B" w:rsidTr="003B3977">
        <w:trPr>
          <w:cantSplit/>
        </w:trPr>
        <w:tc>
          <w:tcPr>
            <w:tcW w:w="4320" w:type="dxa"/>
            <w:shd w:val="clear" w:color="auto" w:fill="auto"/>
          </w:tcPr>
          <w:p w:rsidR="001125C1" w:rsidRPr="00A935AA" w:rsidRDefault="0029503C" w:rsidP="001125C1">
            <w:pPr>
              <w:rPr>
                <w:b/>
                <w:sz w:val="20"/>
                <w:szCs w:val="20"/>
              </w:rPr>
            </w:pPr>
            <w:r>
              <w:rPr>
                <w:b/>
                <w:sz w:val="20"/>
                <w:szCs w:val="20"/>
              </w:rPr>
              <w:t>Her Majesty the Queen</w:t>
            </w:r>
          </w:p>
          <w:p w:rsidR="001125C1" w:rsidRPr="00A935AA" w:rsidRDefault="001125C1" w:rsidP="001125C1">
            <w:pPr>
              <w:tabs>
                <w:tab w:val="left" w:pos="-1440"/>
                <w:tab w:val="left" w:pos="-720"/>
              </w:tabs>
              <w:rPr>
                <w:sz w:val="20"/>
                <w:szCs w:val="20"/>
              </w:rPr>
            </w:pPr>
            <w:r w:rsidRPr="00A935AA">
              <w:rPr>
                <w:sz w:val="20"/>
                <w:szCs w:val="20"/>
              </w:rPr>
              <w:tab/>
            </w:r>
            <w:r w:rsidR="0029503C">
              <w:rPr>
                <w:sz w:val="20"/>
                <w:szCs w:val="20"/>
              </w:rPr>
              <w:t>Ronald C. Reimer</w:t>
            </w:r>
          </w:p>
          <w:p w:rsidR="001125C1" w:rsidRPr="00A935AA" w:rsidRDefault="001125C1" w:rsidP="001125C1">
            <w:pPr>
              <w:tabs>
                <w:tab w:val="left" w:pos="-1440"/>
                <w:tab w:val="left" w:pos="-720"/>
              </w:tabs>
              <w:rPr>
                <w:sz w:val="20"/>
                <w:szCs w:val="20"/>
              </w:rPr>
            </w:pPr>
            <w:r w:rsidRPr="00A935AA">
              <w:rPr>
                <w:sz w:val="20"/>
                <w:szCs w:val="20"/>
              </w:rPr>
              <w:tab/>
            </w:r>
            <w:r w:rsidR="0029503C">
              <w:rPr>
                <w:sz w:val="20"/>
                <w:szCs w:val="20"/>
              </w:rPr>
              <w:t>Public Prosecution Service of Canada</w:t>
            </w:r>
          </w:p>
          <w:p w:rsidR="001125C1" w:rsidRPr="00A935AA" w:rsidRDefault="001125C1" w:rsidP="001125C1">
            <w:pPr>
              <w:tabs>
                <w:tab w:val="left" w:pos="-1440"/>
                <w:tab w:val="left" w:pos="-720"/>
              </w:tabs>
              <w:rPr>
                <w:sz w:val="20"/>
                <w:szCs w:val="20"/>
              </w:rPr>
            </w:pPr>
          </w:p>
          <w:p w:rsidR="001125C1" w:rsidRPr="00A935AA" w:rsidRDefault="001125C1" w:rsidP="001125C1">
            <w:pPr>
              <w:tabs>
                <w:tab w:val="left" w:pos="-1440"/>
                <w:tab w:val="left" w:pos="-720"/>
              </w:tabs>
              <w:rPr>
                <w:sz w:val="20"/>
                <w:szCs w:val="20"/>
              </w:rPr>
            </w:pPr>
            <w:r w:rsidRPr="00A935AA">
              <w:rPr>
                <w:sz w:val="20"/>
                <w:szCs w:val="20"/>
              </w:rPr>
              <w:tab/>
              <w:t>v. (3</w:t>
            </w:r>
            <w:r>
              <w:rPr>
                <w:sz w:val="20"/>
                <w:szCs w:val="20"/>
              </w:rPr>
              <w:t>4</w:t>
            </w:r>
            <w:r w:rsidR="0029503C">
              <w:rPr>
                <w:sz w:val="20"/>
                <w:szCs w:val="20"/>
              </w:rPr>
              <w:t>906</w:t>
            </w:r>
            <w:r w:rsidRPr="00A935AA">
              <w:rPr>
                <w:sz w:val="20"/>
                <w:szCs w:val="20"/>
              </w:rPr>
              <w:t>)</w:t>
            </w:r>
          </w:p>
          <w:p w:rsidR="001125C1" w:rsidRPr="00A935AA" w:rsidRDefault="001125C1" w:rsidP="001125C1">
            <w:pPr>
              <w:tabs>
                <w:tab w:val="left" w:pos="-1440"/>
                <w:tab w:val="left" w:pos="-720"/>
              </w:tabs>
              <w:rPr>
                <w:sz w:val="20"/>
                <w:szCs w:val="20"/>
              </w:rPr>
            </w:pPr>
          </w:p>
          <w:p w:rsidR="001125C1" w:rsidRPr="00A935AA" w:rsidRDefault="0029503C" w:rsidP="001125C1">
            <w:pPr>
              <w:tabs>
                <w:tab w:val="left" w:pos="-1440"/>
                <w:tab w:val="left" w:pos="-720"/>
              </w:tabs>
              <w:rPr>
                <w:b/>
                <w:sz w:val="20"/>
                <w:szCs w:val="20"/>
              </w:rPr>
            </w:pPr>
            <w:r>
              <w:rPr>
                <w:b/>
                <w:sz w:val="20"/>
                <w:szCs w:val="20"/>
              </w:rPr>
              <w:t xml:space="preserve">Chay Brooks Gladue </w:t>
            </w:r>
            <w:r w:rsidR="001125C1" w:rsidRPr="00A935AA">
              <w:rPr>
                <w:b/>
                <w:sz w:val="20"/>
                <w:szCs w:val="20"/>
              </w:rPr>
              <w:t>(</w:t>
            </w:r>
            <w:r>
              <w:rPr>
                <w:b/>
                <w:sz w:val="20"/>
                <w:szCs w:val="20"/>
              </w:rPr>
              <w:t>Alta</w:t>
            </w:r>
            <w:r w:rsidR="001125C1" w:rsidRPr="00A935AA">
              <w:rPr>
                <w:b/>
                <w:sz w:val="20"/>
                <w:szCs w:val="20"/>
              </w:rPr>
              <w:t>.)</w:t>
            </w:r>
          </w:p>
          <w:p w:rsidR="001125C1" w:rsidRPr="00A935AA" w:rsidRDefault="001125C1" w:rsidP="001125C1">
            <w:pPr>
              <w:tabs>
                <w:tab w:val="left" w:pos="-1440"/>
                <w:tab w:val="left" w:pos="-720"/>
              </w:tabs>
              <w:rPr>
                <w:sz w:val="20"/>
                <w:szCs w:val="20"/>
              </w:rPr>
            </w:pPr>
            <w:r w:rsidRPr="00A935AA">
              <w:rPr>
                <w:sz w:val="20"/>
                <w:szCs w:val="20"/>
              </w:rPr>
              <w:tab/>
            </w:r>
            <w:r w:rsidR="0029503C">
              <w:rPr>
                <w:sz w:val="20"/>
                <w:szCs w:val="20"/>
              </w:rPr>
              <w:t>Daniel J. Song</w:t>
            </w:r>
          </w:p>
          <w:p w:rsidR="001125C1" w:rsidRPr="00A935AA" w:rsidRDefault="001125C1" w:rsidP="001125C1">
            <w:pPr>
              <w:tabs>
                <w:tab w:val="left" w:pos="-1440"/>
                <w:tab w:val="left" w:pos="-720"/>
              </w:tabs>
              <w:rPr>
                <w:sz w:val="20"/>
                <w:szCs w:val="20"/>
              </w:rPr>
            </w:pPr>
            <w:r w:rsidRPr="00A935AA">
              <w:rPr>
                <w:sz w:val="20"/>
                <w:szCs w:val="20"/>
              </w:rPr>
              <w:tab/>
            </w:r>
            <w:r w:rsidR="0029503C">
              <w:rPr>
                <w:sz w:val="20"/>
                <w:szCs w:val="20"/>
              </w:rPr>
              <w:t>Song Law Corporation</w:t>
            </w:r>
          </w:p>
          <w:p w:rsidR="001125C1" w:rsidRPr="00A935AA" w:rsidRDefault="001125C1" w:rsidP="001125C1">
            <w:pPr>
              <w:tabs>
                <w:tab w:val="left" w:pos="-1440"/>
                <w:tab w:val="left" w:pos="-720"/>
              </w:tabs>
              <w:rPr>
                <w:sz w:val="20"/>
                <w:szCs w:val="20"/>
              </w:rPr>
            </w:pPr>
          </w:p>
          <w:p w:rsidR="001125C1" w:rsidRPr="00A935AA" w:rsidRDefault="001125C1" w:rsidP="001125C1">
            <w:pPr>
              <w:rPr>
                <w:sz w:val="20"/>
                <w:szCs w:val="20"/>
              </w:rPr>
            </w:pPr>
            <w:r w:rsidRPr="00A935AA">
              <w:rPr>
                <w:sz w:val="20"/>
                <w:szCs w:val="20"/>
              </w:rPr>
              <w:t xml:space="preserve">FILING DATE: </w:t>
            </w:r>
            <w:r w:rsidR="0029503C">
              <w:rPr>
                <w:sz w:val="20"/>
                <w:szCs w:val="20"/>
              </w:rPr>
              <w:t>30</w:t>
            </w:r>
            <w:r w:rsidRPr="00A935AA">
              <w:rPr>
                <w:sz w:val="20"/>
                <w:szCs w:val="20"/>
              </w:rPr>
              <w:t>.0</w:t>
            </w:r>
            <w:r w:rsidR="0029503C">
              <w:rPr>
                <w:sz w:val="20"/>
                <w:szCs w:val="20"/>
              </w:rPr>
              <w:t>7</w:t>
            </w:r>
            <w:r w:rsidRPr="00A935AA">
              <w:rPr>
                <w:sz w:val="20"/>
                <w:szCs w:val="20"/>
              </w:rPr>
              <w:t>.201</w:t>
            </w:r>
            <w:r>
              <w:rPr>
                <w:sz w:val="20"/>
                <w:szCs w:val="20"/>
              </w:rPr>
              <w:t>2</w:t>
            </w:r>
          </w:p>
          <w:p w:rsidR="001125C1" w:rsidRPr="00A935AA" w:rsidRDefault="007333FF" w:rsidP="001125C1">
            <w:pPr>
              <w:rPr>
                <w:sz w:val="20"/>
                <w:szCs w:val="20"/>
              </w:rPr>
            </w:pPr>
            <w:r w:rsidRPr="007333FF">
              <w:rPr>
                <w:sz w:val="20"/>
                <w:szCs w:val="20"/>
                <w:lang w:val="fr-CA"/>
              </w:rPr>
              <w:pict>
                <v:rect id="_x0000_i1035" style="width:108pt;height:1pt" o:hrpct="0" o:hralign="center" o:hrstd="t" o:hrnoshade="t" o:hr="t" fillcolor="black [3213]" stroked="f"/>
              </w:pict>
            </w:r>
          </w:p>
        </w:tc>
        <w:tc>
          <w:tcPr>
            <w:tcW w:w="1181" w:type="dxa"/>
            <w:shd w:val="clear" w:color="auto" w:fill="auto"/>
          </w:tcPr>
          <w:p w:rsidR="001125C1" w:rsidRDefault="001125C1" w:rsidP="00242AEE">
            <w:pPr>
              <w:jc w:val="center"/>
              <w:rPr>
                <w:sz w:val="20"/>
                <w:szCs w:val="20"/>
              </w:rPr>
            </w:pPr>
          </w:p>
          <w:p w:rsidR="001125C1" w:rsidRDefault="001125C1" w:rsidP="00242AEE">
            <w:pPr>
              <w:jc w:val="center"/>
              <w:rPr>
                <w:sz w:val="20"/>
                <w:szCs w:val="20"/>
              </w:rPr>
            </w:pPr>
          </w:p>
          <w:p w:rsidR="001125C1" w:rsidRDefault="001125C1" w:rsidP="00242AEE">
            <w:pPr>
              <w:jc w:val="center"/>
              <w:rPr>
                <w:sz w:val="20"/>
                <w:szCs w:val="20"/>
              </w:rPr>
            </w:pPr>
          </w:p>
          <w:p w:rsidR="001125C1" w:rsidRDefault="001125C1" w:rsidP="00242AEE">
            <w:pPr>
              <w:jc w:val="center"/>
              <w:rPr>
                <w:sz w:val="20"/>
                <w:szCs w:val="20"/>
              </w:rPr>
            </w:pPr>
          </w:p>
          <w:p w:rsidR="001125C1" w:rsidRDefault="001125C1" w:rsidP="00242AEE">
            <w:pPr>
              <w:jc w:val="center"/>
              <w:rPr>
                <w:sz w:val="20"/>
                <w:szCs w:val="20"/>
              </w:rPr>
            </w:pPr>
          </w:p>
          <w:p w:rsidR="001125C1" w:rsidRDefault="001125C1" w:rsidP="00242AEE">
            <w:pPr>
              <w:jc w:val="center"/>
              <w:rPr>
                <w:sz w:val="20"/>
                <w:szCs w:val="20"/>
              </w:rPr>
            </w:pPr>
          </w:p>
          <w:p w:rsidR="001125C1" w:rsidRDefault="001125C1" w:rsidP="00242AEE">
            <w:pPr>
              <w:jc w:val="center"/>
              <w:rPr>
                <w:sz w:val="20"/>
                <w:szCs w:val="20"/>
              </w:rPr>
            </w:pPr>
          </w:p>
          <w:p w:rsidR="001125C1" w:rsidRDefault="001125C1" w:rsidP="00242AEE">
            <w:pPr>
              <w:jc w:val="center"/>
              <w:rPr>
                <w:sz w:val="20"/>
                <w:szCs w:val="20"/>
              </w:rPr>
            </w:pPr>
          </w:p>
          <w:p w:rsidR="001125C1" w:rsidRDefault="001125C1" w:rsidP="00242AEE">
            <w:pPr>
              <w:jc w:val="center"/>
              <w:rPr>
                <w:sz w:val="20"/>
                <w:szCs w:val="20"/>
              </w:rPr>
            </w:pPr>
          </w:p>
          <w:p w:rsidR="001125C1" w:rsidRDefault="001125C1" w:rsidP="00242AEE">
            <w:pPr>
              <w:jc w:val="center"/>
              <w:rPr>
                <w:sz w:val="20"/>
                <w:szCs w:val="20"/>
              </w:rPr>
            </w:pPr>
          </w:p>
          <w:p w:rsidR="001125C1" w:rsidRDefault="001125C1" w:rsidP="00242AEE">
            <w:pPr>
              <w:jc w:val="center"/>
              <w:rPr>
                <w:sz w:val="20"/>
                <w:szCs w:val="20"/>
              </w:rPr>
            </w:pPr>
          </w:p>
          <w:p w:rsidR="001125C1" w:rsidRDefault="001125C1" w:rsidP="00242AEE">
            <w:pPr>
              <w:jc w:val="center"/>
              <w:rPr>
                <w:sz w:val="20"/>
                <w:szCs w:val="20"/>
              </w:rPr>
            </w:pPr>
          </w:p>
          <w:p w:rsidR="001125C1" w:rsidRDefault="001125C1" w:rsidP="00242AEE">
            <w:pPr>
              <w:jc w:val="center"/>
              <w:rPr>
                <w:sz w:val="20"/>
                <w:szCs w:val="20"/>
              </w:rPr>
            </w:pPr>
          </w:p>
        </w:tc>
        <w:tc>
          <w:tcPr>
            <w:tcW w:w="4320" w:type="dxa"/>
            <w:shd w:val="clear" w:color="auto" w:fill="auto"/>
          </w:tcPr>
          <w:p w:rsidR="001125C1" w:rsidRPr="0019550B" w:rsidRDefault="001125C1" w:rsidP="001125C1">
            <w:pPr>
              <w:keepNext/>
              <w:keepLines/>
              <w:tabs>
                <w:tab w:val="left" w:pos="-1440"/>
                <w:tab w:val="left" w:pos="-720"/>
              </w:tabs>
              <w:rPr>
                <w:sz w:val="20"/>
                <w:szCs w:val="20"/>
                <w:lang w:val="fr-CA"/>
              </w:rPr>
            </w:pPr>
            <w:r w:rsidRPr="0019550B">
              <w:rPr>
                <w:sz w:val="20"/>
                <w:szCs w:val="20"/>
                <w:lang w:val="fr-CA"/>
              </w:rPr>
              <w:tab/>
            </w:r>
            <w:r w:rsidR="0019550B">
              <w:rPr>
                <w:sz w:val="20"/>
                <w:szCs w:val="20"/>
                <w:lang w:val="fr-CA"/>
              </w:rPr>
              <w:t>Robert W. Grant</w:t>
            </w:r>
          </w:p>
          <w:p w:rsidR="001125C1" w:rsidRPr="0019550B" w:rsidRDefault="001125C1" w:rsidP="001125C1">
            <w:pPr>
              <w:keepNext/>
              <w:keepLines/>
              <w:tabs>
                <w:tab w:val="left" w:pos="-1440"/>
                <w:tab w:val="left" w:pos="-720"/>
              </w:tabs>
              <w:rPr>
                <w:sz w:val="20"/>
                <w:szCs w:val="20"/>
                <w:lang w:val="fr-CA"/>
              </w:rPr>
            </w:pPr>
            <w:r w:rsidRPr="0019550B">
              <w:rPr>
                <w:sz w:val="20"/>
                <w:szCs w:val="20"/>
                <w:lang w:val="fr-CA"/>
              </w:rPr>
              <w:tab/>
            </w:r>
            <w:r w:rsidR="0019550B">
              <w:rPr>
                <w:sz w:val="20"/>
                <w:szCs w:val="20"/>
                <w:lang w:val="fr-CA"/>
              </w:rPr>
              <w:t>Heenan Blaikie s.r.l.</w:t>
            </w:r>
          </w:p>
          <w:p w:rsidR="001125C1" w:rsidRPr="0019550B" w:rsidRDefault="001125C1" w:rsidP="001125C1">
            <w:pPr>
              <w:keepNext/>
              <w:keepLines/>
              <w:tabs>
                <w:tab w:val="left" w:pos="-1440"/>
                <w:tab w:val="left" w:pos="-720"/>
              </w:tabs>
              <w:rPr>
                <w:sz w:val="20"/>
                <w:szCs w:val="20"/>
                <w:lang w:val="fr-CA"/>
              </w:rPr>
            </w:pPr>
          </w:p>
          <w:p w:rsidR="001125C1" w:rsidRPr="0019550B" w:rsidRDefault="001125C1" w:rsidP="001125C1">
            <w:pPr>
              <w:keepNext/>
              <w:keepLines/>
              <w:tabs>
                <w:tab w:val="left" w:pos="-1440"/>
                <w:tab w:val="left" w:pos="-720"/>
              </w:tabs>
              <w:rPr>
                <w:sz w:val="20"/>
                <w:szCs w:val="20"/>
                <w:lang w:val="fr-CA"/>
              </w:rPr>
            </w:pPr>
            <w:r w:rsidRPr="0019550B">
              <w:rPr>
                <w:sz w:val="20"/>
                <w:szCs w:val="20"/>
                <w:lang w:val="fr-CA"/>
              </w:rPr>
              <w:tab/>
            </w:r>
            <w:r w:rsidR="0019550B" w:rsidRPr="0019550B">
              <w:rPr>
                <w:sz w:val="20"/>
                <w:szCs w:val="20"/>
                <w:lang w:val="fr-CA"/>
              </w:rPr>
              <w:t>c</w:t>
            </w:r>
            <w:r w:rsidRPr="0019550B">
              <w:rPr>
                <w:sz w:val="20"/>
                <w:szCs w:val="20"/>
                <w:lang w:val="fr-CA"/>
              </w:rPr>
              <w:t>. (34</w:t>
            </w:r>
            <w:r w:rsidR="0019550B" w:rsidRPr="0019550B">
              <w:rPr>
                <w:sz w:val="20"/>
                <w:szCs w:val="20"/>
                <w:lang w:val="fr-CA"/>
              </w:rPr>
              <w:t>908</w:t>
            </w:r>
            <w:r w:rsidRPr="0019550B">
              <w:rPr>
                <w:sz w:val="20"/>
                <w:szCs w:val="20"/>
                <w:lang w:val="fr-CA"/>
              </w:rPr>
              <w:t>)</w:t>
            </w:r>
          </w:p>
          <w:p w:rsidR="001125C1" w:rsidRPr="0019550B" w:rsidRDefault="001125C1" w:rsidP="001125C1">
            <w:pPr>
              <w:keepNext/>
              <w:keepLines/>
              <w:tabs>
                <w:tab w:val="left" w:pos="-1440"/>
                <w:tab w:val="left" w:pos="-720"/>
              </w:tabs>
              <w:rPr>
                <w:sz w:val="20"/>
                <w:szCs w:val="20"/>
                <w:lang w:val="fr-CA"/>
              </w:rPr>
            </w:pPr>
          </w:p>
          <w:p w:rsidR="001125C1" w:rsidRPr="0019550B" w:rsidRDefault="0019550B" w:rsidP="001125C1">
            <w:pPr>
              <w:keepNext/>
              <w:keepLines/>
              <w:tabs>
                <w:tab w:val="left" w:pos="-1440"/>
                <w:tab w:val="left" w:pos="-720"/>
              </w:tabs>
              <w:rPr>
                <w:b/>
                <w:sz w:val="20"/>
                <w:szCs w:val="20"/>
                <w:lang w:val="fr-CA"/>
              </w:rPr>
            </w:pPr>
            <w:r w:rsidRPr="0019550B">
              <w:rPr>
                <w:b/>
                <w:sz w:val="20"/>
                <w:szCs w:val="20"/>
                <w:lang w:val="fr-CA"/>
              </w:rPr>
              <w:t xml:space="preserve">Sa Majesté la Reine du chef de la province de Colombie-Britannique et autre </w:t>
            </w:r>
            <w:r w:rsidR="001125C1" w:rsidRPr="0019550B">
              <w:rPr>
                <w:b/>
                <w:sz w:val="20"/>
                <w:szCs w:val="20"/>
                <w:lang w:val="fr-CA"/>
              </w:rPr>
              <w:t>(</w:t>
            </w:r>
            <w:r>
              <w:rPr>
                <w:b/>
                <w:sz w:val="20"/>
                <w:szCs w:val="20"/>
                <w:lang w:val="fr-CA"/>
              </w:rPr>
              <w:t>C.-B</w:t>
            </w:r>
            <w:r w:rsidR="001125C1" w:rsidRPr="0019550B">
              <w:rPr>
                <w:b/>
                <w:sz w:val="20"/>
                <w:szCs w:val="20"/>
                <w:lang w:val="fr-CA"/>
              </w:rPr>
              <w:t>.)</w:t>
            </w:r>
          </w:p>
          <w:p w:rsidR="001125C1" w:rsidRPr="0019550B" w:rsidRDefault="001125C1" w:rsidP="001125C1">
            <w:pPr>
              <w:keepNext/>
              <w:keepLines/>
              <w:tabs>
                <w:tab w:val="left" w:pos="-1440"/>
                <w:tab w:val="left" w:pos="-720"/>
              </w:tabs>
              <w:rPr>
                <w:sz w:val="20"/>
                <w:szCs w:val="20"/>
                <w:lang w:val="fr-CA"/>
              </w:rPr>
            </w:pPr>
            <w:r w:rsidRPr="0019550B">
              <w:rPr>
                <w:sz w:val="20"/>
                <w:szCs w:val="20"/>
                <w:lang w:val="fr-CA"/>
              </w:rPr>
              <w:tab/>
            </w:r>
            <w:r w:rsidR="0019550B">
              <w:rPr>
                <w:sz w:val="20"/>
                <w:szCs w:val="20"/>
                <w:lang w:val="fr-CA"/>
              </w:rPr>
              <w:t>Véronica L. Jackson</w:t>
            </w:r>
          </w:p>
          <w:p w:rsidR="001125C1" w:rsidRPr="0019550B" w:rsidRDefault="001125C1" w:rsidP="001125C1">
            <w:pPr>
              <w:keepNext/>
              <w:keepLines/>
              <w:tabs>
                <w:tab w:val="left" w:pos="-1440"/>
                <w:tab w:val="left" w:pos="-720"/>
              </w:tabs>
              <w:rPr>
                <w:sz w:val="20"/>
                <w:szCs w:val="20"/>
                <w:lang w:val="fr-CA"/>
              </w:rPr>
            </w:pPr>
            <w:r w:rsidRPr="0019550B">
              <w:rPr>
                <w:sz w:val="20"/>
                <w:szCs w:val="20"/>
                <w:lang w:val="fr-CA"/>
              </w:rPr>
              <w:tab/>
            </w:r>
            <w:r w:rsidR="0019550B">
              <w:rPr>
                <w:sz w:val="20"/>
                <w:szCs w:val="20"/>
                <w:lang w:val="fr-CA"/>
              </w:rPr>
              <w:t>P</w:t>
            </w:r>
            <w:r w:rsidR="001D79EE">
              <w:rPr>
                <w:sz w:val="20"/>
                <w:szCs w:val="20"/>
                <w:lang w:val="fr-CA"/>
              </w:rPr>
              <w:t>.G.</w:t>
            </w:r>
            <w:r w:rsidR="0019550B">
              <w:rPr>
                <w:sz w:val="20"/>
                <w:szCs w:val="20"/>
                <w:lang w:val="fr-CA"/>
              </w:rPr>
              <w:t xml:space="preserve"> de la Colombie-Britannique</w:t>
            </w:r>
          </w:p>
          <w:p w:rsidR="001125C1" w:rsidRPr="0019550B" w:rsidRDefault="001125C1" w:rsidP="001125C1">
            <w:pPr>
              <w:keepNext/>
              <w:keepLines/>
              <w:tabs>
                <w:tab w:val="left" w:pos="-1440"/>
                <w:tab w:val="left" w:pos="-720"/>
              </w:tabs>
              <w:rPr>
                <w:sz w:val="20"/>
                <w:szCs w:val="20"/>
                <w:lang w:val="fr-CA"/>
              </w:rPr>
            </w:pPr>
          </w:p>
          <w:p w:rsidR="001125C1" w:rsidRPr="0019550B" w:rsidRDefault="001125C1" w:rsidP="0019550B">
            <w:pPr>
              <w:rPr>
                <w:sz w:val="20"/>
                <w:szCs w:val="20"/>
                <w:lang w:val="fr-CA"/>
              </w:rPr>
            </w:pPr>
            <w:r w:rsidRPr="0019550B">
              <w:rPr>
                <w:sz w:val="20"/>
                <w:szCs w:val="20"/>
                <w:lang w:val="fr-CA"/>
              </w:rPr>
              <w:t>DATE</w:t>
            </w:r>
            <w:r w:rsidR="0019550B" w:rsidRPr="0019550B">
              <w:rPr>
                <w:sz w:val="20"/>
                <w:szCs w:val="20"/>
                <w:lang w:val="fr-CA"/>
              </w:rPr>
              <w:t xml:space="preserve"> DE PRODUCTION </w:t>
            </w:r>
            <w:r w:rsidRPr="0019550B">
              <w:rPr>
                <w:sz w:val="20"/>
                <w:szCs w:val="20"/>
                <w:lang w:val="fr-CA"/>
              </w:rPr>
              <w:t xml:space="preserve">: </w:t>
            </w:r>
            <w:r w:rsidR="0019550B" w:rsidRPr="0019550B">
              <w:rPr>
                <w:sz w:val="20"/>
                <w:szCs w:val="20"/>
                <w:lang w:val="fr-CA"/>
              </w:rPr>
              <w:t>01</w:t>
            </w:r>
            <w:r w:rsidRPr="0019550B">
              <w:rPr>
                <w:sz w:val="20"/>
                <w:szCs w:val="20"/>
                <w:lang w:val="fr-CA"/>
              </w:rPr>
              <w:t>.0</w:t>
            </w:r>
            <w:r w:rsidR="0019550B" w:rsidRPr="0019550B">
              <w:rPr>
                <w:sz w:val="20"/>
                <w:szCs w:val="20"/>
                <w:lang w:val="fr-CA"/>
              </w:rPr>
              <w:t>8</w:t>
            </w:r>
            <w:r w:rsidRPr="0019550B">
              <w:rPr>
                <w:sz w:val="20"/>
                <w:szCs w:val="20"/>
                <w:lang w:val="fr-CA"/>
              </w:rPr>
              <w:t>.2012</w:t>
            </w:r>
            <w:r w:rsidR="007333FF" w:rsidRPr="007333FF">
              <w:rPr>
                <w:sz w:val="20"/>
                <w:szCs w:val="20"/>
                <w:lang w:val="fr-CA"/>
              </w:rPr>
              <w:pict>
                <v:rect id="_x0000_i1036" style="width:108pt;height:1pt" o:hrpct="0" o:hralign="center" o:hrstd="t" o:hrnoshade="t" o:hr="t" fillcolor="black [3213]" stroked="f"/>
              </w:pict>
            </w:r>
          </w:p>
        </w:tc>
      </w:tr>
      <w:tr w:rsidR="001125C1" w:rsidRPr="0019550B" w:rsidTr="003B3977">
        <w:trPr>
          <w:cantSplit/>
        </w:trPr>
        <w:tc>
          <w:tcPr>
            <w:tcW w:w="4320" w:type="dxa"/>
            <w:shd w:val="clear" w:color="auto" w:fill="auto"/>
          </w:tcPr>
          <w:p w:rsidR="00C4747E" w:rsidRPr="00A935AA" w:rsidRDefault="00C4747E" w:rsidP="00C4747E">
            <w:pPr>
              <w:rPr>
                <w:b/>
                <w:sz w:val="20"/>
                <w:szCs w:val="20"/>
              </w:rPr>
            </w:pPr>
            <w:r>
              <w:rPr>
                <w:b/>
                <w:sz w:val="20"/>
                <w:szCs w:val="20"/>
              </w:rPr>
              <w:t>Farrokh Rohani</w:t>
            </w:r>
          </w:p>
          <w:p w:rsidR="00C4747E" w:rsidRPr="00A935AA" w:rsidRDefault="00C4747E" w:rsidP="00C4747E">
            <w:pPr>
              <w:tabs>
                <w:tab w:val="left" w:pos="-1440"/>
                <w:tab w:val="left" w:pos="-720"/>
              </w:tabs>
              <w:rPr>
                <w:sz w:val="20"/>
                <w:szCs w:val="20"/>
              </w:rPr>
            </w:pPr>
            <w:r w:rsidRPr="00A935AA">
              <w:rPr>
                <w:sz w:val="20"/>
                <w:szCs w:val="20"/>
              </w:rPr>
              <w:tab/>
            </w:r>
            <w:r>
              <w:rPr>
                <w:sz w:val="20"/>
                <w:szCs w:val="20"/>
              </w:rPr>
              <w:t>Richard C.C. Peck, Q.C.</w:t>
            </w:r>
          </w:p>
          <w:p w:rsidR="00C4747E" w:rsidRPr="00A935AA" w:rsidRDefault="00C4747E" w:rsidP="00C4747E">
            <w:pPr>
              <w:tabs>
                <w:tab w:val="left" w:pos="-1440"/>
                <w:tab w:val="left" w:pos="-720"/>
              </w:tabs>
              <w:rPr>
                <w:sz w:val="20"/>
                <w:szCs w:val="20"/>
              </w:rPr>
            </w:pPr>
            <w:r w:rsidRPr="00A935AA">
              <w:rPr>
                <w:sz w:val="20"/>
                <w:szCs w:val="20"/>
              </w:rPr>
              <w:tab/>
            </w:r>
            <w:r>
              <w:rPr>
                <w:sz w:val="20"/>
                <w:szCs w:val="20"/>
              </w:rPr>
              <w:t>Peck and Company</w:t>
            </w:r>
          </w:p>
          <w:p w:rsidR="00C4747E" w:rsidRPr="00A935AA" w:rsidRDefault="00C4747E" w:rsidP="00C4747E">
            <w:pPr>
              <w:tabs>
                <w:tab w:val="left" w:pos="-1440"/>
                <w:tab w:val="left" w:pos="-720"/>
              </w:tabs>
              <w:rPr>
                <w:sz w:val="20"/>
                <w:szCs w:val="20"/>
              </w:rPr>
            </w:pPr>
          </w:p>
          <w:p w:rsidR="00C4747E" w:rsidRPr="00A935AA" w:rsidRDefault="00C4747E" w:rsidP="00C4747E">
            <w:pPr>
              <w:tabs>
                <w:tab w:val="left" w:pos="-1440"/>
                <w:tab w:val="left" w:pos="-720"/>
              </w:tabs>
              <w:rPr>
                <w:sz w:val="20"/>
                <w:szCs w:val="20"/>
              </w:rPr>
            </w:pPr>
            <w:r w:rsidRPr="00A935AA">
              <w:rPr>
                <w:sz w:val="20"/>
                <w:szCs w:val="20"/>
              </w:rPr>
              <w:tab/>
              <w:t>v. (3</w:t>
            </w:r>
            <w:r>
              <w:rPr>
                <w:sz w:val="20"/>
                <w:szCs w:val="20"/>
              </w:rPr>
              <w:t>4913</w:t>
            </w:r>
            <w:r w:rsidRPr="00A935AA">
              <w:rPr>
                <w:sz w:val="20"/>
                <w:szCs w:val="20"/>
              </w:rPr>
              <w:t>)</w:t>
            </w:r>
          </w:p>
          <w:p w:rsidR="00C4747E" w:rsidRPr="00A935AA" w:rsidRDefault="00C4747E" w:rsidP="00C4747E">
            <w:pPr>
              <w:tabs>
                <w:tab w:val="left" w:pos="-1440"/>
                <w:tab w:val="left" w:pos="-720"/>
              </w:tabs>
              <w:rPr>
                <w:sz w:val="20"/>
                <w:szCs w:val="20"/>
              </w:rPr>
            </w:pPr>
          </w:p>
          <w:p w:rsidR="00C4747E" w:rsidRPr="00A935AA" w:rsidRDefault="00C4747E" w:rsidP="00C4747E">
            <w:pPr>
              <w:tabs>
                <w:tab w:val="left" w:pos="-1440"/>
                <w:tab w:val="left" w:pos="-720"/>
              </w:tabs>
              <w:rPr>
                <w:b/>
                <w:sz w:val="20"/>
                <w:szCs w:val="20"/>
              </w:rPr>
            </w:pPr>
            <w:r>
              <w:rPr>
                <w:b/>
                <w:sz w:val="20"/>
                <w:szCs w:val="20"/>
              </w:rPr>
              <w:t xml:space="preserve">Her Majesty the Queen </w:t>
            </w:r>
            <w:r w:rsidRPr="00A935AA">
              <w:rPr>
                <w:b/>
                <w:sz w:val="20"/>
                <w:szCs w:val="20"/>
              </w:rPr>
              <w:t>(B.C.)</w:t>
            </w:r>
          </w:p>
          <w:p w:rsidR="00C4747E" w:rsidRPr="00A935AA" w:rsidRDefault="00C4747E" w:rsidP="00C4747E">
            <w:pPr>
              <w:tabs>
                <w:tab w:val="left" w:pos="-1440"/>
                <w:tab w:val="left" w:pos="-720"/>
              </w:tabs>
              <w:rPr>
                <w:sz w:val="20"/>
                <w:szCs w:val="20"/>
              </w:rPr>
            </w:pPr>
            <w:r w:rsidRPr="00A935AA">
              <w:rPr>
                <w:sz w:val="20"/>
                <w:szCs w:val="20"/>
              </w:rPr>
              <w:tab/>
            </w:r>
            <w:r>
              <w:rPr>
                <w:sz w:val="20"/>
                <w:szCs w:val="20"/>
              </w:rPr>
              <w:t>Susan J. Brown</w:t>
            </w:r>
          </w:p>
          <w:p w:rsidR="00C4747E" w:rsidRPr="00A935AA" w:rsidRDefault="00C4747E" w:rsidP="00C4747E">
            <w:pPr>
              <w:tabs>
                <w:tab w:val="left" w:pos="-1440"/>
                <w:tab w:val="left" w:pos="-720"/>
              </w:tabs>
              <w:rPr>
                <w:sz w:val="20"/>
                <w:szCs w:val="20"/>
              </w:rPr>
            </w:pPr>
            <w:r w:rsidRPr="00A935AA">
              <w:rPr>
                <w:sz w:val="20"/>
                <w:szCs w:val="20"/>
              </w:rPr>
              <w:tab/>
            </w:r>
            <w:r>
              <w:rPr>
                <w:sz w:val="20"/>
                <w:szCs w:val="20"/>
              </w:rPr>
              <w:t>A.G. of British Columbia</w:t>
            </w:r>
          </w:p>
          <w:p w:rsidR="00C4747E" w:rsidRPr="00A935AA" w:rsidRDefault="00C4747E" w:rsidP="00C4747E">
            <w:pPr>
              <w:tabs>
                <w:tab w:val="left" w:pos="-1440"/>
                <w:tab w:val="left" w:pos="-720"/>
              </w:tabs>
              <w:rPr>
                <w:sz w:val="20"/>
                <w:szCs w:val="20"/>
              </w:rPr>
            </w:pPr>
          </w:p>
          <w:p w:rsidR="00C4747E" w:rsidRPr="00A935AA" w:rsidRDefault="00C4747E" w:rsidP="00C4747E">
            <w:pPr>
              <w:rPr>
                <w:sz w:val="20"/>
                <w:szCs w:val="20"/>
              </w:rPr>
            </w:pPr>
            <w:r w:rsidRPr="00A935AA">
              <w:rPr>
                <w:sz w:val="20"/>
                <w:szCs w:val="20"/>
              </w:rPr>
              <w:t xml:space="preserve">FILING DATE: </w:t>
            </w:r>
            <w:r>
              <w:rPr>
                <w:sz w:val="20"/>
                <w:szCs w:val="20"/>
              </w:rPr>
              <w:t>0</w:t>
            </w:r>
            <w:r w:rsidRPr="00A935AA">
              <w:rPr>
                <w:sz w:val="20"/>
                <w:szCs w:val="20"/>
              </w:rPr>
              <w:t>2.0</w:t>
            </w:r>
            <w:r>
              <w:rPr>
                <w:sz w:val="20"/>
                <w:szCs w:val="20"/>
              </w:rPr>
              <w:t>8</w:t>
            </w:r>
            <w:r w:rsidRPr="00A935AA">
              <w:rPr>
                <w:sz w:val="20"/>
                <w:szCs w:val="20"/>
              </w:rPr>
              <w:t>.201</w:t>
            </w:r>
            <w:r>
              <w:rPr>
                <w:sz w:val="20"/>
                <w:szCs w:val="20"/>
              </w:rPr>
              <w:t>2</w:t>
            </w:r>
          </w:p>
          <w:p w:rsidR="001125C1" w:rsidRPr="00665450" w:rsidRDefault="007333FF" w:rsidP="00C4747E">
            <w:pPr>
              <w:rPr>
                <w:sz w:val="20"/>
                <w:szCs w:val="20"/>
              </w:rPr>
            </w:pPr>
            <w:r w:rsidRPr="007333FF">
              <w:rPr>
                <w:sz w:val="20"/>
                <w:szCs w:val="20"/>
                <w:lang w:val="fr-CA"/>
              </w:rPr>
              <w:pict>
                <v:rect id="_x0000_i1037" style="width:108pt;height:1pt" o:hrpct="0" o:hralign="center" o:hrstd="t" o:hrnoshade="t" o:hr="t" fillcolor="black [3213]" stroked="f"/>
              </w:pict>
            </w:r>
          </w:p>
        </w:tc>
        <w:tc>
          <w:tcPr>
            <w:tcW w:w="1181" w:type="dxa"/>
            <w:shd w:val="clear" w:color="auto" w:fill="auto"/>
          </w:tcPr>
          <w:p w:rsidR="001125C1" w:rsidRPr="00665450" w:rsidRDefault="001125C1" w:rsidP="00242AEE">
            <w:pPr>
              <w:jc w:val="center"/>
              <w:rPr>
                <w:sz w:val="20"/>
                <w:szCs w:val="20"/>
              </w:rPr>
            </w:pPr>
          </w:p>
          <w:p w:rsidR="001125C1" w:rsidRPr="00665450" w:rsidRDefault="001125C1" w:rsidP="00242AEE">
            <w:pPr>
              <w:jc w:val="center"/>
              <w:rPr>
                <w:sz w:val="20"/>
                <w:szCs w:val="20"/>
              </w:rPr>
            </w:pPr>
          </w:p>
          <w:p w:rsidR="001125C1" w:rsidRPr="00665450" w:rsidRDefault="001125C1" w:rsidP="00242AEE">
            <w:pPr>
              <w:jc w:val="center"/>
              <w:rPr>
                <w:sz w:val="20"/>
                <w:szCs w:val="20"/>
              </w:rPr>
            </w:pPr>
          </w:p>
          <w:p w:rsidR="001125C1" w:rsidRPr="00665450" w:rsidRDefault="001125C1" w:rsidP="00242AEE">
            <w:pPr>
              <w:jc w:val="center"/>
              <w:rPr>
                <w:sz w:val="20"/>
                <w:szCs w:val="20"/>
              </w:rPr>
            </w:pPr>
          </w:p>
          <w:p w:rsidR="001125C1" w:rsidRPr="00665450" w:rsidRDefault="001125C1" w:rsidP="00242AEE">
            <w:pPr>
              <w:jc w:val="center"/>
              <w:rPr>
                <w:sz w:val="20"/>
                <w:szCs w:val="20"/>
              </w:rPr>
            </w:pPr>
          </w:p>
          <w:p w:rsidR="001125C1" w:rsidRPr="00665450" w:rsidRDefault="001125C1" w:rsidP="00242AEE">
            <w:pPr>
              <w:jc w:val="center"/>
              <w:rPr>
                <w:sz w:val="20"/>
                <w:szCs w:val="20"/>
              </w:rPr>
            </w:pPr>
          </w:p>
          <w:p w:rsidR="001125C1" w:rsidRPr="00665450" w:rsidRDefault="001125C1" w:rsidP="00242AEE">
            <w:pPr>
              <w:jc w:val="center"/>
              <w:rPr>
                <w:sz w:val="20"/>
                <w:szCs w:val="20"/>
              </w:rPr>
            </w:pPr>
          </w:p>
          <w:p w:rsidR="001125C1" w:rsidRPr="00665450" w:rsidRDefault="001125C1" w:rsidP="00242AEE">
            <w:pPr>
              <w:jc w:val="center"/>
              <w:rPr>
                <w:sz w:val="20"/>
                <w:szCs w:val="20"/>
              </w:rPr>
            </w:pPr>
          </w:p>
          <w:p w:rsidR="001125C1" w:rsidRPr="00665450" w:rsidRDefault="001125C1" w:rsidP="00242AEE">
            <w:pPr>
              <w:jc w:val="center"/>
              <w:rPr>
                <w:sz w:val="20"/>
                <w:szCs w:val="20"/>
              </w:rPr>
            </w:pPr>
          </w:p>
          <w:p w:rsidR="001125C1" w:rsidRPr="00665450" w:rsidRDefault="001125C1" w:rsidP="00242AEE">
            <w:pPr>
              <w:jc w:val="center"/>
              <w:rPr>
                <w:sz w:val="20"/>
                <w:szCs w:val="20"/>
              </w:rPr>
            </w:pPr>
          </w:p>
          <w:p w:rsidR="001125C1" w:rsidRPr="00665450" w:rsidRDefault="001125C1" w:rsidP="00242AEE">
            <w:pPr>
              <w:jc w:val="center"/>
              <w:rPr>
                <w:sz w:val="20"/>
                <w:szCs w:val="20"/>
              </w:rPr>
            </w:pPr>
          </w:p>
          <w:p w:rsidR="001125C1" w:rsidRPr="00665450" w:rsidRDefault="001125C1" w:rsidP="00242AEE">
            <w:pPr>
              <w:jc w:val="center"/>
              <w:rPr>
                <w:sz w:val="20"/>
                <w:szCs w:val="20"/>
              </w:rPr>
            </w:pPr>
          </w:p>
          <w:p w:rsidR="001125C1" w:rsidRPr="00665450" w:rsidRDefault="001125C1" w:rsidP="00242AEE">
            <w:pPr>
              <w:jc w:val="center"/>
              <w:rPr>
                <w:sz w:val="20"/>
                <w:szCs w:val="20"/>
              </w:rPr>
            </w:pPr>
          </w:p>
        </w:tc>
        <w:tc>
          <w:tcPr>
            <w:tcW w:w="4320" w:type="dxa"/>
            <w:shd w:val="clear" w:color="auto" w:fill="auto"/>
          </w:tcPr>
          <w:p w:rsidR="001125C1" w:rsidRPr="00665450" w:rsidRDefault="007321D8" w:rsidP="001125C1">
            <w:pPr>
              <w:keepNext/>
              <w:keepLines/>
              <w:tabs>
                <w:tab w:val="left" w:pos="-1440"/>
                <w:tab w:val="left" w:pos="-720"/>
              </w:tabs>
              <w:rPr>
                <w:b/>
                <w:sz w:val="20"/>
                <w:szCs w:val="20"/>
              </w:rPr>
            </w:pPr>
            <w:r>
              <w:rPr>
                <w:b/>
                <w:sz w:val="20"/>
                <w:szCs w:val="20"/>
              </w:rPr>
              <w:t>Emrah Bulatci</w:t>
            </w:r>
          </w:p>
          <w:p w:rsidR="001125C1" w:rsidRPr="00665450" w:rsidRDefault="001125C1" w:rsidP="001125C1">
            <w:pPr>
              <w:keepNext/>
              <w:keepLines/>
              <w:tabs>
                <w:tab w:val="left" w:pos="-1440"/>
                <w:tab w:val="left" w:pos="-720"/>
              </w:tabs>
              <w:rPr>
                <w:sz w:val="20"/>
                <w:szCs w:val="20"/>
              </w:rPr>
            </w:pPr>
            <w:r w:rsidRPr="00665450">
              <w:rPr>
                <w:sz w:val="20"/>
                <w:szCs w:val="20"/>
              </w:rPr>
              <w:tab/>
            </w:r>
            <w:r w:rsidR="007321D8">
              <w:rPr>
                <w:sz w:val="20"/>
                <w:szCs w:val="20"/>
              </w:rPr>
              <w:t>Charles B. Davison</w:t>
            </w:r>
          </w:p>
          <w:p w:rsidR="001125C1" w:rsidRPr="00665450" w:rsidRDefault="001125C1" w:rsidP="001125C1">
            <w:pPr>
              <w:keepNext/>
              <w:keepLines/>
              <w:tabs>
                <w:tab w:val="left" w:pos="-1440"/>
                <w:tab w:val="left" w:pos="-720"/>
              </w:tabs>
              <w:rPr>
                <w:sz w:val="20"/>
                <w:szCs w:val="20"/>
              </w:rPr>
            </w:pPr>
            <w:r w:rsidRPr="00665450">
              <w:rPr>
                <w:sz w:val="20"/>
                <w:szCs w:val="20"/>
              </w:rPr>
              <w:tab/>
            </w:r>
            <w:r w:rsidR="007321D8">
              <w:rPr>
                <w:sz w:val="20"/>
                <w:szCs w:val="20"/>
              </w:rPr>
              <w:t>Somba K’e Law Office</w:t>
            </w:r>
          </w:p>
          <w:p w:rsidR="001125C1" w:rsidRPr="00665450" w:rsidRDefault="001125C1" w:rsidP="001125C1">
            <w:pPr>
              <w:keepNext/>
              <w:keepLines/>
              <w:tabs>
                <w:tab w:val="left" w:pos="-1440"/>
                <w:tab w:val="left" w:pos="-720"/>
              </w:tabs>
              <w:rPr>
                <w:sz w:val="20"/>
                <w:szCs w:val="20"/>
              </w:rPr>
            </w:pPr>
          </w:p>
          <w:p w:rsidR="001125C1" w:rsidRPr="00665450" w:rsidRDefault="001125C1" w:rsidP="001125C1">
            <w:pPr>
              <w:keepNext/>
              <w:keepLines/>
              <w:tabs>
                <w:tab w:val="left" w:pos="-1440"/>
                <w:tab w:val="left" w:pos="-720"/>
              </w:tabs>
              <w:rPr>
                <w:sz w:val="20"/>
                <w:szCs w:val="20"/>
              </w:rPr>
            </w:pPr>
            <w:r w:rsidRPr="00665450">
              <w:rPr>
                <w:sz w:val="20"/>
                <w:szCs w:val="20"/>
              </w:rPr>
              <w:tab/>
              <w:t>v. (34</w:t>
            </w:r>
            <w:r w:rsidR="007321D8">
              <w:rPr>
                <w:sz w:val="20"/>
                <w:szCs w:val="20"/>
              </w:rPr>
              <w:t>910</w:t>
            </w:r>
            <w:r w:rsidRPr="00665450">
              <w:rPr>
                <w:sz w:val="20"/>
                <w:szCs w:val="20"/>
              </w:rPr>
              <w:t>)</w:t>
            </w:r>
          </w:p>
          <w:p w:rsidR="001125C1" w:rsidRPr="00665450" w:rsidRDefault="001125C1" w:rsidP="001125C1">
            <w:pPr>
              <w:keepNext/>
              <w:keepLines/>
              <w:tabs>
                <w:tab w:val="left" w:pos="-1440"/>
                <w:tab w:val="left" w:pos="-720"/>
              </w:tabs>
              <w:rPr>
                <w:sz w:val="20"/>
                <w:szCs w:val="20"/>
              </w:rPr>
            </w:pPr>
          </w:p>
          <w:p w:rsidR="001125C1" w:rsidRPr="00665450" w:rsidRDefault="007321D8" w:rsidP="001125C1">
            <w:pPr>
              <w:keepNext/>
              <w:keepLines/>
              <w:tabs>
                <w:tab w:val="left" w:pos="-1440"/>
                <w:tab w:val="left" w:pos="-720"/>
              </w:tabs>
              <w:rPr>
                <w:b/>
                <w:sz w:val="20"/>
                <w:szCs w:val="20"/>
              </w:rPr>
            </w:pPr>
            <w:r>
              <w:rPr>
                <w:b/>
                <w:sz w:val="20"/>
                <w:szCs w:val="20"/>
              </w:rPr>
              <w:t xml:space="preserve">Her Majesty the Queen </w:t>
            </w:r>
            <w:r w:rsidR="001125C1" w:rsidRPr="00665450">
              <w:rPr>
                <w:b/>
                <w:sz w:val="20"/>
                <w:szCs w:val="20"/>
              </w:rPr>
              <w:t>(</w:t>
            </w:r>
            <w:r>
              <w:rPr>
                <w:b/>
                <w:sz w:val="20"/>
                <w:szCs w:val="20"/>
              </w:rPr>
              <w:t>N.W.T</w:t>
            </w:r>
            <w:r w:rsidR="001125C1" w:rsidRPr="00665450">
              <w:rPr>
                <w:b/>
                <w:sz w:val="20"/>
                <w:szCs w:val="20"/>
              </w:rPr>
              <w:t>.)</w:t>
            </w:r>
          </w:p>
          <w:p w:rsidR="001125C1" w:rsidRPr="00665450" w:rsidRDefault="001125C1" w:rsidP="001125C1">
            <w:pPr>
              <w:keepNext/>
              <w:keepLines/>
              <w:tabs>
                <w:tab w:val="left" w:pos="-1440"/>
                <w:tab w:val="left" w:pos="-720"/>
              </w:tabs>
              <w:rPr>
                <w:sz w:val="20"/>
                <w:szCs w:val="20"/>
              </w:rPr>
            </w:pPr>
            <w:r w:rsidRPr="00665450">
              <w:rPr>
                <w:sz w:val="20"/>
                <w:szCs w:val="20"/>
              </w:rPr>
              <w:tab/>
            </w:r>
            <w:r w:rsidR="007321D8">
              <w:rPr>
                <w:sz w:val="20"/>
                <w:szCs w:val="20"/>
              </w:rPr>
              <w:t>Chris Greenwood</w:t>
            </w:r>
          </w:p>
          <w:p w:rsidR="001125C1" w:rsidRPr="00665450" w:rsidRDefault="001125C1" w:rsidP="001125C1">
            <w:pPr>
              <w:keepNext/>
              <w:keepLines/>
              <w:tabs>
                <w:tab w:val="left" w:pos="-1440"/>
                <w:tab w:val="left" w:pos="-720"/>
              </w:tabs>
              <w:rPr>
                <w:sz w:val="20"/>
                <w:szCs w:val="20"/>
              </w:rPr>
            </w:pPr>
            <w:r w:rsidRPr="00665450">
              <w:rPr>
                <w:sz w:val="20"/>
                <w:szCs w:val="20"/>
              </w:rPr>
              <w:tab/>
            </w:r>
            <w:r w:rsidR="007321D8">
              <w:rPr>
                <w:sz w:val="20"/>
                <w:szCs w:val="20"/>
              </w:rPr>
              <w:t>Public Prosecution Service of Canada</w:t>
            </w:r>
          </w:p>
          <w:p w:rsidR="001125C1" w:rsidRPr="00665450" w:rsidRDefault="001125C1" w:rsidP="001125C1">
            <w:pPr>
              <w:keepNext/>
              <w:keepLines/>
              <w:tabs>
                <w:tab w:val="left" w:pos="-1440"/>
                <w:tab w:val="left" w:pos="-720"/>
              </w:tabs>
              <w:rPr>
                <w:sz w:val="20"/>
                <w:szCs w:val="20"/>
              </w:rPr>
            </w:pPr>
          </w:p>
          <w:p w:rsidR="001125C1" w:rsidRPr="00665450" w:rsidRDefault="001125C1" w:rsidP="007321D8">
            <w:pPr>
              <w:rPr>
                <w:sz w:val="20"/>
                <w:szCs w:val="20"/>
              </w:rPr>
            </w:pPr>
            <w:r w:rsidRPr="00665450">
              <w:rPr>
                <w:sz w:val="20"/>
                <w:szCs w:val="20"/>
              </w:rPr>
              <w:t xml:space="preserve">FILING DATE: </w:t>
            </w:r>
            <w:r w:rsidR="007321D8">
              <w:rPr>
                <w:sz w:val="20"/>
                <w:szCs w:val="20"/>
              </w:rPr>
              <w:t>0</w:t>
            </w:r>
            <w:r w:rsidRPr="00665450">
              <w:rPr>
                <w:sz w:val="20"/>
                <w:szCs w:val="20"/>
              </w:rPr>
              <w:t>2.0</w:t>
            </w:r>
            <w:r w:rsidR="007321D8">
              <w:rPr>
                <w:sz w:val="20"/>
                <w:szCs w:val="20"/>
              </w:rPr>
              <w:t>8</w:t>
            </w:r>
            <w:r w:rsidRPr="00665450">
              <w:rPr>
                <w:sz w:val="20"/>
                <w:szCs w:val="20"/>
              </w:rPr>
              <w:t>.2012</w:t>
            </w:r>
            <w:r w:rsidR="007333FF" w:rsidRPr="007333FF">
              <w:rPr>
                <w:sz w:val="20"/>
                <w:szCs w:val="20"/>
                <w:lang w:val="fr-CA"/>
              </w:rPr>
              <w:pict>
                <v:rect id="_x0000_i1038" style="width:108pt;height:1pt" o:hrpct="0" o:hralign="center" o:hrstd="t" o:hrnoshade="t" o:hr="t" fillcolor="black [3213]" stroked="f"/>
              </w:pict>
            </w:r>
          </w:p>
        </w:tc>
      </w:tr>
      <w:tr w:rsidR="00C4747E" w:rsidRPr="0019550B" w:rsidTr="003B3977">
        <w:trPr>
          <w:cantSplit/>
        </w:trPr>
        <w:tc>
          <w:tcPr>
            <w:tcW w:w="4320" w:type="dxa"/>
            <w:shd w:val="clear" w:color="auto" w:fill="auto"/>
          </w:tcPr>
          <w:p w:rsidR="00C4747E" w:rsidRPr="00665450" w:rsidRDefault="00C4747E" w:rsidP="00C4747E">
            <w:pPr>
              <w:rPr>
                <w:b/>
                <w:sz w:val="20"/>
                <w:szCs w:val="20"/>
              </w:rPr>
            </w:pPr>
            <w:r w:rsidRPr="00665450">
              <w:rPr>
                <w:b/>
                <w:sz w:val="20"/>
                <w:szCs w:val="20"/>
              </w:rPr>
              <w:lastRenderedPageBreak/>
              <w:t>Bertina Alfano, Trustee of the Carmen Alfano Family Trust et al.</w:t>
            </w:r>
          </w:p>
          <w:p w:rsidR="00C4747E" w:rsidRPr="00665450" w:rsidRDefault="00C4747E" w:rsidP="00C4747E">
            <w:pPr>
              <w:tabs>
                <w:tab w:val="left" w:pos="-1440"/>
                <w:tab w:val="left" w:pos="-720"/>
              </w:tabs>
              <w:rPr>
                <w:sz w:val="20"/>
                <w:szCs w:val="20"/>
              </w:rPr>
            </w:pPr>
            <w:r w:rsidRPr="00665450">
              <w:rPr>
                <w:sz w:val="20"/>
                <w:szCs w:val="20"/>
              </w:rPr>
              <w:tab/>
            </w:r>
            <w:r>
              <w:rPr>
                <w:sz w:val="20"/>
                <w:szCs w:val="20"/>
              </w:rPr>
              <w:t>Kevin D. Sherkin</w:t>
            </w:r>
          </w:p>
          <w:p w:rsidR="00C4747E" w:rsidRPr="00665450" w:rsidRDefault="00C4747E" w:rsidP="00C4747E">
            <w:pPr>
              <w:tabs>
                <w:tab w:val="left" w:pos="-1440"/>
                <w:tab w:val="left" w:pos="-720"/>
              </w:tabs>
              <w:rPr>
                <w:sz w:val="20"/>
                <w:szCs w:val="20"/>
              </w:rPr>
            </w:pPr>
            <w:r w:rsidRPr="00665450">
              <w:rPr>
                <w:sz w:val="20"/>
                <w:szCs w:val="20"/>
              </w:rPr>
              <w:tab/>
            </w:r>
            <w:r>
              <w:rPr>
                <w:sz w:val="20"/>
                <w:szCs w:val="20"/>
              </w:rPr>
              <w:t>Levine, Sherkin, Boussidan</w:t>
            </w:r>
          </w:p>
          <w:p w:rsidR="00C4747E" w:rsidRPr="00665450" w:rsidRDefault="00C4747E" w:rsidP="00C4747E">
            <w:pPr>
              <w:tabs>
                <w:tab w:val="left" w:pos="-1440"/>
                <w:tab w:val="left" w:pos="-720"/>
              </w:tabs>
              <w:rPr>
                <w:sz w:val="20"/>
                <w:szCs w:val="20"/>
              </w:rPr>
            </w:pPr>
          </w:p>
          <w:p w:rsidR="00C4747E" w:rsidRPr="00665450" w:rsidRDefault="00C4747E" w:rsidP="00C4747E">
            <w:pPr>
              <w:tabs>
                <w:tab w:val="left" w:pos="-1440"/>
                <w:tab w:val="left" w:pos="-720"/>
              </w:tabs>
              <w:rPr>
                <w:sz w:val="20"/>
                <w:szCs w:val="20"/>
                <w:lang w:val="fr-CA"/>
              </w:rPr>
            </w:pPr>
            <w:r w:rsidRPr="00665450">
              <w:rPr>
                <w:sz w:val="20"/>
                <w:szCs w:val="20"/>
              </w:rPr>
              <w:tab/>
            </w:r>
            <w:r w:rsidRPr="00665450">
              <w:rPr>
                <w:sz w:val="20"/>
                <w:szCs w:val="20"/>
                <w:lang w:val="fr-CA"/>
              </w:rPr>
              <w:t>v. (34907)</w:t>
            </w:r>
          </w:p>
          <w:p w:rsidR="00C4747E" w:rsidRPr="00665450" w:rsidRDefault="00C4747E" w:rsidP="00C4747E">
            <w:pPr>
              <w:tabs>
                <w:tab w:val="left" w:pos="-1440"/>
                <w:tab w:val="left" w:pos="-720"/>
              </w:tabs>
              <w:rPr>
                <w:sz w:val="20"/>
                <w:szCs w:val="20"/>
                <w:lang w:val="fr-CA"/>
              </w:rPr>
            </w:pPr>
          </w:p>
          <w:p w:rsidR="00C4747E" w:rsidRPr="00665450" w:rsidRDefault="00C4747E" w:rsidP="00C4747E">
            <w:pPr>
              <w:tabs>
                <w:tab w:val="left" w:pos="-1440"/>
                <w:tab w:val="left" w:pos="-720"/>
              </w:tabs>
              <w:rPr>
                <w:b/>
                <w:sz w:val="20"/>
                <w:szCs w:val="20"/>
              </w:rPr>
            </w:pPr>
            <w:r w:rsidRPr="00665450">
              <w:rPr>
                <w:b/>
                <w:sz w:val="20"/>
                <w:szCs w:val="20"/>
                <w:lang w:val="fr-CA"/>
              </w:rPr>
              <w:t xml:space="preserve">Christian Piersanti et al. </w:t>
            </w:r>
            <w:r w:rsidRPr="00665450">
              <w:rPr>
                <w:b/>
                <w:sz w:val="20"/>
                <w:szCs w:val="20"/>
              </w:rPr>
              <w:t>(</w:t>
            </w:r>
            <w:r>
              <w:rPr>
                <w:b/>
                <w:sz w:val="20"/>
                <w:szCs w:val="20"/>
              </w:rPr>
              <w:t>Ont</w:t>
            </w:r>
            <w:r w:rsidRPr="00665450">
              <w:rPr>
                <w:b/>
                <w:sz w:val="20"/>
                <w:szCs w:val="20"/>
              </w:rPr>
              <w:t>.)</w:t>
            </w:r>
          </w:p>
          <w:p w:rsidR="00C4747E" w:rsidRPr="00665450" w:rsidRDefault="00C4747E" w:rsidP="00C4747E">
            <w:pPr>
              <w:tabs>
                <w:tab w:val="left" w:pos="-1440"/>
                <w:tab w:val="left" w:pos="-720"/>
              </w:tabs>
              <w:rPr>
                <w:sz w:val="20"/>
                <w:szCs w:val="20"/>
              </w:rPr>
            </w:pPr>
            <w:r w:rsidRPr="00665450">
              <w:rPr>
                <w:sz w:val="20"/>
                <w:szCs w:val="20"/>
              </w:rPr>
              <w:tab/>
            </w:r>
            <w:r>
              <w:rPr>
                <w:sz w:val="20"/>
                <w:szCs w:val="20"/>
              </w:rPr>
              <w:t xml:space="preserve">V. Ross Morrison </w:t>
            </w:r>
          </w:p>
          <w:p w:rsidR="00C4747E" w:rsidRPr="00665450" w:rsidRDefault="00C4747E" w:rsidP="00C4747E">
            <w:pPr>
              <w:tabs>
                <w:tab w:val="left" w:pos="-1440"/>
                <w:tab w:val="left" w:pos="-720"/>
              </w:tabs>
              <w:rPr>
                <w:sz w:val="20"/>
                <w:szCs w:val="20"/>
              </w:rPr>
            </w:pPr>
            <w:r w:rsidRPr="00665450">
              <w:rPr>
                <w:sz w:val="20"/>
                <w:szCs w:val="20"/>
              </w:rPr>
              <w:tab/>
            </w:r>
            <w:r>
              <w:rPr>
                <w:sz w:val="20"/>
                <w:szCs w:val="20"/>
              </w:rPr>
              <w:t>Morrison Brown Sosnovitch</w:t>
            </w:r>
          </w:p>
          <w:p w:rsidR="00C4747E" w:rsidRPr="00665450" w:rsidRDefault="00C4747E" w:rsidP="00C4747E">
            <w:pPr>
              <w:tabs>
                <w:tab w:val="left" w:pos="-1440"/>
                <w:tab w:val="left" w:pos="-720"/>
              </w:tabs>
              <w:rPr>
                <w:sz w:val="20"/>
                <w:szCs w:val="20"/>
              </w:rPr>
            </w:pPr>
          </w:p>
          <w:p w:rsidR="00C4747E" w:rsidRPr="00665450" w:rsidRDefault="00C4747E" w:rsidP="00C4747E">
            <w:pPr>
              <w:rPr>
                <w:sz w:val="20"/>
                <w:szCs w:val="20"/>
              </w:rPr>
            </w:pPr>
            <w:r w:rsidRPr="00665450">
              <w:rPr>
                <w:sz w:val="20"/>
                <w:szCs w:val="20"/>
              </w:rPr>
              <w:t xml:space="preserve">FILING DATE: </w:t>
            </w:r>
            <w:r>
              <w:rPr>
                <w:sz w:val="20"/>
                <w:szCs w:val="20"/>
              </w:rPr>
              <w:t>30</w:t>
            </w:r>
            <w:r w:rsidRPr="00665450">
              <w:rPr>
                <w:sz w:val="20"/>
                <w:szCs w:val="20"/>
              </w:rPr>
              <w:t>.0</w:t>
            </w:r>
            <w:r>
              <w:rPr>
                <w:sz w:val="20"/>
                <w:szCs w:val="20"/>
              </w:rPr>
              <w:t>7</w:t>
            </w:r>
            <w:r w:rsidRPr="00665450">
              <w:rPr>
                <w:sz w:val="20"/>
                <w:szCs w:val="20"/>
              </w:rPr>
              <w:t>.2012</w:t>
            </w:r>
          </w:p>
          <w:p w:rsidR="00C4747E" w:rsidRPr="00665450" w:rsidRDefault="00C4747E" w:rsidP="001125C1">
            <w:pPr>
              <w:rPr>
                <w:b/>
                <w:sz w:val="20"/>
                <w:szCs w:val="20"/>
              </w:rPr>
            </w:pPr>
          </w:p>
        </w:tc>
        <w:tc>
          <w:tcPr>
            <w:tcW w:w="1181" w:type="dxa"/>
            <w:shd w:val="clear" w:color="auto" w:fill="auto"/>
          </w:tcPr>
          <w:p w:rsidR="00C4747E" w:rsidRDefault="00C4747E" w:rsidP="00242AEE">
            <w:pPr>
              <w:jc w:val="center"/>
              <w:rPr>
                <w:sz w:val="20"/>
                <w:szCs w:val="20"/>
              </w:rPr>
            </w:pPr>
          </w:p>
          <w:p w:rsidR="00241C78" w:rsidRDefault="00241C78" w:rsidP="00242AEE">
            <w:pPr>
              <w:jc w:val="center"/>
              <w:rPr>
                <w:sz w:val="20"/>
                <w:szCs w:val="20"/>
              </w:rPr>
            </w:pPr>
          </w:p>
          <w:p w:rsidR="00241C78" w:rsidRDefault="00241C78" w:rsidP="00242AEE">
            <w:pPr>
              <w:jc w:val="center"/>
              <w:rPr>
                <w:sz w:val="20"/>
                <w:szCs w:val="20"/>
              </w:rPr>
            </w:pPr>
          </w:p>
          <w:p w:rsidR="00241C78" w:rsidRDefault="00241C78" w:rsidP="00242AEE">
            <w:pPr>
              <w:jc w:val="center"/>
              <w:rPr>
                <w:sz w:val="20"/>
                <w:szCs w:val="20"/>
              </w:rPr>
            </w:pPr>
          </w:p>
          <w:p w:rsidR="00241C78" w:rsidRDefault="00241C78" w:rsidP="00242AEE">
            <w:pPr>
              <w:jc w:val="center"/>
              <w:rPr>
                <w:sz w:val="20"/>
                <w:szCs w:val="20"/>
              </w:rPr>
            </w:pPr>
          </w:p>
          <w:p w:rsidR="00241C78" w:rsidRDefault="00241C78" w:rsidP="00242AEE">
            <w:pPr>
              <w:jc w:val="center"/>
              <w:rPr>
                <w:sz w:val="20"/>
                <w:szCs w:val="20"/>
              </w:rPr>
            </w:pPr>
          </w:p>
          <w:p w:rsidR="00241C78" w:rsidRDefault="00241C78" w:rsidP="00242AEE">
            <w:pPr>
              <w:jc w:val="center"/>
              <w:rPr>
                <w:sz w:val="20"/>
                <w:szCs w:val="20"/>
              </w:rPr>
            </w:pPr>
          </w:p>
          <w:p w:rsidR="00241C78" w:rsidRDefault="00241C78" w:rsidP="00242AEE">
            <w:pPr>
              <w:jc w:val="center"/>
              <w:rPr>
                <w:sz w:val="20"/>
                <w:szCs w:val="20"/>
              </w:rPr>
            </w:pPr>
          </w:p>
          <w:p w:rsidR="00241C78" w:rsidRDefault="00241C78" w:rsidP="00242AEE">
            <w:pPr>
              <w:jc w:val="center"/>
              <w:rPr>
                <w:sz w:val="20"/>
                <w:szCs w:val="20"/>
              </w:rPr>
            </w:pPr>
          </w:p>
          <w:p w:rsidR="00241C78" w:rsidRDefault="00241C78" w:rsidP="00242AEE">
            <w:pPr>
              <w:jc w:val="center"/>
              <w:rPr>
                <w:sz w:val="20"/>
                <w:szCs w:val="20"/>
              </w:rPr>
            </w:pPr>
          </w:p>
          <w:p w:rsidR="00241C78" w:rsidRDefault="00241C78" w:rsidP="00242AEE">
            <w:pPr>
              <w:jc w:val="center"/>
              <w:rPr>
                <w:sz w:val="20"/>
                <w:szCs w:val="20"/>
              </w:rPr>
            </w:pPr>
          </w:p>
          <w:p w:rsidR="00241C78" w:rsidRDefault="00241C78" w:rsidP="00242AEE">
            <w:pPr>
              <w:jc w:val="center"/>
              <w:rPr>
                <w:sz w:val="20"/>
                <w:szCs w:val="20"/>
              </w:rPr>
            </w:pPr>
          </w:p>
          <w:p w:rsidR="00241C78" w:rsidRPr="00665450" w:rsidRDefault="00241C78" w:rsidP="00242AEE">
            <w:pPr>
              <w:jc w:val="center"/>
              <w:rPr>
                <w:sz w:val="20"/>
                <w:szCs w:val="20"/>
              </w:rPr>
            </w:pPr>
          </w:p>
        </w:tc>
        <w:tc>
          <w:tcPr>
            <w:tcW w:w="4320" w:type="dxa"/>
            <w:shd w:val="clear" w:color="auto" w:fill="auto"/>
          </w:tcPr>
          <w:p w:rsidR="00C4747E" w:rsidRPr="007321D8" w:rsidRDefault="00C4747E" w:rsidP="00C4747E">
            <w:pPr>
              <w:keepNext/>
              <w:keepLines/>
              <w:tabs>
                <w:tab w:val="left" w:pos="-1440"/>
                <w:tab w:val="left" w:pos="-720"/>
              </w:tabs>
              <w:rPr>
                <w:b/>
                <w:sz w:val="20"/>
                <w:szCs w:val="20"/>
                <w:lang w:val="fr-CA"/>
              </w:rPr>
            </w:pPr>
            <w:r w:rsidRPr="007321D8">
              <w:rPr>
                <w:b/>
                <w:sz w:val="20"/>
                <w:szCs w:val="20"/>
                <w:lang w:val="fr-CA"/>
              </w:rPr>
              <w:t>Susan J. Garnier et al.</w:t>
            </w:r>
          </w:p>
          <w:p w:rsidR="00C4747E" w:rsidRPr="007321D8" w:rsidRDefault="00C4747E" w:rsidP="00C4747E">
            <w:pPr>
              <w:keepNext/>
              <w:keepLines/>
              <w:tabs>
                <w:tab w:val="left" w:pos="-1440"/>
                <w:tab w:val="left" w:pos="-720"/>
              </w:tabs>
              <w:rPr>
                <w:sz w:val="20"/>
                <w:szCs w:val="20"/>
              </w:rPr>
            </w:pPr>
            <w:r w:rsidRPr="007321D8">
              <w:rPr>
                <w:sz w:val="20"/>
                <w:szCs w:val="20"/>
                <w:lang w:val="fr-CA"/>
              </w:rPr>
              <w:tab/>
            </w:r>
            <w:r w:rsidRPr="007321D8">
              <w:rPr>
                <w:sz w:val="20"/>
                <w:szCs w:val="20"/>
              </w:rPr>
              <w:t>Dean P. Davison</w:t>
            </w:r>
          </w:p>
          <w:p w:rsidR="00C4747E" w:rsidRPr="007321D8" w:rsidRDefault="00C4747E" w:rsidP="00C4747E">
            <w:pPr>
              <w:keepNext/>
              <w:keepLines/>
              <w:tabs>
                <w:tab w:val="left" w:pos="-1440"/>
                <w:tab w:val="left" w:pos="-720"/>
              </w:tabs>
              <w:rPr>
                <w:sz w:val="20"/>
                <w:szCs w:val="20"/>
              </w:rPr>
            </w:pPr>
            <w:r w:rsidRPr="007321D8">
              <w:rPr>
                <w:sz w:val="20"/>
                <w:szCs w:val="20"/>
              </w:rPr>
              <w:tab/>
              <w:t xml:space="preserve">Dean P. </w:t>
            </w:r>
            <w:r>
              <w:rPr>
                <w:sz w:val="20"/>
                <w:szCs w:val="20"/>
              </w:rPr>
              <w:t>Davison Law Group</w:t>
            </w:r>
          </w:p>
          <w:p w:rsidR="00C4747E" w:rsidRPr="007321D8" w:rsidRDefault="00C4747E" w:rsidP="00C4747E">
            <w:pPr>
              <w:keepNext/>
              <w:keepLines/>
              <w:tabs>
                <w:tab w:val="left" w:pos="-1440"/>
                <w:tab w:val="left" w:pos="-720"/>
              </w:tabs>
              <w:rPr>
                <w:sz w:val="20"/>
                <w:szCs w:val="20"/>
              </w:rPr>
            </w:pPr>
          </w:p>
          <w:p w:rsidR="00C4747E" w:rsidRPr="007321D8" w:rsidRDefault="00C4747E" w:rsidP="00C4747E">
            <w:pPr>
              <w:keepNext/>
              <w:keepLines/>
              <w:tabs>
                <w:tab w:val="left" w:pos="-1440"/>
                <w:tab w:val="left" w:pos="-720"/>
              </w:tabs>
              <w:rPr>
                <w:sz w:val="20"/>
                <w:szCs w:val="20"/>
              </w:rPr>
            </w:pPr>
            <w:r w:rsidRPr="007321D8">
              <w:rPr>
                <w:sz w:val="20"/>
                <w:szCs w:val="20"/>
              </w:rPr>
              <w:tab/>
              <w:t>v. (34</w:t>
            </w:r>
            <w:r>
              <w:rPr>
                <w:sz w:val="20"/>
                <w:szCs w:val="20"/>
              </w:rPr>
              <w:t>911</w:t>
            </w:r>
            <w:r w:rsidRPr="007321D8">
              <w:rPr>
                <w:sz w:val="20"/>
                <w:szCs w:val="20"/>
              </w:rPr>
              <w:t>)</w:t>
            </w:r>
          </w:p>
          <w:p w:rsidR="00C4747E" w:rsidRPr="007321D8" w:rsidRDefault="00C4747E" w:rsidP="00C4747E">
            <w:pPr>
              <w:keepNext/>
              <w:keepLines/>
              <w:tabs>
                <w:tab w:val="left" w:pos="-1440"/>
                <w:tab w:val="left" w:pos="-720"/>
              </w:tabs>
              <w:rPr>
                <w:sz w:val="20"/>
                <w:szCs w:val="20"/>
              </w:rPr>
            </w:pPr>
          </w:p>
          <w:p w:rsidR="00C4747E" w:rsidRPr="007321D8" w:rsidRDefault="00C4747E" w:rsidP="00C4747E">
            <w:pPr>
              <w:keepNext/>
              <w:keepLines/>
              <w:tabs>
                <w:tab w:val="left" w:pos="-1440"/>
                <w:tab w:val="left" w:pos="-720"/>
              </w:tabs>
              <w:rPr>
                <w:b/>
                <w:sz w:val="20"/>
                <w:szCs w:val="20"/>
              </w:rPr>
            </w:pPr>
            <w:r>
              <w:rPr>
                <w:b/>
                <w:sz w:val="20"/>
                <w:szCs w:val="20"/>
              </w:rPr>
              <w:t xml:space="preserve">Lucy Hundley et al. </w:t>
            </w:r>
            <w:r w:rsidRPr="007321D8">
              <w:rPr>
                <w:b/>
                <w:sz w:val="20"/>
                <w:szCs w:val="20"/>
              </w:rPr>
              <w:t>(</w:t>
            </w:r>
            <w:r>
              <w:rPr>
                <w:b/>
                <w:sz w:val="20"/>
                <w:szCs w:val="20"/>
              </w:rPr>
              <w:t>B.C</w:t>
            </w:r>
            <w:r w:rsidRPr="007321D8">
              <w:rPr>
                <w:b/>
                <w:sz w:val="20"/>
                <w:szCs w:val="20"/>
              </w:rPr>
              <w:t>.)</w:t>
            </w:r>
          </w:p>
          <w:p w:rsidR="00C4747E" w:rsidRPr="007321D8" w:rsidRDefault="00C4747E" w:rsidP="00C4747E">
            <w:pPr>
              <w:keepNext/>
              <w:keepLines/>
              <w:tabs>
                <w:tab w:val="left" w:pos="-1440"/>
                <w:tab w:val="left" w:pos="-720"/>
              </w:tabs>
              <w:rPr>
                <w:sz w:val="20"/>
                <w:szCs w:val="20"/>
              </w:rPr>
            </w:pPr>
            <w:r w:rsidRPr="007321D8">
              <w:rPr>
                <w:sz w:val="20"/>
                <w:szCs w:val="20"/>
              </w:rPr>
              <w:tab/>
            </w:r>
            <w:r>
              <w:rPr>
                <w:sz w:val="20"/>
                <w:szCs w:val="20"/>
              </w:rPr>
              <w:t>Todd A. McKendrick</w:t>
            </w:r>
          </w:p>
          <w:p w:rsidR="00C4747E" w:rsidRPr="007321D8" w:rsidRDefault="00C4747E" w:rsidP="00C4747E">
            <w:pPr>
              <w:keepNext/>
              <w:keepLines/>
              <w:tabs>
                <w:tab w:val="left" w:pos="-1440"/>
                <w:tab w:val="left" w:pos="-720"/>
              </w:tabs>
              <w:rPr>
                <w:sz w:val="20"/>
                <w:szCs w:val="20"/>
              </w:rPr>
            </w:pPr>
            <w:r w:rsidRPr="007321D8">
              <w:rPr>
                <w:sz w:val="20"/>
                <w:szCs w:val="20"/>
              </w:rPr>
              <w:tab/>
            </w:r>
            <w:r>
              <w:rPr>
                <w:sz w:val="20"/>
                <w:szCs w:val="20"/>
              </w:rPr>
              <w:t xml:space="preserve">MacKenzie Fujisawa </w:t>
            </w:r>
          </w:p>
          <w:p w:rsidR="00C4747E" w:rsidRPr="007321D8" w:rsidRDefault="00C4747E" w:rsidP="00C4747E">
            <w:pPr>
              <w:keepNext/>
              <w:keepLines/>
              <w:tabs>
                <w:tab w:val="left" w:pos="-1440"/>
                <w:tab w:val="left" w:pos="-720"/>
              </w:tabs>
              <w:rPr>
                <w:sz w:val="20"/>
                <w:szCs w:val="20"/>
              </w:rPr>
            </w:pPr>
          </w:p>
          <w:p w:rsidR="00C4747E" w:rsidRPr="00894654" w:rsidRDefault="00C4747E" w:rsidP="00C4747E">
            <w:pPr>
              <w:rPr>
                <w:sz w:val="20"/>
                <w:szCs w:val="20"/>
              </w:rPr>
            </w:pPr>
            <w:r w:rsidRPr="00A935AA">
              <w:rPr>
                <w:sz w:val="20"/>
                <w:szCs w:val="20"/>
              </w:rPr>
              <w:t xml:space="preserve">FILING DATE: </w:t>
            </w:r>
            <w:r>
              <w:rPr>
                <w:sz w:val="20"/>
                <w:szCs w:val="20"/>
              </w:rPr>
              <w:t>0</w:t>
            </w:r>
            <w:r w:rsidRPr="00A935AA">
              <w:rPr>
                <w:sz w:val="20"/>
                <w:szCs w:val="20"/>
              </w:rPr>
              <w:t>2.0</w:t>
            </w:r>
            <w:r>
              <w:rPr>
                <w:sz w:val="20"/>
                <w:szCs w:val="20"/>
              </w:rPr>
              <w:t>8</w:t>
            </w:r>
            <w:r w:rsidRPr="00A935AA">
              <w:rPr>
                <w:sz w:val="20"/>
                <w:szCs w:val="20"/>
              </w:rPr>
              <w:t>.201</w:t>
            </w:r>
            <w:r>
              <w:rPr>
                <w:sz w:val="20"/>
                <w:szCs w:val="20"/>
              </w:rPr>
              <w:t>2</w:t>
            </w:r>
            <w:r w:rsidR="007333FF" w:rsidRPr="007333FF">
              <w:rPr>
                <w:sz w:val="20"/>
                <w:szCs w:val="20"/>
                <w:lang w:val="fr-CA"/>
              </w:rPr>
              <w:pict>
                <v:rect id="_x0000_i1039" style="width:108pt;height:1pt" o:hrpct="0" o:hralign="center" o:hrstd="t" o:hrnoshade="t" o:hr="t" fillcolor="black [3213]" stroked="f"/>
              </w:pict>
            </w:r>
          </w:p>
          <w:p w:rsidR="00C4747E" w:rsidRPr="00A935AA" w:rsidRDefault="00C4747E" w:rsidP="00C4747E">
            <w:pPr>
              <w:rPr>
                <w:sz w:val="20"/>
                <w:szCs w:val="20"/>
              </w:rPr>
            </w:pPr>
          </w:p>
        </w:tc>
      </w:tr>
      <w:tr w:rsidR="00C4747E" w:rsidRPr="00A935AA" w:rsidTr="003B3977">
        <w:trPr>
          <w:cantSplit/>
        </w:trPr>
        <w:tc>
          <w:tcPr>
            <w:tcW w:w="4320" w:type="dxa"/>
            <w:shd w:val="clear" w:color="auto" w:fill="auto"/>
          </w:tcPr>
          <w:p w:rsidR="00C4747E" w:rsidRPr="00665450" w:rsidRDefault="00C4747E" w:rsidP="001125C1">
            <w:pPr>
              <w:rPr>
                <w:sz w:val="20"/>
                <w:szCs w:val="20"/>
              </w:rPr>
            </w:pPr>
            <w:r>
              <w:rPr>
                <w:sz w:val="20"/>
                <w:szCs w:val="20"/>
              </w:rPr>
              <w:t>and between</w:t>
            </w:r>
          </w:p>
          <w:p w:rsidR="00C4747E" w:rsidRPr="007E1D87" w:rsidRDefault="00C4747E" w:rsidP="001125C1">
            <w:pPr>
              <w:rPr>
                <w:sz w:val="20"/>
                <w:szCs w:val="20"/>
              </w:rPr>
            </w:pPr>
          </w:p>
          <w:p w:rsidR="00C4747E" w:rsidRPr="00665450" w:rsidRDefault="00C4747E" w:rsidP="001125C1">
            <w:pPr>
              <w:rPr>
                <w:b/>
                <w:sz w:val="20"/>
                <w:szCs w:val="20"/>
              </w:rPr>
            </w:pPr>
            <w:r>
              <w:rPr>
                <w:b/>
                <w:sz w:val="20"/>
                <w:szCs w:val="20"/>
              </w:rPr>
              <w:t>Christian Piersanti</w:t>
            </w:r>
          </w:p>
          <w:p w:rsidR="00C4747E" w:rsidRPr="00665450" w:rsidRDefault="00C4747E" w:rsidP="007E1D87">
            <w:pPr>
              <w:tabs>
                <w:tab w:val="left" w:pos="-1440"/>
                <w:tab w:val="left" w:pos="-720"/>
              </w:tabs>
              <w:rPr>
                <w:sz w:val="20"/>
                <w:szCs w:val="20"/>
              </w:rPr>
            </w:pPr>
            <w:r w:rsidRPr="00665450">
              <w:rPr>
                <w:sz w:val="20"/>
                <w:szCs w:val="20"/>
              </w:rPr>
              <w:tab/>
            </w:r>
            <w:r>
              <w:rPr>
                <w:sz w:val="20"/>
                <w:szCs w:val="20"/>
              </w:rPr>
              <w:t xml:space="preserve">V. Ross Morrison </w:t>
            </w:r>
          </w:p>
          <w:p w:rsidR="00C4747E" w:rsidRPr="00665450" w:rsidRDefault="00C4747E" w:rsidP="007E1D87">
            <w:pPr>
              <w:tabs>
                <w:tab w:val="left" w:pos="-1440"/>
                <w:tab w:val="left" w:pos="-720"/>
              </w:tabs>
              <w:rPr>
                <w:sz w:val="20"/>
                <w:szCs w:val="20"/>
              </w:rPr>
            </w:pPr>
            <w:r w:rsidRPr="00665450">
              <w:rPr>
                <w:sz w:val="20"/>
                <w:szCs w:val="20"/>
              </w:rPr>
              <w:tab/>
            </w:r>
            <w:r>
              <w:rPr>
                <w:sz w:val="20"/>
                <w:szCs w:val="20"/>
              </w:rPr>
              <w:t>Morrison Brown Sosnovitch</w:t>
            </w:r>
          </w:p>
          <w:p w:rsidR="00C4747E" w:rsidRPr="00665450" w:rsidRDefault="00C4747E" w:rsidP="001125C1">
            <w:pPr>
              <w:tabs>
                <w:tab w:val="left" w:pos="-1440"/>
                <w:tab w:val="left" w:pos="-720"/>
              </w:tabs>
              <w:rPr>
                <w:sz w:val="20"/>
                <w:szCs w:val="20"/>
              </w:rPr>
            </w:pPr>
          </w:p>
          <w:p w:rsidR="00C4747E" w:rsidRPr="00A935AA" w:rsidRDefault="00C4747E" w:rsidP="001125C1">
            <w:pPr>
              <w:tabs>
                <w:tab w:val="left" w:pos="-1440"/>
                <w:tab w:val="left" w:pos="-720"/>
              </w:tabs>
              <w:rPr>
                <w:sz w:val="20"/>
                <w:szCs w:val="20"/>
              </w:rPr>
            </w:pPr>
            <w:r w:rsidRPr="00665450">
              <w:rPr>
                <w:sz w:val="20"/>
                <w:szCs w:val="20"/>
              </w:rPr>
              <w:tab/>
            </w:r>
            <w:r w:rsidRPr="00A935AA">
              <w:rPr>
                <w:sz w:val="20"/>
                <w:szCs w:val="20"/>
              </w:rPr>
              <w:t>v. (3</w:t>
            </w:r>
            <w:r>
              <w:rPr>
                <w:sz w:val="20"/>
                <w:szCs w:val="20"/>
              </w:rPr>
              <w:t>4907</w:t>
            </w:r>
            <w:r w:rsidRPr="00A935AA">
              <w:rPr>
                <w:sz w:val="20"/>
                <w:szCs w:val="20"/>
              </w:rPr>
              <w:t>)</w:t>
            </w:r>
          </w:p>
          <w:p w:rsidR="00C4747E" w:rsidRPr="00A935AA" w:rsidRDefault="00C4747E" w:rsidP="001125C1">
            <w:pPr>
              <w:tabs>
                <w:tab w:val="left" w:pos="-1440"/>
                <w:tab w:val="left" w:pos="-720"/>
              </w:tabs>
              <w:rPr>
                <w:sz w:val="20"/>
                <w:szCs w:val="20"/>
              </w:rPr>
            </w:pPr>
          </w:p>
          <w:p w:rsidR="00C4747E" w:rsidRPr="00A935AA" w:rsidRDefault="00C4747E" w:rsidP="001125C1">
            <w:pPr>
              <w:tabs>
                <w:tab w:val="left" w:pos="-1440"/>
                <w:tab w:val="left" w:pos="-720"/>
              </w:tabs>
              <w:rPr>
                <w:b/>
                <w:sz w:val="20"/>
                <w:szCs w:val="20"/>
              </w:rPr>
            </w:pPr>
            <w:r w:rsidRPr="00665450">
              <w:rPr>
                <w:b/>
                <w:sz w:val="20"/>
                <w:szCs w:val="20"/>
              </w:rPr>
              <w:t>Bertina Alfano, Trustee of the Carmen Alfano Family Trust et al.</w:t>
            </w:r>
            <w:r w:rsidRPr="00A935AA">
              <w:rPr>
                <w:b/>
                <w:sz w:val="20"/>
                <w:szCs w:val="20"/>
              </w:rPr>
              <w:t xml:space="preserve"> (</w:t>
            </w:r>
            <w:r>
              <w:rPr>
                <w:b/>
                <w:sz w:val="20"/>
                <w:szCs w:val="20"/>
              </w:rPr>
              <w:t>Ont</w:t>
            </w:r>
            <w:r w:rsidRPr="00A935AA">
              <w:rPr>
                <w:b/>
                <w:sz w:val="20"/>
                <w:szCs w:val="20"/>
              </w:rPr>
              <w:t>.)</w:t>
            </w:r>
          </w:p>
          <w:p w:rsidR="00C4747E" w:rsidRPr="00665450" w:rsidRDefault="00C4747E" w:rsidP="007E1D87">
            <w:pPr>
              <w:tabs>
                <w:tab w:val="left" w:pos="-1440"/>
                <w:tab w:val="left" w:pos="-720"/>
              </w:tabs>
              <w:rPr>
                <w:sz w:val="20"/>
                <w:szCs w:val="20"/>
              </w:rPr>
            </w:pPr>
            <w:r w:rsidRPr="00A935AA">
              <w:rPr>
                <w:sz w:val="20"/>
                <w:szCs w:val="20"/>
              </w:rPr>
              <w:tab/>
            </w:r>
            <w:r>
              <w:rPr>
                <w:sz w:val="20"/>
                <w:szCs w:val="20"/>
              </w:rPr>
              <w:t>Kevin D. Sherkin</w:t>
            </w:r>
          </w:p>
          <w:p w:rsidR="00C4747E" w:rsidRPr="00A935AA" w:rsidRDefault="00C4747E" w:rsidP="007E1D87">
            <w:pPr>
              <w:tabs>
                <w:tab w:val="left" w:pos="-1440"/>
                <w:tab w:val="left" w:pos="-720"/>
              </w:tabs>
              <w:rPr>
                <w:sz w:val="20"/>
                <w:szCs w:val="20"/>
              </w:rPr>
            </w:pPr>
            <w:r w:rsidRPr="00665450">
              <w:rPr>
                <w:sz w:val="20"/>
                <w:szCs w:val="20"/>
              </w:rPr>
              <w:tab/>
            </w:r>
            <w:r>
              <w:rPr>
                <w:sz w:val="20"/>
                <w:szCs w:val="20"/>
              </w:rPr>
              <w:t>Levine, Sherkin, Boussidan</w:t>
            </w:r>
          </w:p>
          <w:p w:rsidR="00C4747E" w:rsidRPr="00A935AA" w:rsidRDefault="00C4747E" w:rsidP="001125C1">
            <w:pPr>
              <w:tabs>
                <w:tab w:val="left" w:pos="-1440"/>
                <w:tab w:val="left" w:pos="-720"/>
              </w:tabs>
              <w:rPr>
                <w:sz w:val="20"/>
                <w:szCs w:val="20"/>
              </w:rPr>
            </w:pPr>
          </w:p>
          <w:p w:rsidR="00C4747E" w:rsidRPr="00A935AA" w:rsidRDefault="00C4747E" w:rsidP="001125C1">
            <w:pPr>
              <w:rPr>
                <w:sz w:val="20"/>
                <w:szCs w:val="20"/>
              </w:rPr>
            </w:pPr>
            <w:r w:rsidRPr="00A935AA">
              <w:rPr>
                <w:sz w:val="20"/>
                <w:szCs w:val="20"/>
              </w:rPr>
              <w:t xml:space="preserve">FILING DATE: </w:t>
            </w:r>
            <w:r>
              <w:rPr>
                <w:sz w:val="20"/>
                <w:szCs w:val="20"/>
              </w:rPr>
              <w:t>08</w:t>
            </w:r>
            <w:r w:rsidRPr="00A935AA">
              <w:rPr>
                <w:sz w:val="20"/>
                <w:szCs w:val="20"/>
              </w:rPr>
              <w:t>.0</w:t>
            </w:r>
            <w:r>
              <w:rPr>
                <w:sz w:val="20"/>
                <w:szCs w:val="20"/>
              </w:rPr>
              <w:t>8</w:t>
            </w:r>
            <w:r w:rsidRPr="00A935AA">
              <w:rPr>
                <w:sz w:val="20"/>
                <w:szCs w:val="20"/>
              </w:rPr>
              <w:t>.201</w:t>
            </w:r>
            <w:r>
              <w:rPr>
                <w:sz w:val="20"/>
                <w:szCs w:val="20"/>
              </w:rPr>
              <w:t>2</w:t>
            </w:r>
          </w:p>
          <w:p w:rsidR="00C4747E" w:rsidRPr="00A935AA" w:rsidRDefault="007333FF" w:rsidP="001125C1">
            <w:pPr>
              <w:rPr>
                <w:sz w:val="20"/>
                <w:szCs w:val="20"/>
              </w:rPr>
            </w:pPr>
            <w:r w:rsidRPr="007333FF">
              <w:rPr>
                <w:sz w:val="20"/>
                <w:szCs w:val="20"/>
                <w:lang w:val="fr-CA"/>
              </w:rPr>
              <w:pict>
                <v:rect id="_x0000_i1040" style="width:108pt;height:1pt" o:hrpct="0" o:hralign="center" o:hrstd="t" o:hrnoshade="t" o:hr="t" fillcolor="black [3213]" stroked="f"/>
              </w:pict>
            </w:r>
          </w:p>
        </w:tc>
        <w:tc>
          <w:tcPr>
            <w:tcW w:w="1181" w:type="dxa"/>
            <w:shd w:val="clear" w:color="auto" w:fill="auto"/>
          </w:tcPr>
          <w:p w:rsidR="00C4747E" w:rsidRDefault="00C4747E" w:rsidP="00242AEE">
            <w:pPr>
              <w:jc w:val="center"/>
              <w:rPr>
                <w:sz w:val="20"/>
                <w:szCs w:val="20"/>
              </w:rPr>
            </w:pPr>
          </w:p>
          <w:p w:rsidR="00C4747E" w:rsidRDefault="00C4747E" w:rsidP="00242AEE">
            <w:pPr>
              <w:jc w:val="center"/>
              <w:rPr>
                <w:sz w:val="20"/>
                <w:szCs w:val="20"/>
              </w:rPr>
            </w:pPr>
          </w:p>
          <w:p w:rsidR="00C4747E" w:rsidRDefault="00C4747E" w:rsidP="00242AEE">
            <w:pPr>
              <w:jc w:val="center"/>
              <w:rPr>
                <w:sz w:val="20"/>
                <w:szCs w:val="20"/>
              </w:rPr>
            </w:pPr>
          </w:p>
          <w:p w:rsidR="00C4747E" w:rsidRDefault="00C4747E" w:rsidP="00242AEE">
            <w:pPr>
              <w:jc w:val="center"/>
              <w:rPr>
                <w:sz w:val="20"/>
                <w:szCs w:val="20"/>
              </w:rPr>
            </w:pPr>
          </w:p>
          <w:p w:rsidR="00C4747E" w:rsidRDefault="00C4747E" w:rsidP="00242AEE">
            <w:pPr>
              <w:jc w:val="center"/>
              <w:rPr>
                <w:sz w:val="20"/>
                <w:szCs w:val="20"/>
              </w:rPr>
            </w:pPr>
          </w:p>
          <w:p w:rsidR="00C4747E" w:rsidRDefault="00C4747E" w:rsidP="00242AEE">
            <w:pPr>
              <w:jc w:val="center"/>
              <w:rPr>
                <w:sz w:val="20"/>
                <w:szCs w:val="20"/>
              </w:rPr>
            </w:pPr>
          </w:p>
          <w:p w:rsidR="00C4747E" w:rsidRDefault="00C4747E" w:rsidP="00242AEE">
            <w:pPr>
              <w:jc w:val="center"/>
              <w:rPr>
                <w:sz w:val="20"/>
                <w:szCs w:val="20"/>
              </w:rPr>
            </w:pPr>
          </w:p>
          <w:p w:rsidR="00C4747E" w:rsidRDefault="00C4747E" w:rsidP="00242AEE">
            <w:pPr>
              <w:jc w:val="center"/>
              <w:rPr>
                <w:sz w:val="20"/>
                <w:szCs w:val="20"/>
              </w:rPr>
            </w:pPr>
          </w:p>
          <w:p w:rsidR="00C4747E" w:rsidRDefault="00C4747E" w:rsidP="00242AEE">
            <w:pPr>
              <w:jc w:val="center"/>
              <w:rPr>
                <w:sz w:val="20"/>
                <w:szCs w:val="20"/>
              </w:rPr>
            </w:pPr>
          </w:p>
          <w:p w:rsidR="00C4747E" w:rsidRDefault="00C4747E" w:rsidP="00242AEE">
            <w:pPr>
              <w:jc w:val="center"/>
              <w:rPr>
                <w:sz w:val="20"/>
                <w:szCs w:val="20"/>
              </w:rPr>
            </w:pPr>
          </w:p>
          <w:p w:rsidR="00C4747E" w:rsidRDefault="00C4747E" w:rsidP="00242AEE">
            <w:pPr>
              <w:jc w:val="center"/>
              <w:rPr>
                <w:sz w:val="20"/>
                <w:szCs w:val="20"/>
              </w:rPr>
            </w:pPr>
          </w:p>
          <w:p w:rsidR="00C4747E" w:rsidRDefault="00C4747E" w:rsidP="00242AEE">
            <w:pPr>
              <w:jc w:val="center"/>
              <w:rPr>
                <w:sz w:val="20"/>
                <w:szCs w:val="20"/>
              </w:rPr>
            </w:pPr>
          </w:p>
          <w:p w:rsidR="00C4747E" w:rsidRDefault="00C4747E" w:rsidP="00242AEE">
            <w:pPr>
              <w:jc w:val="center"/>
              <w:rPr>
                <w:sz w:val="20"/>
                <w:szCs w:val="20"/>
              </w:rPr>
            </w:pPr>
          </w:p>
          <w:p w:rsidR="00C4747E" w:rsidRDefault="00C4747E" w:rsidP="00242AEE">
            <w:pPr>
              <w:jc w:val="center"/>
              <w:rPr>
                <w:sz w:val="20"/>
                <w:szCs w:val="20"/>
              </w:rPr>
            </w:pPr>
          </w:p>
          <w:p w:rsidR="00C4747E" w:rsidRDefault="00C4747E" w:rsidP="00242AEE">
            <w:pPr>
              <w:jc w:val="center"/>
              <w:rPr>
                <w:sz w:val="20"/>
                <w:szCs w:val="20"/>
              </w:rPr>
            </w:pPr>
          </w:p>
          <w:p w:rsidR="00C4747E" w:rsidRDefault="00C4747E" w:rsidP="00242AEE">
            <w:pPr>
              <w:jc w:val="center"/>
              <w:rPr>
                <w:sz w:val="20"/>
                <w:szCs w:val="20"/>
              </w:rPr>
            </w:pPr>
          </w:p>
        </w:tc>
        <w:tc>
          <w:tcPr>
            <w:tcW w:w="4320" w:type="dxa"/>
            <w:shd w:val="clear" w:color="auto" w:fill="auto"/>
          </w:tcPr>
          <w:p w:rsidR="00241C78" w:rsidRPr="007321D8" w:rsidRDefault="00241C78" w:rsidP="00241C78">
            <w:pPr>
              <w:rPr>
                <w:b/>
                <w:sz w:val="20"/>
                <w:szCs w:val="20"/>
              </w:rPr>
            </w:pPr>
            <w:r>
              <w:rPr>
                <w:b/>
                <w:sz w:val="20"/>
                <w:szCs w:val="20"/>
              </w:rPr>
              <w:t>Canadian Union of Skilled Workers et al.</w:t>
            </w:r>
          </w:p>
          <w:p w:rsidR="00241C78" w:rsidRDefault="00241C78" w:rsidP="00241C78">
            <w:pPr>
              <w:rPr>
                <w:sz w:val="20"/>
                <w:szCs w:val="20"/>
              </w:rPr>
            </w:pPr>
            <w:r>
              <w:rPr>
                <w:sz w:val="20"/>
                <w:szCs w:val="20"/>
              </w:rPr>
              <w:tab/>
              <w:t>L.A. Richmond</w:t>
            </w:r>
          </w:p>
          <w:p w:rsidR="00C4747E" w:rsidRPr="00A935AA" w:rsidRDefault="00241C78" w:rsidP="00241C78">
            <w:pPr>
              <w:keepNext/>
              <w:keepLines/>
              <w:tabs>
                <w:tab w:val="left" w:pos="-1440"/>
                <w:tab w:val="left" w:pos="-720"/>
              </w:tabs>
              <w:rPr>
                <w:sz w:val="20"/>
                <w:szCs w:val="20"/>
              </w:rPr>
            </w:pPr>
            <w:r>
              <w:rPr>
                <w:sz w:val="20"/>
                <w:szCs w:val="20"/>
              </w:rPr>
              <w:tab/>
              <w:t>Sack Golblatt Mitchell LLP</w:t>
            </w:r>
          </w:p>
          <w:p w:rsidR="00C4747E" w:rsidRPr="007321D8" w:rsidRDefault="00C4747E" w:rsidP="00C4747E">
            <w:pPr>
              <w:keepNext/>
              <w:keepLines/>
              <w:tabs>
                <w:tab w:val="left" w:pos="-1440"/>
                <w:tab w:val="left" w:pos="-720"/>
              </w:tabs>
              <w:rPr>
                <w:sz w:val="20"/>
                <w:szCs w:val="20"/>
              </w:rPr>
            </w:pPr>
            <w:r w:rsidRPr="00A935AA">
              <w:rPr>
                <w:sz w:val="20"/>
                <w:szCs w:val="20"/>
              </w:rPr>
              <w:tab/>
            </w:r>
            <w:r w:rsidRPr="007321D8">
              <w:rPr>
                <w:sz w:val="20"/>
                <w:szCs w:val="20"/>
              </w:rPr>
              <w:t>v. (34</w:t>
            </w:r>
            <w:r>
              <w:rPr>
                <w:sz w:val="20"/>
                <w:szCs w:val="20"/>
              </w:rPr>
              <w:t>915</w:t>
            </w:r>
            <w:r w:rsidRPr="007321D8">
              <w:rPr>
                <w:sz w:val="20"/>
                <w:szCs w:val="20"/>
              </w:rPr>
              <w:t>)</w:t>
            </w:r>
          </w:p>
          <w:p w:rsidR="00C4747E" w:rsidRPr="007321D8" w:rsidRDefault="00C4747E" w:rsidP="00C4747E">
            <w:pPr>
              <w:keepNext/>
              <w:keepLines/>
              <w:tabs>
                <w:tab w:val="left" w:pos="-1440"/>
                <w:tab w:val="left" w:pos="-720"/>
              </w:tabs>
              <w:rPr>
                <w:sz w:val="20"/>
                <w:szCs w:val="20"/>
              </w:rPr>
            </w:pPr>
          </w:p>
          <w:p w:rsidR="00C4747E" w:rsidRPr="007321D8" w:rsidRDefault="00C4747E" w:rsidP="00C4747E">
            <w:pPr>
              <w:keepNext/>
              <w:keepLines/>
              <w:tabs>
                <w:tab w:val="left" w:pos="-1440"/>
                <w:tab w:val="left" w:pos="-720"/>
              </w:tabs>
              <w:rPr>
                <w:b/>
                <w:sz w:val="20"/>
                <w:szCs w:val="20"/>
              </w:rPr>
            </w:pPr>
            <w:r>
              <w:rPr>
                <w:b/>
                <w:sz w:val="20"/>
                <w:szCs w:val="20"/>
              </w:rPr>
              <w:t xml:space="preserve">Independent Electricity System Operator et al. </w:t>
            </w:r>
            <w:r w:rsidRPr="007321D8">
              <w:rPr>
                <w:b/>
                <w:sz w:val="20"/>
                <w:szCs w:val="20"/>
              </w:rPr>
              <w:t>(Ont.)</w:t>
            </w:r>
          </w:p>
          <w:p w:rsidR="00C4747E" w:rsidRPr="007321D8" w:rsidRDefault="00C4747E" w:rsidP="00C4747E">
            <w:pPr>
              <w:keepNext/>
              <w:keepLines/>
              <w:tabs>
                <w:tab w:val="left" w:pos="-1440"/>
                <w:tab w:val="left" w:pos="-720"/>
              </w:tabs>
              <w:rPr>
                <w:sz w:val="20"/>
                <w:szCs w:val="20"/>
              </w:rPr>
            </w:pPr>
            <w:r w:rsidRPr="007321D8">
              <w:rPr>
                <w:sz w:val="20"/>
                <w:szCs w:val="20"/>
              </w:rPr>
              <w:tab/>
            </w:r>
            <w:r>
              <w:rPr>
                <w:sz w:val="20"/>
                <w:szCs w:val="20"/>
              </w:rPr>
              <w:t>Richard J. Charney</w:t>
            </w:r>
          </w:p>
          <w:p w:rsidR="00C4747E" w:rsidRPr="007321D8" w:rsidRDefault="00C4747E" w:rsidP="00C4747E">
            <w:pPr>
              <w:keepNext/>
              <w:keepLines/>
              <w:tabs>
                <w:tab w:val="left" w:pos="-1440"/>
                <w:tab w:val="left" w:pos="-720"/>
              </w:tabs>
              <w:rPr>
                <w:sz w:val="20"/>
                <w:szCs w:val="20"/>
              </w:rPr>
            </w:pPr>
            <w:r w:rsidRPr="007321D8">
              <w:rPr>
                <w:sz w:val="20"/>
                <w:szCs w:val="20"/>
              </w:rPr>
              <w:tab/>
            </w:r>
            <w:r>
              <w:rPr>
                <w:sz w:val="20"/>
                <w:szCs w:val="20"/>
              </w:rPr>
              <w:t>Norton Rose LLP</w:t>
            </w:r>
          </w:p>
          <w:p w:rsidR="00C4747E" w:rsidRPr="007321D8" w:rsidRDefault="00C4747E" w:rsidP="00C4747E">
            <w:pPr>
              <w:keepNext/>
              <w:keepLines/>
              <w:tabs>
                <w:tab w:val="left" w:pos="-1440"/>
                <w:tab w:val="left" w:pos="-720"/>
              </w:tabs>
              <w:rPr>
                <w:sz w:val="20"/>
                <w:szCs w:val="20"/>
              </w:rPr>
            </w:pPr>
          </w:p>
          <w:p w:rsidR="00C4747E" w:rsidRPr="00A935AA" w:rsidRDefault="00C4747E" w:rsidP="00C4747E">
            <w:pPr>
              <w:rPr>
                <w:sz w:val="20"/>
                <w:szCs w:val="20"/>
              </w:rPr>
            </w:pPr>
            <w:r w:rsidRPr="00A935AA">
              <w:rPr>
                <w:sz w:val="20"/>
                <w:szCs w:val="20"/>
              </w:rPr>
              <w:t xml:space="preserve">FILING DATE: </w:t>
            </w:r>
            <w:r>
              <w:rPr>
                <w:sz w:val="20"/>
                <w:szCs w:val="20"/>
              </w:rPr>
              <w:t>03</w:t>
            </w:r>
            <w:r w:rsidRPr="00A935AA">
              <w:rPr>
                <w:sz w:val="20"/>
                <w:szCs w:val="20"/>
              </w:rPr>
              <w:t>.0</w:t>
            </w:r>
            <w:r>
              <w:rPr>
                <w:sz w:val="20"/>
                <w:szCs w:val="20"/>
              </w:rPr>
              <w:t>8</w:t>
            </w:r>
            <w:r w:rsidRPr="00A935AA">
              <w:rPr>
                <w:sz w:val="20"/>
                <w:szCs w:val="20"/>
              </w:rPr>
              <w:t>.201</w:t>
            </w:r>
            <w:r>
              <w:rPr>
                <w:sz w:val="20"/>
                <w:szCs w:val="20"/>
              </w:rPr>
              <w:t>2</w:t>
            </w:r>
            <w:r w:rsidR="007333FF" w:rsidRPr="007333FF">
              <w:rPr>
                <w:sz w:val="20"/>
                <w:szCs w:val="20"/>
                <w:lang w:val="fr-CA"/>
              </w:rPr>
              <w:pict>
                <v:rect id="_x0000_i1041" style="width:108pt;height:1pt" o:hrpct="0" o:hralign="center" o:hrstd="t" o:hrnoshade="t" o:hr="t" fillcolor="black [3213]" stroked="f"/>
              </w:pict>
            </w:r>
          </w:p>
        </w:tc>
      </w:tr>
      <w:tr w:rsidR="001125C1" w:rsidRPr="00A935AA" w:rsidTr="003B3977">
        <w:trPr>
          <w:cantSplit/>
        </w:trPr>
        <w:tc>
          <w:tcPr>
            <w:tcW w:w="4320" w:type="dxa"/>
            <w:shd w:val="clear" w:color="auto" w:fill="auto"/>
          </w:tcPr>
          <w:p w:rsidR="001125C1" w:rsidRPr="00A935AA" w:rsidRDefault="00424003" w:rsidP="00957F2F">
            <w:pPr>
              <w:rPr>
                <w:b/>
                <w:sz w:val="20"/>
                <w:szCs w:val="20"/>
              </w:rPr>
            </w:pPr>
            <w:r>
              <w:rPr>
                <w:b/>
                <w:sz w:val="20"/>
                <w:szCs w:val="20"/>
              </w:rPr>
              <w:t>Terrence Downey</w:t>
            </w:r>
          </w:p>
          <w:p w:rsidR="001125C1" w:rsidRPr="00A935AA" w:rsidRDefault="001125C1" w:rsidP="00957F2F">
            <w:pPr>
              <w:tabs>
                <w:tab w:val="left" w:pos="-1440"/>
                <w:tab w:val="left" w:pos="-720"/>
              </w:tabs>
              <w:rPr>
                <w:sz w:val="20"/>
                <w:szCs w:val="20"/>
              </w:rPr>
            </w:pPr>
            <w:r w:rsidRPr="00A935AA">
              <w:rPr>
                <w:sz w:val="20"/>
                <w:szCs w:val="20"/>
              </w:rPr>
              <w:tab/>
            </w:r>
            <w:r w:rsidR="00424003">
              <w:rPr>
                <w:sz w:val="20"/>
                <w:szCs w:val="20"/>
              </w:rPr>
              <w:t>Bruce W. Evans</w:t>
            </w:r>
          </w:p>
          <w:p w:rsidR="001125C1" w:rsidRPr="00A935AA" w:rsidRDefault="001125C1" w:rsidP="00957F2F">
            <w:pPr>
              <w:tabs>
                <w:tab w:val="left" w:pos="-1440"/>
                <w:tab w:val="left" w:pos="-720"/>
              </w:tabs>
              <w:rPr>
                <w:sz w:val="20"/>
                <w:szCs w:val="20"/>
              </w:rPr>
            </w:pPr>
            <w:r w:rsidRPr="00A935AA">
              <w:rPr>
                <w:sz w:val="20"/>
                <w:szCs w:val="20"/>
              </w:rPr>
              <w:tab/>
            </w:r>
            <w:r w:rsidR="00424003">
              <w:rPr>
                <w:sz w:val="20"/>
                <w:szCs w:val="20"/>
              </w:rPr>
              <w:t>Smith Evans</w:t>
            </w:r>
          </w:p>
          <w:p w:rsidR="001125C1" w:rsidRPr="00A935AA" w:rsidRDefault="001125C1" w:rsidP="00957F2F">
            <w:pPr>
              <w:tabs>
                <w:tab w:val="left" w:pos="-1440"/>
                <w:tab w:val="left" w:pos="-720"/>
              </w:tabs>
              <w:rPr>
                <w:sz w:val="20"/>
                <w:szCs w:val="20"/>
              </w:rPr>
            </w:pPr>
          </w:p>
          <w:p w:rsidR="001125C1" w:rsidRPr="00A935AA" w:rsidRDefault="001125C1" w:rsidP="00957F2F">
            <w:pPr>
              <w:tabs>
                <w:tab w:val="left" w:pos="-1440"/>
                <w:tab w:val="left" w:pos="-720"/>
              </w:tabs>
              <w:rPr>
                <w:sz w:val="20"/>
                <w:szCs w:val="20"/>
              </w:rPr>
            </w:pPr>
            <w:r w:rsidRPr="00A935AA">
              <w:rPr>
                <w:sz w:val="20"/>
                <w:szCs w:val="20"/>
              </w:rPr>
              <w:tab/>
              <w:t>v. (3</w:t>
            </w:r>
            <w:r>
              <w:rPr>
                <w:sz w:val="20"/>
                <w:szCs w:val="20"/>
              </w:rPr>
              <w:t>4</w:t>
            </w:r>
            <w:r w:rsidR="00424003">
              <w:rPr>
                <w:sz w:val="20"/>
                <w:szCs w:val="20"/>
              </w:rPr>
              <w:t>916</w:t>
            </w:r>
            <w:r w:rsidRPr="00A935AA">
              <w:rPr>
                <w:sz w:val="20"/>
                <w:szCs w:val="20"/>
              </w:rPr>
              <w:t>)</w:t>
            </w:r>
          </w:p>
          <w:p w:rsidR="001125C1" w:rsidRPr="00A935AA" w:rsidRDefault="001125C1" w:rsidP="00957F2F">
            <w:pPr>
              <w:tabs>
                <w:tab w:val="left" w:pos="-1440"/>
                <w:tab w:val="left" w:pos="-720"/>
              </w:tabs>
              <w:rPr>
                <w:sz w:val="20"/>
                <w:szCs w:val="20"/>
              </w:rPr>
            </w:pPr>
          </w:p>
          <w:p w:rsidR="001125C1" w:rsidRPr="00A935AA" w:rsidRDefault="00424003" w:rsidP="00957F2F">
            <w:pPr>
              <w:tabs>
                <w:tab w:val="left" w:pos="-1440"/>
                <w:tab w:val="left" w:pos="-720"/>
              </w:tabs>
              <w:rPr>
                <w:b/>
                <w:sz w:val="20"/>
                <w:szCs w:val="20"/>
              </w:rPr>
            </w:pPr>
            <w:r>
              <w:rPr>
                <w:b/>
                <w:sz w:val="20"/>
                <w:szCs w:val="20"/>
              </w:rPr>
              <w:t xml:space="preserve">David Cranston et al. </w:t>
            </w:r>
            <w:r w:rsidR="001125C1" w:rsidRPr="00A935AA">
              <w:rPr>
                <w:b/>
                <w:sz w:val="20"/>
                <w:szCs w:val="20"/>
              </w:rPr>
              <w:t>(</w:t>
            </w:r>
            <w:r>
              <w:rPr>
                <w:b/>
                <w:sz w:val="20"/>
                <w:szCs w:val="20"/>
              </w:rPr>
              <w:t>N</w:t>
            </w:r>
            <w:r w:rsidR="001125C1" w:rsidRPr="00A935AA">
              <w:rPr>
                <w:b/>
                <w:sz w:val="20"/>
                <w:szCs w:val="20"/>
              </w:rPr>
              <w:t>.</w:t>
            </w:r>
            <w:r>
              <w:rPr>
                <w:b/>
                <w:sz w:val="20"/>
                <w:szCs w:val="20"/>
              </w:rPr>
              <w:t>S</w:t>
            </w:r>
            <w:r w:rsidR="001125C1" w:rsidRPr="00A935AA">
              <w:rPr>
                <w:b/>
                <w:sz w:val="20"/>
                <w:szCs w:val="20"/>
              </w:rPr>
              <w:t>.)</w:t>
            </w:r>
          </w:p>
          <w:p w:rsidR="001125C1" w:rsidRPr="00A935AA" w:rsidRDefault="001125C1" w:rsidP="00957F2F">
            <w:pPr>
              <w:tabs>
                <w:tab w:val="left" w:pos="-1440"/>
                <w:tab w:val="left" w:pos="-720"/>
              </w:tabs>
              <w:rPr>
                <w:sz w:val="20"/>
                <w:szCs w:val="20"/>
              </w:rPr>
            </w:pPr>
            <w:r w:rsidRPr="00A935AA">
              <w:rPr>
                <w:sz w:val="20"/>
                <w:szCs w:val="20"/>
              </w:rPr>
              <w:tab/>
            </w:r>
            <w:r w:rsidR="00424003">
              <w:rPr>
                <w:sz w:val="20"/>
                <w:szCs w:val="20"/>
              </w:rPr>
              <w:t>John C. Mac</w:t>
            </w:r>
            <w:r w:rsidR="00590C4D">
              <w:rPr>
                <w:sz w:val="20"/>
                <w:szCs w:val="20"/>
              </w:rPr>
              <w:t>P</w:t>
            </w:r>
            <w:r w:rsidR="00424003">
              <w:rPr>
                <w:sz w:val="20"/>
                <w:szCs w:val="20"/>
              </w:rPr>
              <w:t>herson Q.C.</w:t>
            </w:r>
          </w:p>
          <w:p w:rsidR="001125C1" w:rsidRPr="00A935AA" w:rsidRDefault="001125C1" w:rsidP="00957F2F">
            <w:pPr>
              <w:tabs>
                <w:tab w:val="left" w:pos="-1440"/>
                <w:tab w:val="left" w:pos="-720"/>
              </w:tabs>
              <w:rPr>
                <w:sz w:val="20"/>
                <w:szCs w:val="20"/>
              </w:rPr>
            </w:pPr>
            <w:r w:rsidRPr="00A935AA">
              <w:rPr>
                <w:sz w:val="20"/>
                <w:szCs w:val="20"/>
              </w:rPr>
              <w:tab/>
            </w:r>
            <w:r w:rsidR="00424003">
              <w:rPr>
                <w:sz w:val="20"/>
                <w:szCs w:val="20"/>
              </w:rPr>
              <w:t>McInnes Cooper</w:t>
            </w:r>
          </w:p>
          <w:p w:rsidR="001125C1" w:rsidRPr="00A935AA" w:rsidRDefault="001125C1" w:rsidP="00957F2F">
            <w:pPr>
              <w:tabs>
                <w:tab w:val="left" w:pos="-1440"/>
                <w:tab w:val="left" w:pos="-720"/>
              </w:tabs>
              <w:rPr>
                <w:sz w:val="20"/>
                <w:szCs w:val="20"/>
              </w:rPr>
            </w:pPr>
          </w:p>
          <w:p w:rsidR="001125C1" w:rsidRPr="00A935AA" w:rsidRDefault="001125C1" w:rsidP="00957F2F">
            <w:pPr>
              <w:rPr>
                <w:sz w:val="20"/>
                <w:szCs w:val="20"/>
              </w:rPr>
            </w:pPr>
            <w:r w:rsidRPr="00A935AA">
              <w:rPr>
                <w:sz w:val="20"/>
                <w:szCs w:val="20"/>
              </w:rPr>
              <w:t xml:space="preserve">FILING DATE: </w:t>
            </w:r>
            <w:r w:rsidR="00424003">
              <w:rPr>
                <w:sz w:val="20"/>
                <w:szCs w:val="20"/>
              </w:rPr>
              <w:t>0</w:t>
            </w:r>
            <w:r w:rsidRPr="00A935AA">
              <w:rPr>
                <w:sz w:val="20"/>
                <w:szCs w:val="20"/>
              </w:rPr>
              <w:t>7.0</w:t>
            </w:r>
            <w:r w:rsidR="00424003">
              <w:rPr>
                <w:sz w:val="20"/>
                <w:szCs w:val="20"/>
              </w:rPr>
              <w:t>8</w:t>
            </w:r>
            <w:r w:rsidRPr="00A935AA">
              <w:rPr>
                <w:sz w:val="20"/>
                <w:szCs w:val="20"/>
              </w:rPr>
              <w:t>.201</w:t>
            </w:r>
            <w:r>
              <w:rPr>
                <w:sz w:val="20"/>
                <w:szCs w:val="20"/>
              </w:rPr>
              <w:t>2</w:t>
            </w:r>
          </w:p>
          <w:p w:rsidR="001125C1" w:rsidRPr="00A935AA" w:rsidRDefault="007333FF" w:rsidP="00957F2F">
            <w:pPr>
              <w:rPr>
                <w:sz w:val="20"/>
                <w:szCs w:val="20"/>
              </w:rPr>
            </w:pPr>
            <w:r w:rsidRPr="007333FF">
              <w:rPr>
                <w:sz w:val="20"/>
                <w:szCs w:val="20"/>
                <w:lang w:val="fr-CA"/>
              </w:rPr>
              <w:pict>
                <v:rect id="_x0000_i1042" style="width:108pt;height:1pt" o:hrpct="0" o:hralign="center" o:hrstd="t" o:hrnoshade="t" o:hr="t" fillcolor="black [3213]" stroked="f"/>
              </w:pict>
            </w:r>
          </w:p>
        </w:tc>
        <w:tc>
          <w:tcPr>
            <w:tcW w:w="1181" w:type="dxa"/>
            <w:shd w:val="clear" w:color="auto" w:fill="auto"/>
          </w:tcPr>
          <w:p w:rsidR="001125C1" w:rsidRDefault="001125C1" w:rsidP="00242AEE">
            <w:pPr>
              <w:jc w:val="center"/>
              <w:rPr>
                <w:sz w:val="20"/>
                <w:szCs w:val="20"/>
              </w:rPr>
            </w:pPr>
          </w:p>
          <w:p w:rsidR="001125C1" w:rsidRDefault="001125C1" w:rsidP="00242AEE">
            <w:pPr>
              <w:jc w:val="center"/>
              <w:rPr>
                <w:sz w:val="20"/>
                <w:szCs w:val="20"/>
              </w:rPr>
            </w:pPr>
          </w:p>
          <w:p w:rsidR="001125C1" w:rsidRDefault="001125C1" w:rsidP="00242AEE">
            <w:pPr>
              <w:jc w:val="center"/>
              <w:rPr>
                <w:sz w:val="20"/>
                <w:szCs w:val="20"/>
              </w:rPr>
            </w:pPr>
          </w:p>
          <w:p w:rsidR="001125C1" w:rsidRDefault="001125C1" w:rsidP="00242AEE">
            <w:pPr>
              <w:jc w:val="center"/>
              <w:rPr>
                <w:sz w:val="20"/>
                <w:szCs w:val="20"/>
              </w:rPr>
            </w:pPr>
          </w:p>
          <w:p w:rsidR="001125C1" w:rsidRDefault="001125C1" w:rsidP="00242AEE">
            <w:pPr>
              <w:jc w:val="center"/>
              <w:rPr>
                <w:sz w:val="20"/>
                <w:szCs w:val="20"/>
              </w:rPr>
            </w:pPr>
          </w:p>
          <w:p w:rsidR="001125C1" w:rsidRDefault="001125C1" w:rsidP="00242AEE">
            <w:pPr>
              <w:jc w:val="center"/>
              <w:rPr>
                <w:sz w:val="20"/>
                <w:szCs w:val="20"/>
              </w:rPr>
            </w:pPr>
          </w:p>
          <w:p w:rsidR="001125C1" w:rsidRDefault="001125C1" w:rsidP="00242AEE">
            <w:pPr>
              <w:jc w:val="center"/>
              <w:rPr>
                <w:sz w:val="20"/>
                <w:szCs w:val="20"/>
              </w:rPr>
            </w:pPr>
          </w:p>
          <w:p w:rsidR="001125C1" w:rsidRDefault="001125C1" w:rsidP="00242AEE">
            <w:pPr>
              <w:jc w:val="center"/>
              <w:rPr>
                <w:sz w:val="20"/>
                <w:szCs w:val="20"/>
              </w:rPr>
            </w:pPr>
          </w:p>
          <w:p w:rsidR="001125C1" w:rsidRDefault="001125C1" w:rsidP="00242AEE">
            <w:pPr>
              <w:jc w:val="center"/>
              <w:rPr>
                <w:sz w:val="20"/>
                <w:szCs w:val="20"/>
              </w:rPr>
            </w:pPr>
          </w:p>
          <w:p w:rsidR="001125C1" w:rsidRDefault="001125C1" w:rsidP="00242AEE">
            <w:pPr>
              <w:jc w:val="center"/>
              <w:rPr>
                <w:sz w:val="20"/>
                <w:szCs w:val="20"/>
              </w:rPr>
            </w:pPr>
          </w:p>
          <w:p w:rsidR="001125C1" w:rsidRDefault="001125C1" w:rsidP="00242AEE">
            <w:pPr>
              <w:jc w:val="center"/>
              <w:rPr>
                <w:sz w:val="20"/>
                <w:szCs w:val="20"/>
              </w:rPr>
            </w:pPr>
          </w:p>
          <w:p w:rsidR="001125C1" w:rsidRPr="00A935AA" w:rsidRDefault="001125C1" w:rsidP="00242AEE">
            <w:pPr>
              <w:jc w:val="center"/>
              <w:rPr>
                <w:sz w:val="20"/>
                <w:szCs w:val="20"/>
              </w:rPr>
            </w:pPr>
          </w:p>
        </w:tc>
        <w:tc>
          <w:tcPr>
            <w:tcW w:w="4320" w:type="dxa"/>
            <w:shd w:val="clear" w:color="auto" w:fill="auto"/>
          </w:tcPr>
          <w:p w:rsidR="001125C1" w:rsidRPr="00A935AA" w:rsidRDefault="001125C1" w:rsidP="00957F2F">
            <w:pPr>
              <w:rPr>
                <w:sz w:val="20"/>
                <w:szCs w:val="20"/>
              </w:rPr>
            </w:pPr>
          </w:p>
        </w:tc>
      </w:tr>
    </w:tbl>
    <w:p w:rsidR="00242AEE" w:rsidRDefault="00242AEE" w:rsidP="0095096B">
      <w:pPr>
        <w:tabs>
          <w:tab w:val="right" w:pos="9360"/>
        </w:tabs>
        <w:rPr>
          <w:sz w:val="20"/>
          <w:szCs w:val="20"/>
        </w:rPr>
      </w:pPr>
    </w:p>
    <w:p w:rsidR="00424003" w:rsidRDefault="00424003"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9A5CA3">
          <w:headerReference w:type="default" r:id="rId16"/>
          <w:footerReference w:type="default" r:id="rId17"/>
          <w:headerReference w:type="first" r:id="rId18"/>
          <w:footerReference w:type="first" r:id="rId19"/>
          <w:pgSz w:w="12240" w:h="15840"/>
          <w:pgMar w:top="720" w:right="965" w:bottom="1080" w:left="1656" w:header="706" w:footer="706" w:gutter="0"/>
          <w:pgNumType w:start="1173"/>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B6145B"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957F2F" w:rsidP="004B7F60">
      <w:pPr>
        <w:widowControl w:val="0"/>
        <w:rPr>
          <w:b/>
          <w:sz w:val="20"/>
          <w:szCs w:val="20"/>
        </w:rPr>
      </w:pPr>
      <w:r>
        <w:rPr>
          <w:b/>
          <w:sz w:val="20"/>
          <w:szCs w:val="20"/>
        </w:rPr>
        <w:t>JULY 30</w:t>
      </w:r>
      <w:r w:rsidR="004B7F60" w:rsidRPr="00C50A5C">
        <w:rPr>
          <w:b/>
          <w:sz w:val="20"/>
          <w:szCs w:val="20"/>
        </w:rPr>
        <w:t>, 201</w:t>
      </w:r>
      <w:r>
        <w:rPr>
          <w:b/>
          <w:sz w:val="20"/>
          <w:szCs w:val="20"/>
        </w:rPr>
        <w:t>2</w:t>
      </w:r>
      <w:r w:rsidR="004B7F60" w:rsidRPr="00C50A5C">
        <w:rPr>
          <w:b/>
          <w:sz w:val="20"/>
          <w:szCs w:val="20"/>
        </w:rPr>
        <w:t xml:space="preserve"> / LE </w:t>
      </w:r>
      <w:r>
        <w:rPr>
          <w:b/>
          <w:sz w:val="20"/>
          <w:szCs w:val="20"/>
        </w:rPr>
        <w:t>30 JUILLET</w:t>
      </w:r>
      <w:r w:rsidR="004B7F60" w:rsidRPr="00C50A5C">
        <w:rPr>
          <w:b/>
          <w:sz w:val="20"/>
          <w:szCs w:val="20"/>
        </w:rPr>
        <w:t xml:space="preserve"> 201</w:t>
      </w:r>
      <w:r>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50A5C" w:rsidRDefault="004B7F60" w:rsidP="004B7F60">
      <w:pPr>
        <w:widowControl w:val="0"/>
        <w:rPr>
          <w:sz w:val="20"/>
          <w:szCs w:val="20"/>
          <w:lang w:val="fr-CA"/>
        </w:rPr>
      </w:pPr>
    </w:p>
    <w:p w:rsidR="004B7F60" w:rsidRPr="00C50A5C" w:rsidRDefault="00BC7B7D" w:rsidP="004B7F60">
      <w:pPr>
        <w:pStyle w:val="ListParagraph"/>
        <w:widowControl w:val="0"/>
        <w:numPr>
          <w:ilvl w:val="0"/>
          <w:numId w:val="1"/>
        </w:numPr>
        <w:ind w:hanging="720"/>
        <w:jc w:val="both"/>
        <w:rPr>
          <w:sz w:val="20"/>
          <w:szCs w:val="20"/>
        </w:rPr>
      </w:pPr>
      <w:r w:rsidRPr="00BC7B7D">
        <w:rPr>
          <w:i/>
          <w:sz w:val="20"/>
          <w:szCs w:val="20"/>
        </w:rPr>
        <w:t>Anthony Whalen v. Her Majesty the Queen</w:t>
      </w:r>
      <w:r w:rsidRPr="00BC7B7D">
        <w:rPr>
          <w:sz w:val="20"/>
          <w:szCs w:val="20"/>
        </w:rPr>
        <w:t xml:space="preserve"> (N.B.) (Crim</w:t>
      </w:r>
      <w:r>
        <w:rPr>
          <w:sz w:val="20"/>
          <w:szCs w:val="20"/>
        </w:rPr>
        <w:t>.</w:t>
      </w:r>
      <w:r w:rsidRPr="00BC7B7D">
        <w:rPr>
          <w:sz w:val="20"/>
          <w:szCs w:val="20"/>
        </w:rPr>
        <w:t>) (By Leave)</w:t>
      </w:r>
      <w:r w:rsidRPr="00C50A5C">
        <w:rPr>
          <w:sz w:val="20"/>
          <w:szCs w:val="20"/>
        </w:rPr>
        <w:t xml:space="preserve"> </w:t>
      </w:r>
      <w:r w:rsidR="004B7F60" w:rsidRPr="00C50A5C">
        <w:rPr>
          <w:sz w:val="20"/>
          <w:szCs w:val="20"/>
        </w:rPr>
        <w:t>(3</w:t>
      </w:r>
      <w:r w:rsidR="004B7F60">
        <w:rPr>
          <w:sz w:val="20"/>
          <w:szCs w:val="20"/>
        </w:rPr>
        <w:t>4</w:t>
      </w:r>
      <w:r w:rsidR="00957F2F">
        <w:rPr>
          <w:sz w:val="20"/>
          <w:szCs w:val="20"/>
        </w:rPr>
        <w:t>746</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BC7B7D" w:rsidP="004B7F60">
      <w:pPr>
        <w:pStyle w:val="ListParagraph"/>
        <w:widowControl w:val="0"/>
        <w:numPr>
          <w:ilvl w:val="0"/>
          <w:numId w:val="1"/>
        </w:numPr>
        <w:ind w:hanging="720"/>
        <w:jc w:val="both"/>
        <w:rPr>
          <w:sz w:val="20"/>
          <w:szCs w:val="20"/>
        </w:rPr>
      </w:pPr>
      <w:r w:rsidRPr="00BC7B7D">
        <w:rPr>
          <w:i/>
          <w:sz w:val="20"/>
          <w:szCs w:val="20"/>
          <w:lang w:val="fr-CA"/>
        </w:rPr>
        <w:t>L.K.D. v. J.B. et al.</w:t>
      </w:r>
      <w:r w:rsidRPr="00BC7B7D">
        <w:rPr>
          <w:sz w:val="20"/>
          <w:szCs w:val="20"/>
          <w:lang w:val="fr-CA"/>
        </w:rPr>
        <w:t xml:space="preserve"> </w:t>
      </w:r>
      <w:r w:rsidRPr="00BC7B7D">
        <w:rPr>
          <w:sz w:val="20"/>
          <w:szCs w:val="20"/>
        </w:rPr>
        <w:t>(Alta.) (Civil) (By Leave)</w:t>
      </w:r>
      <w:r w:rsidRPr="00C612D0">
        <w:rPr>
          <w:sz w:val="20"/>
          <w:szCs w:val="20"/>
        </w:rPr>
        <w:t xml:space="preserve"> </w:t>
      </w:r>
      <w:r w:rsidR="004B7F60" w:rsidRPr="00C612D0">
        <w:rPr>
          <w:sz w:val="20"/>
          <w:szCs w:val="20"/>
        </w:rPr>
        <w:t>(34</w:t>
      </w:r>
      <w:r w:rsidR="00957F2F">
        <w:rPr>
          <w:sz w:val="20"/>
          <w:szCs w:val="20"/>
        </w:rPr>
        <w:t>81</w:t>
      </w:r>
      <w:r w:rsidR="004B7F60" w:rsidRPr="00C612D0">
        <w:rPr>
          <w:sz w:val="20"/>
          <w:szCs w:val="20"/>
        </w:rPr>
        <w:t>4)</w:t>
      </w:r>
    </w:p>
    <w:p w:rsidR="004B7F60" w:rsidRPr="00C612D0" w:rsidRDefault="004B7F60" w:rsidP="004B7F60">
      <w:pPr>
        <w:widowControl w:val="0"/>
        <w:jc w:val="both"/>
        <w:rPr>
          <w:sz w:val="20"/>
          <w:szCs w:val="20"/>
        </w:rPr>
      </w:pPr>
    </w:p>
    <w:p w:rsidR="004B7F60" w:rsidRPr="00C50A5C" w:rsidRDefault="00BC7B7D" w:rsidP="004B7F60">
      <w:pPr>
        <w:pStyle w:val="ListParagraph"/>
        <w:widowControl w:val="0"/>
        <w:numPr>
          <w:ilvl w:val="0"/>
          <w:numId w:val="1"/>
        </w:numPr>
        <w:ind w:hanging="720"/>
        <w:jc w:val="both"/>
        <w:rPr>
          <w:sz w:val="20"/>
          <w:szCs w:val="20"/>
        </w:rPr>
      </w:pPr>
      <w:r w:rsidRPr="00BC7B7D">
        <w:rPr>
          <w:i/>
          <w:sz w:val="20"/>
          <w:szCs w:val="20"/>
        </w:rPr>
        <w:t>Sameer Mapara et al. v. Bill Thompson, Warden of Ferndale Institution</w:t>
      </w:r>
      <w:r w:rsidRPr="00BC7B7D">
        <w:rPr>
          <w:sz w:val="20"/>
          <w:szCs w:val="20"/>
        </w:rPr>
        <w:t xml:space="preserve"> (B.C.) (Civil) (By Leave)</w:t>
      </w:r>
      <w:r w:rsidRPr="00940CAD">
        <w:rPr>
          <w:sz w:val="20"/>
          <w:szCs w:val="20"/>
        </w:rPr>
        <w:t xml:space="preserve"> </w:t>
      </w:r>
      <w:r w:rsidR="004B7F60" w:rsidRPr="00940CAD">
        <w:rPr>
          <w:sz w:val="20"/>
          <w:szCs w:val="20"/>
        </w:rPr>
        <w:t>(34</w:t>
      </w:r>
      <w:r w:rsidR="00957F2F">
        <w:rPr>
          <w:sz w:val="20"/>
          <w:szCs w:val="20"/>
        </w:rPr>
        <w:t>818</w:t>
      </w:r>
      <w:r w:rsidR="004B7F60" w:rsidRPr="00940CAD">
        <w:rPr>
          <w:sz w:val="20"/>
          <w:szCs w:val="20"/>
        </w:rPr>
        <w:t>)</w:t>
      </w:r>
    </w:p>
    <w:p w:rsidR="004B7F60" w:rsidRPr="00C50A5C" w:rsidRDefault="004B7F60" w:rsidP="004B7F60">
      <w:pPr>
        <w:widowControl w:val="0"/>
        <w:rPr>
          <w:sz w:val="20"/>
          <w:szCs w:val="20"/>
        </w:rPr>
      </w:pPr>
    </w:p>
    <w:p w:rsidR="004B7F60" w:rsidRPr="00C50A5C" w:rsidRDefault="00BC7B7D" w:rsidP="004B7F60">
      <w:pPr>
        <w:pStyle w:val="ListParagraph"/>
        <w:widowControl w:val="0"/>
        <w:numPr>
          <w:ilvl w:val="0"/>
          <w:numId w:val="1"/>
        </w:numPr>
        <w:ind w:hanging="720"/>
        <w:jc w:val="both"/>
        <w:rPr>
          <w:sz w:val="20"/>
          <w:szCs w:val="20"/>
        </w:rPr>
      </w:pPr>
      <w:r w:rsidRPr="00BC7B7D">
        <w:rPr>
          <w:i/>
          <w:sz w:val="20"/>
          <w:szCs w:val="20"/>
        </w:rPr>
        <w:t>1183882 Alberta Ltd. operating as Sok's Contracting v. Valin Industrial Mill Installations Ltd.</w:t>
      </w:r>
      <w:r w:rsidRPr="00BC7B7D">
        <w:rPr>
          <w:sz w:val="20"/>
          <w:szCs w:val="20"/>
        </w:rPr>
        <w:t xml:space="preserve"> (Alta.) </w:t>
      </w:r>
      <w:r w:rsidRPr="00BC7B7D">
        <w:rPr>
          <w:sz w:val="20"/>
          <w:szCs w:val="20"/>
          <w:lang w:val="fr-CA"/>
        </w:rPr>
        <w:t>(Civil) (By Leave)</w:t>
      </w:r>
      <w:r w:rsidRPr="00C50A5C">
        <w:rPr>
          <w:sz w:val="20"/>
          <w:szCs w:val="20"/>
        </w:rPr>
        <w:t xml:space="preserve"> </w:t>
      </w:r>
      <w:r w:rsidR="004B7F60" w:rsidRPr="00C50A5C">
        <w:rPr>
          <w:sz w:val="20"/>
          <w:szCs w:val="20"/>
        </w:rPr>
        <w:t>(3</w:t>
      </w:r>
      <w:r w:rsidR="004B7F60">
        <w:rPr>
          <w:sz w:val="20"/>
          <w:szCs w:val="20"/>
        </w:rPr>
        <w:t>4</w:t>
      </w:r>
      <w:r w:rsidR="00957F2F">
        <w:rPr>
          <w:sz w:val="20"/>
          <w:szCs w:val="20"/>
        </w:rPr>
        <w:t>79</w:t>
      </w:r>
      <w:r w:rsidR="004B7F60">
        <w:rPr>
          <w:sz w:val="20"/>
          <w:szCs w:val="20"/>
        </w:rPr>
        <w:t>2</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4B7F60" w:rsidRPr="00C16CB3" w:rsidRDefault="004B7F60" w:rsidP="004B7F60">
      <w:pPr>
        <w:widowControl w:val="0"/>
        <w:jc w:val="both"/>
        <w:rPr>
          <w:sz w:val="20"/>
          <w:szCs w:val="20"/>
          <w:lang w:val="fr-CA"/>
        </w:rPr>
      </w:pPr>
    </w:p>
    <w:p w:rsidR="004B7F60" w:rsidRPr="00C612D0" w:rsidRDefault="00BC7B7D" w:rsidP="004B7F60">
      <w:pPr>
        <w:pStyle w:val="ListParagraph"/>
        <w:widowControl w:val="0"/>
        <w:numPr>
          <w:ilvl w:val="0"/>
          <w:numId w:val="1"/>
        </w:numPr>
        <w:ind w:hanging="720"/>
        <w:jc w:val="both"/>
        <w:rPr>
          <w:sz w:val="20"/>
          <w:szCs w:val="20"/>
          <w:lang w:val="fr-CA"/>
        </w:rPr>
      </w:pPr>
      <w:r w:rsidRPr="00BC7B7D">
        <w:rPr>
          <w:i/>
          <w:sz w:val="20"/>
          <w:szCs w:val="20"/>
          <w:lang w:val="fr-CA"/>
        </w:rPr>
        <w:t>Sa Majesté la Reine c. Stéphane McRae</w:t>
      </w:r>
      <w:r w:rsidRPr="00BC7B7D">
        <w:rPr>
          <w:sz w:val="20"/>
          <w:szCs w:val="20"/>
          <w:lang w:val="fr-CA"/>
        </w:rPr>
        <w:t xml:space="preserve"> (Qc) (Crim.</w:t>
      </w:r>
      <w:r>
        <w:rPr>
          <w:sz w:val="20"/>
          <w:szCs w:val="20"/>
          <w:lang w:val="fr-CA"/>
        </w:rPr>
        <w:t>)</w:t>
      </w:r>
      <w:r w:rsidRPr="00BC7B7D">
        <w:rPr>
          <w:sz w:val="20"/>
          <w:szCs w:val="20"/>
          <w:lang w:val="fr-CA"/>
        </w:rPr>
        <w:t xml:space="preserve"> (Autorisation) </w:t>
      </w:r>
      <w:r w:rsidR="004B7F60" w:rsidRPr="00C612D0">
        <w:rPr>
          <w:sz w:val="20"/>
          <w:szCs w:val="20"/>
          <w:lang w:val="fr-CA"/>
        </w:rPr>
        <w:t>(34</w:t>
      </w:r>
      <w:r w:rsidR="00957F2F">
        <w:rPr>
          <w:sz w:val="20"/>
          <w:szCs w:val="20"/>
          <w:lang w:val="fr-CA"/>
        </w:rPr>
        <w:t>74</w:t>
      </w:r>
      <w:r w:rsidR="004B7F60" w:rsidRPr="00C612D0">
        <w:rPr>
          <w:sz w:val="20"/>
          <w:szCs w:val="20"/>
          <w:lang w:val="fr-CA"/>
        </w:rPr>
        <w:t>3)</w:t>
      </w:r>
    </w:p>
    <w:p w:rsidR="004B7F60" w:rsidRPr="00C612D0" w:rsidRDefault="004B7F60" w:rsidP="004B7F60">
      <w:pPr>
        <w:widowControl w:val="0"/>
        <w:rPr>
          <w:sz w:val="20"/>
          <w:szCs w:val="20"/>
          <w:lang w:val="fr-CA"/>
        </w:rPr>
      </w:pPr>
    </w:p>
    <w:p w:rsidR="004B7F60" w:rsidRPr="00BC7B7D" w:rsidRDefault="00BC7B7D" w:rsidP="004B7F60">
      <w:pPr>
        <w:pStyle w:val="ListParagraph"/>
        <w:widowControl w:val="0"/>
        <w:numPr>
          <w:ilvl w:val="0"/>
          <w:numId w:val="1"/>
        </w:numPr>
        <w:ind w:hanging="720"/>
        <w:jc w:val="both"/>
        <w:rPr>
          <w:sz w:val="20"/>
          <w:szCs w:val="20"/>
        </w:rPr>
      </w:pPr>
      <w:r w:rsidRPr="00BC7B7D">
        <w:rPr>
          <w:i/>
          <w:sz w:val="20"/>
          <w:szCs w:val="20"/>
        </w:rPr>
        <w:t>Yeong Oh v. Trevor Robinson</w:t>
      </w:r>
      <w:r w:rsidRPr="00BC7B7D">
        <w:rPr>
          <w:sz w:val="20"/>
          <w:szCs w:val="20"/>
        </w:rPr>
        <w:t xml:space="preserve"> (Sask.) (Civil) (By Leave) </w:t>
      </w:r>
      <w:r w:rsidR="004B7F60" w:rsidRPr="00BC7B7D">
        <w:rPr>
          <w:sz w:val="20"/>
          <w:szCs w:val="20"/>
        </w:rPr>
        <w:t>(348</w:t>
      </w:r>
      <w:r w:rsidR="00957F2F" w:rsidRPr="00BC7B7D">
        <w:rPr>
          <w:sz w:val="20"/>
          <w:szCs w:val="20"/>
        </w:rPr>
        <w:t>07</w:t>
      </w:r>
      <w:r w:rsidR="004B7F60" w:rsidRPr="00BC7B7D">
        <w:rPr>
          <w:sz w:val="20"/>
          <w:szCs w:val="20"/>
        </w:rPr>
        <w:t>)</w:t>
      </w:r>
    </w:p>
    <w:p w:rsidR="004B7F60" w:rsidRPr="00BC7B7D" w:rsidRDefault="004B7F60" w:rsidP="004B7F60">
      <w:pPr>
        <w:widowControl w:val="0"/>
        <w:jc w:val="both"/>
        <w:rPr>
          <w:sz w:val="20"/>
          <w:szCs w:val="20"/>
        </w:rPr>
      </w:pPr>
    </w:p>
    <w:p w:rsidR="004B7F60" w:rsidRPr="00BC7B7D" w:rsidRDefault="00BC7B7D" w:rsidP="004B7F60">
      <w:pPr>
        <w:pStyle w:val="ListParagraph"/>
        <w:widowControl w:val="0"/>
        <w:numPr>
          <w:ilvl w:val="0"/>
          <w:numId w:val="1"/>
        </w:numPr>
        <w:ind w:hanging="720"/>
        <w:jc w:val="both"/>
        <w:rPr>
          <w:sz w:val="20"/>
          <w:szCs w:val="20"/>
        </w:rPr>
      </w:pPr>
      <w:r w:rsidRPr="00BC7B7D">
        <w:rPr>
          <w:i/>
          <w:sz w:val="20"/>
          <w:szCs w:val="20"/>
        </w:rPr>
        <w:t>Syed Shah Barkatulla Hussaini v. Joel P. Freedman</w:t>
      </w:r>
      <w:r w:rsidRPr="00BC7B7D">
        <w:rPr>
          <w:sz w:val="20"/>
          <w:szCs w:val="20"/>
        </w:rPr>
        <w:t xml:space="preserve"> (Ont.) (Civil) (By Leave) </w:t>
      </w:r>
      <w:r w:rsidR="004B7F60" w:rsidRPr="00BC7B7D">
        <w:rPr>
          <w:sz w:val="20"/>
          <w:szCs w:val="20"/>
        </w:rPr>
        <w:t>(34</w:t>
      </w:r>
      <w:r w:rsidR="00957F2F" w:rsidRPr="00BC7B7D">
        <w:rPr>
          <w:sz w:val="20"/>
          <w:szCs w:val="20"/>
        </w:rPr>
        <w:t>790</w:t>
      </w:r>
      <w:r w:rsidR="004B7F60" w:rsidRPr="00BC7B7D">
        <w:rPr>
          <w:sz w:val="20"/>
          <w:szCs w:val="20"/>
        </w:rPr>
        <w:t>)</w:t>
      </w:r>
    </w:p>
    <w:p w:rsidR="004B7F60" w:rsidRPr="00BC7B7D" w:rsidRDefault="004B7F60" w:rsidP="004B7F60">
      <w:pPr>
        <w:widowControl w:val="0"/>
        <w:jc w:val="both"/>
        <w:rPr>
          <w:sz w:val="20"/>
          <w:szCs w:val="20"/>
        </w:rPr>
      </w:pPr>
    </w:p>
    <w:p w:rsidR="00957F2F" w:rsidRPr="00BC7B7D" w:rsidRDefault="00957F2F" w:rsidP="004B7F60">
      <w:pPr>
        <w:widowControl w:val="0"/>
        <w:jc w:val="both"/>
        <w:rPr>
          <w:sz w:val="20"/>
          <w:szCs w:val="20"/>
        </w:rPr>
      </w:pPr>
    </w:p>
    <w:p w:rsidR="00957F2F" w:rsidRPr="00C50A5C" w:rsidRDefault="00957F2F" w:rsidP="00957F2F">
      <w:pPr>
        <w:widowControl w:val="0"/>
        <w:jc w:val="center"/>
        <w:rPr>
          <w:b/>
          <w:sz w:val="20"/>
          <w:szCs w:val="20"/>
        </w:rPr>
      </w:pPr>
      <w:r w:rsidRPr="00C50A5C">
        <w:rPr>
          <w:b/>
          <w:sz w:val="20"/>
          <w:szCs w:val="20"/>
        </w:rPr>
        <w:t xml:space="preserve">CORAM: </w:t>
      </w:r>
      <w:r>
        <w:rPr>
          <w:b/>
          <w:sz w:val="20"/>
          <w:szCs w:val="20"/>
        </w:rPr>
        <w:t>Deschamps</w:t>
      </w:r>
      <w:r w:rsidRPr="00C50A5C">
        <w:rPr>
          <w:b/>
          <w:sz w:val="20"/>
          <w:szCs w:val="20"/>
        </w:rPr>
        <w:t xml:space="preserve">, </w:t>
      </w:r>
      <w:r>
        <w:rPr>
          <w:b/>
          <w:sz w:val="20"/>
          <w:szCs w:val="20"/>
        </w:rPr>
        <w:t>Fish</w:t>
      </w:r>
      <w:r w:rsidRPr="00C50A5C">
        <w:rPr>
          <w:b/>
          <w:sz w:val="20"/>
          <w:szCs w:val="20"/>
        </w:rPr>
        <w:t xml:space="preserve"> and </w:t>
      </w:r>
      <w:r>
        <w:rPr>
          <w:b/>
          <w:sz w:val="20"/>
          <w:szCs w:val="20"/>
        </w:rPr>
        <w:t>Karakatsanis</w:t>
      </w:r>
      <w:r w:rsidRPr="00C50A5C">
        <w:rPr>
          <w:b/>
          <w:sz w:val="20"/>
          <w:szCs w:val="20"/>
        </w:rPr>
        <w:t xml:space="preserve"> JJ.</w:t>
      </w:r>
    </w:p>
    <w:p w:rsidR="00957F2F" w:rsidRPr="00C50A5C" w:rsidRDefault="00957F2F" w:rsidP="00957F2F">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957F2F" w:rsidRPr="00115C9E" w:rsidRDefault="00957F2F" w:rsidP="004B7F60">
      <w:pPr>
        <w:widowControl w:val="0"/>
        <w:jc w:val="both"/>
        <w:rPr>
          <w:sz w:val="20"/>
          <w:szCs w:val="20"/>
          <w:lang w:val="fr-CA"/>
        </w:rPr>
      </w:pPr>
    </w:p>
    <w:p w:rsidR="004B7F60" w:rsidRPr="00BC7B7D" w:rsidRDefault="00BC7B7D" w:rsidP="004B7F60">
      <w:pPr>
        <w:pStyle w:val="ListParagraph"/>
        <w:widowControl w:val="0"/>
        <w:numPr>
          <w:ilvl w:val="0"/>
          <w:numId w:val="1"/>
        </w:numPr>
        <w:ind w:hanging="720"/>
        <w:jc w:val="both"/>
        <w:rPr>
          <w:sz w:val="20"/>
          <w:szCs w:val="20"/>
        </w:rPr>
      </w:pPr>
      <w:r w:rsidRPr="00BC7B7D">
        <w:rPr>
          <w:i/>
          <w:sz w:val="20"/>
          <w:szCs w:val="20"/>
        </w:rPr>
        <w:t>Michael John  Cairney v. Her Majesty the Queen</w:t>
      </w:r>
      <w:r w:rsidRPr="00BC7B7D">
        <w:rPr>
          <w:sz w:val="20"/>
          <w:szCs w:val="20"/>
        </w:rPr>
        <w:t xml:space="preserve"> (Alta.) (Crim</w:t>
      </w:r>
      <w:r w:rsidR="00ED19A5">
        <w:rPr>
          <w:sz w:val="20"/>
          <w:szCs w:val="20"/>
        </w:rPr>
        <w:t>.</w:t>
      </w:r>
      <w:r w:rsidRPr="00BC7B7D">
        <w:rPr>
          <w:sz w:val="20"/>
          <w:szCs w:val="20"/>
        </w:rPr>
        <w:t xml:space="preserve">) (By Leave) </w:t>
      </w:r>
      <w:r w:rsidR="004B7F60" w:rsidRPr="00BC7B7D">
        <w:rPr>
          <w:sz w:val="20"/>
          <w:szCs w:val="20"/>
        </w:rPr>
        <w:t>(34</w:t>
      </w:r>
      <w:r>
        <w:rPr>
          <w:sz w:val="20"/>
          <w:szCs w:val="20"/>
        </w:rPr>
        <w:t>848</w:t>
      </w:r>
      <w:r w:rsidR="004B7F60" w:rsidRPr="00BC7B7D">
        <w:rPr>
          <w:sz w:val="20"/>
          <w:szCs w:val="20"/>
        </w:rPr>
        <w:t>)</w:t>
      </w:r>
    </w:p>
    <w:p w:rsidR="004B7F60" w:rsidRPr="00BC7B7D" w:rsidRDefault="004B7F60" w:rsidP="004B7F60">
      <w:pPr>
        <w:widowControl w:val="0"/>
        <w:rPr>
          <w:sz w:val="20"/>
          <w:szCs w:val="20"/>
        </w:rPr>
      </w:pPr>
    </w:p>
    <w:p w:rsidR="004B7F60" w:rsidRPr="00957F2F" w:rsidRDefault="00BC7B7D" w:rsidP="004B7F60">
      <w:pPr>
        <w:pStyle w:val="ListParagraph"/>
        <w:widowControl w:val="0"/>
        <w:numPr>
          <w:ilvl w:val="0"/>
          <w:numId w:val="1"/>
        </w:numPr>
        <w:ind w:hanging="720"/>
        <w:jc w:val="both"/>
        <w:rPr>
          <w:sz w:val="20"/>
          <w:szCs w:val="20"/>
        </w:rPr>
      </w:pPr>
      <w:r w:rsidRPr="00BC7B7D">
        <w:rPr>
          <w:i/>
          <w:sz w:val="20"/>
          <w:szCs w:val="20"/>
        </w:rPr>
        <w:t>John Doe, Requester et al. v. Minister of Finance for the Province of Ontario et al.</w:t>
      </w:r>
      <w:r w:rsidRPr="00BC7B7D">
        <w:rPr>
          <w:sz w:val="20"/>
          <w:szCs w:val="20"/>
        </w:rPr>
        <w:t xml:space="preserve"> (Ont.) (Civil) (By Leave)</w:t>
      </w:r>
      <w:r>
        <w:rPr>
          <w:sz w:val="20"/>
          <w:szCs w:val="20"/>
        </w:rPr>
        <w:t xml:space="preserve"> </w:t>
      </w:r>
      <w:r w:rsidR="004B7F60" w:rsidRPr="00957F2F">
        <w:rPr>
          <w:sz w:val="20"/>
          <w:szCs w:val="20"/>
        </w:rPr>
        <w:t>(348</w:t>
      </w:r>
      <w:r>
        <w:rPr>
          <w:sz w:val="20"/>
          <w:szCs w:val="20"/>
        </w:rPr>
        <w:t>28</w:t>
      </w:r>
      <w:r w:rsidR="004B7F60" w:rsidRPr="00957F2F">
        <w:rPr>
          <w:sz w:val="20"/>
          <w:szCs w:val="20"/>
        </w:rPr>
        <w:t>)</w:t>
      </w:r>
    </w:p>
    <w:p w:rsidR="004B7F60" w:rsidRPr="00957F2F" w:rsidRDefault="004B7F60" w:rsidP="004B7F60">
      <w:pPr>
        <w:widowControl w:val="0"/>
        <w:jc w:val="both"/>
        <w:rPr>
          <w:sz w:val="20"/>
          <w:szCs w:val="20"/>
        </w:rPr>
      </w:pPr>
    </w:p>
    <w:p w:rsidR="004B7F60" w:rsidRPr="00BC7B7D" w:rsidRDefault="00BC7B7D" w:rsidP="004B7F60">
      <w:pPr>
        <w:pStyle w:val="ListParagraph"/>
        <w:widowControl w:val="0"/>
        <w:numPr>
          <w:ilvl w:val="0"/>
          <w:numId w:val="1"/>
        </w:numPr>
        <w:ind w:hanging="720"/>
        <w:jc w:val="both"/>
        <w:rPr>
          <w:sz w:val="20"/>
          <w:szCs w:val="20"/>
          <w:lang w:val="fr-CA"/>
        </w:rPr>
      </w:pPr>
      <w:r w:rsidRPr="00BC7B7D">
        <w:rPr>
          <w:i/>
          <w:sz w:val="20"/>
          <w:szCs w:val="20"/>
          <w:lang w:val="fr-CA"/>
        </w:rPr>
        <w:t>F.L. c. Claude Marquette</w:t>
      </w:r>
      <w:r w:rsidRPr="00BC7B7D">
        <w:rPr>
          <w:sz w:val="20"/>
          <w:szCs w:val="20"/>
          <w:lang w:val="fr-CA"/>
        </w:rPr>
        <w:t xml:space="preserve"> (Qc) (Civile) (Autorisation) </w:t>
      </w:r>
      <w:r w:rsidR="004B7F60" w:rsidRPr="00BC7B7D">
        <w:rPr>
          <w:sz w:val="20"/>
          <w:szCs w:val="20"/>
          <w:lang w:val="fr-CA"/>
        </w:rPr>
        <w:t>(348</w:t>
      </w:r>
      <w:r w:rsidRPr="00BC7B7D">
        <w:rPr>
          <w:sz w:val="20"/>
          <w:szCs w:val="20"/>
          <w:lang w:val="fr-CA"/>
        </w:rPr>
        <w:t>59</w:t>
      </w:r>
      <w:r w:rsidR="004B7F60" w:rsidRPr="00BC7B7D">
        <w:rPr>
          <w:sz w:val="20"/>
          <w:szCs w:val="20"/>
          <w:lang w:val="fr-CA"/>
        </w:rPr>
        <w:t>)</w:t>
      </w:r>
    </w:p>
    <w:p w:rsidR="002E2327" w:rsidRPr="00C50A5C" w:rsidRDefault="002E2327" w:rsidP="002E2327">
      <w:pPr>
        <w:widowControl w:val="0"/>
        <w:rPr>
          <w:sz w:val="20"/>
          <w:szCs w:val="20"/>
          <w:lang w:val="fr-CA"/>
        </w:rPr>
      </w:pPr>
    </w:p>
    <w:p w:rsidR="002E2327" w:rsidRDefault="007333FF" w:rsidP="002E2327">
      <w:pPr>
        <w:widowControl w:val="0"/>
        <w:rPr>
          <w:sz w:val="20"/>
          <w:szCs w:val="20"/>
        </w:rPr>
      </w:pPr>
      <w:r w:rsidRPr="007333FF">
        <w:rPr>
          <w:sz w:val="20"/>
          <w:szCs w:val="20"/>
        </w:rPr>
        <w:pict>
          <v:rect id="_x0000_i1045" style="width:2in;height:1pt" o:hrpct="0" o:hralign="center" o:hrstd="t" o:hrnoshade="t" o:hr="t" fillcolor="black [3213]" stroked="f"/>
        </w:pict>
      </w:r>
    </w:p>
    <w:p w:rsidR="00957F2F" w:rsidRDefault="00957F2F" w:rsidP="002E2327">
      <w:pPr>
        <w:widowControl w:val="0"/>
        <w:rPr>
          <w:sz w:val="20"/>
          <w:szCs w:val="20"/>
        </w:rPr>
      </w:pPr>
    </w:p>
    <w:p w:rsidR="00BC7B7D" w:rsidRPr="00BC7B7D" w:rsidRDefault="00BC7B7D">
      <w:pPr>
        <w:rPr>
          <w:sz w:val="20"/>
          <w:szCs w:val="20"/>
          <w:lang w:val="fr-CA"/>
        </w:rPr>
      </w:pPr>
    </w:p>
    <w:p w:rsidR="00957F2F" w:rsidRPr="00123E21" w:rsidRDefault="00957F2F" w:rsidP="00957F2F">
      <w:pPr>
        <w:widowControl w:val="0"/>
        <w:rPr>
          <w:b/>
          <w:sz w:val="20"/>
          <w:szCs w:val="20"/>
        </w:rPr>
      </w:pPr>
      <w:r w:rsidRPr="00123E21">
        <w:rPr>
          <w:b/>
          <w:sz w:val="20"/>
          <w:szCs w:val="20"/>
        </w:rPr>
        <w:t>AUGUST 7, 2012 / LE 7 AOÛT 2012</w:t>
      </w:r>
    </w:p>
    <w:p w:rsidR="00957F2F" w:rsidRPr="00123E21" w:rsidRDefault="00957F2F" w:rsidP="00957F2F">
      <w:pPr>
        <w:widowControl w:val="0"/>
        <w:rPr>
          <w:b/>
          <w:sz w:val="20"/>
          <w:szCs w:val="20"/>
        </w:rPr>
      </w:pPr>
    </w:p>
    <w:p w:rsidR="00957F2F" w:rsidRPr="00C50A5C" w:rsidRDefault="00957F2F" w:rsidP="00957F2F">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957F2F" w:rsidRPr="00C50A5C" w:rsidRDefault="00957F2F" w:rsidP="00957F2F">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957F2F" w:rsidRPr="00C50A5C" w:rsidRDefault="00957F2F" w:rsidP="00957F2F">
      <w:pPr>
        <w:widowControl w:val="0"/>
        <w:rPr>
          <w:sz w:val="20"/>
          <w:szCs w:val="20"/>
          <w:lang w:val="fr-CA"/>
        </w:rPr>
      </w:pPr>
    </w:p>
    <w:p w:rsidR="00957F2F" w:rsidRPr="00C50A5C" w:rsidRDefault="00445CBE" w:rsidP="00957F2F">
      <w:pPr>
        <w:pStyle w:val="ListParagraph"/>
        <w:widowControl w:val="0"/>
        <w:numPr>
          <w:ilvl w:val="0"/>
          <w:numId w:val="2"/>
        </w:numPr>
        <w:ind w:hanging="720"/>
        <w:jc w:val="both"/>
        <w:rPr>
          <w:sz w:val="20"/>
          <w:szCs w:val="20"/>
        </w:rPr>
      </w:pPr>
      <w:r w:rsidRPr="00445CBE">
        <w:rPr>
          <w:i/>
          <w:sz w:val="20"/>
          <w:szCs w:val="20"/>
        </w:rPr>
        <w:t>Computershare Trust Company of Canada v. Crystallex International Corporation et al.</w:t>
      </w:r>
      <w:r w:rsidRPr="00445CBE">
        <w:rPr>
          <w:sz w:val="20"/>
          <w:szCs w:val="20"/>
        </w:rPr>
        <w:t xml:space="preserve"> (Ont.) (Civil) (By</w:t>
      </w:r>
      <w:r>
        <w:rPr>
          <w:sz w:val="20"/>
          <w:szCs w:val="20"/>
        </w:rPr>
        <w:t> </w:t>
      </w:r>
      <w:r w:rsidRPr="00445CBE">
        <w:rPr>
          <w:sz w:val="20"/>
          <w:szCs w:val="20"/>
        </w:rPr>
        <w:t>Leave)</w:t>
      </w:r>
      <w:r w:rsidRPr="00C50A5C">
        <w:rPr>
          <w:sz w:val="20"/>
          <w:szCs w:val="20"/>
        </w:rPr>
        <w:t xml:space="preserve"> </w:t>
      </w:r>
      <w:r w:rsidR="00957F2F" w:rsidRPr="00C50A5C">
        <w:rPr>
          <w:sz w:val="20"/>
          <w:szCs w:val="20"/>
        </w:rPr>
        <w:t>(3</w:t>
      </w:r>
      <w:r w:rsidR="00957F2F">
        <w:rPr>
          <w:sz w:val="20"/>
          <w:szCs w:val="20"/>
        </w:rPr>
        <w:t>4</w:t>
      </w:r>
      <w:r>
        <w:rPr>
          <w:sz w:val="20"/>
          <w:szCs w:val="20"/>
        </w:rPr>
        <w:t>8</w:t>
      </w:r>
      <w:r w:rsidR="00957F2F">
        <w:rPr>
          <w:sz w:val="20"/>
          <w:szCs w:val="20"/>
        </w:rPr>
        <w:t>7</w:t>
      </w:r>
      <w:r>
        <w:rPr>
          <w:sz w:val="20"/>
          <w:szCs w:val="20"/>
        </w:rPr>
        <w:t>2</w:t>
      </w:r>
      <w:r w:rsidR="00957F2F" w:rsidRPr="00C50A5C">
        <w:rPr>
          <w:sz w:val="20"/>
          <w:szCs w:val="20"/>
        </w:rPr>
        <w:t>)</w:t>
      </w:r>
    </w:p>
    <w:p w:rsidR="00957F2F" w:rsidRDefault="00957F2F" w:rsidP="00957F2F">
      <w:pPr>
        <w:widowControl w:val="0"/>
        <w:jc w:val="both"/>
        <w:rPr>
          <w:sz w:val="20"/>
          <w:szCs w:val="20"/>
        </w:rPr>
      </w:pPr>
    </w:p>
    <w:p w:rsidR="00445CBE" w:rsidRDefault="00445CBE" w:rsidP="00957F2F">
      <w:pPr>
        <w:widowControl w:val="0"/>
        <w:jc w:val="both"/>
        <w:rPr>
          <w:sz w:val="20"/>
          <w:szCs w:val="20"/>
        </w:rPr>
      </w:pPr>
    </w:p>
    <w:p w:rsidR="00445CBE" w:rsidRPr="00C50A5C" w:rsidRDefault="00445CBE" w:rsidP="00445CBE">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445CBE" w:rsidRPr="00C50A5C" w:rsidRDefault="00445CBE" w:rsidP="00445CBE">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445CBE" w:rsidRPr="00445CBE" w:rsidRDefault="00445CBE" w:rsidP="00957F2F">
      <w:pPr>
        <w:widowControl w:val="0"/>
        <w:jc w:val="both"/>
        <w:rPr>
          <w:sz w:val="20"/>
          <w:szCs w:val="20"/>
          <w:lang w:val="fr-CA"/>
        </w:rPr>
      </w:pPr>
    </w:p>
    <w:p w:rsidR="00957F2F" w:rsidRPr="00C612D0" w:rsidRDefault="00445CBE" w:rsidP="00957F2F">
      <w:pPr>
        <w:pStyle w:val="ListParagraph"/>
        <w:widowControl w:val="0"/>
        <w:numPr>
          <w:ilvl w:val="0"/>
          <w:numId w:val="2"/>
        </w:numPr>
        <w:ind w:hanging="720"/>
        <w:jc w:val="both"/>
        <w:rPr>
          <w:sz w:val="20"/>
          <w:szCs w:val="20"/>
        </w:rPr>
      </w:pPr>
      <w:r w:rsidRPr="00445CBE">
        <w:rPr>
          <w:i/>
          <w:sz w:val="20"/>
          <w:szCs w:val="20"/>
        </w:rPr>
        <w:t>Dennis Eugene Menezes v. Her Majesty the Queen</w:t>
      </w:r>
      <w:r w:rsidRPr="00445CBE">
        <w:rPr>
          <w:sz w:val="20"/>
          <w:szCs w:val="20"/>
        </w:rPr>
        <w:t xml:space="preserve"> (Ont.) </w:t>
      </w:r>
      <w:r w:rsidRPr="00445CBE">
        <w:rPr>
          <w:sz w:val="20"/>
          <w:szCs w:val="20"/>
          <w:lang w:val="fr-CA"/>
        </w:rPr>
        <w:t xml:space="preserve">(Crim.) </w:t>
      </w:r>
      <w:r w:rsidRPr="00445CBE">
        <w:rPr>
          <w:sz w:val="20"/>
          <w:szCs w:val="20"/>
        </w:rPr>
        <w:t>(By Leave)</w:t>
      </w:r>
      <w:r w:rsidRPr="00C612D0">
        <w:rPr>
          <w:sz w:val="20"/>
          <w:szCs w:val="20"/>
        </w:rPr>
        <w:t xml:space="preserve"> </w:t>
      </w:r>
      <w:r w:rsidR="00957F2F" w:rsidRPr="00C612D0">
        <w:rPr>
          <w:sz w:val="20"/>
          <w:szCs w:val="20"/>
        </w:rPr>
        <w:t>(34</w:t>
      </w:r>
      <w:r>
        <w:rPr>
          <w:sz w:val="20"/>
          <w:szCs w:val="20"/>
        </w:rPr>
        <w:t>730</w:t>
      </w:r>
      <w:r w:rsidR="00957F2F" w:rsidRPr="00C612D0">
        <w:rPr>
          <w:sz w:val="20"/>
          <w:szCs w:val="20"/>
        </w:rPr>
        <w:t>)</w:t>
      </w:r>
    </w:p>
    <w:p w:rsidR="00957F2F" w:rsidRDefault="00957F2F" w:rsidP="00957F2F">
      <w:pPr>
        <w:widowControl w:val="0"/>
        <w:jc w:val="both"/>
        <w:rPr>
          <w:sz w:val="20"/>
          <w:szCs w:val="20"/>
        </w:rPr>
      </w:pPr>
    </w:p>
    <w:p w:rsidR="00445CBE" w:rsidRDefault="00445CBE" w:rsidP="00957F2F">
      <w:pPr>
        <w:widowControl w:val="0"/>
        <w:jc w:val="both"/>
        <w:rPr>
          <w:sz w:val="20"/>
          <w:szCs w:val="20"/>
        </w:rPr>
      </w:pPr>
    </w:p>
    <w:p w:rsidR="00445CBE" w:rsidRPr="00C50A5C" w:rsidRDefault="00445CBE" w:rsidP="00445CBE">
      <w:pPr>
        <w:widowControl w:val="0"/>
        <w:jc w:val="center"/>
        <w:rPr>
          <w:b/>
          <w:sz w:val="20"/>
          <w:szCs w:val="20"/>
        </w:rPr>
      </w:pPr>
      <w:r w:rsidRPr="00C50A5C">
        <w:rPr>
          <w:b/>
          <w:sz w:val="20"/>
          <w:szCs w:val="20"/>
        </w:rPr>
        <w:lastRenderedPageBreak/>
        <w:t xml:space="preserve">CORAM: </w:t>
      </w:r>
      <w:r>
        <w:rPr>
          <w:b/>
          <w:sz w:val="20"/>
          <w:szCs w:val="20"/>
        </w:rPr>
        <w:t>Fish, Moldaver</w:t>
      </w:r>
      <w:r w:rsidRPr="00C50A5C">
        <w:rPr>
          <w:b/>
          <w:sz w:val="20"/>
          <w:szCs w:val="20"/>
        </w:rPr>
        <w:t xml:space="preserve"> and </w:t>
      </w:r>
      <w:r>
        <w:rPr>
          <w:b/>
          <w:sz w:val="20"/>
          <w:szCs w:val="20"/>
        </w:rPr>
        <w:t>Karakatsanis</w:t>
      </w:r>
      <w:r w:rsidRPr="00C50A5C">
        <w:rPr>
          <w:b/>
          <w:sz w:val="20"/>
          <w:szCs w:val="20"/>
        </w:rPr>
        <w:t xml:space="preserve"> JJ.</w:t>
      </w:r>
    </w:p>
    <w:p w:rsidR="00445CBE" w:rsidRPr="00C50A5C" w:rsidRDefault="00445CBE" w:rsidP="00445CBE">
      <w:pPr>
        <w:widowControl w:val="0"/>
        <w:jc w:val="center"/>
        <w:rPr>
          <w:b/>
          <w:sz w:val="20"/>
          <w:szCs w:val="20"/>
          <w:lang w:val="fr-CA"/>
        </w:rPr>
      </w:pPr>
      <w:r w:rsidRPr="00C50A5C">
        <w:rPr>
          <w:b/>
          <w:sz w:val="20"/>
          <w:szCs w:val="20"/>
          <w:lang w:val="fr-CA"/>
        </w:rPr>
        <w:t xml:space="preserve">Les juges </w:t>
      </w:r>
      <w:r>
        <w:rPr>
          <w:b/>
          <w:sz w:val="20"/>
          <w:szCs w:val="20"/>
          <w:lang w:val="fr-CA"/>
        </w:rPr>
        <w:t>Fish, Moldaver</w:t>
      </w:r>
      <w:r w:rsidRPr="00C50A5C">
        <w:rPr>
          <w:b/>
          <w:sz w:val="20"/>
          <w:szCs w:val="20"/>
          <w:lang w:val="fr-CA"/>
        </w:rPr>
        <w:t xml:space="preserve"> et </w:t>
      </w:r>
      <w:r>
        <w:rPr>
          <w:b/>
          <w:sz w:val="20"/>
          <w:szCs w:val="20"/>
          <w:lang w:val="fr-CA"/>
        </w:rPr>
        <w:t>Karakatsanis</w:t>
      </w:r>
    </w:p>
    <w:p w:rsidR="00445CBE" w:rsidRPr="00445CBE" w:rsidRDefault="00445CBE" w:rsidP="00957F2F">
      <w:pPr>
        <w:widowControl w:val="0"/>
        <w:jc w:val="both"/>
        <w:rPr>
          <w:sz w:val="20"/>
          <w:szCs w:val="20"/>
          <w:lang w:val="fr-CA"/>
        </w:rPr>
      </w:pPr>
    </w:p>
    <w:p w:rsidR="00957F2F" w:rsidRPr="00C50A5C" w:rsidRDefault="00445CBE" w:rsidP="00957F2F">
      <w:pPr>
        <w:pStyle w:val="ListParagraph"/>
        <w:widowControl w:val="0"/>
        <w:numPr>
          <w:ilvl w:val="0"/>
          <w:numId w:val="2"/>
        </w:numPr>
        <w:ind w:hanging="720"/>
        <w:jc w:val="both"/>
        <w:rPr>
          <w:sz w:val="20"/>
          <w:szCs w:val="20"/>
        </w:rPr>
      </w:pPr>
      <w:r w:rsidRPr="00445CBE">
        <w:rPr>
          <w:i/>
          <w:sz w:val="20"/>
          <w:szCs w:val="20"/>
        </w:rPr>
        <w:t>Pye Bros. Fuels Ltd. v. Imperial Oil Limited</w:t>
      </w:r>
      <w:r w:rsidRPr="00445CBE">
        <w:rPr>
          <w:sz w:val="20"/>
          <w:szCs w:val="20"/>
        </w:rPr>
        <w:t xml:space="preserve"> (Ont.) (Civil) (By Leave)</w:t>
      </w:r>
      <w:r w:rsidRPr="00940CAD">
        <w:rPr>
          <w:sz w:val="20"/>
          <w:szCs w:val="20"/>
        </w:rPr>
        <w:t xml:space="preserve"> </w:t>
      </w:r>
      <w:r w:rsidR="00957F2F" w:rsidRPr="00940CAD">
        <w:rPr>
          <w:sz w:val="20"/>
          <w:szCs w:val="20"/>
        </w:rPr>
        <w:t>(34</w:t>
      </w:r>
      <w:r w:rsidR="00957F2F">
        <w:rPr>
          <w:sz w:val="20"/>
          <w:szCs w:val="20"/>
        </w:rPr>
        <w:t>8</w:t>
      </w:r>
      <w:r>
        <w:rPr>
          <w:sz w:val="20"/>
          <w:szCs w:val="20"/>
        </w:rPr>
        <w:t>20</w:t>
      </w:r>
      <w:r w:rsidR="00957F2F" w:rsidRPr="00940CAD">
        <w:rPr>
          <w:sz w:val="20"/>
          <w:szCs w:val="20"/>
        </w:rPr>
        <w:t>)</w:t>
      </w:r>
    </w:p>
    <w:p w:rsidR="00957F2F" w:rsidRPr="00115C9E" w:rsidRDefault="00957F2F" w:rsidP="00957F2F">
      <w:pPr>
        <w:widowControl w:val="0"/>
        <w:jc w:val="both"/>
        <w:rPr>
          <w:sz w:val="20"/>
          <w:szCs w:val="20"/>
        </w:rPr>
      </w:pPr>
    </w:p>
    <w:p w:rsidR="00957F2F" w:rsidRDefault="007333FF" w:rsidP="002E2327">
      <w:pPr>
        <w:widowControl w:val="0"/>
        <w:rPr>
          <w:sz w:val="20"/>
          <w:szCs w:val="20"/>
        </w:rPr>
      </w:pPr>
      <w:r w:rsidRPr="007333FF">
        <w:rPr>
          <w:sz w:val="20"/>
          <w:szCs w:val="20"/>
        </w:rPr>
        <w:pict>
          <v:rect id="_x0000_i1046" style="width:2in;height:1pt" o:hrpct="0" o:hralign="center" o:hrstd="t" o:hrnoshade="t" o:hr="t" fillcolor="black [3213]" stroked="f"/>
        </w:pict>
      </w:r>
    </w:p>
    <w:p w:rsidR="006748AB" w:rsidRDefault="006748AB" w:rsidP="002E2327">
      <w:pPr>
        <w:widowControl w:val="0"/>
        <w:rPr>
          <w:sz w:val="20"/>
          <w:szCs w:val="20"/>
        </w:rPr>
      </w:pPr>
    </w:p>
    <w:p w:rsidR="00426786" w:rsidRDefault="00426786" w:rsidP="002E2327">
      <w:pPr>
        <w:widowControl w:val="0"/>
        <w:rPr>
          <w:sz w:val="20"/>
          <w:szCs w:val="20"/>
        </w:rPr>
      </w:pPr>
    </w:p>
    <w:p w:rsidR="00426786" w:rsidRPr="00123E21" w:rsidRDefault="00426786" w:rsidP="00426786">
      <w:pPr>
        <w:widowControl w:val="0"/>
        <w:rPr>
          <w:b/>
          <w:sz w:val="20"/>
          <w:szCs w:val="20"/>
        </w:rPr>
      </w:pPr>
      <w:r w:rsidRPr="00123E21">
        <w:rPr>
          <w:b/>
          <w:sz w:val="20"/>
          <w:szCs w:val="20"/>
        </w:rPr>
        <w:t xml:space="preserve">AUGUST </w:t>
      </w:r>
      <w:r>
        <w:rPr>
          <w:b/>
          <w:sz w:val="20"/>
          <w:szCs w:val="20"/>
        </w:rPr>
        <w:t>13</w:t>
      </w:r>
      <w:r w:rsidRPr="00123E21">
        <w:rPr>
          <w:b/>
          <w:sz w:val="20"/>
          <w:szCs w:val="20"/>
        </w:rPr>
        <w:t xml:space="preserve">, 2012 / LE </w:t>
      </w:r>
      <w:r>
        <w:rPr>
          <w:b/>
          <w:sz w:val="20"/>
          <w:szCs w:val="20"/>
        </w:rPr>
        <w:t>13</w:t>
      </w:r>
      <w:r w:rsidRPr="00123E21">
        <w:rPr>
          <w:b/>
          <w:sz w:val="20"/>
          <w:szCs w:val="20"/>
        </w:rPr>
        <w:t xml:space="preserve"> AOÛT 2012</w:t>
      </w:r>
    </w:p>
    <w:p w:rsidR="00426786" w:rsidRPr="00123E21" w:rsidRDefault="00426786" w:rsidP="00426786">
      <w:pPr>
        <w:widowControl w:val="0"/>
        <w:rPr>
          <w:b/>
          <w:sz w:val="20"/>
          <w:szCs w:val="20"/>
        </w:rPr>
      </w:pPr>
    </w:p>
    <w:p w:rsidR="00426786" w:rsidRPr="00C50A5C" w:rsidRDefault="00426786" w:rsidP="00426786">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26786" w:rsidRPr="00C50A5C" w:rsidRDefault="00426786" w:rsidP="00426786">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26786" w:rsidRPr="00C50A5C" w:rsidRDefault="00426786" w:rsidP="00426786">
      <w:pPr>
        <w:widowControl w:val="0"/>
        <w:rPr>
          <w:sz w:val="20"/>
          <w:szCs w:val="20"/>
          <w:lang w:val="fr-CA"/>
        </w:rPr>
      </w:pPr>
    </w:p>
    <w:p w:rsidR="00426786" w:rsidRPr="00C50A5C" w:rsidRDefault="00426786" w:rsidP="00426786">
      <w:pPr>
        <w:pStyle w:val="ListParagraph"/>
        <w:widowControl w:val="0"/>
        <w:numPr>
          <w:ilvl w:val="0"/>
          <w:numId w:val="3"/>
        </w:numPr>
        <w:ind w:hanging="720"/>
        <w:jc w:val="both"/>
        <w:rPr>
          <w:sz w:val="20"/>
          <w:szCs w:val="20"/>
        </w:rPr>
      </w:pPr>
      <w:r w:rsidRPr="000871CC">
        <w:rPr>
          <w:i/>
          <w:sz w:val="20"/>
          <w:szCs w:val="20"/>
        </w:rPr>
        <w:t xml:space="preserve">Her Majesty the Queen </w:t>
      </w:r>
      <w:r w:rsidR="000871CC" w:rsidRPr="000871CC">
        <w:rPr>
          <w:i/>
          <w:sz w:val="20"/>
          <w:szCs w:val="20"/>
        </w:rPr>
        <w:t>v. P.M.</w:t>
      </w:r>
      <w:r w:rsidR="000871CC" w:rsidRPr="00426786">
        <w:rPr>
          <w:sz w:val="20"/>
          <w:szCs w:val="20"/>
        </w:rPr>
        <w:t xml:space="preserve"> </w:t>
      </w:r>
      <w:r w:rsidRPr="00426786">
        <w:rPr>
          <w:sz w:val="20"/>
          <w:szCs w:val="20"/>
        </w:rPr>
        <w:t>(Ont.) (Crim</w:t>
      </w:r>
      <w:r>
        <w:rPr>
          <w:sz w:val="20"/>
          <w:szCs w:val="20"/>
        </w:rPr>
        <w:t>.</w:t>
      </w:r>
      <w:r w:rsidRPr="00426786">
        <w:rPr>
          <w:sz w:val="20"/>
          <w:szCs w:val="20"/>
        </w:rPr>
        <w:t>) (By Leave)</w:t>
      </w:r>
      <w:r w:rsidRPr="00C50A5C">
        <w:rPr>
          <w:sz w:val="20"/>
          <w:szCs w:val="20"/>
        </w:rPr>
        <w:t xml:space="preserve"> (3</w:t>
      </w:r>
      <w:r>
        <w:rPr>
          <w:sz w:val="20"/>
          <w:szCs w:val="20"/>
        </w:rPr>
        <w:t>4843</w:t>
      </w:r>
      <w:r w:rsidRPr="00C50A5C">
        <w:rPr>
          <w:sz w:val="20"/>
          <w:szCs w:val="20"/>
        </w:rPr>
        <w:t>)</w:t>
      </w:r>
    </w:p>
    <w:p w:rsidR="00426786" w:rsidRPr="000871CC" w:rsidRDefault="00426786" w:rsidP="00426786">
      <w:pPr>
        <w:widowControl w:val="0"/>
        <w:jc w:val="both"/>
        <w:rPr>
          <w:sz w:val="20"/>
          <w:szCs w:val="20"/>
        </w:rPr>
      </w:pPr>
    </w:p>
    <w:p w:rsidR="00426786" w:rsidRPr="00C612D0" w:rsidRDefault="000871CC" w:rsidP="00426786">
      <w:pPr>
        <w:pStyle w:val="ListParagraph"/>
        <w:widowControl w:val="0"/>
        <w:numPr>
          <w:ilvl w:val="0"/>
          <w:numId w:val="3"/>
        </w:numPr>
        <w:ind w:hanging="720"/>
        <w:jc w:val="both"/>
        <w:rPr>
          <w:sz w:val="20"/>
          <w:szCs w:val="20"/>
        </w:rPr>
      </w:pPr>
      <w:r w:rsidRPr="000871CC">
        <w:rPr>
          <w:i/>
          <w:sz w:val="20"/>
          <w:szCs w:val="20"/>
        </w:rPr>
        <w:t>Roberto Orellana Gonzalez v. Workers' Compensation Board (Now WorksafeBC) of British Columbia et al.</w:t>
      </w:r>
      <w:r w:rsidRPr="00426786">
        <w:rPr>
          <w:sz w:val="20"/>
          <w:szCs w:val="20"/>
        </w:rPr>
        <w:t xml:space="preserve"> (B.C.) (Civil) (By Leave)</w:t>
      </w:r>
      <w:r w:rsidRPr="00C612D0">
        <w:rPr>
          <w:sz w:val="20"/>
          <w:szCs w:val="20"/>
        </w:rPr>
        <w:t xml:space="preserve"> </w:t>
      </w:r>
      <w:r w:rsidR="00426786" w:rsidRPr="00C612D0">
        <w:rPr>
          <w:sz w:val="20"/>
          <w:szCs w:val="20"/>
        </w:rPr>
        <w:t>(34</w:t>
      </w:r>
      <w:r w:rsidR="00426786">
        <w:rPr>
          <w:sz w:val="20"/>
          <w:szCs w:val="20"/>
        </w:rPr>
        <w:t>830</w:t>
      </w:r>
      <w:r w:rsidR="00426786" w:rsidRPr="00C612D0">
        <w:rPr>
          <w:sz w:val="20"/>
          <w:szCs w:val="20"/>
        </w:rPr>
        <w:t>)</w:t>
      </w:r>
    </w:p>
    <w:p w:rsidR="00426786" w:rsidRDefault="00426786" w:rsidP="00426786">
      <w:pPr>
        <w:widowControl w:val="0"/>
        <w:jc w:val="both"/>
        <w:rPr>
          <w:sz w:val="20"/>
          <w:szCs w:val="20"/>
        </w:rPr>
      </w:pPr>
    </w:p>
    <w:p w:rsidR="00426786" w:rsidRPr="00C50A5C" w:rsidRDefault="000871CC" w:rsidP="00426786">
      <w:pPr>
        <w:pStyle w:val="ListParagraph"/>
        <w:widowControl w:val="0"/>
        <w:numPr>
          <w:ilvl w:val="0"/>
          <w:numId w:val="3"/>
        </w:numPr>
        <w:ind w:hanging="720"/>
        <w:jc w:val="both"/>
        <w:rPr>
          <w:sz w:val="20"/>
          <w:szCs w:val="20"/>
        </w:rPr>
      </w:pPr>
      <w:r w:rsidRPr="000871CC">
        <w:rPr>
          <w:i/>
          <w:sz w:val="20"/>
          <w:szCs w:val="20"/>
        </w:rPr>
        <w:t>Deanna Loychuk et al. v. Cougar Mountain Adventures Ltd.</w:t>
      </w:r>
      <w:r w:rsidRPr="00426786">
        <w:rPr>
          <w:sz w:val="20"/>
          <w:szCs w:val="20"/>
        </w:rPr>
        <w:t xml:space="preserve"> (B.C.) (Civil) (By Leave)</w:t>
      </w:r>
      <w:r w:rsidRPr="00940CAD">
        <w:rPr>
          <w:sz w:val="20"/>
          <w:szCs w:val="20"/>
        </w:rPr>
        <w:t xml:space="preserve"> </w:t>
      </w:r>
      <w:r w:rsidR="00426786" w:rsidRPr="00940CAD">
        <w:rPr>
          <w:sz w:val="20"/>
          <w:szCs w:val="20"/>
        </w:rPr>
        <w:t>(34</w:t>
      </w:r>
      <w:r w:rsidR="00426786">
        <w:rPr>
          <w:sz w:val="20"/>
          <w:szCs w:val="20"/>
        </w:rPr>
        <w:t>823</w:t>
      </w:r>
      <w:r w:rsidR="00426786" w:rsidRPr="00940CAD">
        <w:rPr>
          <w:sz w:val="20"/>
          <w:szCs w:val="20"/>
        </w:rPr>
        <w:t>)</w:t>
      </w:r>
    </w:p>
    <w:p w:rsidR="00426786" w:rsidRDefault="00426786" w:rsidP="00426786">
      <w:pPr>
        <w:widowControl w:val="0"/>
        <w:rPr>
          <w:sz w:val="20"/>
          <w:szCs w:val="20"/>
        </w:rPr>
      </w:pPr>
    </w:p>
    <w:p w:rsidR="00426786" w:rsidRDefault="00426786" w:rsidP="00426786">
      <w:pPr>
        <w:widowControl w:val="0"/>
        <w:rPr>
          <w:sz w:val="20"/>
          <w:szCs w:val="20"/>
        </w:rPr>
      </w:pPr>
    </w:p>
    <w:p w:rsidR="00426786" w:rsidRPr="00C50A5C" w:rsidRDefault="00426786" w:rsidP="00426786">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426786" w:rsidRPr="00C50A5C" w:rsidRDefault="00426786" w:rsidP="00426786">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426786" w:rsidRPr="00426786" w:rsidRDefault="00426786" w:rsidP="00426786">
      <w:pPr>
        <w:widowControl w:val="0"/>
        <w:rPr>
          <w:sz w:val="20"/>
          <w:szCs w:val="20"/>
          <w:lang w:val="fr-CA"/>
        </w:rPr>
      </w:pPr>
    </w:p>
    <w:p w:rsidR="00426786" w:rsidRPr="00C50A5C" w:rsidRDefault="000871CC" w:rsidP="00426786">
      <w:pPr>
        <w:pStyle w:val="ListParagraph"/>
        <w:widowControl w:val="0"/>
        <w:numPr>
          <w:ilvl w:val="0"/>
          <w:numId w:val="3"/>
        </w:numPr>
        <w:ind w:hanging="720"/>
        <w:jc w:val="both"/>
        <w:rPr>
          <w:sz w:val="20"/>
          <w:szCs w:val="20"/>
        </w:rPr>
      </w:pPr>
      <w:r w:rsidRPr="000871CC">
        <w:rPr>
          <w:i/>
          <w:sz w:val="20"/>
          <w:szCs w:val="20"/>
        </w:rPr>
        <w:t>Ian Mark Ali v. Her Majesty the Queen</w:t>
      </w:r>
      <w:r w:rsidRPr="000871CC">
        <w:rPr>
          <w:sz w:val="20"/>
          <w:szCs w:val="20"/>
        </w:rPr>
        <w:t xml:space="preserve"> (Ont.) </w:t>
      </w:r>
      <w:r w:rsidRPr="00426786">
        <w:rPr>
          <w:sz w:val="20"/>
          <w:szCs w:val="20"/>
          <w:lang w:val="fr-CA"/>
        </w:rPr>
        <w:t xml:space="preserve">(Crim.) </w:t>
      </w:r>
      <w:r w:rsidRPr="00426786">
        <w:rPr>
          <w:sz w:val="20"/>
          <w:szCs w:val="20"/>
        </w:rPr>
        <w:t>(By Leave)</w:t>
      </w:r>
      <w:r w:rsidRPr="00C50A5C">
        <w:rPr>
          <w:sz w:val="20"/>
          <w:szCs w:val="20"/>
        </w:rPr>
        <w:t xml:space="preserve"> </w:t>
      </w:r>
      <w:r w:rsidR="00426786" w:rsidRPr="00C50A5C">
        <w:rPr>
          <w:sz w:val="20"/>
          <w:szCs w:val="20"/>
        </w:rPr>
        <w:t>(3</w:t>
      </w:r>
      <w:r w:rsidR="00426786">
        <w:rPr>
          <w:sz w:val="20"/>
          <w:szCs w:val="20"/>
        </w:rPr>
        <w:t>4802</w:t>
      </w:r>
      <w:r w:rsidR="00426786" w:rsidRPr="00C50A5C">
        <w:rPr>
          <w:sz w:val="20"/>
          <w:szCs w:val="20"/>
        </w:rPr>
        <w:t>)</w:t>
      </w:r>
    </w:p>
    <w:p w:rsidR="00426786" w:rsidRPr="00C16CB3" w:rsidRDefault="00426786" w:rsidP="00426786">
      <w:pPr>
        <w:widowControl w:val="0"/>
        <w:jc w:val="both"/>
        <w:rPr>
          <w:sz w:val="20"/>
          <w:szCs w:val="20"/>
          <w:lang w:val="fr-CA"/>
        </w:rPr>
      </w:pPr>
    </w:p>
    <w:p w:rsidR="00426786" w:rsidRPr="000871CC" w:rsidRDefault="000871CC" w:rsidP="00426786">
      <w:pPr>
        <w:pStyle w:val="ListParagraph"/>
        <w:widowControl w:val="0"/>
        <w:numPr>
          <w:ilvl w:val="0"/>
          <w:numId w:val="3"/>
        </w:numPr>
        <w:ind w:hanging="720"/>
        <w:jc w:val="both"/>
        <w:rPr>
          <w:sz w:val="20"/>
          <w:szCs w:val="20"/>
        </w:rPr>
      </w:pPr>
      <w:r w:rsidRPr="000871CC">
        <w:rPr>
          <w:i/>
          <w:sz w:val="20"/>
          <w:szCs w:val="20"/>
        </w:rPr>
        <w:t>Chad Norman Morris v. Saskatchewan Government Insurance</w:t>
      </w:r>
      <w:r w:rsidRPr="00426786">
        <w:rPr>
          <w:sz w:val="20"/>
          <w:szCs w:val="20"/>
        </w:rPr>
        <w:t xml:space="preserve"> (Sask.) (Civil) (By Leave)</w:t>
      </w:r>
      <w:r w:rsidRPr="000871CC">
        <w:rPr>
          <w:sz w:val="20"/>
          <w:szCs w:val="20"/>
        </w:rPr>
        <w:t xml:space="preserve"> </w:t>
      </w:r>
      <w:r w:rsidR="00426786" w:rsidRPr="000871CC">
        <w:rPr>
          <w:sz w:val="20"/>
          <w:szCs w:val="20"/>
        </w:rPr>
        <w:t>(34856)</w:t>
      </w:r>
    </w:p>
    <w:p w:rsidR="00426786" w:rsidRPr="000871CC" w:rsidRDefault="00426786" w:rsidP="00426786">
      <w:pPr>
        <w:widowControl w:val="0"/>
        <w:rPr>
          <w:sz w:val="20"/>
          <w:szCs w:val="20"/>
        </w:rPr>
      </w:pPr>
    </w:p>
    <w:p w:rsidR="00426786" w:rsidRPr="00115C9E" w:rsidRDefault="000871CC" w:rsidP="00426786">
      <w:pPr>
        <w:pStyle w:val="ListParagraph"/>
        <w:widowControl w:val="0"/>
        <w:numPr>
          <w:ilvl w:val="0"/>
          <w:numId w:val="3"/>
        </w:numPr>
        <w:ind w:hanging="720"/>
        <w:jc w:val="both"/>
        <w:rPr>
          <w:sz w:val="20"/>
          <w:szCs w:val="20"/>
          <w:lang w:val="fr-CA"/>
        </w:rPr>
      </w:pPr>
      <w:r w:rsidRPr="000871CC">
        <w:rPr>
          <w:i/>
          <w:sz w:val="20"/>
          <w:szCs w:val="20"/>
        </w:rPr>
        <w:t>H.H. Davis &amp; Associés Inc. c. Placements Ballylickey Inc. / Ballylickey Investments Inc.</w:t>
      </w:r>
      <w:r w:rsidRPr="00426786">
        <w:rPr>
          <w:sz w:val="20"/>
          <w:szCs w:val="20"/>
        </w:rPr>
        <w:t xml:space="preserve"> (Qc) (Civile) (Autorisation)</w:t>
      </w:r>
      <w:r w:rsidRPr="00115C9E">
        <w:rPr>
          <w:sz w:val="20"/>
          <w:szCs w:val="20"/>
          <w:lang w:val="fr-CA"/>
        </w:rPr>
        <w:t xml:space="preserve"> </w:t>
      </w:r>
      <w:r w:rsidR="00426786" w:rsidRPr="00115C9E">
        <w:rPr>
          <w:sz w:val="20"/>
          <w:szCs w:val="20"/>
          <w:lang w:val="fr-CA"/>
        </w:rPr>
        <w:t>(34</w:t>
      </w:r>
      <w:r w:rsidR="00426786">
        <w:rPr>
          <w:sz w:val="20"/>
          <w:szCs w:val="20"/>
          <w:lang w:val="fr-CA"/>
        </w:rPr>
        <w:t>875</w:t>
      </w:r>
      <w:r w:rsidR="00426786" w:rsidRPr="00115C9E">
        <w:rPr>
          <w:sz w:val="20"/>
          <w:szCs w:val="20"/>
          <w:lang w:val="fr-CA"/>
        </w:rPr>
        <w:t>)</w:t>
      </w:r>
    </w:p>
    <w:p w:rsidR="00426786" w:rsidRPr="00115C9E" w:rsidRDefault="00426786" w:rsidP="00426786">
      <w:pPr>
        <w:widowControl w:val="0"/>
        <w:jc w:val="both"/>
        <w:rPr>
          <w:sz w:val="20"/>
          <w:szCs w:val="20"/>
          <w:lang w:val="fr-CA"/>
        </w:rPr>
      </w:pPr>
    </w:p>
    <w:p w:rsidR="00426786" w:rsidRPr="000871CC" w:rsidRDefault="000871CC" w:rsidP="00426786">
      <w:pPr>
        <w:pStyle w:val="ListParagraph"/>
        <w:widowControl w:val="0"/>
        <w:numPr>
          <w:ilvl w:val="0"/>
          <w:numId w:val="3"/>
        </w:numPr>
        <w:ind w:hanging="720"/>
        <w:jc w:val="both"/>
        <w:rPr>
          <w:sz w:val="20"/>
          <w:szCs w:val="20"/>
        </w:rPr>
      </w:pPr>
      <w:r w:rsidRPr="000871CC">
        <w:rPr>
          <w:i/>
          <w:sz w:val="20"/>
          <w:szCs w:val="20"/>
        </w:rPr>
        <w:t>Ranko Todorovic et al. v. Her Majesty the Queen in Right of Ontario et al.</w:t>
      </w:r>
      <w:r w:rsidRPr="00426786">
        <w:rPr>
          <w:sz w:val="20"/>
          <w:szCs w:val="20"/>
        </w:rPr>
        <w:t xml:space="preserve"> (Ont.) (Civil) (By Leave)</w:t>
      </w:r>
      <w:r>
        <w:rPr>
          <w:sz w:val="20"/>
          <w:szCs w:val="20"/>
        </w:rPr>
        <w:t xml:space="preserve"> </w:t>
      </w:r>
      <w:r w:rsidR="00426786" w:rsidRPr="000871CC">
        <w:rPr>
          <w:sz w:val="20"/>
          <w:szCs w:val="20"/>
        </w:rPr>
        <w:t>(34822)</w:t>
      </w:r>
    </w:p>
    <w:p w:rsidR="00426786" w:rsidRPr="000871CC" w:rsidRDefault="00426786" w:rsidP="00426786">
      <w:pPr>
        <w:widowControl w:val="0"/>
        <w:jc w:val="both"/>
        <w:rPr>
          <w:sz w:val="20"/>
          <w:szCs w:val="20"/>
        </w:rPr>
      </w:pPr>
    </w:p>
    <w:p w:rsidR="00426786" w:rsidRPr="000871CC" w:rsidRDefault="00426786" w:rsidP="00426786">
      <w:pPr>
        <w:widowControl w:val="0"/>
        <w:jc w:val="both"/>
        <w:rPr>
          <w:sz w:val="20"/>
          <w:szCs w:val="20"/>
        </w:rPr>
      </w:pPr>
    </w:p>
    <w:p w:rsidR="00426786" w:rsidRPr="00C50A5C" w:rsidRDefault="00426786" w:rsidP="00426786">
      <w:pPr>
        <w:widowControl w:val="0"/>
        <w:jc w:val="center"/>
        <w:rPr>
          <w:b/>
          <w:sz w:val="20"/>
          <w:szCs w:val="20"/>
        </w:rPr>
      </w:pPr>
      <w:r w:rsidRPr="00C50A5C">
        <w:rPr>
          <w:b/>
          <w:sz w:val="20"/>
          <w:szCs w:val="20"/>
        </w:rPr>
        <w:t xml:space="preserve">CORAM: </w:t>
      </w:r>
      <w:r>
        <w:rPr>
          <w:b/>
          <w:sz w:val="20"/>
          <w:szCs w:val="20"/>
        </w:rPr>
        <w:t>Fish, Cromwell</w:t>
      </w:r>
      <w:r w:rsidRPr="00C50A5C">
        <w:rPr>
          <w:b/>
          <w:sz w:val="20"/>
          <w:szCs w:val="20"/>
        </w:rPr>
        <w:t xml:space="preserve"> and </w:t>
      </w:r>
      <w:r>
        <w:rPr>
          <w:b/>
          <w:sz w:val="20"/>
          <w:szCs w:val="20"/>
        </w:rPr>
        <w:t>Karakatsanis</w:t>
      </w:r>
      <w:r w:rsidRPr="00C50A5C">
        <w:rPr>
          <w:b/>
          <w:sz w:val="20"/>
          <w:szCs w:val="20"/>
        </w:rPr>
        <w:t xml:space="preserve"> JJ.</w:t>
      </w:r>
    </w:p>
    <w:p w:rsidR="00426786" w:rsidRPr="00C50A5C" w:rsidRDefault="00426786" w:rsidP="00426786">
      <w:pPr>
        <w:widowControl w:val="0"/>
        <w:jc w:val="center"/>
        <w:rPr>
          <w:b/>
          <w:sz w:val="20"/>
          <w:szCs w:val="20"/>
          <w:lang w:val="fr-CA"/>
        </w:rPr>
      </w:pPr>
      <w:r w:rsidRPr="00C50A5C">
        <w:rPr>
          <w:b/>
          <w:sz w:val="20"/>
          <w:szCs w:val="20"/>
          <w:lang w:val="fr-CA"/>
        </w:rPr>
        <w:t xml:space="preserve">Les juges </w:t>
      </w:r>
      <w:r>
        <w:rPr>
          <w:b/>
          <w:sz w:val="20"/>
          <w:szCs w:val="20"/>
          <w:lang w:val="fr-CA"/>
        </w:rPr>
        <w:t>Fish, Cromwell</w:t>
      </w:r>
      <w:r w:rsidRPr="00C50A5C">
        <w:rPr>
          <w:b/>
          <w:sz w:val="20"/>
          <w:szCs w:val="20"/>
          <w:lang w:val="fr-CA"/>
        </w:rPr>
        <w:t xml:space="preserve"> et </w:t>
      </w:r>
      <w:r>
        <w:rPr>
          <w:b/>
          <w:sz w:val="20"/>
          <w:szCs w:val="20"/>
          <w:lang w:val="fr-CA"/>
        </w:rPr>
        <w:t>Karakatsanis</w:t>
      </w:r>
    </w:p>
    <w:p w:rsidR="00426786" w:rsidRPr="00115C9E" w:rsidRDefault="00426786" w:rsidP="00426786">
      <w:pPr>
        <w:widowControl w:val="0"/>
        <w:jc w:val="both"/>
        <w:rPr>
          <w:sz w:val="20"/>
          <w:szCs w:val="20"/>
          <w:lang w:val="fr-CA"/>
        </w:rPr>
      </w:pPr>
    </w:p>
    <w:p w:rsidR="00426786" w:rsidRPr="00C50A5C" w:rsidRDefault="000871CC" w:rsidP="00426786">
      <w:pPr>
        <w:pStyle w:val="ListParagraph"/>
        <w:widowControl w:val="0"/>
        <w:numPr>
          <w:ilvl w:val="0"/>
          <w:numId w:val="3"/>
        </w:numPr>
        <w:ind w:hanging="720"/>
        <w:jc w:val="both"/>
        <w:rPr>
          <w:sz w:val="20"/>
          <w:szCs w:val="20"/>
          <w:lang w:val="fr-CA"/>
        </w:rPr>
      </w:pPr>
      <w:r w:rsidRPr="000871CC">
        <w:rPr>
          <w:i/>
          <w:sz w:val="20"/>
          <w:szCs w:val="20"/>
        </w:rPr>
        <w:t>Shawn Shea v. Her Majesty the Queen</w:t>
      </w:r>
      <w:r w:rsidRPr="00426786">
        <w:rPr>
          <w:sz w:val="20"/>
          <w:szCs w:val="20"/>
        </w:rPr>
        <w:t xml:space="preserve"> (N.S.) (Crim</w:t>
      </w:r>
      <w:r>
        <w:rPr>
          <w:sz w:val="20"/>
          <w:szCs w:val="20"/>
        </w:rPr>
        <w:t>.</w:t>
      </w:r>
      <w:r w:rsidRPr="00426786">
        <w:rPr>
          <w:sz w:val="20"/>
          <w:szCs w:val="20"/>
        </w:rPr>
        <w:t>) (By Leave)</w:t>
      </w:r>
      <w:r w:rsidRPr="00C50A5C">
        <w:rPr>
          <w:sz w:val="20"/>
          <w:szCs w:val="20"/>
          <w:lang w:val="fr-CA"/>
        </w:rPr>
        <w:t xml:space="preserve"> </w:t>
      </w:r>
      <w:r w:rsidR="00426786" w:rsidRPr="00C50A5C">
        <w:rPr>
          <w:sz w:val="20"/>
          <w:szCs w:val="20"/>
          <w:lang w:val="fr-CA"/>
        </w:rPr>
        <w:t>(3</w:t>
      </w:r>
      <w:r w:rsidR="00426786">
        <w:rPr>
          <w:sz w:val="20"/>
          <w:szCs w:val="20"/>
          <w:lang w:val="fr-CA"/>
        </w:rPr>
        <w:t>4870</w:t>
      </w:r>
      <w:r w:rsidR="00426786" w:rsidRPr="00C50A5C">
        <w:rPr>
          <w:sz w:val="20"/>
          <w:szCs w:val="20"/>
          <w:lang w:val="fr-CA"/>
        </w:rPr>
        <w:t>)</w:t>
      </w:r>
    </w:p>
    <w:p w:rsidR="00426786" w:rsidRDefault="00426786" w:rsidP="00426786">
      <w:pPr>
        <w:widowControl w:val="0"/>
        <w:rPr>
          <w:sz w:val="20"/>
          <w:szCs w:val="20"/>
          <w:lang w:val="fr-CA"/>
        </w:rPr>
      </w:pPr>
    </w:p>
    <w:p w:rsidR="00426786" w:rsidRPr="000871CC" w:rsidRDefault="000871CC" w:rsidP="00426786">
      <w:pPr>
        <w:pStyle w:val="ListParagraph"/>
        <w:widowControl w:val="0"/>
        <w:numPr>
          <w:ilvl w:val="0"/>
          <w:numId w:val="3"/>
        </w:numPr>
        <w:ind w:hanging="720"/>
        <w:jc w:val="both"/>
        <w:rPr>
          <w:sz w:val="20"/>
          <w:szCs w:val="20"/>
          <w:lang w:val="fr-CA"/>
        </w:rPr>
      </w:pPr>
      <w:r w:rsidRPr="000871CC">
        <w:rPr>
          <w:i/>
          <w:sz w:val="20"/>
          <w:szCs w:val="20"/>
          <w:lang w:val="fr-CA"/>
        </w:rPr>
        <w:t>Gaston Marcoux c. Terrassement portugais inc</w:t>
      </w:r>
      <w:r w:rsidR="003626B6">
        <w:rPr>
          <w:i/>
          <w:sz w:val="20"/>
          <w:szCs w:val="20"/>
          <w:lang w:val="fr-CA"/>
        </w:rPr>
        <w:t>.</w:t>
      </w:r>
      <w:r w:rsidRPr="000871CC">
        <w:rPr>
          <w:i/>
          <w:sz w:val="20"/>
          <w:szCs w:val="20"/>
          <w:lang w:val="fr-CA"/>
        </w:rPr>
        <w:t xml:space="preserve"> et a</w:t>
      </w:r>
      <w:r w:rsidR="00C25C88">
        <w:rPr>
          <w:i/>
          <w:sz w:val="20"/>
          <w:szCs w:val="20"/>
          <w:lang w:val="fr-CA"/>
        </w:rPr>
        <w:t>utre</w:t>
      </w:r>
      <w:r w:rsidRPr="00426786">
        <w:rPr>
          <w:sz w:val="20"/>
          <w:szCs w:val="20"/>
          <w:lang w:val="fr-CA"/>
        </w:rPr>
        <w:t xml:space="preserve"> (Qc) (Civile) (Autorisation)</w:t>
      </w:r>
      <w:r w:rsidRPr="000871CC">
        <w:rPr>
          <w:sz w:val="20"/>
          <w:szCs w:val="20"/>
          <w:lang w:val="fr-CA"/>
        </w:rPr>
        <w:t xml:space="preserve"> </w:t>
      </w:r>
      <w:r w:rsidR="00426786" w:rsidRPr="000871CC">
        <w:rPr>
          <w:sz w:val="20"/>
          <w:szCs w:val="20"/>
          <w:lang w:val="fr-CA"/>
        </w:rPr>
        <w:t>(34860)</w:t>
      </w:r>
    </w:p>
    <w:p w:rsidR="00426786" w:rsidRPr="000871CC" w:rsidRDefault="00426786" w:rsidP="00426786">
      <w:pPr>
        <w:widowControl w:val="0"/>
        <w:jc w:val="both"/>
        <w:rPr>
          <w:sz w:val="20"/>
          <w:szCs w:val="20"/>
          <w:lang w:val="fr-CA"/>
        </w:rPr>
      </w:pPr>
    </w:p>
    <w:p w:rsidR="00426786" w:rsidRPr="000871CC" w:rsidRDefault="000871CC" w:rsidP="00426786">
      <w:pPr>
        <w:pStyle w:val="ListParagraph"/>
        <w:widowControl w:val="0"/>
        <w:numPr>
          <w:ilvl w:val="0"/>
          <w:numId w:val="3"/>
        </w:numPr>
        <w:ind w:hanging="720"/>
        <w:jc w:val="both"/>
        <w:rPr>
          <w:sz w:val="20"/>
          <w:szCs w:val="20"/>
          <w:lang w:val="fr-CA"/>
        </w:rPr>
      </w:pPr>
      <w:r w:rsidRPr="000871CC">
        <w:rPr>
          <w:i/>
          <w:sz w:val="20"/>
          <w:szCs w:val="20"/>
          <w:lang w:val="fr-CA"/>
        </w:rPr>
        <w:t>Marilyne Dionne c. Commission scolaire des Patriotes et a</w:t>
      </w:r>
      <w:r w:rsidR="00C25C88">
        <w:rPr>
          <w:i/>
          <w:sz w:val="20"/>
          <w:szCs w:val="20"/>
          <w:lang w:val="fr-CA"/>
        </w:rPr>
        <w:t>utre</w:t>
      </w:r>
      <w:r w:rsidRPr="00426786">
        <w:rPr>
          <w:sz w:val="20"/>
          <w:szCs w:val="20"/>
          <w:lang w:val="fr-CA"/>
        </w:rPr>
        <w:t xml:space="preserve"> (Qc) (Civile) (Autorisation)</w:t>
      </w:r>
      <w:r w:rsidRPr="000871CC">
        <w:rPr>
          <w:sz w:val="20"/>
          <w:szCs w:val="20"/>
          <w:lang w:val="fr-CA"/>
        </w:rPr>
        <w:t xml:space="preserve"> </w:t>
      </w:r>
      <w:r w:rsidR="00426786" w:rsidRPr="000871CC">
        <w:rPr>
          <w:sz w:val="20"/>
          <w:szCs w:val="20"/>
          <w:lang w:val="fr-CA"/>
        </w:rPr>
        <w:t>(34854)</w:t>
      </w:r>
    </w:p>
    <w:p w:rsidR="00426786" w:rsidRPr="000871CC" w:rsidRDefault="00426786" w:rsidP="00426786">
      <w:pPr>
        <w:widowControl w:val="0"/>
        <w:jc w:val="both"/>
        <w:rPr>
          <w:sz w:val="20"/>
          <w:szCs w:val="20"/>
          <w:lang w:val="fr-CA"/>
        </w:rPr>
      </w:pPr>
    </w:p>
    <w:p w:rsidR="00426786" w:rsidRPr="000871CC" w:rsidRDefault="000871CC" w:rsidP="00426786">
      <w:pPr>
        <w:pStyle w:val="ListParagraph"/>
        <w:widowControl w:val="0"/>
        <w:numPr>
          <w:ilvl w:val="0"/>
          <w:numId w:val="3"/>
        </w:numPr>
        <w:ind w:hanging="720"/>
        <w:jc w:val="both"/>
        <w:rPr>
          <w:sz w:val="20"/>
          <w:szCs w:val="20"/>
          <w:lang w:val="fr-CA"/>
        </w:rPr>
      </w:pPr>
      <w:r w:rsidRPr="000871CC">
        <w:rPr>
          <w:i/>
          <w:sz w:val="20"/>
          <w:szCs w:val="20"/>
          <w:lang w:val="fr-CA"/>
        </w:rPr>
        <w:t>Diane Maynard c. Société de l'assurance automobile du Québec et a</w:t>
      </w:r>
      <w:r w:rsidR="00C25C88">
        <w:rPr>
          <w:i/>
          <w:sz w:val="20"/>
          <w:szCs w:val="20"/>
          <w:lang w:val="fr-CA"/>
        </w:rPr>
        <w:t>utre</w:t>
      </w:r>
      <w:r w:rsidRPr="00426786">
        <w:rPr>
          <w:sz w:val="20"/>
          <w:szCs w:val="20"/>
          <w:lang w:val="fr-CA"/>
        </w:rPr>
        <w:t xml:space="preserve"> (Qc) (Civile) (Autorisation)</w:t>
      </w:r>
      <w:r>
        <w:rPr>
          <w:sz w:val="20"/>
          <w:szCs w:val="20"/>
          <w:lang w:val="fr-CA"/>
        </w:rPr>
        <w:t xml:space="preserve"> </w:t>
      </w:r>
      <w:r w:rsidR="00426786" w:rsidRPr="000871CC">
        <w:rPr>
          <w:sz w:val="20"/>
          <w:szCs w:val="20"/>
          <w:lang w:val="fr-CA"/>
        </w:rPr>
        <w:t>(34868)</w:t>
      </w:r>
    </w:p>
    <w:p w:rsidR="00426786" w:rsidRPr="000871CC" w:rsidRDefault="00426786" w:rsidP="00426786">
      <w:pPr>
        <w:widowControl w:val="0"/>
        <w:rPr>
          <w:sz w:val="20"/>
          <w:szCs w:val="20"/>
          <w:lang w:val="fr-CA"/>
        </w:rPr>
      </w:pPr>
    </w:p>
    <w:p w:rsidR="00426786" w:rsidRDefault="007333FF" w:rsidP="00426786">
      <w:pPr>
        <w:widowControl w:val="0"/>
        <w:rPr>
          <w:sz w:val="20"/>
          <w:szCs w:val="20"/>
        </w:rPr>
      </w:pPr>
      <w:r w:rsidRPr="007333FF">
        <w:rPr>
          <w:sz w:val="20"/>
          <w:szCs w:val="20"/>
        </w:rPr>
        <w:pict>
          <v:rect id="_x0000_i1047" style="width:2in;height:1pt" o:hrpct="0" o:hralign="center" o:hrstd="t" o:hrnoshade="t" o:hr="t" fillcolor="black [3213]" stroked="f"/>
        </w:pict>
      </w:r>
    </w:p>
    <w:p w:rsidR="00426786" w:rsidRDefault="00426786" w:rsidP="00426786">
      <w:pPr>
        <w:widowControl w:val="0"/>
        <w:rPr>
          <w:sz w:val="20"/>
          <w:szCs w:val="20"/>
        </w:rPr>
      </w:pPr>
    </w:p>
    <w:p w:rsidR="00D44439" w:rsidRDefault="00D44439" w:rsidP="00426786">
      <w:pPr>
        <w:widowControl w:val="0"/>
        <w:rPr>
          <w:sz w:val="20"/>
          <w:szCs w:val="20"/>
        </w:rPr>
      </w:pPr>
    </w:p>
    <w:p w:rsidR="00D44439" w:rsidRPr="00123E21" w:rsidRDefault="00D44439" w:rsidP="00D44439">
      <w:pPr>
        <w:widowControl w:val="0"/>
        <w:rPr>
          <w:b/>
          <w:sz w:val="20"/>
          <w:szCs w:val="20"/>
        </w:rPr>
      </w:pPr>
      <w:r w:rsidRPr="00123E21">
        <w:rPr>
          <w:b/>
          <w:sz w:val="20"/>
          <w:szCs w:val="20"/>
        </w:rPr>
        <w:t xml:space="preserve">AUGUST </w:t>
      </w:r>
      <w:r>
        <w:rPr>
          <w:b/>
          <w:sz w:val="20"/>
          <w:szCs w:val="20"/>
        </w:rPr>
        <w:t>20</w:t>
      </w:r>
      <w:r w:rsidRPr="00123E21">
        <w:rPr>
          <w:b/>
          <w:sz w:val="20"/>
          <w:szCs w:val="20"/>
        </w:rPr>
        <w:t xml:space="preserve">, 2012 / LE </w:t>
      </w:r>
      <w:r>
        <w:rPr>
          <w:b/>
          <w:sz w:val="20"/>
          <w:szCs w:val="20"/>
        </w:rPr>
        <w:t>20</w:t>
      </w:r>
      <w:r w:rsidRPr="00123E21">
        <w:rPr>
          <w:b/>
          <w:sz w:val="20"/>
          <w:szCs w:val="20"/>
        </w:rPr>
        <w:t xml:space="preserve"> AOÛT 2012</w:t>
      </w:r>
    </w:p>
    <w:p w:rsidR="00D44439" w:rsidRPr="00123E21" w:rsidRDefault="00D44439" w:rsidP="00D44439">
      <w:pPr>
        <w:widowControl w:val="0"/>
        <w:rPr>
          <w:b/>
          <w:sz w:val="20"/>
          <w:szCs w:val="20"/>
        </w:rPr>
      </w:pPr>
    </w:p>
    <w:p w:rsidR="00D44439" w:rsidRPr="00C50A5C" w:rsidRDefault="00D44439" w:rsidP="00D44439">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D44439" w:rsidRPr="00C50A5C" w:rsidRDefault="00D44439" w:rsidP="00D44439">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D44439" w:rsidRPr="00C50A5C" w:rsidRDefault="00D44439" w:rsidP="00D44439">
      <w:pPr>
        <w:widowControl w:val="0"/>
        <w:rPr>
          <w:sz w:val="20"/>
          <w:szCs w:val="20"/>
          <w:lang w:val="fr-CA"/>
        </w:rPr>
      </w:pPr>
    </w:p>
    <w:p w:rsidR="00D44439" w:rsidRPr="00C50A5C" w:rsidRDefault="00D44439" w:rsidP="00D44439">
      <w:pPr>
        <w:pStyle w:val="ListParagraph"/>
        <w:widowControl w:val="0"/>
        <w:numPr>
          <w:ilvl w:val="0"/>
          <w:numId w:val="4"/>
        </w:numPr>
        <w:ind w:hanging="720"/>
        <w:jc w:val="both"/>
        <w:rPr>
          <w:sz w:val="20"/>
          <w:szCs w:val="20"/>
        </w:rPr>
      </w:pPr>
      <w:r w:rsidRPr="00D44439">
        <w:rPr>
          <w:i/>
          <w:sz w:val="20"/>
          <w:szCs w:val="20"/>
        </w:rPr>
        <w:t>MCAP Financial Corporation v. Condominium Corporation No. 0321365 et al.</w:t>
      </w:r>
      <w:r w:rsidRPr="00D44439">
        <w:rPr>
          <w:sz w:val="20"/>
          <w:szCs w:val="20"/>
        </w:rPr>
        <w:t xml:space="preserve"> (Alta.) (Civil) (By Leave)</w:t>
      </w:r>
      <w:r w:rsidRPr="00C50A5C">
        <w:rPr>
          <w:sz w:val="20"/>
          <w:szCs w:val="20"/>
        </w:rPr>
        <w:t xml:space="preserve"> (3</w:t>
      </w:r>
      <w:r>
        <w:rPr>
          <w:sz w:val="20"/>
          <w:szCs w:val="20"/>
        </w:rPr>
        <w:t>4734</w:t>
      </w:r>
      <w:r w:rsidRPr="00C50A5C">
        <w:rPr>
          <w:sz w:val="20"/>
          <w:szCs w:val="20"/>
        </w:rPr>
        <w:t>)</w:t>
      </w:r>
    </w:p>
    <w:p w:rsidR="00D44439" w:rsidRDefault="00D44439" w:rsidP="00D44439">
      <w:pPr>
        <w:widowControl w:val="0"/>
        <w:jc w:val="both"/>
        <w:rPr>
          <w:sz w:val="20"/>
          <w:szCs w:val="20"/>
        </w:rPr>
      </w:pPr>
    </w:p>
    <w:p w:rsidR="00D44439" w:rsidRPr="00C612D0" w:rsidRDefault="00D44439" w:rsidP="00D44439">
      <w:pPr>
        <w:pStyle w:val="ListParagraph"/>
        <w:widowControl w:val="0"/>
        <w:numPr>
          <w:ilvl w:val="0"/>
          <w:numId w:val="4"/>
        </w:numPr>
        <w:ind w:hanging="720"/>
        <w:jc w:val="both"/>
        <w:rPr>
          <w:sz w:val="20"/>
          <w:szCs w:val="20"/>
        </w:rPr>
      </w:pPr>
      <w:r w:rsidRPr="00D44439">
        <w:rPr>
          <w:i/>
          <w:sz w:val="20"/>
          <w:szCs w:val="20"/>
        </w:rPr>
        <w:lastRenderedPageBreak/>
        <w:t>Tri-Link Consultants Inc. et al. v. Saskatchewan Financial Services Commission</w:t>
      </w:r>
      <w:r w:rsidRPr="00D44439">
        <w:rPr>
          <w:sz w:val="20"/>
          <w:szCs w:val="20"/>
        </w:rPr>
        <w:t xml:space="preserve"> (Sask.) (Civil) (By Leave)</w:t>
      </w:r>
      <w:r w:rsidRPr="00C612D0">
        <w:rPr>
          <w:sz w:val="20"/>
          <w:szCs w:val="20"/>
        </w:rPr>
        <w:t xml:space="preserve"> (34</w:t>
      </w:r>
      <w:r>
        <w:rPr>
          <w:sz w:val="20"/>
          <w:szCs w:val="20"/>
        </w:rPr>
        <w:t>855</w:t>
      </w:r>
      <w:r w:rsidRPr="00C612D0">
        <w:rPr>
          <w:sz w:val="20"/>
          <w:szCs w:val="20"/>
        </w:rPr>
        <w:t>)</w:t>
      </w:r>
    </w:p>
    <w:p w:rsidR="00D44439" w:rsidRDefault="00D44439" w:rsidP="00D44439">
      <w:pPr>
        <w:widowControl w:val="0"/>
        <w:jc w:val="both"/>
        <w:rPr>
          <w:sz w:val="20"/>
          <w:szCs w:val="20"/>
        </w:rPr>
      </w:pPr>
    </w:p>
    <w:p w:rsidR="00D44439" w:rsidRPr="00C50A5C" w:rsidRDefault="00D44439" w:rsidP="00D44439">
      <w:pPr>
        <w:pStyle w:val="ListParagraph"/>
        <w:widowControl w:val="0"/>
        <w:numPr>
          <w:ilvl w:val="0"/>
          <w:numId w:val="4"/>
        </w:numPr>
        <w:ind w:hanging="720"/>
        <w:jc w:val="both"/>
        <w:rPr>
          <w:sz w:val="20"/>
          <w:szCs w:val="20"/>
        </w:rPr>
      </w:pPr>
      <w:r w:rsidRPr="00D44439">
        <w:rPr>
          <w:i/>
          <w:sz w:val="20"/>
          <w:szCs w:val="20"/>
        </w:rPr>
        <w:t>Alec Wolowidnyk v. Faith Rose Elizabeth Wolowidnyk</w:t>
      </w:r>
      <w:r w:rsidRPr="00D44439">
        <w:rPr>
          <w:sz w:val="20"/>
          <w:szCs w:val="20"/>
        </w:rPr>
        <w:t xml:space="preserve"> (B.C.) (Civil) (By Leave)</w:t>
      </w:r>
      <w:r w:rsidRPr="00940CAD">
        <w:rPr>
          <w:sz w:val="20"/>
          <w:szCs w:val="20"/>
        </w:rPr>
        <w:t xml:space="preserve"> (34</w:t>
      </w:r>
      <w:r>
        <w:rPr>
          <w:sz w:val="20"/>
          <w:szCs w:val="20"/>
        </w:rPr>
        <w:t>867</w:t>
      </w:r>
      <w:r w:rsidRPr="00940CAD">
        <w:rPr>
          <w:sz w:val="20"/>
          <w:szCs w:val="20"/>
        </w:rPr>
        <w:t>)</w:t>
      </w:r>
    </w:p>
    <w:p w:rsidR="00D44439" w:rsidRDefault="00D44439" w:rsidP="00D44439">
      <w:pPr>
        <w:widowControl w:val="0"/>
        <w:rPr>
          <w:sz w:val="20"/>
          <w:szCs w:val="20"/>
        </w:rPr>
      </w:pPr>
    </w:p>
    <w:p w:rsidR="00D44439" w:rsidRDefault="00D44439" w:rsidP="00D44439">
      <w:pPr>
        <w:widowControl w:val="0"/>
        <w:rPr>
          <w:sz w:val="20"/>
          <w:szCs w:val="20"/>
        </w:rPr>
      </w:pPr>
    </w:p>
    <w:p w:rsidR="00D44439" w:rsidRPr="00C50A5C" w:rsidRDefault="00D44439" w:rsidP="00D44439">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D44439" w:rsidRPr="00C50A5C" w:rsidRDefault="00D44439" w:rsidP="00D44439">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D44439" w:rsidRPr="00F72E53" w:rsidRDefault="00D44439" w:rsidP="00D44439">
      <w:pPr>
        <w:widowControl w:val="0"/>
        <w:rPr>
          <w:sz w:val="20"/>
          <w:szCs w:val="20"/>
          <w:lang w:val="fr-CA"/>
        </w:rPr>
      </w:pPr>
    </w:p>
    <w:p w:rsidR="00D44439" w:rsidRPr="00C50A5C" w:rsidRDefault="00D44439" w:rsidP="00D44439">
      <w:pPr>
        <w:pStyle w:val="ListParagraph"/>
        <w:widowControl w:val="0"/>
        <w:numPr>
          <w:ilvl w:val="0"/>
          <w:numId w:val="4"/>
        </w:numPr>
        <w:ind w:hanging="720"/>
        <w:jc w:val="both"/>
        <w:rPr>
          <w:sz w:val="20"/>
          <w:szCs w:val="20"/>
        </w:rPr>
      </w:pPr>
      <w:r w:rsidRPr="00D44439">
        <w:rPr>
          <w:i/>
          <w:sz w:val="20"/>
          <w:szCs w:val="20"/>
        </w:rPr>
        <w:t>Attorney General of Canada et al. v. Terri Jean Bedford et al.</w:t>
      </w:r>
      <w:r w:rsidRPr="00D44439">
        <w:rPr>
          <w:sz w:val="20"/>
          <w:szCs w:val="20"/>
        </w:rPr>
        <w:t xml:space="preserve"> (Ont.) (Crim</w:t>
      </w:r>
      <w:r>
        <w:rPr>
          <w:sz w:val="20"/>
          <w:szCs w:val="20"/>
        </w:rPr>
        <w:t>.</w:t>
      </w:r>
      <w:r w:rsidRPr="00D44439">
        <w:rPr>
          <w:sz w:val="20"/>
          <w:szCs w:val="20"/>
        </w:rPr>
        <w:t>) (By Leave)</w:t>
      </w:r>
      <w:r>
        <w:rPr>
          <w:sz w:val="20"/>
          <w:szCs w:val="20"/>
        </w:rPr>
        <w:t xml:space="preserve"> </w:t>
      </w:r>
      <w:r w:rsidRPr="00C50A5C">
        <w:rPr>
          <w:sz w:val="20"/>
          <w:szCs w:val="20"/>
        </w:rPr>
        <w:t>(3</w:t>
      </w:r>
      <w:r>
        <w:rPr>
          <w:sz w:val="20"/>
          <w:szCs w:val="20"/>
        </w:rPr>
        <w:t>4788</w:t>
      </w:r>
      <w:r w:rsidRPr="00C50A5C">
        <w:rPr>
          <w:sz w:val="20"/>
          <w:szCs w:val="20"/>
        </w:rPr>
        <w:t>)</w:t>
      </w:r>
    </w:p>
    <w:p w:rsidR="00D44439" w:rsidRPr="00C16CB3" w:rsidRDefault="00D44439" w:rsidP="00D44439">
      <w:pPr>
        <w:widowControl w:val="0"/>
        <w:jc w:val="both"/>
        <w:rPr>
          <w:sz w:val="20"/>
          <w:szCs w:val="20"/>
          <w:lang w:val="fr-CA"/>
        </w:rPr>
      </w:pPr>
    </w:p>
    <w:p w:rsidR="00D44439" w:rsidRPr="00D44439" w:rsidRDefault="00D44439" w:rsidP="00D44439">
      <w:pPr>
        <w:pStyle w:val="ListParagraph"/>
        <w:widowControl w:val="0"/>
        <w:numPr>
          <w:ilvl w:val="0"/>
          <w:numId w:val="4"/>
        </w:numPr>
        <w:ind w:hanging="720"/>
        <w:jc w:val="both"/>
        <w:rPr>
          <w:sz w:val="20"/>
          <w:szCs w:val="20"/>
        </w:rPr>
      </w:pPr>
      <w:r w:rsidRPr="00D44439">
        <w:rPr>
          <w:i/>
          <w:sz w:val="20"/>
          <w:szCs w:val="20"/>
        </w:rPr>
        <w:t>North Toronto Chinese Alliance Church v. Gartner Lee Limited</w:t>
      </w:r>
      <w:r w:rsidRPr="00D44439">
        <w:rPr>
          <w:sz w:val="20"/>
          <w:szCs w:val="20"/>
        </w:rPr>
        <w:t xml:space="preserve"> (Ont.) (Civil) (By Leave) (34853)</w:t>
      </w:r>
    </w:p>
    <w:p w:rsidR="00D44439" w:rsidRPr="00D44439" w:rsidRDefault="00D44439" w:rsidP="00D44439">
      <w:pPr>
        <w:widowControl w:val="0"/>
        <w:rPr>
          <w:sz w:val="20"/>
          <w:szCs w:val="20"/>
        </w:rPr>
      </w:pPr>
    </w:p>
    <w:p w:rsidR="00D44439" w:rsidRPr="00115C9E" w:rsidRDefault="00D44439" w:rsidP="00D44439">
      <w:pPr>
        <w:pStyle w:val="ListParagraph"/>
        <w:widowControl w:val="0"/>
        <w:numPr>
          <w:ilvl w:val="0"/>
          <w:numId w:val="4"/>
        </w:numPr>
        <w:ind w:hanging="720"/>
        <w:jc w:val="both"/>
        <w:rPr>
          <w:sz w:val="20"/>
          <w:szCs w:val="20"/>
          <w:lang w:val="fr-CA"/>
        </w:rPr>
      </w:pPr>
      <w:r w:rsidRPr="00D44439">
        <w:rPr>
          <w:i/>
          <w:sz w:val="20"/>
          <w:szCs w:val="20"/>
          <w:lang w:val="fr-CA"/>
        </w:rPr>
        <w:t>3028879 Canada inc. c. Gaston Malette</w:t>
      </w:r>
      <w:r w:rsidRPr="00D44439">
        <w:rPr>
          <w:sz w:val="20"/>
          <w:szCs w:val="20"/>
          <w:lang w:val="fr-CA"/>
        </w:rPr>
        <w:t xml:space="preserve"> (Qc) (Civile) (Autorisation)</w:t>
      </w:r>
      <w:r w:rsidRPr="00115C9E">
        <w:rPr>
          <w:sz w:val="20"/>
          <w:szCs w:val="20"/>
          <w:lang w:val="fr-CA"/>
        </w:rPr>
        <w:t xml:space="preserve"> (34</w:t>
      </w:r>
      <w:r>
        <w:rPr>
          <w:sz w:val="20"/>
          <w:szCs w:val="20"/>
          <w:lang w:val="fr-CA"/>
        </w:rPr>
        <w:t>795</w:t>
      </w:r>
      <w:r w:rsidRPr="00115C9E">
        <w:rPr>
          <w:sz w:val="20"/>
          <w:szCs w:val="20"/>
          <w:lang w:val="fr-CA"/>
        </w:rPr>
        <w:t>)</w:t>
      </w:r>
    </w:p>
    <w:p w:rsidR="00D44439" w:rsidRDefault="00D44439" w:rsidP="00D44439">
      <w:pPr>
        <w:widowControl w:val="0"/>
        <w:jc w:val="both"/>
        <w:rPr>
          <w:sz w:val="20"/>
          <w:szCs w:val="20"/>
          <w:lang w:val="fr-CA"/>
        </w:rPr>
      </w:pPr>
    </w:p>
    <w:p w:rsidR="00D44439" w:rsidRDefault="00D44439" w:rsidP="00D44439">
      <w:pPr>
        <w:widowControl w:val="0"/>
        <w:jc w:val="both"/>
        <w:rPr>
          <w:sz w:val="20"/>
          <w:szCs w:val="20"/>
          <w:lang w:val="fr-CA"/>
        </w:rPr>
      </w:pPr>
    </w:p>
    <w:p w:rsidR="00D44439" w:rsidRPr="00C50A5C" w:rsidRDefault="00D44439" w:rsidP="00D44439">
      <w:pPr>
        <w:widowControl w:val="0"/>
        <w:jc w:val="center"/>
        <w:rPr>
          <w:b/>
          <w:sz w:val="20"/>
          <w:szCs w:val="20"/>
        </w:rPr>
      </w:pPr>
      <w:r w:rsidRPr="00C50A5C">
        <w:rPr>
          <w:b/>
          <w:sz w:val="20"/>
          <w:szCs w:val="20"/>
        </w:rPr>
        <w:t xml:space="preserve">CORAM: </w:t>
      </w:r>
      <w:r>
        <w:rPr>
          <w:b/>
          <w:sz w:val="20"/>
          <w:szCs w:val="20"/>
        </w:rPr>
        <w:t>Fish, Rothstein</w:t>
      </w:r>
      <w:r w:rsidRPr="00C50A5C">
        <w:rPr>
          <w:b/>
          <w:sz w:val="20"/>
          <w:szCs w:val="20"/>
        </w:rPr>
        <w:t xml:space="preserve"> and </w:t>
      </w:r>
      <w:r>
        <w:rPr>
          <w:b/>
          <w:sz w:val="20"/>
          <w:szCs w:val="20"/>
        </w:rPr>
        <w:t>Karakatsanis</w:t>
      </w:r>
      <w:r w:rsidRPr="00C50A5C">
        <w:rPr>
          <w:b/>
          <w:sz w:val="20"/>
          <w:szCs w:val="20"/>
        </w:rPr>
        <w:t xml:space="preserve"> JJ.</w:t>
      </w:r>
    </w:p>
    <w:p w:rsidR="00D44439" w:rsidRPr="00C50A5C" w:rsidRDefault="00D44439" w:rsidP="00D44439">
      <w:pPr>
        <w:widowControl w:val="0"/>
        <w:jc w:val="center"/>
        <w:rPr>
          <w:b/>
          <w:sz w:val="20"/>
          <w:szCs w:val="20"/>
          <w:lang w:val="fr-CA"/>
        </w:rPr>
      </w:pPr>
      <w:r w:rsidRPr="00C50A5C">
        <w:rPr>
          <w:b/>
          <w:sz w:val="20"/>
          <w:szCs w:val="20"/>
          <w:lang w:val="fr-CA"/>
        </w:rPr>
        <w:t xml:space="preserve">Les juges </w:t>
      </w:r>
      <w:r>
        <w:rPr>
          <w:b/>
          <w:sz w:val="20"/>
          <w:szCs w:val="20"/>
          <w:lang w:val="fr-CA"/>
        </w:rPr>
        <w:t>Fish, Rothstein</w:t>
      </w:r>
      <w:r w:rsidRPr="00C50A5C">
        <w:rPr>
          <w:b/>
          <w:sz w:val="20"/>
          <w:szCs w:val="20"/>
          <w:lang w:val="fr-CA"/>
        </w:rPr>
        <w:t xml:space="preserve"> et </w:t>
      </w:r>
      <w:r>
        <w:rPr>
          <w:b/>
          <w:sz w:val="20"/>
          <w:szCs w:val="20"/>
          <w:lang w:val="fr-CA"/>
        </w:rPr>
        <w:t>Karakatsanis</w:t>
      </w:r>
    </w:p>
    <w:p w:rsidR="00D44439" w:rsidRPr="00115C9E" w:rsidRDefault="00D44439" w:rsidP="00D44439">
      <w:pPr>
        <w:widowControl w:val="0"/>
        <w:jc w:val="both"/>
        <w:rPr>
          <w:sz w:val="20"/>
          <w:szCs w:val="20"/>
          <w:lang w:val="fr-CA"/>
        </w:rPr>
      </w:pPr>
    </w:p>
    <w:p w:rsidR="00D44439" w:rsidRPr="00115C9E" w:rsidRDefault="00D44439" w:rsidP="00D44439">
      <w:pPr>
        <w:pStyle w:val="ListParagraph"/>
        <w:widowControl w:val="0"/>
        <w:numPr>
          <w:ilvl w:val="0"/>
          <w:numId w:val="4"/>
        </w:numPr>
        <w:ind w:hanging="720"/>
        <w:jc w:val="both"/>
        <w:rPr>
          <w:sz w:val="20"/>
          <w:szCs w:val="20"/>
          <w:lang w:val="fr-CA"/>
        </w:rPr>
      </w:pPr>
      <w:r w:rsidRPr="00D44439">
        <w:rPr>
          <w:i/>
          <w:sz w:val="20"/>
          <w:szCs w:val="20"/>
        </w:rPr>
        <w:t>Reggie Lee Harris v. Her Majesty the Queen</w:t>
      </w:r>
      <w:r w:rsidRPr="00D44439">
        <w:rPr>
          <w:sz w:val="20"/>
          <w:szCs w:val="20"/>
        </w:rPr>
        <w:t xml:space="preserve"> (Sask.) (Crim</w:t>
      </w:r>
      <w:r>
        <w:rPr>
          <w:sz w:val="20"/>
          <w:szCs w:val="20"/>
        </w:rPr>
        <w:t>.</w:t>
      </w:r>
      <w:r w:rsidRPr="00D44439">
        <w:rPr>
          <w:sz w:val="20"/>
          <w:szCs w:val="20"/>
        </w:rPr>
        <w:t>) (By Leave)</w:t>
      </w:r>
      <w:r w:rsidRPr="00115C9E">
        <w:rPr>
          <w:sz w:val="20"/>
          <w:szCs w:val="20"/>
          <w:lang w:val="fr-CA"/>
        </w:rPr>
        <w:t xml:space="preserve"> (34</w:t>
      </w:r>
      <w:r>
        <w:rPr>
          <w:sz w:val="20"/>
          <w:szCs w:val="20"/>
          <w:lang w:val="fr-CA"/>
        </w:rPr>
        <w:t>835</w:t>
      </w:r>
      <w:r w:rsidRPr="00115C9E">
        <w:rPr>
          <w:sz w:val="20"/>
          <w:szCs w:val="20"/>
          <w:lang w:val="fr-CA"/>
        </w:rPr>
        <w:t>)</w:t>
      </w:r>
    </w:p>
    <w:p w:rsidR="00D44439" w:rsidRPr="00115C9E" w:rsidRDefault="00D44439" w:rsidP="00D44439">
      <w:pPr>
        <w:widowControl w:val="0"/>
        <w:jc w:val="both"/>
        <w:rPr>
          <w:sz w:val="20"/>
          <w:szCs w:val="20"/>
          <w:lang w:val="fr-CA"/>
        </w:rPr>
      </w:pPr>
    </w:p>
    <w:p w:rsidR="00D44439" w:rsidRPr="00C50A5C" w:rsidRDefault="00D44439" w:rsidP="00D44439">
      <w:pPr>
        <w:pStyle w:val="ListParagraph"/>
        <w:widowControl w:val="0"/>
        <w:numPr>
          <w:ilvl w:val="0"/>
          <w:numId w:val="4"/>
        </w:numPr>
        <w:ind w:hanging="720"/>
        <w:jc w:val="both"/>
        <w:rPr>
          <w:sz w:val="20"/>
          <w:szCs w:val="20"/>
          <w:lang w:val="fr-CA"/>
        </w:rPr>
      </w:pPr>
      <w:r w:rsidRPr="00D44439">
        <w:rPr>
          <w:i/>
          <w:sz w:val="20"/>
          <w:szCs w:val="20"/>
        </w:rPr>
        <w:t>Dexter Boyce v. Toronto Police Services Board et al.</w:t>
      </w:r>
      <w:r w:rsidRPr="00D44439">
        <w:rPr>
          <w:sz w:val="20"/>
          <w:szCs w:val="20"/>
        </w:rPr>
        <w:t xml:space="preserve"> (Ont.) (Civil)</w:t>
      </w:r>
      <w:r w:rsidRPr="00C50A5C">
        <w:rPr>
          <w:sz w:val="20"/>
          <w:szCs w:val="20"/>
          <w:lang w:val="fr-CA"/>
        </w:rPr>
        <w:t xml:space="preserve"> (3</w:t>
      </w:r>
      <w:r>
        <w:rPr>
          <w:sz w:val="20"/>
          <w:szCs w:val="20"/>
          <w:lang w:val="fr-CA"/>
        </w:rPr>
        <w:t>4866</w:t>
      </w:r>
      <w:r w:rsidRPr="00C50A5C">
        <w:rPr>
          <w:sz w:val="20"/>
          <w:szCs w:val="20"/>
          <w:lang w:val="fr-CA"/>
        </w:rPr>
        <w:t>)</w:t>
      </w:r>
    </w:p>
    <w:p w:rsidR="00D44439" w:rsidRDefault="00D44439" w:rsidP="00D44439">
      <w:pPr>
        <w:widowControl w:val="0"/>
        <w:rPr>
          <w:sz w:val="20"/>
          <w:szCs w:val="20"/>
          <w:lang w:val="fr-CA"/>
        </w:rPr>
      </w:pPr>
    </w:p>
    <w:p w:rsidR="00D44439" w:rsidRPr="00957F2F" w:rsidRDefault="00D44439" w:rsidP="00D44439">
      <w:pPr>
        <w:pStyle w:val="ListParagraph"/>
        <w:widowControl w:val="0"/>
        <w:numPr>
          <w:ilvl w:val="0"/>
          <w:numId w:val="4"/>
        </w:numPr>
        <w:ind w:hanging="720"/>
        <w:jc w:val="both"/>
        <w:rPr>
          <w:sz w:val="20"/>
          <w:szCs w:val="20"/>
        </w:rPr>
      </w:pPr>
      <w:r w:rsidRPr="00D44439">
        <w:rPr>
          <w:i/>
          <w:sz w:val="20"/>
          <w:szCs w:val="20"/>
        </w:rPr>
        <w:t>Mohamed C.Z. Khan v. Her Majesty the Queen</w:t>
      </w:r>
      <w:r w:rsidRPr="00D44439">
        <w:rPr>
          <w:sz w:val="20"/>
          <w:szCs w:val="20"/>
        </w:rPr>
        <w:t xml:space="preserve"> (F</w:t>
      </w:r>
      <w:r>
        <w:rPr>
          <w:sz w:val="20"/>
          <w:szCs w:val="20"/>
        </w:rPr>
        <w:t>.</w:t>
      </w:r>
      <w:r w:rsidRPr="00D44439">
        <w:rPr>
          <w:sz w:val="20"/>
          <w:szCs w:val="20"/>
        </w:rPr>
        <w:t>C</w:t>
      </w:r>
      <w:r>
        <w:rPr>
          <w:sz w:val="20"/>
          <w:szCs w:val="20"/>
        </w:rPr>
        <w:t>.</w:t>
      </w:r>
      <w:r w:rsidRPr="00D44439">
        <w:rPr>
          <w:sz w:val="20"/>
          <w:szCs w:val="20"/>
        </w:rPr>
        <w:t>) (Civil) (By Leave)</w:t>
      </w:r>
      <w:r w:rsidRPr="00957F2F">
        <w:rPr>
          <w:sz w:val="20"/>
          <w:szCs w:val="20"/>
        </w:rPr>
        <w:t xml:space="preserve"> (34</w:t>
      </w:r>
      <w:r>
        <w:rPr>
          <w:sz w:val="20"/>
          <w:szCs w:val="20"/>
        </w:rPr>
        <w:t>864</w:t>
      </w:r>
      <w:r w:rsidRPr="00957F2F">
        <w:rPr>
          <w:sz w:val="20"/>
          <w:szCs w:val="20"/>
        </w:rPr>
        <w:t>)</w:t>
      </w:r>
    </w:p>
    <w:p w:rsidR="00D44439" w:rsidRDefault="00D44439" w:rsidP="00D44439">
      <w:pPr>
        <w:widowControl w:val="0"/>
        <w:jc w:val="both"/>
        <w:rPr>
          <w:sz w:val="20"/>
          <w:szCs w:val="20"/>
        </w:rPr>
      </w:pPr>
    </w:p>
    <w:p w:rsidR="00426786" w:rsidRPr="00426786" w:rsidRDefault="007333FF" w:rsidP="00426786">
      <w:pPr>
        <w:rPr>
          <w:sz w:val="20"/>
          <w:szCs w:val="20"/>
        </w:rPr>
      </w:pPr>
      <w:r w:rsidRPr="007333FF">
        <w:rPr>
          <w:sz w:val="20"/>
          <w:szCs w:val="20"/>
        </w:rPr>
        <w:pict>
          <v:rect id="_x0000_i1048" style="width:2in;height:1pt" o:hrpct="0" o:hralign="center" o:hrstd="t" o:hrnoshade="t" o:hr="t" fillcolor="black [3213]" stroked="f"/>
        </w:pict>
      </w:r>
    </w:p>
    <w:p w:rsidR="00D44439" w:rsidRDefault="00D44439" w:rsidP="00426786">
      <w:pPr>
        <w:rPr>
          <w:sz w:val="20"/>
          <w:szCs w:val="20"/>
        </w:rPr>
      </w:pPr>
    </w:p>
    <w:p w:rsidR="00D44439" w:rsidRDefault="00D44439" w:rsidP="00426786">
      <w:pPr>
        <w:rPr>
          <w:sz w:val="20"/>
          <w:szCs w:val="20"/>
        </w:rPr>
      </w:pPr>
    </w:p>
    <w:p w:rsidR="00445CBE" w:rsidRPr="00123E21" w:rsidRDefault="00445CBE" w:rsidP="00445CBE">
      <w:pPr>
        <w:widowControl w:val="0"/>
        <w:rPr>
          <w:b/>
          <w:sz w:val="20"/>
          <w:szCs w:val="20"/>
        </w:rPr>
      </w:pPr>
      <w:r w:rsidRPr="00123E21">
        <w:rPr>
          <w:b/>
          <w:sz w:val="20"/>
          <w:szCs w:val="20"/>
        </w:rPr>
        <w:t xml:space="preserve">AUGUST </w:t>
      </w:r>
      <w:r w:rsidR="00426786">
        <w:rPr>
          <w:b/>
          <w:sz w:val="20"/>
          <w:szCs w:val="20"/>
        </w:rPr>
        <w:t>2</w:t>
      </w:r>
      <w:r w:rsidR="00D44439">
        <w:rPr>
          <w:b/>
          <w:sz w:val="20"/>
          <w:szCs w:val="20"/>
        </w:rPr>
        <w:t>7</w:t>
      </w:r>
      <w:r w:rsidRPr="00123E21">
        <w:rPr>
          <w:b/>
          <w:sz w:val="20"/>
          <w:szCs w:val="20"/>
        </w:rPr>
        <w:t xml:space="preserve">, 2012 / LE </w:t>
      </w:r>
      <w:r w:rsidR="00426786">
        <w:rPr>
          <w:b/>
          <w:sz w:val="20"/>
          <w:szCs w:val="20"/>
        </w:rPr>
        <w:t>2</w:t>
      </w:r>
      <w:r w:rsidR="00D44439">
        <w:rPr>
          <w:b/>
          <w:sz w:val="20"/>
          <w:szCs w:val="20"/>
        </w:rPr>
        <w:t>7</w:t>
      </w:r>
      <w:r w:rsidRPr="00123E21">
        <w:rPr>
          <w:b/>
          <w:sz w:val="20"/>
          <w:szCs w:val="20"/>
        </w:rPr>
        <w:t xml:space="preserve"> AOÛT 2012</w:t>
      </w:r>
    </w:p>
    <w:p w:rsidR="00445CBE" w:rsidRPr="00123E21" w:rsidRDefault="00445CBE" w:rsidP="00445CBE">
      <w:pPr>
        <w:widowControl w:val="0"/>
        <w:rPr>
          <w:b/>
          <w:sz w:val="20"/>
          <w:szCs w:val="20"/>
        </w:rPr>
      </w:pPr>
    </w:p>
    <w:p w:rsidR="00445CBE" w:rsidRPr="00C50A5C" w:rsidRDefault="00445CBE" w:rsidP="00445CBE">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45CBE" w:rsidRPr="00C50A5C" w:rsidRDefault="00445CBE" w:rsidP="00445CBE">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45CBE" w:rsidRPr="00C50A5C" w:rsidRDefault="00445CBE" w:rsidP="00445CBE">
      <w:pPr>
        <w:widowControl w:val="0"/>
        <w:rPr>
          <w:sz w:val="20"/>
          <w:szCs w:val="20"/>
          <w:lang w:val="fr-CA"/>
        </w:rPr>
      </w:pPr>
    </w:p>
    <w:p w:rsidR="00445CBE" w:rsidRPr="00C50A5C" w:rsidRDefault="00BB7F50" w:rsidP="00D44439">
      <w:pPr>
        <w:pStyle w:val="ListParagraph"/>
        <w:widowControl w:val="0"/>
        <w:numPr>
          <w:ilvl w:val="0"/>
          <w:numId w:val="5"/>
        </w:numPr>
        <w:ind w:hanging="720"/>
        <w:jc w:val="both"/>
        <w:rPr>
          <w:sz w:val="20"/>
          <w:szCs w:val="20"/>
        </w:rPr>
      </w:pPr>
      <w:r w:rsidRPr="00BB7F50">
        <w:rPr>
          <w:i/>
          <w:sz w:val="20"/>
          <w:szCs w:val="20"/>
        </w:rPr>
        <w:t>John Anthony Franchi v. Attorney General of Canada et al.</w:t>
      </w:r>
      <w:r w:rsidRPr="00474B70">
        <w:rPr>
          <w:sz w:val="20"/>
          <w:szCs w:val="20"/>
        </w:rPr>
        <w:t xml:space="preserve"> (F</w:t>
      </w:r>
      <w:r>
        <w:rPr>
          <w:sz w:val="20"/>
          <w:szCs w:val="20"/>
        </w:rPr>
        <w:t>.</w:t>
      </w:r>
      <w:r w:rsidRPr="00474B70">
        <w:rPr>
          <w:sz w:val="20"/>
          <w:szCs w:val="20"/>
        </w:rPr>
        <w:t>C</w:t>
      </w:r>
      <w:r>
        <w:rPr>
          <w:sz w:val="20"/>
          <w:szCs w:val="20"/>
        </w:rPr>
        <w:t>.</w:t>
      </w:r>
      <w:r w:rsidRPr="00474B70">
        <w:rPr>
          <w:sz w:val="20"/>
          <w:szCs w:val="20"/>
        </w:rPr>
        <w:t>) (Crim</w:t>
      </w:r>
      <w:r>
        <w:rPr>
          <w:sz w:val="20"/>
          <w:szCs w:val="20"/>
        </w:rPr>
        <w:t>.</w:t>
      </w:r>
      <w:r w:rsidRPr="00474B70">
        <w:rPr>
          <w:sz w:val="20"/>
          <w:szCs w:val="20"/>
        </w:rPr>
        <w:t>) (By Leave)</w:t>
      </w:r>
      <w:r w:rsidRPr="00C50A5C">
        <w:rPr>
          <w:sz w:val="20"/>
          <w:szCs w:val="20"/>
        </w:rPr>
        <w:t xml:space="preserve"> </w:t>
      </w:r>
      <w:r w:rsidR="00445CBE" w:rsidRPr="00C50A5C">
        <w:rPr>
          <w:sz w:val="20"/>
          <w:szCs w:val="20"/>
        </w:rPr>
        <w:t>(3</w:t>
      </w:r>
      <w:r w:rsidR="00445CBE">
        <w:rPr>
          <w:sz w:val="20"/>
          <w:szCs w:val="20"/>
        </w:rPr>
        <w:t>4</w:t>
      </w:r>
      <w:r>
        <w:rPr>
          <w:sz w:val="20"/>
          <w:szCs w:val="20"/>
        </w:rPr>
        <w:t>869</w:t>
      </w:r>
      <w:r w:rsidR="00445CBE" w:rsidRPr="00C50A5C">
        <w:rPr>
          <w:sz w:val="20"/>
          <w:szCs w:val="20"/>
        </w:rPr>
        <w:t>)</w:t>
      </w:r>
    </w:p>
    <w:p w:rsidR="00445CBE" w:rsidRDefault="00445CBE" w:rsidP="00445CBE">
      <w:pPr>
        <w:widowControl w:val="0"/>
        <w:jc w:val="both"/>
        <w:rPr>
          <w:sz w:val="20"/>
          <w:szCs w:val="20"/>
        </w:rPr>
      </w:pPr>
    </w:p>
    <w:p w:rsidR="00445CBE" w:rsidRPr="00C612D0" w:rsidRDefault="00BB7F50" w:rsidP="00D44439">
      <w:pPr>
        <w:pStyle w:val="ListParagraph"/>
        <w:widowControl w:val="0"/>
        <w:numPr>
          <w:ilvl w:val="0"/>
          <w:numId w:val="5"/>
        </w:numPr>
        <w:ind w:hanging="720"/>
        <w:jc w:val="both"/>
        <w:rPr>
          <w:sz w:val="20"/>
          <w:szCs w:val="20"/>
        </w:rPr>
      </w:pPr>
      <w:r w:rsidRPr="00BB7F50">
        <w:rPr>
          <w:i/>
          <w:sz w:val="20"/>
          <w:szCs w:val="20"/>
        </w:rPr>
        <w:t>Zoltan Andrew Simon v. Her Majesty the Queen in Right of Canada</w:t>
      </w:r>
      <w:r w:rsidRPr="00474B70">
        <w:rPr>
          <w:sz w:val="20"/>
          <w:szCs w:val="20"/>
        </w:rPr>
        <w:t xml:space="preserve"> (F</w:t>
      </w:r>
      <w:r>
        <w:rPr>
          <w:sz w:val="20"/>
          <w:szCs w:val="20"/>
        </w:rPr>
        <w:t>.</w:t>
      </w:r>
      <w:r w:rsidRPr="00474B70">
        <w:rPr>
          <w:sz w:val="20"/>
          <w:szCs w:val="20"/>
        </w:rPr>
        <w:t>C</w:t>
      </w:r>
      <w:r>
        <w:rPr>
          <w:sz w:val="20"/>
          <w:szCs w:val="20"/>
        </w:rPr>
        <w:t>.</w:t>
      </w:r>
      <w:r w:rsidRPr="00474B70">
        <w:rPr>
          <w:sz w:val="20"/>
          <w:szCs w:val="20"/>
        </w:rPr>
        <w:t>) (Civil) (By Leave)</w:t>
      </w:r>
      <w:r>
        <w:rPr>
          <w:sz w:val="20"/>
          <w:szCs w:val="20"/>
        </w:rPr>
        <w:t xml:space="preserve"> </w:t>
      </w:r>
      <w:r w:rsidR="00445CBE" w:rsidRPr="00C612D0">
        <w:rPr>
          <w:sz w:val="20"/>
          <w:szCs w:val="20"/>
        </w:rPr>
        <w:t>(34</w:t>
      </w:r>
      <w:r>
        <w:rPr>
          <w:sz w:val="20"/>
          <w:szCs w:val="20"/>
        </w:rPr>
        <w:t>831</w:t>
      </w:r>
      <w:r w:rsidR="00445CBE" w:rsidRPr="00C612D0">
        <w:rPr>
          <w:sz w:val="20"/>
          <w:szCs w:val="20"/>
        </w:rPr>
        <w:t>)</w:t>
      </w:r>
    </w:p>
    <w:p w:rsidR="00445CBE" w:rsidRDefault="00445CBE" w:rsidP="00445CBE">
      <w:pPr>
        <w:widowControl w:val="0"/>
        <w:jc w:val="both"/>
        <w:rPr>
          <w:sz w:val="20"/>
          <w:szCs w:val="20"/>
        </w:rPr>
      </w:pPr>
    </w:p>
    <w:p w:rsidR="00445CBE" w:rsidRPr="00C50A5C" w:rsidRDefault="00BB7F50" w:rsidP="00D44439">
      <w:pPr>
        <w:pStyle w:val="ListParagraph"/>
        <w:widowControl w:val="0"/>
        <w:numPr>
          <w:ilvl w:val="0"/>
          <w:numId w:val="5"/>
        </w:numPr>
        <w:ind w:hanging="720"/>
        <w:jc w:val="both"/>
        <w:rPr>
          <w:sz w:val="20"/>
          <w:szCs w:val="20"/>
        </w:rPr>
      </w:pPr>
      <w:r w:rsidRPr="00BB7F50">
        <w:rPr>
          <w:i/>
          <w:sz w:val="20"/>
          <w:szCs w:val="20"/>
        </w:rPr>
        <w:t>Teva Canada Limited v. Nycomed Canada Inc. et al.</w:t>
      </w:r>
      <w:r w:rsidRPr="00474B70">
        <w:rPr>
          <w:sz w:val="20"/>
          <w:szCs w:val="20"/>
        </w:rPr>
        <w:t xml:space="preserve"> (F</w:t>
      </w:r>
      <w:r>
        <w:rPr>
          <w:sz w:val="20"/>
          <w:szCs w:val="20"/>
        </w:rPr>
        <w:t>.</w:t>
      </w:r>
      <w:r w:rsidRPr="00474B70">
        <w:rPr>
          <w:sz w:val="20"/>
          <w:szCs w:val="20"/>
        </w:rPr>
        <w:t>C</w:t>
      </w:r>
      <w:r>
        <w:rPr>
          <w:sz w:val="20"/>
          <w:szCs w:val="20"/>
        </w:rPr>
        <w:t>.</w:t>
      </w:r>
      <w:r w:rsidRPr="00474B70">
        <w:rPr>
          <w:sz w:val="20"/>
          <w:szCs w:val="20"/>
        </w:rPr>
        <w:t>) (Civil) (By Leave)</w:t>
      </w:r>
      <w:r w:rsidRPr="00940CAD">
        <w:rPr>
          <w:sz w:val="20"/>
          <w:szCs w:val="20"/>
        </w:rPr>
        <w:t xml:space="preserve"> </w:t>
      </w:r>
      <w:r w:rsidR="00445CBE" w:rsidRPr="00940CAD">
        <w:rPr>
          <w:sz w:val="20"/>
          <w:szCs w:val="20"/>
        </w:rPr>
        <w:t>(34</w:t>
      </w:r>
      <w:r>
        <w:rPr>
          <w:sz w:val="20"/>
          <w:szCs w:val="20"/>
        </w:rPr>
        <w:t>873</w:t>
      </w:r>
      <w:r w:rsidR="00445CBE" w:rsidRPr="00940CAD">
        <w:rPr>
          <w:sz w:val="20"/>
          <w:szCs w:val="20"/>
        </w:rPr>
        <w:t>)</w:t>
      </w:r>
    </w:p>
    <w:p w:rsidR="00445CBE" w:rsidRDefault="00445CBE" w:rsidP="00445CBE">
      <w:pPr>
        <w:widowControl w:val="0"/>
        <w:rPr>
          <w:sz w:val="20"/>
          <w:szCs w:val="20"/>
        </w:rPr>
      </w:pPr>
    </w:p>
    <w:p w:rsidR="00445CBE" w:rsidRPr="00C50A5C" w:rsidRDefault="00BB7F50" w:rsidP="00D44439">
      <w:pPr>
        <w:pStyle w:val="ListParagraph"/>
        <w:widowControl w:val="0"/>
        <w:numPr>
          <w:ilvl w:val="0"/>
          <w:numId w:val="5"/>
        </w:numPr>
        <w:ind w:hanging="720"/>
        <w:jc w:val="both"/>
        <w:rPr>
          <w:sz w:val="20"/>
          <w:szCs w:val="20"/>
        </w:rPr>
      </w:pPr>
      <w:r w:rsidRPr="00BB7F50">
        <w:rPr>
          <w:i/>
          <w:sz w:val="20"/>
          <w:szCs w:val="20"/>
        </w:rPr>
        <w:t>Real Estate Council of Alberta v. Minister of National Revenue</w:t>
      </w:r>
      <w:r w:rsidRPr="00474B70">
        <w:rPr>
          <w:sz w:val="20"/>
          <w:szCs w:val="20"/>
        </w:rPr>
        <w:t xml:space="preserve"> (F</w:t>
      </w:r>
      <w:r>
        <w:rPr>
          <w:sz w:val="20"/>
          <w:szCs w:val="20"/>
        </w:rPr>
        <w:t>.</w:t>
      </w:r>
      <w:r w:rsidRPr="00474B70">
        <w:rPr>
          <w:sz w:val="20"/>
          <w:szCs w:val="20"/>
        </w:rPr>
        <w:t>C</w:t>
      </w:r>
      <w:r>
        <w:rPr>
          <w:sz w:val="20"/>
          <w:szCs w:val="20"/>
        </w:rPr>
        <w:t>.</w:t>
      </w:r>
      <w:r w:rsidRPr="00474B70">
        <w:rPr>
          <w:sz w:val="20"/>
          <w:szCs w:val="20"/>
        </w:rPr>
        <w:t>) (Civil) (By Leave)</w:t>
      </w:r>
      <w:r w:rsidRPr="00C50A5C">
        <w:rPr>
          <w:sz w:val="20"/>
          <w:szCs w:val="20"/>
        </w:rPr>
        <w:t xml:space="preserve"> </w:t>
      </w:r>
      <w:r w:rsidR="00445CBE" w:rsidRPr="00C50A5C">
        <w:rPr>
          <w:sz w:val="20"/>
          <w:szCs w:val="20"/>
        </w:rPr>
        <w:t>(3</w:t>
      </w:r>
      <w:r w:rsidR="00445CBE">
        <w:rPr>
          <w:sz w:val="20"/>
          <w:szCs w:val="20"/>
        </w:rPr>
        <w:t>4</w:t>
      </w:r>
      <w:r>
        <w:rPr>
          <w:sz w:val="20"/>
          <w:szCs w:val="20"/>
        </w:rPr>
        <w:t>882</w:t>
      </w:r>
      <w:r w:rsidR="00445CBE" w:rsidRPr="00C50A5C">
        <w:rPr>
          <w:sz w:val="20"/>
          <w:szCs w:val="20"/>
        </w:rPr>
        <w:t>)</w:t>
      </w:r>
    </w:p>
    <w:p w:rsidR="00445CBE" w:rsidRDefault="00445CBE" w:rsidP="00445CBE">
      <w:pPr>
        <w:widowControl w:val="0"/>
        <w:jc w:val="both"/>
        <w:rPr>
          <w:sz w:val="20"/>
          <w:szCs w:val="20"/>
          <w:lang w:val="fr-CA"/>
        </w:rPr>
      </w:pPr>
    </w:p>
    <w:p w:rsidR="00BB7F50" w:rsidRDefault="00BB7F50" w:rsidP="00445CBE">
      <w:pPr>
        <w:widowControl w:val="0"/>
        <w:jc w:val="both"/>
        <w:rPr>
          <w:sz w:val="20"/>
          <w:szCs w:val="20"/>
          <w:lang w:val="fr-CA"/>
        </w:rPr>
      </w:pPr>
    </w:p>
    <w:p w:rsidR="00BB7F50" w:rsidRPr="00C50A5C" w:rsidRDefault="00BB7F50" w:rsidP="00BB7F5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BB7F50" w:rsidRPr="00C50A5C" w:rsidRDefault="00BB7F50" w:rsidP="00BB7F5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BB7F50" w:rsidRPr="00C16CB3" w:rsidRDefault="00BB7F50" w:rsidP="00445CBE">
      <w:pPr>
        <w:widowControl w:val="0"/>
        <w:jc w:val="both"/>
        <w:rPr>
          <w:sz w:val="20"/>
          <w:szCs w:val="20"/>
          <w:lang w:val="fr-CA"/>
        </w:rPr>
      </w:pPr>
    </w:p>
    <w:p w:rsidR="00445CBE" w:rsidRPr="00C612D0" w:rsidRDefault="00BB7F50" w:rsidP="00D44439">
      <w:pPr>
        <w:pStyle w:val="ListParagraph"/>
        <w:widowControl w:val="0"/>
        <w:numPr>
          <w:ilvl w:val="0"/>
          <w:numId w:val="5"/>
        </w:numPr>
        <w:ind w:hanging="720"/>
        <w:jc w:val="both"/>
        <w:rPr>
          <w:sz w:val="20"/>
          <w:szCs w:val="20"/>
          <w:lang w:val="fr-CA"/>
        </w:rPr>
      </w:pPr>
      <w:r w:rsidRPr="00BB7F50">
        <w:rPr>
          <w:i/>
          <w:sz w:val="20"/>
          <w:szCs w:val="20"/>
        </w:rPr>
        <w:t>John Frederick Salmon v. Her Majesty the Queen</w:t>
      </w:r>
      <w:r w:rsidRPr="00474B70">
        <w:rPr>
          <w:sz w:val="20"/>
          <w:szCs w:val="20"/>
        </w:rPr>
        <w:t xml:space="preserve"> (Ont.) (Crim</w:t>
      </w:r>
      <w:r>
        <w:rPr>
          <w:sz w:val="20"/>
          <w:szCs w:val="20"/>
        </w:rPr>
        <w:t>.</w:t>
      </w:r>
      <w:r w:rsidRPr="00474B70">
        <w:rPr>
          <w:sz w:val="20"/>
          <w:szCs w:val="20"/>
        </w:rPr>
        <w:t>) (By Leave)</w:t>
      </w:r>
      <w:r w:rsidRPr="00C612D0">
        <w:rPr>
          <w:sz w:val="20"/>
          <w:szCs w:val="20"/>
          <w:lang w:val="fr-CA"/>
        </w:rPr>
        <w:t xml:space="preserve"> </w:t>
      </w:r>
      <w:r w:rsidR="00445CBE" w:rsidRPr="00C612D0">
        <w:rPr>
          <w:sz w:val="20"/>
          <w:szCs w:val="20"/>
          <w:lang w:val="fr-CA"/>
        </w:rPr>
        <w:t>(34</w:t>
      </w:r>
      <w:r>
        <w:rPr>
          <w:sz w:val="20"/>
          <w:szCs w:val="20"/>
          <w:lang w:val="fr-CA"/>
        </w:rPr>
        <w:t>894</w:t>
      </w:r>
      <w:r w:rsidR="00445CBE" w:rsidRPr="00C612D0">
        <w:rPr>
          <w:sz w:val="20"/>
          <w:szCs w:val="20"/>
          <w:lang w:val="fr-CA"/>
        </w:rPr>
        <w:t>)</w:t>
      </w:r>
    </w:p>
    <w:p w:rsidR="00445CBE" w:rsidRPr="00C612D0" w:rsidRDefault="00445CBE" w:rsidP="00445CBE">
      <w:pPr>
        <w:widowControl w:val="0"/>
        <w:rPr>
          <w:sz w:val="20"/>
          <w:szCs w:val="20"/>
          <w:lang w:val="fr-CA"/>
        </w:rPr>
      </w:pPr>
    </w:p>
    <w:p w:rsidR="00445CBE" w:rsidRPr="00BB7F50" w:rsidRDefault="00BB7F50" w:rsidP="00D44439">
      <w:pPr>
        <w:pStyle w:val="ListParagraph"/>
        <w:widowControl w:val="0"/>
        <w:numPr>
          <w:ilvl w:val="0"/>
          <w:numId w:val="5"/>
        </w:numPr>
        <w:ind w:hanging="720"/>
        <w:jc w:val="both"/>
        <w:rPr>
          <w:sz w:val="20"/>
          <w:szCs w:val="20"/>
        </w:rPr>
      </w:pPr>
      <w:r w:rsidRPr="00BB7F50">
        <w:rPr>
          <w:i/>
          <w:sz w:val="20"/>
          <w:szCs w:val="20"/>
        </w:rPr>
        <w:t>Rainbow Concrete Industries Limited v. Ian  Anderson</w:t>
      </w:r>
      <w:r w:rsidRPr="00474B70">
        <w:rPr>
          <w:sz w:val="20"/>
          <w:szCs w:val="20"/>
        </w:rPr>
        <w:t xml:space="preserve"> (Ont.) (Civil) (By Leave)</w:t>
      </w:r>
      <w:r>
        <w:rPr>
          <w:sz w:val="20"/>
          <w:szCs w:val="20"/>
        </w:rPr>
        <w:t xml:space="preserve"> </w:t>
      </w:r>
      <w:r w:rsidR="00445CBE" w:rsidRPr="00BB7F50">
        <w:rPr>
          <w:sz w:val="20"/>
          <w:szCs w:val="20"/>
        </w:rPr>
        <w:t>(34</w:t>
      </w:r>
      <w:r w:rsidRPr="00BB7F50">
        <w:rPr>
          <w:sz w:val="20"/>
          <w:szCs w:val="20"/>
        </w:rPr>
        <w:t>844</w:t>
      </w:r>
      <w:r w:rsidR="00445CBE" w:rsidRPr="00BB7F50">
        <w:rPr>
          <w:sz w:val="20"/>
          <w:szCs w:val="20"/>
        </w:rPr>
        <w:t>)</w:t>
      </w:r>
    </w:p>
    <w:p w:rsidR="00445CBE" w:rsidRPr="00BB7F50" w:rsidRDefault="00445CBE" w:rsidP="00445CBE">
      <w:pPr>
        <w:widowControl w:val="0"/>
        <w:jc w:val="both"/>
        <w:rPr>
          <w:sz w:val="20"/>
          <w:szCs w:val="20"/>
        </w:rPr>
      </w:pPr>
    </w:p>
    <w:p w:rsidR="00445CBE" w:rsidRPr="00BB7F50" w:rsidRDefault="00BB7F50" w:rsidP="00D44439">
      <w:pPr>
        <w:pStyle w:val="ListParagraph"/>
        <w:widowControl w:val="0"/>
        <w:numPr>
          <w:ilvl w:val="0"/>
          <w:numId w:val="5"/>
        </w:numPr>
        <w:ind w:hanging="720"/>
        <w:jc w:val="both"/>
        <w:rPr>
          <w:sz w:val="20"/>
          <w:szCs w:val="20"/>
        </w:rPr>
      </w:pPr>
      <w:r w:rsidRPr="00BB7F50">
        <w:rPr>
          <w:i/>
          <w:sz w:val="20"/>
          <w:szCs w:val="20"/>
          <w:lang w:val="fr-CA"/>
        </w:rPr>
        <w:t>J. Robert Verdun v. Robert M. Astley</w:t>
      </w:r>
      <w:r w:rsidRPr="00BB7F50">
        <w:rPr>
          <w:sz w:val="20"/>
          <w:szCs w:val="20"/>
          <w:lang w:val="fr-CA"/>
        </w:rPr>
        <w:t xml:space="preserve"> (Ont.) </w:t>
      </w:r>
      <w:r w:rsidRPr="00474B70">
        <w:rPr>
          <w:sz w:val="20"/>
          <w:szCs w:val="20"/>
        </w:rPr>
        <w:t>(Civil) (By Leave)</w:t>
      </w:r>
      <w:r w:rsidRPr="00BB7F50">
        <w:rPr>
          <w:sz w:val="20"/>
          <w:szCs w:val="20"/>
        </w:rPr>
        <w:t xml:space="preserve"> </w:t>
      </w:r>
      <w:r w:rsidR="00445CBE" w:rsidRPr="00BB7F50">
        <w:rPr>
          <w:sz w:val="20"/>
          <w:szCs w:val="20"/>
        </w:rPr>
        <w:t>(34</w:t>
      </w:r>
      <w:r w:rsidRPr="00BB7F50">
        <w:rPr>
          <w:sz w:val="20"/>
          <w:szCs w:val="20"/>
        </w:rPr>
        <w:t>874</w:t>
      </w:r>
      <w:r w:rsidR="00445CBE" w:rsidRPr="00BB7F50">
        <w:rPr>
          <w:sz w:val="20"/>
          <w:szCs w:val="20"/>
        </w:rPr>
        <w:t>)</w:t>
      </w:r>
    </w:p>
    <w:p w:rsidR="00445CBE" w:rsidRPr="00BB7F50" w:rsidRDefault="00445CBE" w:rsidP="00445CBE">
      <w:pPr>
        <w:widowControl w:val="0"/>
        <w:jc w:val="both"/>
        <w:rPr>
          <w:sz w:val="20"/>
          <w:szCs w:val="20"/>
        </w:rPr>
      </w:pPr>
    </w:p>
    <w:p w:rsidR="00445CBE" w:rsidRPr="00BB7F50" w:rsidRDefault="00BB7F50" w:rsidP="00D44439">
      <w:pPr>
        <w:pStyle w:val="ListParagraph"/>
        <w:widowControl w:val="0"/>
        <w:numPr>
          <w:ilvl w:val="0"/>
          <w:numId w:val="5"/>
        </w:numPr>
        <w:ind w:hanging="720"/>
        <w:jc w:val="both"/>
        <w:rPr>
          <w:sz w:val="20"/>
          <w:szCs w:val="20"/>
        </w:rPr>
      </w:pPr>
      <w:r w:rsidRPr="00BB7F50">
        <w:rPr>
          <w:i/>
          <w:sz w:val="20"/>
          <w:szCs w:val="20"/>
        </w:rPr>
        <w:t xml:space="preserve">Veolia ES Industrial Services Inc. </w:t>
      </w:r>
      <w:r w:rsidRPr="00BB7F50">
        <w:rPr>
          <w:i/>
          <w:sz w:val="20"/>
          <w:szCs w:val="20"/>
          <w:lang w:val="fr-CA"/>
        </w:rPr>
        <w:t>v. John Brulé et al.</w:t>
      </w:r>
      <w:r w:rsidRPr="00BB7F50">
        <w:rPr>
          <w:sz w:val="20"/>
          <w:szCs w:val="20"/>
        </w:rPr>
        <w:t xml:space="preserve"> (Ont.) (Civil) (By Leave) </w:t>
      </w:r>
      <w:r w:rsidR="00445CBE" w:rsidRPr="00BB7F50">
        <w:rPr>
          <w:sz w:val="20"/>
          <w:szCs w:val="20"/>
        </w:rPr>
        <w:t>(34</w:t>
      </w:r>
      <w:r w:rsidRPr="00BB7F50">
        <w:rPr>
          <w:sz w:val="20"/>
          <w:szCs w:val="20"/>
        </w:rPr>
        <w:t>832</w:t>
      </w:r>
      <w:r w:rsidR="00445CBE" w:rsidRPr="00BB7F50">
        <w:rPr>
          <w:sz w:val="20"/>
          <w:szCs w:val="20"/>
        </w:rPr>
        <w:t>)</w:t>
      </w:r>
    </w:p>
    <w:p w:rsidR="00445CBE" w:rsidRPr="00BB7F50" w:rsidRDefault="00445CBE" w:rsidP="00445CBE">
      <w:pPr>
        <w:widowControl w:val="0"/>
        <w:rPr>
          <w:sz w:val="20"/>
          <w:szCs w:val="20"/>
        </w:rPr>
      </w:pPr>
    </w:p>
    <w:p w:rsidR="00C2704B" w:rsidRDefault="00C2704B">
      <w:pPr>
        <w:rPr>
          <w:b/>
          <w:sz w:val="20"/>
          <w:szCs w:val="20"/>
        </w:rPr>
      </w:pPr>
      <w:r>
        <w:rPr>
          <w:b/>
          <w:sz w:val="20"/>
          <w:szCs w:val="20"/>
        </w:rPr>
        <w:br w:type="page"/>
      </w:r>
    </w:p>
    <w:p w:rsidR="00BB7F50" w:rsidRPr="00C50A5C" w:rsidRDefault="00BB7F50" w:rsidP="00BB7F50">
      <w:pPr>
        <w:widowControl w:val="0"/>
        <w:jc w:val="center"/>
        <w:rPr>
          <w:b/>
          <w:sz w:val="20"/>
          <w:szCs w:val="20"/>
        </w:rPr>
      </w:pPr>
      <w:r w:rsidRPr="00C50A5C">
        <w:rPr>
          <w:b/>
          <w:sz w:val="20"/>
          <w:szCs w:val="20"/>
        </w:rPr>
        <w:lastRenderedPageBreak/>
        <w:t xml:space="preserve">CORAM: </w:t>
      </w:r>
      <w:r>
        <w:rPr>
          <w:b/>
          <w:sz w:val="20"/>
          <w:szCs w:val="20"/>
        </w:rPr>
        <w:t>Fish, Abella</w:t>
      </w:r>
      <w:r w:rsidRPr="00C50A5C">
        <w:rPr>
          <w:b/>
          <w:sz w:val="20"/>
          <w:szCs w:val="20"/>
        </w:rPr>
        <w:t xml:space="preserve"> and </w:t>
      </w:r>
      <w:r>
        <w:rPr>
          <w:b/>
          <w:sz w:val="20"/>
          <w:szCs w:val="20"/>
        </w:rPr>
        <w:t>Karakatsanis</w:t>
      </w:r>
      <w:r w:rsidRPr="00C50A5C">
        <w:rPr>
          <w:b/>
          <w:sz w:val="20"/>
          <w:szCs w:val="20"/>
        </w:rPr>
        <w:t xml:space="preserve"> JJ.</w:t>
      </w:r>
    </w:p>
    <w:p w:rsidR="00BB7F50" w:rsidRPr="00C50A5C" w:rsidRDefault="00BB7F50" w:rsidP="00BB7F50">
      <w:pPr>
        <w:widowControl w:val="0"/>
        <w:jc w:val="center"/>
        <w:rPr>
          <w:b/>
          <w:sz w:val="20"/>
          <w:szCs w:val="20"/>
          <w:lang w:val="fr-CA"/>
        </w:rPr>
      </w:pPr>
      <w:r w:rsidRPr="00C50A5C">
        <w:rPr>
          <w:b/>
          <w:sz w:val="20"/>
          <w:szCs w:val="20"/>
          <w:lang w:val="fr-CA"/>
        </w:rPr>
        <w:t xml:space="preserve">Les juges </w:t>
      </w:r>
      <w:r>
        <w:rPr>
          <w:b/>
          <w:sz w:val="20"/>
          <w:szCs w:val="20"/>
          <w:lang w:val="fr-CA"/>
        </w:rPr>
        <w:t>Fish, Abella</w:t>
      </w:r>
      <w:r w:rsidRPr="00C50A5C">
        <w:rPr>
          <w:b/>
          <w:sz w:val="20"/>
          <w:szCs w:val="20"/>
          <w:lang w:val="fr-CA"/>
        </w:rPr>
        <w:t xml:space="preserve"> et </w:t>
      </w:r>
      <w:r>
        <w:rPr>
          <w:b/>
          <w:sz w:val="20"/>
          <w:szCs w:val="20"/>
          <w:lang w:val="fr-CA"/>
        </w:rPr>
        <w:t>Karakatsanis</w:t>
      </w:r>
    </w:p>
    <w:p w:rsidR="00BB7F50" w:rsidRDefault="00BB7F50" w:rsidP="00445CBE">
      <w:pPr>
        <w:widowControl w:val="0"/>
        <w:rPr>
          <w:sz w:val="20"/>
          <w:szCs w:val="20"/>
          <w:lang w:val="fr-CA"/>
        </w:rPr>
      </w:pPr>
    </w:p>
    <w:p w:rsidR="00445CBE" w:rsidRPr="00BB7F50" w:rsidRDefault="00BB7F50" w:rsidP="00D44439">
      <w:pPr>
        <w:pStyle w:val="ListParagraph"/>
        <w:widowControl w:val="0"/>
        <w:numPr>
          <w:ilvl w:val="0"/>
          <w:numId w:val="5"/>
        </w:numPr>
        <w:ind w:hanging="720"/>
        <w:jc w:val="both"/>
        <w:rPr>
          <w:sz w:val="20"/>
          <w:szCs w:val="20"/>
          <w:lang w:val="fr-CA"/>
        </w:rPr>
      </w:pPr>
      <w:r w:rsidRPr="00BB7F50">
        <w:rPr>
          <w:i/>
          <w:sz w:val="20"/>
          <w:szCs w:val="20"/>
          <w:lang w:val="fr-CA"/>
        </w:rPr>
        <w:t>Christian Reinales c. Ministre de la justice du Canada</w:t>
      </w:r>
      <w:r w:rsidRPr="00474B70">
        <w:rPr>
          <w:sz w:val="20"/>
          <w:szCs w:val="20"/>
          <w:lang w:val="fr-CA"/>
        </w:rPr>
        <w:t xml:space="preserve"> (Qc) (Crim</w:t>
      </w:r>
      <w:r>
        <w:rPr>
          <w:sz w:val="20"/>
          <w:szCs w:val="20"/>
          <w:lang w:val="fr-CA"/>
        </w:rPr>
        <w:t>.</w:t>
      </w:r>
      <w:r w:rsidRPr="00474B70">
        <w:rPr>
          <w:sz w:val="20"/>
          <w:szCs w:val="20"/>
          <w:lang w:val="fr-CA"/>
        </w:rPr>
        <w:t>) (Autorisation)</w:t>
      </w:r>
      <w:r>
        <w:rPr>
          <w:sz w:val="20"/>
          <w:szCs w:val="20"/>
          <w:lang w:val="fr-CA"/>
        </w:rPr>
        <w:t xml:space="preserve"> </w:t>
      </w:r>
      <w:r w:rsidR="00445CBE" w:rsidRPr="00BB7F50">
        <w:rPr>
          <w:sz w:val="20"/>
          <w:szCs w:val="20"/>
          <w:lang w:val="fr-CA"/>
        </w:rPr>
        <w:t>(34</w:t>
      </w:r>
      <w:r w:rsidRPr="00BB7F50">
        <w:rPr>
          <w:sz w:val="20"/>
          <w:szCs w:val="20"/>
          <w:lang w:val="fr-CA"/>
        </w:rPr>
        <w:t>836</w:t>
      </w:r>
      <w:r w:rsidR="00445CBE" w:rsidRPr="00BB7F50">
        <w:rPr>
          <w:sz w:val="20"/>
          <w:szCs w:val="20"/>
          <w:lang w:val="fr-CA"/>
        </w:rPr>
        <w:t>)</w:t>
      </w:r>
    </w:p>
    <w:p w:rsidR="00445CBE" w:rsidRPr="00BB7F50" w:rsidRDefault="00445CBE" w:rsidP="00445CBE">
      <w:pPr>
        <w:widowControl w:val="0"/>
        <w:jc w:val="both"/>
        <w:rPr>
          <w:sz w:val="20"/>
          <w:szCs w:val="20"/>
          <w:lang w:val="fr-CA"/>
        </w:rPr>
      </w:pPr>
    </w:p>
    <w:p w:rsidR="00445CBE" w:rsidRPr="00115C9E" w:rsidRDefault="00BB7F50" w:rsidP="00D44439">
      <w:pPr>
        <w:pStyle w:val="ListParagraph"/>
        <w:widowControl w:val="0"/>
        <w:numPr>
          <w:ilvl w:val="0"/>
          <w:numId w:val="5"/>
        </w:numPr>
        <w:ind w:hanging="720"/>
        <w:jc w:val="both"/>
        <w:rPr>
          <w:sz w:val="20"/>
          <w:szCs w:val="20"/>
        </w:rPr>
      </w:pPr>
      <w:r w:rsidRPr="00BB7F50">
        <w:rPr>
          <w:i/>
          <w:sz w:val="20"/>
          <w:szCs w:val="20"/>
        </w:rPr>
        <w:t>Zurich Canada et al. v. Joyce Maebell Dundas et al.</w:t>
      </w:r>
      <w:r w:rsidRPr="00474B70">
        <w:rPr>
          <w:sz w:val="20"/>
          <w:szCs w:val="20"/>
        </w:rPr>
        <w:t xml:space="preserve"> (Ont.) (Civil) (By Leave)</w:t>
      </w:r>
      <w:r w:rsidRPr="00115C9E">
        <w:rPr>
          <w:sz w:val="20"/>
          <w:szCs w:val="20"/>
        </w:rPr>
        <w:t xml:space="preserve"> </w:t>
      </w:r>
      <w:r w:rsidR="00445CBE" w:rsidRPr="00115C9E">
        <w:rPr>
          <w:sz w:val="20"/>
          <w:szCs w:val="20"/>
        </w:rPr>
        <w:t>(34</w:t>
      </w:r>
      <w:r>
        <w:rPr>
          <w:sz w:val="20"/>
          <w:szCs w:val="20"/>
        </w:rPr>
        <w:t>839</w:t>
      </w:r>
      <w:r w:rsidR="00445CBE" w:rsidRPr="00115C9E">
        <w:rPr>
          <w:sz w:val="20"/>
          <w:szCs w:val="20"/>
        </w:rPr>
        <w:t>)</w:t>
      </w:r>
    </w:p>
    <w:p w:rsidR="00445CBE" w:rsidRPr="00115C9E" w:rsidRDefault="00445CBE" w:rsidP="00445CBE">
      <w:pPr>
        <w:widowControl w:val="0"/>
        <w:jc w:val="both"/>
        <w:rPr>
          <w:sz w:val="20"/>
          <w:szCs w:val="20"/>
        </w:rPr>
      </w:pPr>
    </w:p>
    <w:p w:rsidR="00445CBE" w:rsidRPr="00115C9E" w:rsidRDefault="00BB7F50" w:rsidP="00D44439">
      <w:pPr>
        <w:pStyle w:val="ListParagraph"/>
        <w:widowControl w:val="0"/>
        <w:numPr>
          <w:ilvl w:val="0"/>
          <w:numId w:val="5"/>
        </w:numPr>
        <w:ind w:hanging="720"/>
        <w:jc w:val="both"/>
        <w:rPr>
          <w:sz w:val="20"/>
          <w:szCs w:val="20"/>
        </w:rPr>
      </w:pPr>
      <w:r w:rsidRPr="00BB7F50">
        <w:rPr>
          <w:i/>
          <w:sz w:val="20"/>
          <w:szCs w:val="20"/>
        </w:rPr>
        <w:t>Kurt Pieckenhagen et al. v. Shaw Satellite G.P., c.o.b. as Shaw DirectTM et al.</w:t>
      </w:r>
      <w:r w:rsidRPr="00474B70">
        <w:rPr>
          <w:sz w:val="20"/>
          <w:szCs w:val="20"/>
        </w:rPr>
        <w:t xml:space="preserve"> (Ont.) (Civil) (By Leave)</w:t>
      </w:r>
      <w:r>
        <w:rPr>
          <w:sz w:val="20"/>
          <w:szCs w:val="20"/>
        </w:rPr>
        <w:t xml:space="preserve"> </w:t>
      </w:r>
      <w:r w:rsidR="00445CBE" w:rsidRPr="00115C9E">
        <w:rPr>
          <w:sz w:val="20"/>
          <w:szCs w:val="20"/>
        </w:rPr>
        <w:t>(34</w:t>
      </w:r>
      <w:r>
        <w:rPr>
          <w:sz w:val="20"/>
          <w:szCs w:val="20"/>
        </w:rPr>
        <w:t>841</w:t>
      </w:r>
      <w:r w:rsidR="00445CBE" w:rsidRPr="00115C9E">
        <w:rPr>
          <w:sz w:val="20"/>
          <w:szCs w:val="20"/>
        </w:rPr>
        <w:t>)</w:t>
      </w:r>
    </w:p>
    <w:p w:rsidR="00445CBE" w:rsidRDefault="00445CBE" w:rsidP="00445CBE">
      <w:pPr>
        <w:widowControl w:val="0"/>
        <w:rPr>
          <w:sz w:val="20"/>
          <w:szCs w:val="20"/>
        </w:rPr>
      </w:pPr>
    </w:p>
    <w:p w:rsidR="00426786" w:rsidRDefault="007333FF" w:rsidP="00445CBE">
      <w:pPr>
        <w:widowControl w:val="0"/>
        <w:rPr>
          <w:sz w:val="20"/>
          <w:szCs w:val="20"/>
        </w:rPr>
      </w:pPr>
      <w:r w:rsidRPr="007333FF">
        <w:rPr>
          <w:sz w:val="20"/>
          <w:szCs w:val="20"/>
        </w:rPr>
        <w:pict>
          <v:rect id="_x0000_i1049" style="width:2in;height:1pt" o:hrpct="0" o:hralign="center" o:hrstd="t" o:hrnoshade="t" o:hr="t" fillcolor="black [3213]" stroked="f"/>
        </w:pict>
      </w:r>
    </w:p>
    <w:p w:rsidR="00426786" w:rsidRDefault="00426786" w:rsidP="00445CBE">
      <w:pPr>
        <w:widowControl w:val="0"/>
        <w:rPr>
          <w:sz w:val="20"/>
          <w:szCs w:val="20"/>
        </w:rPr>
      </w:pPr>
    </w:p>
    <w:p w:rsidR="00957F2F" w:rsidRPr="00C50A5C" w:rsidRDefault="00957F2F"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3626B6"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8D292F" w:rsidP="008D292F">
      <w:pPr>
        <w:rPr>
          <w:b/>
          <w:sz w:val="20"/>
          <w:szCs w:val="20"/>
        </w:rPr>
      </w:pPr>
      <w:r w:rsidRPr="00C50A5C">
        <w:rPr>
          <w:b/>
          <w:sz w:val="20"/>
          <w:szCs w:val="20"/>
        </w:rPr>
        <w:t>A</w:t>
      </w:r>
      <w:r w:rsidR="006748AB">
        <w:rPr>
          <w:b/>
          <w:sz w:val="20"/>
          <w:szCs w:val="20"/>
        </w:rPr>
        <w:t xml:space="preserve">UGUST </w:t>
      </w:r>
      <w:r w:rsidRPr="00C50A5C">
        <w:rPr>
          <w:b/>
          <w:sz w:val="20"/>
          <w:szCs w:val="20"/>
        </w:rPr>
        <w:t>2, 201</w:t>
      </w:r>
      <w:r w:rsidR="006748AB">
        <w:rPr>
          <w:b/>
          <w:sz w:val="20"/>
          <w:szCs w:val="20"/>
        </w:rPr>
        <w:t>2</w:t>
      </w:r>
      <w:r w:rsidRPr="00C50A5C">
        <w:rPr>
          <w:b/>
          <w:sz w:val="20"/>
          <w:szCs w:val="20"/>
        </w:rPr>
        <w:t xml:space="preserve"> / LE 2 A</w:t>
      </w:r>
      <w:r w:rsidR="006748AB">
        <w:rPr>
          <w:b/>
          <w:sz w:val="20"/>
          <w:szCs w:val="20"/>
        </w:rPr>
        <w:t>OÛT</w:t>
      </w:r>
      <w:r w:rsidRPr="00C50A5C">
        <w:rPr>
          <w:b/>
          <w:sz w:val="20"/>
          <w:szCs w:val="20"/>
        </w:rPr>
        <w:t xml:space="preserve"> 201</w:t>
      </w:r>
      <w:r w:rsidR="006748AB">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13D9E" w:rsidRPr="003626B6" w:rsidTr="00123E21">
        <w:trPr>
          <w:cantSplit/>
        </w:trPr>
        <w:tc>
          <w:tcPr>
            <w:tcW w:w="1458" w:type="dxa"/>
          </w:tcPr>
          <w:p w:rsidR="00C13D9E" w:rsidRPr="00C13D9E" w:rsidRDefault="00C13D9E" w:rsidP="00123E21">
            <w:pPr>
              <w:rPr>
                <w:sz w:val="20"/>
                <w:szCs w:val="20"/>
              </w:rPr>
            </w:pPr>
            <w:r w:rsidRPr="00C13D9E">
              <w:rPr>
                <w:rStyle w:val="SCCFileNumberChar"/>
                <w:sz w:val="20"/>
                <w:szCs w:val="20"/>
              </w:rPr>
              <w:t>34704</w:t>
            </w:r>
          </w:p>
          <w:p w:rsidR="00C13D9E" w:rsidRPr="00C13D9E" w:rsidRDefault="00C13D9E" w:rsidP="00123E21">
            <w:pPr>
              <w:rPr>
                <w:b/>
                <w:sz w:val="20"/>
                <w:szCs w:val="20"/>
                <w:lang w:val="fr-CA"/>
              </w:rPr>
            </w:pPr>
          </w:p>
        </w:tc>
        <w:tc>
          <w:tcPr>
            <w:tcW w:w="8118" w:type="dxa"/>
          </w:tcPr>
          <w:p w:rsidR="00C13D9E" w:rsidRPr="00C13D9E" w:rsidRDefault="00C13D9E" w:rsidP="00123E21">
            <w:pPr>
              <w:rPr>
                <w:sz w:val="20"/>
                <w:szCs w:val="20"/>
                <w:lang w:val="fr-CA"/>
              </w:rPr>
            </w:pPr>
            <w:r w:rsidRPr="00C13D9E">
              <w:rPr>
                <w:rStyle w:val="SCCLsocChar"/>
                <w:sz w:val="20"/>
                <w:szCs w:val="20"/>
              </w:rPr>
              <w:t>Robert Godbout c. Sa Majesté la Reine</w:t>
            </w:r>
            <w:r w:rsidRPr="00C13D9E">
              <w:rPr>
                <w:sz w:val="20"/>
                <w:szCs w:val="20"/>
                <w:lang w:val="fr-CA"/>
              </w:rPr>
              <w:t xml:space="preserve"> (Qc) (Criminelle) (Autorisation)</w:t>
            </w:r>
          </w:p>
          <w:p w:rsidR="00C13D9E" w:rsidRPr="00C13D9E" w:rsidRDefault="00C13D9E" w:rsidP="00123E21">
            <w:pPr>
              <w:rPr>
                <w:sz w:val="20"/>
                <w:szCs w:val="20"/>
                <w:lang w:val="fr-CA"/>
              </w:rPr>
            </w:pPr>
          </w:p>
        </w:tc>
      </w:tr>
      <w:tr w:rsidR="00C13D9E" w:rsidRPr="003626B6" w:rsidTr="00123E21">
        <w:trPr>
          <w:cantSplit/>
        </w:trPr>
        <w:tc>
          <w:tcPr>
            <w:tcW w:w="1458" w:type="dxa"/>
          </w:tcPr>
          <w:p w:rsidR="00C13D9E" w:rsidRPr="00C13D9E" w:rsidRDefault="00C13D9E" w:rsidP="00123E21">
            <w:pPr>
              <w:rPr>
                <w:sz w:val="20"/>
                <w:szCs w:val="20"/>
              </w:rPr>
            </w:pPr>
            <w:r w:rsidRPr="00C13D9E">
              <w:rPr>
                <w:sz w:val="20"/>
                <w:szCs w:val="20"/>
              </w:rPr>
              <w:t>Coram :</w:t>
            </w:r>
          </w:p>
        </w:tc>
        <w:tc>
          <w:tcPr>
            <w:tcW w:w="8118" w:type="dxa"/>
          </w:tcPr>
          <w:p w:rsidR="00C13D9E" w:rsidRPr="00C13D9E" w:rsidRDefault="00C13D9E" w:rsidP="00123E21">
            <w:pPr>
              <w:rPr>
                <w:sz w:val="20"/>
                <w:szCs w:val="20"/>
                <w:lang w:val="fr-CA"/>
              </w:rPr>
            </w:pPr>
            <w:r w:rsidRPr="00C13D9E">
              <w:rPr>
                <w:rStyle w:val="SCCCoramChar"/>
                <w:sz w:val="20"/>
                <w:szCs w:val="20"/>
              </w:rPr>
              <w:t>Les juges LeBel, Abella et Cromwell</w:t>
            </w:r>
          </w:p>
          <w:p w:rsidR="00C13D9E" w:rsidRPr="00C13D9E" w:rsidRDefault="00C13D9E" w:rsidP="00123E21">
            <w:pPr>
              <w:rPr>
                <w:sz w:val="20"/>
                <w:szCs w:val="20"/>
                <w:u w:val="single"/>
                <w:lang w:val="fr-CA"/>
              </w:rPr>
            </w:pPr>
          </w:p>
        </w:tc>
      </w:tr>
      <w:tr w:rsidR="00C13D9E" w:rsidRPr="00C13D9E" w:rsidTr="00123E21">
        <w:trPr>
          <w:cantSplit/>
        </w:trPr>
        <w:tc>
          <w:tcPr>
            <w:tcW w:w="9576" w:type="dxa"/>
            <w:gridSpan w:val="2"/>
          </w:tcPr>
          <w:p w:rsidR="00C13D9E" w:rsidRPr="00C13D9E" w:rsidRDefault="00C13D9E" w:rsidP="00123E21">
            <w:pPr>
              <w:pStyle w:val="SCCShortJudgment"/>
              <w:rPr>
                <w:szCs w:val="20"/>
                <w:lang w:val="fr-CA"/>
              </w:rPr>
            </w:pPr>
            <w:r w:rsidRPr="00C13D9E">
              <w:rPr>
                <w:szCs w:val="20"/>
                <w:lang w:val="fr-CA"/>
              </w:rPr>
              <w:t>La demande d’autorisation d’appel de l’arrêt de la Cour d’appel du Québec (Québec), numéro 200-10-002478-100, 2012 QCCA 59, daté du 9 janvier 2012, est rejetée sans dépens</w:t>
            </w:r>
          </w:p>
          <w:p w:rsidR="00C13D9E" w:rsidRPr="00C13D9E" w:rsidRDefault="00C13D9E" w:rsidP="00123E21">
            <w:pPr>
              <w:pStyle w:val="SCCShortJudgment"/>
              <w:ind w:firstLine="0"/>
              <w:rPr>
                <w:szCs w:val="20"/>
                <w:lang w:val="fr-CA"/>
              </w:rPr>
            </w:pPr>
          </w:p>
          <w:p w:rsidR="00C13D9E" w:rsidRPr="00C13D9E" w:rsidRDefault="00C13D9E" w:rsidP="00123E21">
            <w:pPr>
              <w:pStyle w:val="SCCShortJudgment"/>
              <w:rPr>
                <w:szCs w:val="20"/>
              </w:rPr>
            </w:pPr>
            <w:r w:rsidRPr="00C13D9E">
              <w:rPr>
                <w:szCs w:val="20"/>
              </w:rPr>
              <w:t>The application for leave to appeal from the judgment of the Court of Appeal of Quebec (Québec), Number 200-10-002478-100, 2012 QCCA 59, dated January 9, 2012, is dismissed without costs.</w:t>
            </w:r>
          </w:p>
        </w:tc>
      </w:tr>
    </w:tbl>
    <w:p w:rsidR="006748AB" w:rsidRDefault="006748AB" w:rsidP="008D292F">
      <w:pPr>
        <w:rPr>
          <w:sz w:val="20"/>
          <w:szCs w:val="20"/>
        </w:rPr>
      </w:pPr>
    </w:p>
    <w:p w:rsidR="006748AB" w:rsidRPr="001B157C" w:rsidRDefault="006748AB" w:rsidP="006748AB">
      <w:pPr>
        <w:rPr>
          <w:sz w:val="20"/>
          <w:szCs w:val="20"/>
          <w:u w:val="single"/>
        </w:rPr>
      </w:pPr>
      <w:r w:rsidRPr="001B157C">
        <w:rPr>
          <w:sz w:val="20"/>
          <w:szCs w:val="20"/>
          <w:u w:val="single"/>
        </w:rPr>
        <w:t>CASE SUMMARY</w:t>
      </w:r>
    </w:p>
    <w:p w:rsidR="006748AB" w:rsidRDefault="006748AB"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97CA8" w:rsidRPr="00B150AF" w:rsidTr="00E767F8">
        <w:tc>
          <w:tcPr>
            <w:tcW w:w="5000" w:type="pct"/>
            <w:gridSpan w:val="3"/>
          </w:tcPr>
          <w:p w:rsidR="00497CA8" w:rsidRPr="00B150AF" w:rsidRDefault="00497CA8" w:rsidP="00E767F8">
            <w:pPr>
              <w:jc w:val="both"/>
              <w:rPr>
                <w:sz w:val="20"/>
              </w:rPr>
            </w:pPr>
            <w:r w:rsidRPr="00B150AF">
              <w:rPr>
                <w:sz w:val="20"/>
              </w:rPr>
              <w:t>Criminal law – Change of venue – Jury – Triers – Propensity evidence – Whether Court of Appeal erred in concluding that trial judge had not erred in exercise of discretion by dismissing applicant’s motion for change of venue – Whether Court of Appeal erred in concluding that court’s instructions to jury following publication of article by journalist at start of trial were sufficient – Whether Court of Appeal erred in concluding that instructions to triers were sufficient – Whether Court of Appeal erred in concluding that lack of instructions to jury concerning use of propensity evidence had not undermined fairness of trial.</w:t>
            </w:r>
          </w:p>
        </w:tc>
      </w:tr>
      <w:tr w:rsidR="00497CA8" w:rsidRPr="00B150AF" w:rsidTr="00E767F8">
        <w:tc>
          <w:tcPr>
            <w:tcW w:w="5000" w:type="pct"/>
            <w:gridSpan w:val="3"/>
          </w:tcPr>
          <w:p w:rsidR="00497CA8" w:rsidRPr="00B150AF" w:rsidRDefault="00497CA8" w:rsidP="00E767F8">
            <w:pPr>
              <w:jc w:val="both"/>
              <w:rPr>
                <w:sz w:val="20"/>
              </w:rPr>
            </w:pPr>
          </w:p>
        </w:tc>
      </w:tr>
      <w:tr w:rsidR="00497CA8" w:rsidRPr="00B150AF" w:rsidTr="00E767F8">
        <w:tc>
          <w:tcPr>
            <w:tcW w:w="5000" w:type="pct"/>
            <w:gridSpan w:val="3"/>
          </w:tcPr>
          <w:p w:rsidR="00497CA8" w:rsidRPr="00B150AF" w:rsidRDefault="00497CA8" w:rsidP="00E767F8">
            <w:pPr>
              <w:jc w:val="both"/>
              <w:rPr>
                <w:sz w:val="20"/>
              </w:rPr>
            </w:pPr>
            <w:r w:rsidRPr="00B150AF">
              <w:rPr>
                <w:sz w:val="20"/>
              </w:rPr>
              <w:t>On January 14, 2008, a fire broke out in the Saint</w:t>
            </w:r>
            <w:r w:rsidRPr="00B150AF">
              <w:rPr>
                <w:sz w:val="20"/>
              </w:rPr>
              <w:noBreakHyphen/>
              <w:t>Rémi</w:t>
            </w:r>
            <w:r w:rsidRPr="00B150AF">
              <w:rPr>
                <w:sz w:val="20"/>
              </w:rPr>
              <w:noBreakHyphen/>
              <w:t>de</w:t>
            </w:r>
            <w:r w:rsidRPr="00B150AF">
              <w:rPr>
                <w:sz w:val="20"/>
              </w:rPr>
              <w:noBreakHyphen/>
              <w:t>Tingwick municipal office attached to the village church.  After the fire was put out, the body of Renée Vaudreuil, the municipality’s director general, was found.  The crime scene analysis and pathology report showed that Ms. Vaudreuil had been shot twice with a .410 calibre firearm and had also been struck with a blunt object a few times.  The evidence was purely circumstantial and was based on testimony concerning the presence of the applicant, Mr. Godbout, near the municipal office around the time of the crime and concerning his possible motive.  On the morning of the murder, Mr. Godbout’s appeal from a judgment in favour of the municipality had been dismissed.  Mr. Godbout categorically denied killing Ms. Vaudreuil.  However, he admitted going by the municipal office on the day of the murder but said that he had not entered the office.  He also claimed that he did not possess and had never possessed a firearm.  He was arrested at his home the day after the murder.  The police searched his home but found no evidence relevant to their investigation.  The same was true at the scene of the crime, where no physical evidence connecting Mr. Godbout to the crime was found.</w:t>
            </w:r>
          </w:p>
          <w:p w:rsidR="00497CA8" w:rsidRPr="00B150AF" w:rsidRDefault="00497CA8" w:rsidP="00E767F8">
            <w:pPr>
              <w:jc w:val="both"/>
              <w:rPr>
                <w:sz w:val="20"/>
              </w:rPr>
            </w:pPr>
          </w:p>
        </w:tc>
      </w:tr>
      <w:tr w:rsidR="00497CA8" w:rsidRPr="00B150AF" w:rsidTr="00E767F8">
        <w:tc>
          <w:tcPr>
            <w:tcW w:w="2427" w:type="pct"/>
          </w:tcPr>
          <w:p w:rsidR="00497CA8" w:rsidRPr="00B150AF" w:rsidRDefault="00497CA8" w:rsidP="00E767F8">
            <w:pPr>
              <w:jc w:val="both"/>
              <w:rPr>
                <w:sz w:val="20"/>
              </w:rPr>
            </w:pPr>
            <w:r w:rsidRPr="00B150AF">
              <w:rPr>
                <w:sz w:val="20"/>
              </w:rPr>
              <w:t>December 10, 2009</w:t>
            </w:r>
          </w:p>
          <w:p w:rsidR="00497CA8" w:rsidRPr="00B150AF" w:rsidRDefault="00497CA8" w:rsidP="00E767F8">
            <w:pPr>
              <w:jc w:val="both"/>
              <w:rPr>
                <w:sz w:val="20"/>
              </w:rPr>
            </w:pPr>
            <w:r w:rsidRPr="00B150AF">
              <w:rPr>
                <w:sz w:val="20"/>
              </w:rPr>
              <w:t>Quebec Superior Court</w:t>
            </w:r>
          </w:p>
          <w:p w:rsidR="00497CA8" w:rsidRPr="00B150AF" w:rsidRDefault="00497CA8" w:rsidP="00E767F8">
            <w:pPr>
              <w:jc w:val="both"/>
              <w:rPr>
                <w:sz w:val="20"/>
              </w:rPr>
            </w:pPr>
            <w:r w:rsidRPr="00B150AF">
              <w:rPr>
                <w:sz w:val="20"/>
              </w:rPr>
              <w:t>(Grenier J.)</w:t>
            </w:r>
          </w:p>
          <w:p w:rsidR="00497CA8" w:rsidRPr="00B150AF" w:rsidRDefault="00497CA8" w:rsidP="00E767F8">
            <w:pPr>
              <w:jc w:val="both"/>
              <w:rPr>
                <w:sz w:val="20"/>
              </w:rPr>
            </w:pPr>
          </w:p>
        </w:tc>
        <w:tc>
          <w:tcPr>
            <w:tcW w:w="243" w:type="pct"/>
          </w:tcPr>
          <w:p w:rsidR="00497CA8" w:rsidRPr="00B150AF" w:rsidRDefault="00497CA8" w:rsidP="00E767F8">
            <w:pPr>
              <w:jc w:val="both"/>
              <w:rPr>
                <w:sz w:val="20"/>
              </w:rPr>
            </w:pPr>
          </w:p>
        </w:tc>
        <w:tc>
          <w:tcPr>
            <w:tcW w:w="2330" w:type="pct"/>
          </w:tcPr>
          <w:p w:rsidR="00497CA8" w:rsidRPr="00B150AF" w:rsidRDefault="00497CA8" w:rsidP="00E767F8">
            <w:pPr>
              <w:jc w:val="both"/>
              <w:rPr>
                <w:sz w:val="20"/>
              </w:rPr>
            </w:pPr>
            <w:r w:rsidRPr="00B150AF">
              <w:rPr>
                <w:sz w:val="20"/>
              </w:rPr>
              <w:t>Applicant convicted of first degree murder</w:t>
            </w:r>
          </w:p>
          <w:p w:rsidR="00497CA8" w:rsidRPr="00B150AF" w:rsidRDefault="00497CA8" w:rsidP="00E767F8">
            <w:pPr>
              <w:jc w:val="both"/>
              <w:rPr>
                <w:sz w:val="20"/>
              </w:rPr>
            </w:pPr>
          </w:p>
        </w:tc>
      </w:tr>
      <w:tr w:rsidR="00497CA8" w:rsidRPr="00B150AF" w:rsidTr="00E767F8">
        <w:tc>
          <w:tcPr>
            <w:tcW w:w="2427" w:type="pct"/>
          </w:tcPr>
          <w:p w:rsidR="00497CA8" w:rsidRPr="00B150AF" w:rsidRDefault="00497CA8" w:rsidP="00E767F8">
            <w:pPr>
              <w:jc w:val="both"/>
              <w:rPr>
                <w:sz w:val="20"/>
              </w:rPr>
            </w:pPr>
            <w:r w:rsidRPr="00B150AF">
              <w:rPr>
                <w:sz w:val="20"/>
              </w:rPr>
              <w:t>January 9, 2012</w:t>
            </w:r>
          </w:p>
          <w:p w:rsidR="00497CA8" w:rsidRPr="00B150AF" w:rsidRDefault="00497CA8" w:rsidP="00E767F8">
            <w:pPr>
              <w:jc w:val="both"/>
              <w:rPr>
                <w:sz w:val="20"/>
              </w:rPr>
            </w:pPr>
            <w:r w:rsidRPr="00B150AF">
              <w:rPr>
                <w:sz w:val="20"/>
              </w:rPr>
              <w:t>Quebec Court of Appeal (Québec)</w:t>
            </w:r>
          </w:p>
          <w:p w:rsidR="00497CA8" w:rsidRPr="00B150AF" w:rsidRDefault="00497CA8" w:rsidP="00E767F8">
            <w:pPr>
              <w:jc w:val="both"/>
              <w:rPr>
                <w:sz w:val="20"/>
              </w:rPr>
            </w:pPr>
            <w:r w:rsidRPr="00B150AF">
              <w:rPr>
                <w:sz w:val="20"/>
              </w:rPr>
              <w:t>(Chamberland, Rochette and Bouchard JJ.A.)</w:t>
            </w:r>
          </w:p>
          <w:p w:rsidR="00497CA8" w:rsidRPr="00B150AF" w:rsidRDefault="00497CA8" w:rsidP="00E767F8">
            <w:pPr>
              <w:jc w:val="both"/>
              <w:rPr>
                <w:sz w:val="20"/>
              </w:rPr>
            </w:pPr>
            <w:r w:rsidRPr="00B150AF">
              <w:rPr>
                <w:sz w:val="20"/>
              </w:rPr>
              <w:t>2012 QCCA 59</w:t>
            </w:r>
          </w:p>
          <w:p w:rsidR="00497CA8" w:rsidRPr="00B150AF" w:rsidRDefault="00497CA8" w:rsidP="00E767F8">
            <w:pPr>
              <w:jc w:val="both"/>
              <w:rPr>
                <w:sz w:val="20"/>
              </w:rPr>
            </w:pPr>
          </w:p>
        </w:tc>
        <w:tc>
          <w:tcPr>
            <w:tcW w:w="243" w:type="pct"/>
          </w:tcPr>
          <w:p w:rsidR="00497CA8" w:rsidRPr="00B150AF" w:rsidRDefault="00497CA8" w:rsidP="00E767F8">
            <w:pPr>
              <w:jc w:val="both"/>
              <w:rPr>
                <w:sz w:val="20"/>
              </w:rPr>
            </w:pPr>
          </w:p>
        </w:tc>
        <w:tc>
          <w:tcPr>
            <w:tcW w:w="2330" w:type="pct"/>
          </w:tcPr>
          <w:p w:rsidR="00497CA8" w:rsidRPr="00B150AF" w:rsidRDefault="00497CA8" w:rsidP="00E767F8">
            <w:pPr>
              <w:jc w:val="both"/>
              <w:rPr>
                <w:sz w:val="20"/>
              </w:rPr>
            </w:pPr>
            <w:r w:rsidRPr="00B150AF">
              <w:rPr>
                <w:sz w:val="20"/>
              </w:rPr>
              <w:t>Appeal from verdict dismissed</w:t>
            </w:r>
          </w:p>
          <w:p w:rsidR="00497CA8" w:rsidRPr="00B150AF" w:rsidRDefault="00497CA8" w:rsidP="00E767F8">
            <w:pPr>
              <w:jc w:val="both"/>
              <w:rPr>
                <w:sz w:val="20"/>
              </w:rPr>
            </w:pPr>
          </w:p>
        </w:tc>
      </w:tr>
      <w:tr w:rsidR="00497CA8" w:rsidRPr="00B150AF" w:rsidTr="00E767F8">
        <w:trPr>
          <w:trHeight w:val="144"/>
        </w:trPr>
        <w:tc>
          <w:tcPr>
            <w:tcW w:w="2427" w:type="pct"/>
          </w:tcPr>
          <w:p w:rsidR="00497CA8" w:rsidRPr="00B150AF" w:rsidRDefault="00497CA8" w:rsidP="00E767F8">
            <w:pPr>
              <w:jc w:val="both"/>
              <w:rPr>
                <w:sz w:val="20"/>
              </w:rPr>
            </w:pPr>
            <w:r w:rsidRPr="00B150AF">
              <w:rPr>
                <w:sz w:val="20"/>
              </w:rPr>
              <w:t>March 9, 2012</w:t>
            </w:r>
          </w:p>
          <w:p w:rsidR="00497CA8" w:rsidRPr="00B150AF" w:rsidRDefault="00497CA8" w:rsidP="00E767F8">
            <w:pPr>
              <w:jc w:val="both"/>
              <w:rPr>
                <w:sz w:val="20"/>
              </w:rPr>
            </w:pPr>
            <w:r w:rsidRPr="00B150AF">
              <w:rPr>
                <w:sz w:val="20"/>
              </w:rPr>
              <w:t>Supreme Court of Canada</w:t>
            </w:r>
          </w:p>
        </w:tc>
        <w:tc>
          <w:tcPr>
            <w:tcW w:w="243" w:type="pct"/>
          </w:tcPr>
          <w:p w:rsidR="00497CA8" w:rsidRPr="00B150AF" w:rsidRDefault="00497CA8" w:rsidP="00E767F8">
            <w:pPr>
              <w:jc w:val="both"/>
              <w:rPr>
                <w:sz w:val="20"/>
              </w:rPr>
            </w:pPr>
          </w:p>
        </w:tc>
        <w:tc>
          <w:tcPr>
            <w:tcW w:w="2330" w:type="pct"/>
          </w:tcPr>
          <w:p w:rsidR="00497CA8" w:rsidRPr="00B150AF" w:rsidRDefault="00497CA8" w:rsidP="00E767F8">
            <w:pPr>
              <w:jc w:val="both"/>
              <w:rPr>
                <w:sz w:val="20"/>
              </w:rPr>
            </w:pPr>
            <w:r w:rsidRPr="00B150AF">
              <w:rPr>
                <w:sz w:val="20"/>
              </w:rPr>
              <w:t>Application for leave to appeal filed</w:t>
            </w:r>
          </w:p>
          <w:p w:rsidR="00497CA8" w:rsidRPr="00B150AF" w:rsidRDefault="00497CA8" w:rsidP="00E767F8">
            <w:pPr>
              <w:jc w:val="both"/>
              <w:rPr>
                <w:sz w:val="20"/>
              </w:rPr>
            </w:pPr>
          </w:p>
        </w:tc>
      </w:tr>
    </w:tbl>
    <w:p w:rsidR="006748AB" w:rsidRDefault="006748AB" w:rsidP="008D292F">
      <w:pPr>
        <w:rPr>
          <w:sz w:val="20"/>
          <w:szCs w:val="20"/>
        </w:rPr>
      </w:pPr>
    </w:p>
    <w:p w:rsidR="006748AB" w:rsidRPr="00C50A5C" w:rsidRDefault="007333FF" w:rsidP="006748AB">
      <w:pPr>
        <w:rPr>
          <w:sz w:val="20"/>
          <w:szCs w:val="20"/>
        </w:rPr>
      </w:pPr>
      <w:r w:rsidRPr="007333FF">
        <w:rPr>
          <w:sz w:val="20"/>
          <w:szCs w:val="20"/>
          <w:lang w:val="fr-CA"/>
        </w:rPr>
        <w:pict>
          <v:rect id="_x0000_i1052" style="width:2in;height:1pt" o:hrpct="0" o:hralign="center" o:hrstd="t" o:hrnoshade="t" o:hr="t" fillcolor="black [3213]" stroked="f"/>
        </w:pict>
      </w:r>
    </w:p>
    <w:p w:rsidR="006748AB" w:rsidRDefault="006748AB" w:rsidP="006748AB">
      <w:pPr>
        <w:rPr>
          <w:sz w:val="20"/>
          <w:szCs w:val="20"/>
        </w:rPr>
      </w:pPr>
    </w:p>
    <w:p w:rsidR="00C13D9E" w:rsidRDefault="00C13D9E">
      <w:pPr>
        <w:rPr>
          <w:sz w:val="20"/>
          <w:szCs w:val="20"/>
          <w:u w:val="single"/>
          <w:lang w:val="fr-CA"/>
        </w:rPr>
      </w:pPr>
      <w:r>
        <w:rPr>
          <w:sz w:val="20"/>
          <w:szCs w:val="20"/>
          <w:u w:val="single"/>
          <w:lang w:val="fr-CA"/>
        </w:rPr>
        <w:br w:type="page"/>
      </w:r>
    </w:p>
    <w:p w:rsidR="006748AB" w:rsidRPr="001B157C" w:rsidRDefault="006748AB" w:rsidP="006748AB">
      <w:pPr>
        <w:rPr>
          <w:sz w:val="20"/>
          <w:szCs w:val="20"/>
          <w:u w:val="single"/>
          <w:lang w:val="fr-CA"/>
        </w:rPr>
      </w:pPr>
      <w:r w:rsidRPr="001B157C">
        <w:rPr>
          <w:sz w:val="20"/>
          <w:szCs w:val="20"/>
          <w:u w:val="single"/>
          <w:lang w:val="fr-CA"/>
        </w:rPr>
        <w:lastRenderedPageBreak/>
        <w:t>RÉSUMÉ DE L’AFFAIRE</w:t>
      </w:r>
    </w:p>
    <w:p w:rsidR="006748AB" w:rsidRDefault="006748AB"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97CA8" w:rsidRPr="003626B6" w:rsidTr="00E767F8">
        <w:tc>
          <w:tcPr>
            <w:tcW w:w="5000" w:type="pct"/>
            <w:gridSpan w:val="3"/>
          </w:tcPr>
          <w:p w:rsidR="00497CA8" w:rsidRPr="00B150AF" w:rsidRDefault="00497CA8" w:rsidP="00E767F8">
            <w:pPr>
              <w:jc w:val="both"/>
              <w:rPr>
                <w:sz w:val="20"/>
                <w:lang w:val="fr-CA"/>
              </w:rPr>
            </w:pPr>
            <w:r w:rsidRPr="00B150AF">
              <w:rPr>
                <w:sz w:val="20"/>
                <w:lang w:val="fr-CA"/>
              </w:rPr>
              <w:t>Droit criminel – Changement de venue – Jury – Vérificateurs – Preuve de propension – La Cour d’appel a-t-elle erré en concluant que le juge de première instance n’avait pas commis d’erreur dans l’exercice de sa discrétion en rejetant la requête pour changement de venue du demandeur? – La Cour d’appel a-t-elle erré en concluant que les directives de la cour au jury, suivant la parution d’un article journalistique au début du procès, étaient suffisantes? – La Cour d’appel a-t-elle erré en concluant que les directives aux vérificateurs étaient suffisantes? – La Cour d’appel a-t-elle erré en concluant que l’absence de directives au jury sur l’utilisation de la preuve de propension n’avait pas entaché l’équité du procès?</w:t>
            </w:r>
          </w:p>
        </w:tc>
      </w:tr>
      <w:tr w:rsidR="00497CA8" w:rsidRPr="003626B6" w:rsidTr="00E767F8">
        <w:tc>
          <w:tcPr>
            <w:tcW w:w="5000" w:type="pct"/>
            <w:gridSpan w:val="3"/>
          </w:tcPr>
          <w:p w:rsidR="00497CA8" w:rsidRPr="00B150AF" w:rsidRDefault="00497CA8" w:rsidP="00E767F8">
            <w:pPr>
              <w:jc w:val="both"/>
              <w:rPr>
                <w:sz w:val="20"/>
                <w:lang w:val="fr-CA"/>
              </w:rPr>
            </w:pPr>
          </w:p>
        </w:tc>
      </w:tr>
      <w:tr w:rsidR="00497CA8" w:rsidRPr="003626B6" w:rsidTr="00E767F8">
        <w:tc>
          <w:tcPr>
            <w:tcW w:w="5000" w:type="pct"/>
            <w:gridSpan w:val="3"/>
          </w:tcPr>
          <w:p w:rsidR="00497CA8" w:rsidRPr="00B150AF" w:rsidRDefault="00497CA8" w:rsidP="00E767F8">
            <w:pPr>
              <w:jc w:val="both"/>
              <w:rPr>
                <w:sz w:val="20"/>
                <w:lang w:val="fr-CA"/>
              </w:rPr>
            </w:pPr>
            <w:r w:rsidRPr="00B150AF">
              <w:rPr>
                <w:sz w:val="20"/>
                <w:lang w:val="fr-CA"/>
              </w:rPr>
              <w:t>Le 14 janvier 2008, un incendie est déclaré dans le bureau municipal de Saint-Rémi-de-Tingwick annexé à l’église du village. Après l’extinction du feu, le corps de madame Renée Vaudreuil, directrice générale de cette municipalité, est retrouvé. L’analyse de la scène de crime et l’expertise pathologique démontrent qu’elle a reçu deux décharges d’arme à feu de calibre quatre-cent dix et qu’elle a également été frappée à quelques reprises à l’aide d’un objet contondant. La preuve est purement circonstancielle, basée sur des témoignages relatifs à la présence de M. Godbout, le demandeur, à proximité du bureau municipal, à l’heure approximative du crime, et à l’existence du mobile qui aurait pu l’animer. Le matin même du meurtre, l’appel de M. Godbout à l’encontre d’un jugement favorable à la municipalité avait été rejeté. M. Godbout nie formellement avoir tué Madame Vaudreuil. Il a cependant reconnu être passé au bureau municipal le jour du meurtre mais sans y entrer. Il a également affirmé ne pas posséder d’arme à feu, et n’en avoir jamais possédé. M. Godbout a été arrêté à son domicile le lendemain du meurtre. Les policiers ont fouillé son domicile sans y découvrir quelque élément de preuve que ce soit pertinent à leur enquête. Il en va de même des lieux du crime, aucun élément de preuve matérielle liant M. Godbout au crime n’y fut trouvé.</w:t>
            </w:r>
          </w:p>
          <w:p w:rsidR="00497CA8" w:rsidRPr="00B150AF" w:rsidRDefault="00497CA8" w:rsidP="00E767F8">
            <w:pPr>
              <w:jc w:val="both"/>
              <w:rPr>
                <w:sz w:val="20"/>
                <w:lang w:val="fr-CA"/>
              </w:rPr>
            </w:pPr>
          </w:p>
        </w:tc>
      </w:tr>
      <w:tr w:rsidR="00497CA8" w:rsidRPr="003626B6" w:rsidTr="00E767F8">
        <w:tc>
          <w:tcPr>
            <w:tcW w:w="2427" w:type="pct"/>
          </w:tcPr>
          <w:p w:rsidR="00497CA8" w:rsidRPr="00B150AF" w:rsidRDefault="00497CA8" w:rsidP="00E767F8">
            <w:pPr>
              <w:jc w:val="both"/>
              <w:rPr>
                <w:sz w:val="20"/>
                <w:lang w:val="fr-CA"/>
              </w:rPr>
            </w:pPr>
            <w:r w:rsidRPr="00B150AF">
              <w:rPr>
                <w:sz w:val="20"/>
                <w:lang w:val="fr-CA"/>
              </w:rPr>
              <w:t>Le 10 décembre 2009</w:t>
            </w:r>
          </w:p>
          <w:p w:rsidR="00497CA8" w:rsidRPr="00B150AF" w:rsidRDefault="00497CA8" w:rsidP="00E767F8">
            <w:pPr>
              <w:jc w:val="both"/>
              <w:rPr>
                <w:sz w:val="20"/>
                <w:lang w:val="fr-CA"/>
              </w:rPr>
            </w:pPr>
            <w:r w:rsidRPr="00B150AF">
              <w:rPr>
                <w:sz w:val="20"/>
                <w:lang w:val="fr-CA"/>
              </w:rPr>
              <w:t>Cour supérieure du Québec</w:t>
            </w:r>
          </w:p>
          <w:p w:rsidR="00497CA8" w:rsidRPr="00B150AF" w:rsidRDefault="00497CA8" w:rsidP="00E767F8">
            <w:pPr>
              <w:jc w:val="both"/>
              <w:rPr>
                <w:sz w:val="20"/>
              </w:rPr>
            </w:pPr>
            <w:r w:rsidRPr="00B150AF">
              <w:rPr>
                <w:sz w:val="20"/>
              </w:rPr>
              <w:t>(Le juge Grenier)</w:t>
            </w:r>
          </w:p>
          <w:p w:rsidR="00497CA8" w:rsidRPr="00B150AF" w:rsidRDefault="00497CA8" w:rsidP="00E767F8">
            <w:pPr>
              <w:jc w:val="both"/>
              <w:rPr>
                <w:sz w:val="20"/>
              </w:rPr>
            </w:pPr>
          </w:p>
        </w:tc>
        <w:tc>
          <w:tcPr>
            <w:tcW w:w="243" w:type="pct"/>
          </w:tcPr>
          <w:p w:rsidR="00497CA8" w:rsidRPr="00B150AF" w:rsidRDefault="00497CA8" w:rsidP="00E767F8">
            <w:pPr>
              <w:jc w:val="both"/>
              <w:rPr>
                <w:sz w:val="20"/>
              </w:rPr>
            </w:pPr>
          </w:p>
        </w:tc>
        <w:tc>
          <w:tcPr>
            <w:tcW w:w="2330" w:type="pct"/>
          </w:tcPr>
          <w:p w:rsidR="00497CA8" w:rsidRPr="00B150AF" w:rsidRDefault="00497CA8" w:rsidP="00E767F8">
            <w:pPr>
              <w:jc w:val="both"/>
              <w:rPr>
                <w:sz w:val="20"/>
                <w:lang w:val="fr-CA"/>
              </w:rPr>
            </w:pPr>
            <w:r w:rsidRPr="00B150AF">
              <w:rPr>
                <w:sz w:val="20"/>
                <w:lang w:val="fr-CA"/>
              </w:rPr>
              <w:t>Déclaration de culpabilité : meurtre au premier degré.</w:t>
            </w:r>
          </w:p>
          <w:p w:rsidR="00497CA8" w:rsidRPr="00B150AF" w:rsidRDefault="00497CA8" w:rsidP="00E767F8">
            <w:pPr>
              <w:jc w:val="both"/>
              <w:rPr>
                <w:sz w:val="20"/>
                <w:lang w:val="fr-CA"/>
              </w:rPr>
            </w:pPr>
          </w:p>
        </w:tc>
      </w:tr>
      <w:tr w:rsidR="00497CA8" w:rsidRPr="00B150AF" w:rsidTr="00E767F8">
        <w:tc>
          <w:tcPr>
            <w:tcW w:w="2427" w:type="pct"/>
          </w:tcPr>
          <w:p w:rsidR="00497CA8" w:rsidRPr="00B150AF" w:rsidRDefault="00497CA8" w:rsidP="00E767F8">
            <w:pPr>
              <w:jc w:val="both"/>
              <w:rPr>
                <w:sz w:val="20"/>
                <w:lang w:val="fr-CA"/>
              </w:rPr>
            </w:pPr>
            <w:r w:rsidRPr="00B150AF">
              <w:rPr>
                <w:sz w:val="20"/>
                <w:lang w:val="fr-CA"/>
              </w:rPr>
              <w:t>Le 9 janvier 2012</w:t>
            </w:r>
          </w:p>
          <w:p w:rsidR="00497CA8" w:rsidRPr="00B150AF" w:rsidRDefault="00497CA8" w:rsidP="00E767F8">
            <w:pPr>
              <w:jc w:val="both"/>
              <w:rPr>
                <w:sz w:val="20"/>
                <w:lang w:val="fr-CA"/>
              </w:rPr>
            </w:pPr>
            <w:r w:rsidRPr="00B150AF">
              <w:rPr>
                <w:sz w:val="20"/>
                <w:lang w:val="fr-CA"/>
              </w:rPr>
              <w:t>Cour d’appel du Québec (Québec)</w:t>
            </w:r>
          </w:p>
          <w:p w:rsidR="00497CA8" w:rsidRPr="00B150AF" w:rsidRDefault="00497CA8" w:rsidP="00E767F8">
            <w:pPr>
              <w:jc w:val="both"/>
              <w:rPr>
                <w:sz w:val="20"/>
                <w:lang w:val="fr-CA"/>
              </w:rPr>
            </w:pPr>
            <w:r w:rsidRPr="00B150AF">
              <w:rPr>
                <w:sz w:val="20"/>
                <w:lang w:val="fr-CA"/>
              </w:rPr>
              <w:t>(Les juges Chamberland, Rochette et Bouchard)</w:t>
            </w:r>
          </w:p>
          <w:p w:rsidR="00497CA8" w:rsidRPr="00B150AF" w:rsidRDefault="00497CA8" w:rsidP="00E767F8">
            <w:pPr>
              <w:jc w:val="both"/>
              <w:rPr>
                <w:sz w:val="20"/>
              </w:rPr>
            </w:pPr>
            <w:r w:rsidRPr="00B150AF">
              <w:rPr>
                <w:sz w:val="20"/>
              </w:rPr>
              <w:t>2012 QCCA 59</w:t>
            </w:r>
          </w:p>
          <w:p w:rsidR="00497CA8" w:rsidRPr="00B150AF" w:rsidRDefault="00497CA8" w:rsidP="00E767F8">
            <w:pPr>
              <w:jc w:val="both"/>
              <w:rPr>
                <w:sz w:val="20"/>
              </w:rPr>
            </w:pPr>
          </w:p>
        </w:tc>
        <w:tc>
          <w:tcPr>
            <w:tcW w:w="243" w:type="pct"/>
          </w:tcPr>
          <w:p w:rsidR="00497CA8" w:rsidRPr="00B150AF" w:rsidRDefault="00497CA8" w:rsidP="00E767F8">
            <w:pPr>
              <w:jc w:val="both"/>
              <w:rPr>
                <w:sz w:val="20"/>
              </w:rPr>
            </w:pPr>
          </w:p>
        </w:tc>
        <w:tc>
          <w:tcPr>
            <w:tcW w:w="2330" w:type="pct"/>
          </w:tcPr>
          <w:p w:rsidR="00497CA8" w:rsidRPr="00B150AF" w:rsidRDefault="00497CA8" w:rsidP="00E767F8">
            <w:pPr>
              <w:jc w:val="both"/>
              <w:rPr>
                <w:sz w:val="20"/>
              </w:rPr>
            </w:pPr>
            <w:r w:rsidRPr="00B150AF">
              <w:rPr>
                <w:sz w:val="20"/>
              </w:rPr>
              <w:t>Appel du verdict rejeté.</w:t>
            </w:r>
          </w:p>
          <w:p w:rsidR="00497CA8" w:rsidRPr="00B150AF" w:rsidRDefault="00497CA8" w:rsidP="00E767F8">
            <w:pPr>
              <w:jc w:val="both"/>
              <w:rPr>
                <w:sz w:val="20"/>
              </w:rPr>
            </w:pPr>
          </w:p>
        </w:tc>
      </w:tr>
      <w:tr w:rsidR="00497CA8" w:rsidRPr="00B150AF" w:rsidTr="00E767F8">
        <w:trPr>
          <w:trHeight w:val="20"/>
        </w:trPr>
        <w:tc>
          <w:tcPr>
            <w:tcW w:w="2427" w:type="pct"/>
          </w:tcPr>
          <w:p w:rsidR="00497CA8" w:rsidRPr="00B150AF" w:rsidRDefault="00497CA8" w:rsidP="00E767F8">
            <w:pPr>
              <w:jc w:val="both"/>
              <w:rPr>
                <w:sz w:val="20"/>
                <w:lang w:val="fr-CA"/>
              </w:rPr>
            </w:pPr>
            <w:r w:rsidRPr="00B150AF">
              <w:rPr>
                <w:sz w:val="20"/>
                <w:lang w:val="fr-CA"/>
              </w:rPr>
              <w:t>Le 9 mars 2012</w:t>
            </w:r>
          </w:p>
          <w:p w:rsidR="00497CA8" w:rsidRPr="00B150AF" w:rsidRDefault="00497CA8" w:rsidP="00E767F8">
            <w:pPr>
              <w:jc w:val="both"/>
              <w:rPr>
                <w:sz w:val="20"/>
                <w:lang w:val="fr-CA"/>
              </w:rPr>
            </w:pPr>
            <w:r w:rsidRPr="00B150AF">
              <w:rPr>
                <w:sz w:val="20"/>
                <w:lang w:val="fr-CA"/>
              </w:rPr>
              <w:t>Cour suprême du Canada</w:t>
            </w:r>
          </w:p>
        </w:tc>
        <w:tc>
          <w:tcPr>
            <w:tcW w:w="243" w:type="pct"/>
          </w:tcPr>
          <w:p w:rsidR="00497CA8" w:rsidRPr="00B150AF" w:rsidRDefault="00497CA8" w:rsidP="00E767F8">
            <w:pPr>
              <w:jc w:val="both"/>
              <w:rPr>
                <w:sz w:val="20"/>
                <w:lang w:val="fr-CA"/>
              </w:rPr>
            </w:pPr>
          </w:p>
        </w:tc>
        <w:tc>
          <w:tcPr>
            <w:tcW w:w="2330" w:type="pct"/>
          </w:tcPr>
          <w:p w:rsidR="00497CA8" w:rsidRPr="00B150AF" w:rsidRDefault="00497CA8" w:rsidP="00E767F8">
            <w:pPr>
              <w:jc w:val="both"/>
              <w:rPr>
                <w:sz w:val="20"/>
              </w:rPr>
            </w:pPr>
            <w:r w:rsidRPr="00B150AF">
              <w:rPr>
                <w:sz w:val="20"/>
              </w:rPr>
              <w:t>Demande d'autorisation d'appel déposée</w:t>
            </w:r>
          </w:p>
          <w:p w:rsidR="00497CA8" w:rsidRPr="00B150AF" w:rsidRDefault="00497CA8" w:rsidP="00E767F8">
            <w:pPr>
              <w:jc w:val="both"/>
              <w:rPr>
                <w:sz w:val="20"/>
              </w:rPr>
            </w:pPr>
          </w:p>
        </w:tc>
      </w:tr>
    </w:tbl>
    <w:p w:rsidR="006748AB" w:rsidRDefault="006748AB" w:rsidP="008D292F">
      <w:pPr>
        <w:rPr>
          <w:sz w:val="20"/>
          <w:szCs w:val="20"/>
        </w:rPr>
      </w:pPr>
    </w:p>
    <w:p w:rsidR="006748AB" w:rsidRDefault="007333FF" w:rsidP="008D292F">
      <w:pPr>
        <w:rPr>
          <w:sz w:val="20"/>
          <w:szCs w:val="20"/>
        </w:rPr>
      </w:pPr>
      <w:r w:rsidRPr="007333FF">
        <w:rPr>
          <w:sz w:val="20"/>
          <w:szCs w:val="20"/>
          <w:lang w:val="fr-CA"/>
        </w:rPr>
        <w:pict>
          <v:rect id="_x0000_i1053" style="width:2in;height:1pt" o:hrpct="0" o:hralign="center" o:hrstd="t" o:hrnoshade="t" o:hr="t" fillcolor="black [3213]" stroked="f"/>
        </w:pict>
      </w:r>
    </w:p>
    <w:p w:rsidR="006748AB" w:rsidRDefault="006748AB"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13D9E" w:rsidRPr="00B3061F" w:rsidTr="00123E21">
        <w:trPr>
          <w:cantSplit/>
        </w:trPr>
        <w:tc>
          <w:tcPr>
            <w:tcW w:w="1458" w:type="dxa"/>
          </w:tcPr>
          <w:p w:rsidR="00C13D9E" w:rsidRPr="00B3061F" w:rsidRDefault="00C13D9E" w:rsidP="00123E21">
            <w:pPr>
              <w:rPr>
                <w:sz w:val="20"/>
                <w:szCs w:val="20"/>
              </w:rPr>
            </w:pPr>
            <w:r w:rsidRPr="00B3061F">
              <w:rPr>
                <w:rStyle w:val="SCCFileNumberChar"/>
                <w:sz w:val="20"/>
                <w:szCs w:val="20"/>
              </w:rPr>
              <w:t>34736</w:t>
            </w:r>
          </w:p>
          <w:p w:rsidR="00C13D9E" w:rsidRPr="00B3061F" w:rsidRDefault="00C13D9E" w:rsidP="00123E21">
            <w:pPr>
              <w:rPr>
                <w:b/>
                <w:sz w:val="20"/>
                <w:szCs w:val="20"/>
                <w:lang w:val="fr-CA"/>
              </w:rPr>
            </w:pPr>
          </w:p>
        </w:tc>
        <w:tc>
          <w:tcPr>
            <w:tcW w:w="8118" w:type="dxa"/>
          </w:tcPr>
          <w:p w:rsidR="00C13D9E" w:rsidRPr="00B3061F" w:rsidRDefault="00C13D9E" w:rsidP="00123E21">
            <w:pPr>
              <w:rPr>
                <w:sz w:val="20"/>
                <w:szCs w:val="20"/>
              </w:rPr>
            </w:pPr>
            <w:r w:rsidRPr="00B3061F">
              <w:rPr>
                <w:rStyle w:val="SCCLsocChar"/>
                <w:sz w:val="20"/>
                <w:szCs w:val="20"/>
              </w:rPr>
              <w:t>Loc Nguyen c. Re/Max du Cartier Inc.</w:t>
            </w:r>
            <w:r w:rsidRPr="00B3061F">
              <w:rPr>
                <w:sz w:val="20"/>
                <w:szCs w:val="20"/>
                <w:lang w:val="fr-CA"/>
              </w:rPr>
              <w:t xml:space="preserve"> </w:t>
            </w:r>
            <w:r w:rsidRPr="00B3061F">
              <w:rPr>
                <w:sz w:val="20"/>
                <w:szCs w:val="20"/>
              </w:rPr>
              <w:t>(Qc) (Civile) (Autorisation)</w:t>
            </w:r>
          </w:p>
          <w:p w:rsidR="00C13D9E" w:rsidRPr="00B3061F" w:rsidRDefault="00C13D9E" w:rsidP="00123E21">
            <w:pPr>
              <w:rPr>
                <w:sz w:val="20"/>
                <w:szCs w:val="20"/>
              </w:rPr>
            </w:pPr>
          </w:p>
        </w:tc>
      </w:tr>
      <w:tr w:rsidR="00C13D9E" w:rsidRPr="003626B6" w:rsidTr="00123E21">
        <w:trPr>
          <w:cantSplit/>
        </w:trPr>
        <w:tc>
          <w:tcPr>
            <w:tcW w:w="1458" w:type="dxa"/>
          </w:tcPr>
          <w:p w:rsidR="00C13D9E" w:rsidRPr="00B3061F" w:rsidRDefault="00C13D9E" w:rsidP="00123E21">
            <w:pPr>
              <w:rPr>
                <w:sz w:val="20"/>
                <w:szCs w:val="20"/>
              </w:rPr>
            </w:pPr>
            <w:r w:rsidRPr="00B3061F">
              <w:rPr>
                <w:sz w:val="20"/>
                <w:szCs w:val="20"/>
              </w:rPr>
              <w:t>Coram :</w:t>
            </w:r>
          </w:p>
        </w:tc>
        <w:tc>
          <w:tcPr>
            <w:tcW w:w="8118" w:type="dxa"/>
          </w:tcPr>
          <w:p w:rsidR="00C13D9E" w:rsidRPr="00B3061F" w:rsidRDefault="00C13D9E" w:rsidP="00123E21">
            <w:pPr>
              <w:rPr>
                <w:sz w:val="20"/>
                <w:szCs w:val="20"/>
                <w:lang w:val="fr-CA"/>
              </w:rPr>
            </w:pPr>
            <w:r w:rsidRPr="00B3061F">
              <w:rPr>
                <w:rStyle w:val="SCCCoramChar"/>
                <w:sz w:val="20"/>
                <w:szCs w:val="20"/>
              </w:rPr>
              <w:t>Les juges LeBel, Abella et Cromwell</w:t>
            </w:r>
          </w:p>
          <w:p w:rsidR="00C13D9E" w:rsidRPr="00B3061F" w:rsidRDefault="00C13D9E" w:rsidP="00123E21">
            <w:pPr>
              <w:rPr>
                <w:sz w:val="20"/>
                <w:szCs w:val="20"/>
                <w:u w:val="single"/>
                <w:lang w:val="fr-CA"/>
              </w:rPr>
            </w:pPr>
          </w:p>
        </w:tc>
      </w:tr>
      <w:tr w:rsidR="00C13D9E" w:rsidRPr="00B3061F" w:rsidTr="00123E21">
        <w:trPr>
          <w:cantSplit/>
        </w:trPr>
        <w:tc>
          <w:tcPr>
            <w:tcW w:w="9576" w:type="dxa"/>
            <w:gridSpan w:val="2"/>
          </w:tcPr>
          <w:p w:rsidR="00C13D9E" w:rsidRPr="00B3061F" w:rsidRDefault="00C13D9E" w:rsidP="00123E21">
            <w:pPr>
              <w:pStyle w:val="SCCShortJudgment"/>
              <w:rPr>
                <w:szCs w:val="20"/>
                <w:lang w:val="fr-CA"/>
              </w:rPr>
            </w:pPr>
            <w:r w:rsidRPr="00B3061F">
              <w:rPr>
                <w:szCs w:val="20"/>
                <w:lang w:val="fr-CA"/>
              </w:rPr>
              <w:t>La demande d’autorisation d’appel de l’arrêt de la Cour d’appel du Québec (Montréal), numéro 500-09-022086-110, 2012 QCCA 451, daté du 27 février 2012, est rejetée avec dépens.</w:t>
            </w:r>
          </w:p>
          <w:p w:rsidR="00C13D9E" w:rsidRPr="00B3061F" w:rsidRDefault="00C13D9E" w:rsidP="00123E21">
            <w:pPr>
              <w:pStyle w:val="SCCShortJudgment"/>
              <w:ind w:firstLine="0"/>
              <w:rPr>
                <w:szCs w:val="20"/>
                <w:lang w:val="fr-CA"/>
              </w:rPr>
            </w:pPr>
          </w:p>
          <w:p w:rsidR="00C13D9E" w:rsidRPr="00B3061F" w:rsidRDefault="00C13D9E" w:rsidP="00123E21">
            <w:pPr>
              <w:pStyle w:val="SCCShortJudgment"/>
              <w:rPr>
                <w:szCs w:val="20"/>
              </w:rPr>
            </w:pPr>
            <w:r w:rsidRPr="00B3061F">
              <w:rPr>
                <w:szCs w:val="20"/>
              </w:rPr>
              <w:t>The application for leave to appeal from the judgment of the Court of Appeal of Quebec (Montréal), Number 500-09-022086-110, 2012 QCCA 451, dated February 27, 2012, is dismissed with costs.</w:t>
            </w:r>
          </w:p>
        </w:tc>
      </w:tr>
    </w:tbl>
    <w:p w:rsidR="006748AB" w:rsidRDefault="006748AB" w:rsidP="006748AB">
      <w:pPr>
        <w:rPr>
          <w:sz w:val="20"/>
          <w:szCs w:val="20"/>
        </w:rPr>
      </w:pPr>
    </w:p>
    <w:p w:rsidR="006748AB" w:rsidRPr="001B157C" w:rsidRDefault="006748AB" w:rsidP="006748AB">
      <w:pPr>
        <w:rPr>
          <w:sz w:val="20"/>
          <w:szCs w:val="20"/>
          <w:u w:val="single"/>
        </w:rPr>
      </w:pPr>
      <w:r w:rsidRPr="001B157C">
        <w:rPr>
          <w:sz w:val="20"/>
          <w:szCs w:val="20"/>
          <w:u w:val="single"/>
        </w:rPr>
        <w:t>CASE SUMMARY</w:t>
      </w:r>
    </w:p>
    <w:p w:rsidR="006748AB" w:rsidRDefault="006748AB" w:rsidP="006748A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97CA8" w:rsidRPr="00B150AF" w:rsidTr="00E767F8">
        <w:tc>
          <w:tcPr>
            <w:tcW w:w="5000" w:type="pct"/>
            <w:gridSpan w:val="3"/>
          </w:tcPr>
          <w:p w:rsidR="00497CA8" w:rsidRPr="00B150AF" w:rsidRDefault="00497CA8" w:rsidP="00E767F8">
            <w:pPr>
              <w:jc w:val="both"/>
              <w:rPr>
                <w:rFonts w:eastAsia="Calibri"/>
                <w:sz w:val="20"/>
              </w:rPr>
            </w:pPr>
            <w:r w:rsidRPr="00B150AF">
              <w:rPr>
                <w:rFonts w:eastAsia="Calibri"/>
                <w:sz w:val="20"/>
              </w:rPr>
              <w:t xml:space="preserve">Civil procedure – Peremptory time limit – Deemed discontinuance – Leave to appeal out of time – Whether contract is </w:t>
            </w:r>
            <w:r w:rsidRPr="00B150AF">
              <w:rPr>
                <w:rFonts w:eastAsia="Calibri"/>
                <w:sz w:val="20"/>
              </w:rPr>
              <w:lastRenderedPageBreak/>
              <w:t xml:space="preserve">not law for parties and whether there is not room for discretion – Whether provisions of statute that contravenes </w:t>
            </w:r>
            <w:r w:rsidRPr="00B150AF">
              <w:rPr>
                <w:rFonts w:eastAsia="Calibri"/>
                <w:i/>
                <w:sz w:val="20"/>
              </w:rPr>
              <w:t>Charter of human rights and freedoms</w:t>
            </w:r>
            <w:r w:rsidRPr="00B150AF">
              <w:rPr>
                <w:rFonts w:eastAsia="Calibri"/>
                <w:sz w:val="20"/>
              </w:rPr>
              <w:t>, R.S.Q., c. C</w:t>
            </w:r>
            <w:r w:rsidRPr="00B150AF">
              <w:rPr>
                <w:rFonts w:eastAsia="Calibri"/>
                <w:sz w:val="20"/>
              </w:rPr>
              <w:noBreakHyphen/>
              <w:t>12</w:t>
            </w:r>
            <w:r w:rsidRPr="00B150AF">
              <w:rPr>
                <w:rFonts w:eastAsia="Calibri"/>
                <w:i/>
                <w:sz w:val="20"/>
              </w:rPr>
              <w:t xml:space="preserve"> </w:t>
            </w:r>
            <w:r w:rsidRPr="00B150AF">
              <w:rPr>
                <w:rFonts w:eastAsia="Calibri"/>
                <w:sz w:val="20"/>
              </w:rPr>
              <w:t xml:space="preserve">(“Quebec </w:t>
            </w:r>
            <w:r w:rsidRPr="00B150AF">
              <w:rPr>
                <w:rFonts w:eastAsia="Calibri"/>
                <w:i/>
                <w:sz w:val="20"/>
              </w:rPr>
              <w:t>Charter</w:t>
            </w:r>
            <w:r w:rsidRPr="00B150AF">
              <w:rPr>
                <w:rFonts w:eastAsia="Calibri"/>
                <w:sz w:val="20"/>
              </w:rPr>
              <w:t xml:space="preserve">”), can be declared inoperative – Whether exemplary damages can be awarded under s. 49 of Quebec </w:t>
            </w:r>
            <w:r w:rsidRPr="00B150AF">
              <w:rPr>
                <w:rFonts w:eastAsia="Calibri"/>
                <w:i/>
                <w:sz w:val="20"/>
              </w:rPr>
              <w:t>Charter</w:t>
            </w:r>
            <w:r w:rsidRPr="00B150AF">
              <w:rPr>
                <w:rFonts w:eastAsia="Calibri"/>
                <w:sz w:val="20"/>
              </w:rPr>
              <w:t xml:space="preserve"> against intervener or against mis</w:t>
            </w:r>
            <w:r w:rsidRPr="00B150AF">
              <w:rPr>
                <w:rFonts w:eastAsia="Calibri"/>
                <w:sz w:val="20"/>
              </w:rPr>
              <w:noBreakHyphen/>
              <w:t>en</w:t>
            </w:r>
            <w:r w:rsidRPr="00B150AF">
              <w:rPr>
                <w:rFonts w:eastAsia="Calibri"/>
                <w:sz w:val="20"/>
              </w:rPr>
              <w:noBreakHyphen/>
              <w:t>cause or third party that has also committed same fault, namely breach of contract.</w:t>
            </w:r>
          </w:p>
        </w:tc>
      </w:tr>
      <w:tr w:rsidR="00497CA8" w:rsidRPr="00B150AF" w:rsidTr="00E767F8">
        <w:tc>
          <w:tcPr>
            <w:tcW w:w="5000" w:type="pct"/>
            <w:gridSpan w:val="3"/>
          </w:tcPr>
          <w:p w:rsidR="00497CA8" w:rsidRPr="00B150AF" w:rsidRDefault="00497CA8" w:rsidP="00E767F8">
            <w:pPr>
              <w:jc w:val="both"/>
              <w:rPr>
                <w:rFonts w:eastAsia="Calibri"/>
                <w:sz w:val="20"/>
              </w:rPr>
            </w:pPr>
          </w:p>
        </w:tc>
      </w:tr>
      <w:tr w:rsidR="00497CA8" w:rsidRPr="00B150AF" w:rsidTr="00E767F8">
        <w:tc>
          <w:tcPr>
            <w:tcW w:w="5000" w:type="pct"/>
            <w:gridSpan w:val="3"/>
          </w:tcPr>
          <w:p w:rsidR="00497CA8" w:rsidRPr="00B150AF" w:rsidRDefault="00497CA8" w:rsidP="00E767F8">
            <w:pPr>
              <w:jc w:val="both"/>
              <w:rPr>
                <w:rFonts w:eastAsia="Calibri"/>
                <w:sz w:val="20"/>
              </w:rPr>
            </w:pPr>
            <w:r w:rsidRPr="00B150AF">
              <w:rPr>
                <w:rFonts w:eastAsia="Calibri"/>
                <w:sz w:val="20"/>
              </w:rPr>
              <w:t xml:space="preserve">On May 22, 2009, the applicant Loc Nguyen filed a motion to institute proceedings against the respondent Re/Max du Cartier inc. for $1 million in damages.  Mr. Nguyen did not inscribe his action for proof and hearing within the peremptory time limit set out in art. 110.1 of the </w:t>
            </w:r>
            <w:r w:rsidRPr="00B150AF">
              <w:rPr>
                <w:rFonts w:eastAsia="Calibri"/>
                <w:i/>
                <w:sz w:val="20"/>
              </w:rPr>
              <w:t>Code of Civil Procedure</w:t>
            </w:r>
            <w:r w:rsidRPr="00B150AF">
              <w:rPr>
                <w:rFonts w:eastAsia="Calibri"/>
                <w:sz w:val="20"/>
              </w:rPr>
              <w:t>, R.S.Q. c. C</w:t>
            </w:r>
            <w:r w:rsidRPr="00B150AF">
              <w:rPr>
                <w:rFonts w:eastAsia="Calibri"/>
                <w:sz w:val="20"/>
              </w:rPr>
              <w:noBreakHyphen/>
              <w:t>25 (“</w:t>
            </w:r>
            <w:r w:rsidRPr="00B150AF">
              <w:rPr>
                <w:rFonts w:eastAsia="Calibri"/>
                <w:i/>
                <w:sz w:val="20"/>
              </w:rPr>
              <w:t>C.C.P.</w:t>
            </w:r>
            <w:r w:rsidRPr="00B150AF">
              <w:rPr>
                <w:rFonts w:eastAsia="Calibri"/>
                <w:sz w:val="20"/>
              </w:rPr>
              <w:t xml:space="preserve">”), namely by November 25, 2009.  On September 9, 2010, more than nine months after the time limit for inscription for proof and hearing had expired, the respondent, in accordance with arts. 264 and 274.3 </w:t>
            </w:r>
            <w:r w:rsidRPr="00B150AF">
              <w:rPr>
                <w:rFonts w:eastAsia="Calibri"/>
                <w:i/>
                <w:sz w:val="20"/>
              </w:rPr>
              <w:t>C.C.P.</w:t>
            </w:r>
            <w:r w:rsidRPr="00B150AF">
              <w:rPr>
                <w:rFonts w:eastAsia="Calibri"/>
                <w:sz w:val="20"/>
              </w:rPr>
              <w:t>, inscribed for judgment for deemed discontinuance with regard to costs.  On September 30, 2010, Julie Bégin, assistant clerk of the Quebec Superior Court, rendered judgment on the inscription for judgment for deemed discontinuance.  On October 14, 2010, the respondent served on the applicant a bill of costs for $10,474.05.  On November 19, 2010, Lorie Lamouche, assistant clerk of the Quebec Superior Court, taxed the bill of costs at $10,364.30.  On December 9, 2010, the respondent served a formal notice on the applicant calling upon it to pay the amount shown in the taxed bill of costs.  On May 26, 2011, the applicant sent the respondent’s attorneys a bank draft for $5,474.05 and a cheque for $5,000 to pay the taxed bill of costs.  On October 21, 2011, the applicant served on the respondent a motion for leave to appeal out of time from the judgment rendered more than a year earlier by Julie Bégin, assistant clerk of the Quebec Superior Court.  On October 22, 2011, Doyon J.A. of the Quebec Court of Appeal refused to place the applicant’s motion on the roll for October 24, 2011.  On February 16, 2011, the applicant served on the respondent a second motion for leave to appeal out of time from the judgment of September 30, 2010.</w:t>
            </w:r>
          </w:p>
          <w:p w:rsidR="00497CA8" w:rsidRPr="00B150AF" w:rsidRDefault="00497CA8" w:rsidP="00E767F8">
            <w:pPr>
              <w:jc w:val="both"/>
              <w:rPr>
                <w:rFonts w:eastAsia="Calibri"/>
                <w:sz w:val="20"/>
              </w:rPr>
            </w:pPr>
          </w:p>
        </w:tc>
      </w:tr>
      <w:tr w:rsidR="00497CA8" w:rsidRPr="00B150AF" w:rsidTr="00E767F8">
        <w:tc>
          <w:tcPr>
            <w:tcW w:w="2427" w:type="pct"/>
          </w:tcPr>
          <w:p w:rsidR="00497CA8" w:rsidRPr="00B150AF" w:rsidRDefault="00497CA8" w:rsidP="00E767F8">
            <w:pPr>
              <w:jc w:val="both"/>
              <w:rPr>
                <w:rFonts w:eastAsia="Calibri"/>
                <w:sz w:val="20"/>
              </w:rPr>
            </w:pPr>
            <w:r w:rsidRPr="00B150AF">
              <w:rPr>
                <w:rFonts w:eastAsia="Calibri"/>
                <w:sz w:val="20"/>
              </w:rPr>
              <w:t>September 30, 2010</w:t>
            </w:r>
          </w:p>
          <w:p w:rsidR="00497CA8" w:rsidRPr="00B150AF" w:rsidRDefault="00497CA8" w:rsidP="00E767F8">
            <w:pPr>
              <w:jc w:val="both"/>
              <w:rPr>
                <w:rFonts w:eastAsia="Calibri"/>
                <w:sz w:val="20"/>
              </w:rPr>
            </w:pPr>
            <w:r w:rsidRPr="00B150AF">
              <w:rPr>
                <w:rFonts w:eastAsia="Calibri"/>
                <w:sz w:val="20"/>
              </w:rPr>
              <w:t>Quebec Superior Court</w:t>
            </w:r>
          </w:p>
          <w:p w:rsidR="00497CA8" w:rsidRPr="00B150AF" w:rsidRDefault="00497CA8" w:rsidP="00E767F8">
            <w:pPr>
              <w:jc w:val="both"/>
              <w:rPr>
                <w:rFonts w:eastAsia="Calibri"/>
                <w:sz w:val="20"/>
              </w:rPr>
            </w:pPr>
            <w:r w:rsidRPr="00B150AF">
              <w:rPr>
                <w:rFonts w:eastAsia="Calibri"/>
                <w:sz w:val="20"/>
              </w:rPr>
              <w:t>(Assistant Clerk Bégin)</w:t>
            </w:r>
          </w:p>
          <w:p w:rsidR="00497CA8" w:rsidRPr="00B150AF" w:rsidRDefault="00497CA8" w:rsidP="00E767F8">
            <w:pPr>
              <w:jc w:val="both"/>
              <w:rPr>
                <w:rFonts w:eastAsia="Calibri"/>
                <w:sz w:val="20"/>
              </w:rPr>
            </w:pPr>
            <w:r w:rsidRPr="00B150AF">
              <w:rPr>
                <w:rFonts w:eastAsia="Calibri"/>
                <w:sz w:val="20"/>
              </w:rPr>
              <w:t>- not indexed -</w:t>
            </w:r>
          </w:p>
          <w:p w:rsidR="00497CA8" w:rsidRPr="00B150AF" w:rsidRDefault="00497CA8" w:rsidP="00E767F8">
            <w:pPr>
              <w:jc w:val="both"/>
              <w:rPr>
                <w:rFonts w:eastAsia="Calibri"/>
                <w:sz w:val="20"/>
              </w:rPr>
            </w:pPr>
          </w:p>
        </w:tc>
        <w:tc>
          <w:tcPr>
            <w:tcW w:w="243" w:type="pct"/>
          </w:tcPr>
          <w:p w:rsidR="00497CA8" w:rsidRPr="00B150AF" w:rsidRDefault="00497CA8" w:rsidP="00E767F8">
            <w:pPr>
              <w:jc w:val="both"/>
              <w:rPr>
                <w:rFonts w:eastAsia="Calibri"/>
                <w:sz w:val="20"/>
              </w:rPr>
            </w:pPr>
          </w:p>
        </w:tc>
        <w:tc>
          <w:tcPr>
            <w:tcW w:w="2330" w:type="pct"/>
          </w:tcPr>
          <w:p w:rsidR="00497CA8" w:rsidRPr="00B150AF" w:rsidRDefault="00497CA8" w:rsidP="00E767F8">
            <w:pPr>
              <w:jc w:val="both"/>
              <w:rPr>
                <w:rFonts w:eastAsia="Calibri"/>
                <w:sz w:val="20"/>
              </w:rPr>
            </w:pPr>
            <w:r w:rsidRPr="00B150AF">
              <w:rPr>
                <w:rFonts w:eastAsia="Calibri"/>
                <w:sz w:val="20"/>
              </w:rPr>
              <w:t>Deemed discontinuance by applicant recorded;</w:t>
            </w:r>
          </w:p>
          <w:p w:rsidR="00497CA8" w:rsidRPr="00B150AF" w:rsidRDefault="00497CA8" w:rsidP="00E767F8">
            <w:pPr>
              <w:jc w:val="both"/>
              <w:rPr>
                <w:rFonts w:eastAsia="Calibri"/>
                <w:sz w:val="20"/>
              </w:rPr>
            </w:pPr>
            <w:r w:rsidRPr="00B150AF">
              <w:rPr>
                <w:rFonts w:eastAsia="Calibri"/>
                <w:sz w:val="20"/>
              </w:rPr>
              <w:t>Applicant ordered to pay costs occasioned by suit</w:t>
            </w:r>
          </w:p>
          <w:p w:rsidR="00497CA8" w:rsidRPr="00B150AF" w:rsidRDefault="00497CA8" w:rsidP="00E767F8">
            <w:pPr>
              <w:jc w:val="both"/>
              <w:rPr>
                <w:rFonts w:eastAsia="Calibri"/>
                <w:sz w:val="20"/>
              </w:rPr>
            </w:pPr>
          </w:p>
        </w:tc>
      </w:tr>
      <w:tr w:rsidR="00497CA8" w:rsidRPr="00B150AF" w:rsidTr="00E767F8">
        <w:tc>
          <w:tcPr>
            <w:tcW w:w="2427" w:type="pct"/>
          </w:tcPr>
          <w:p w:rsidR="00497CA8" w:rsidRPr="00B150AF" w:rsidRDefault="00497CA8" w:rsidP="00E767F8">
            <w:pPr>
              <w:jc w:val="both"/>
              <w:rPr>
                <w:rFonts w:eastAsia="Calibri"/>
                <w:sz w:val="20"/>
              </w:rPr>
            </w:pPr>
            <w:r w:rsidRPr="00B150AF">
              <w:rPr>
                <w:rFonts w:eastAsia="Calibri"/>
                <w:sz w:val="20"/>
              </w:rPr>
              <w:t>February 27, 2012</w:t>
            </w:r>
          </w:p>
          <w:p w:rsidR="00497CA8" w:rsidRPr="00B150AF" w:rsidRDefault="00497CA8" w:rsidP="00E767F8">
            <w:pPr>
              <w:jc w:val="both"/>
              <w:rPr>
                <w:rFonts w:eastAsia="Calibri"/>
                <w:sz w:val="20"/>
              </w:rPr>
            </w:pPr>
            <w:r w:rsidRPr="00B150AF">
              <w:rPr>
                <w:rFonts w:eastAsia="Calibri"/>
                <w:sz w:val="20"/>
              </w:rPr>
              <w:t>Quebec Court of Appeal (Montréal)</w:t>
            </w:r>
          </w:p>
          <w:p w:rsidR="00497CA8" w:rsidRPr="00B150AF" w:rsidRDefault="00497CA8" w:rsidP="00E767F8">
            <w:pPr>
              <w:jc w:val="both"/>
              <w:rPr>
                <w:rFonts w:eastAsia="Calibri"/>
                <w:sz w:val="20"/>
              </w:rPr>
            </w:pPr>
            <w:r w:rsidRPr="00B150AF">
              <w:rPr>
                <w:rFonts w:eastAsia="Calibri"/>
                <w:sz w:val="20"/>
              </w:rPr>
              <w:t>(Morin, Dalphond and Kasirer JJ.A.)</w:t>
            </w:r>
          </w:p>
          <w:p w:rsidR="00497CA8" w:rsidRPr="00B150AF" w:rsidRDefault="00497CA8" w:rsidP="00E767F8">
            <w:pPr>
              <w:jc w:val="both"/>
              <w:rPr>
                <w:rFonts w:eastAsia="Calibri"/>
                <w:sz w:val="20"/>
              </w:rPr>
            </w:pPr>
            <w:r w:rsidRPr="00B150AF">
              <w:rPr>
                <w:rFonts w:eastAsia="Calibri"/>
                <w:sz w:val="20"/>
              </w:rPr>
              <w:t>2012 QCCA 451</w:t>
            </w:r>
          </w:p>
          <w:p w:rsidR="00497CA8" w:rsidRPr="00B150AF" w:rsidRDefault="00497CA8" w:rsidP="00E767F8">
            <w:pPr>
              <w:jc w:val="both"/>
              <w:rPr>
                <w:rFonts w:eastAsia="Calibri"/>
                <w:sz w:val="20"/>
              </w:rPr>
            </w:pPr>
          </w:p>
        </w:tc>
        <w:tc>
          <w:tcPr>
            <w:tcW w:w="243" w:type="pct"/>
          </w:tcPr>
          <w:p w:rsidR="00497CA8" w:rsidRPr="00B150AF" w:rsidRDefault="00497CA8" w:rsidP="00E767F8">
            <w:pPr>
              <w:jc w:val="both"/>
              <w:rPr>
                <w:rFonts w:eastAsia="Calibri"/>
                <w:sz w:val="20"/>
              </w:rPr>
            </w:pPr>
          </w:p>
        </w:tc>
        <w:tc>
          <w:tcPr>
            <w:tcW w:w="2330" w:type="pct"/>
          </w:tcPr>
          <w:p w:rsidR="00497CA8" w:rsidRPr="00B150AF" w:rsidRDefault="00497CA8" w:rsidP="00E767F8">
            <w:pPr>
              <w:jc w:val="both"/>
              <w:rPr>
                <w:rFonts w:eastAsia="Calibri"/>
                <w:sz w:val="20"/>
              </w:rPr>
            </w:pPr>
            <w:r w:rsidRPr="00B150AF">
              <w:rPr>
                <w:rFonts w:eastAsia="Calibri"/>
                <w:sz w:val="20"/>
              </w:rPr>
              <w:t>Motion for leave to appeal out of time dismissed</w:t>
            </w:r>
          </w:p>
          <w:p w:rsidR="00497CA8" w:rsidRPr="00B150AF" w:rsidRDefault="00497CA8" w:rsidP="00E767F8">
            <w:pPr>
              <w:jc w:val="both"/>
              <w:rPr>
                <w:rFonts w:eastAsia="Calibri"/>
                <w:sz w:val="20"/>
              </w:rPr>
            </w:pPr>
          </w:p>
        </w:tc>
      </w:tr>
      <w:tr w:rsidR="00497CA8" w:rsidRPr="00B150AF" w:rsidTr="00E767F8">
        <w:tc>
          <w:tcPr>
            <w:tcW w:w="2427" w:type="pct"/>
          </w:tcPr>
          <w:p w:rsidR="00497CA8" w:rsidRPr="00B150AF" w:rsidRDefault="00497CA8" w:rsidP="00E767F8">
            <w:pPr>
              <w:jc w:val="both"/>
              <w:rPr>
                <w:rFonts w:eastAsia="Calibri"/>
                <w:sz w:val="20"/>
              </w:rPr>
            </w:pPr>
            <w:r w:rsidRPr="00B150AF">
              <w:rPr>
                <w:rFonts w:eastAsia="Calibri"/>
                <w:sz w:val="20"/>
              </w:rPr>
              <w:t>March 23, 2012</w:t>
            </w:r>
          </w:p>
          <w:p w:rsidR="00497CA8" w:rsidRPr="00B150AF" w:rsidRDefault="00497CA8" w:rsidP="00E767F8">
            <w:pPr>
              <w:jc w:val="both"/>
              <w:rPr>
                <w:rFonts w:eastAsia="Calibri"/>
                <w:sz w:val="20"/>
              </w:rPr>
            </w:pPr>
            <w:r w:rsidRPr="00B150AF">
              <w:rPr>
                <w:rFonts w:eastAsia="Calibri"/>
                <w:sz w:val="20"/>
              </w:rPr>
              <w:t>Supreme Court of Canada</w:t>
            </w:r>
          </w:p>
        </w:tc>
        <w:tc>
          <w:tcPr>
            <w:tcW w:w="243" w:type="pct"/>
          </w:tcPr>
          <w:p w:rsidR="00497CA8" w:rsidRPr="00B150AF" w:rsidRDefault="00497CA8" w:rsidP="00E767F8">
            <w:pPr>
              <w:jc w:val="both"/>
              <w:rPr>
                <w:rFonts w:eastAsia="Calibri"/>
                <w:sz w:val="20"/>
              </w:rPr>
            </w:pPr>
          </w:p>
        </w:tc>
        <w:tc>
          <w:tcPr>
            <w:tcW w:w="2330" w:type="pct"/>
          </w:tcPr>
          <w:p w:rsidR="00497CA8" w:rsidRPr="00B150AF" w:rsidRDefault="00497CA8" w:rsidP="00E767F8">
            <w:pPr>
              <w:jc w:val="both"/>
              <w:rPr>
                <w:rFonts w:eastAsia="Calibri"/>
                <w:sz w:val="20"/>
              </w:rPr>
            </w:pPr>
            <w:r w:rsidRPr="00B150AF">
              <w:rPr>
                <w:rFonts w:eastAsia="Calibri"/>
                <w:sz w:val="20"/>
              </w:rPr>
              <w:t>Application for leave to appeal filed</w:t>
            </w:r>
          </w:p>
          <w:p w:rsidR="00497CA8" w:rsidRPr="00B150AF" w:rsidRDefault="00497CA8" w:rsidP="00E767F8">
            <w:pPr>
              <w:jc w:val="both"/>
              <w:rPr>
                <w:rFonts w:eastAsia="Calibri"/>
                <w:sz w:val="20"/>
              </w:rPr>
            </w:pPr>
          </w:p>
        </w:tc>
      </w:tr>
    </w:tbl>
    <w:p w:rsidR="006748AB" w:rsidRDefault="006748AB" w:rsidP="006748AB">
      <w:pPr>
        <w:rPr>
          <w:sz w:val="20"/>
          <w:szCs w:val="20"/>
        </w:rPr>
      </w:pPr>
    </w:p>
    <w:p w:rsidR="006748AB" w:rsidRPr="00C50A5C" w:rsidRDefault="007333FF" w:rsidP="006748AB">
      <w:pPr>
        <w:rPr>
          <w:sz w:val="20"/>
          <w:szCs w:val="20"/>
        </w:rPr>
      </w:pPr>
      <w:r w:rsidRPr="007333FF">
        <w:rPr>
          <w:sz w:val="20"/>
          <w:szCs w:val="20"/>
          <w:lang w:val="fr-CA"/>
        </w:rPr>
        <w:pict>
          <v:rect id="_x0000_i1054" style="width:2in;height:1pt" o:hrpct="0" o:hralign="center" o:hrstd="t" o:hrnoshade="t" o:hr="t" fillcolor="black [3213]" stroked="f"/>
        </w:pict>
      </w:r>
    </w:p>
    <w:p w:rsidR="006748AB" w:rsidRDefault="006748AB" w:rsidP="006748AB">
      <w:pPr>
        <w:rPr>
          <w:sz w:val="20"/>
          <w:szCs w:val="20"/>
        </w:rPr>
      </w:pPr>
    </w:p>
    <w:p w:rsidR="006748AB" w:rsidRPr="001B157C" w:rsidRDefault="006748AB" w:rsidP="006748AB">
      <w:pPr>
        <w:rPr>
          <w:sz w:val="20"/>
          <w:szCs w:val="20"/>
          <w:u w:val="single"/>
          <w:lang w:val="fr-CA"/>
        </w:rPr>
      </w:pPr>
      <w:r w:rsidRPr="001B157C">
        <w:rPr>
          <w:sz w:val="20"/>
          <w:szCs w:val="20"/>
          <w:u w:val="single"/>
          <w:lang w:val="fr-CA"/>
        </w:rPr>
        <w:t>RÉSUMÉ DE L’AFFAIRE</w:t>
      </w:r>
    </w:p>
    <w:p w:rsidR="006748AB" w:rsidRDefault="006748AB" w:rsidP="006748A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97CA8" w:rsidRPr="003626B6" w:rsidTr="00E767F8">
        <w:tc>
          <w:tcPr>
            <w:tcW w:w="5000" w:type="pct"/>
            <w:gridSpan w:val="3"/>
          </w:tcPr>
          <w:p w:rsidR="00497CA8" w:rsidRPr="00B150AF" w:rsidRDefault="00497CA8" w:rsidP="00E767F8">
            <w:pPr>
              <w:jc w:val="both"/>
              <w:rPr>
                <w:rFonts w:eastAsia="Calibri"/>
                <w:sz w:val="20"/>
                <w:lang w:val="fr-CA"/>
              </w:rPr>
            </w:pPr>
            <w:r w:rsidRPr="00B150AF">
              <w:rPr>
                <w:rFonts w:eastAsia="Calibri"/>
                <w:sz w:val="20"/>
                <w:lang w:val="fr-CA"/>
              </w:rPr>
              <w:t xml:space="preserve">Procédure civile – Délai de rigueur – Désistement réputé – Permission d’appeler hors délai – Le contrat n’est-il pas une loi entre les parties et n’y a-t-il pas place à discrétion? – Peut-on déclarer inopérantes les dispositions d’une loi qui contrevient à la </w:t>
            </w:r>
            <w:r w:rsidRPr="00B150AF">
              <w:rPr>
                <w:rFonts w:eastAsia="Calibri"/>
                <w:i/>
                <w:sz w:val="20"/>
                <w:lang w:val="fr-CA"/>
              </w:rPr>
              <w:t>Charte des droits et libertés de la personne</w:t>
            </w:r>
            <w:r w:rsidRPr="00B150AF">
              <w:rPr>
                <w:rFonts w:eastAsia="Calibri"/>
                <w:sz w:val="20"/>
                <w:lang w:val="fr-CA"/>
              </w:rPr>
              <w:t>, L.R.Q., c. C</w:t>
            </w:r>
            <w:r w:rsidRPr="00B150AF">
              <w:rPr>
                <w:rFonts w:eastAsia="Calibri"/>
                <w:sz w:val="20"/>
                <w:lang w:val="fr-CA"/>
              </w:rPr>
              <w:noBreakHyphen/>
              <w:t>12</w:t>
            </w:r>
            <w:r w:rsidRPr="00B150AF">
              <w:rPr>
                <w:rFonts w:eastAsia="Calibri"/>
                <w:i/>
                <w:sz w:val="20"/>
                <w:lang w:val="fr-CA"/>
              </w:rPr>
              <w:t xml:space="preserve"> </w:t>
            </w:r>
            <w:r w:rsidRPr="00B150AF">
              <w:rPr>
                <w:rFonts w:eastAsia="Calibri"/>
                <w:sz w:val="20"/>
                <w:lang w:val="fr-CA"/>
              </w:rPr>
              <w:t>(« </w:t>
            </w:r>
            <w:r w:rsidRPr="00B150AF">
              <w:rPr>
                <w:rFonts w:eastAsia="Calibri"/>
                <w:i/>
                <w:sz w:val="20"/>
                <w:lang w:val="fr-CA"/>
              </w:rPr>
              <w:t>Charte québécoise</w:t>
            </w:r>
            <w:r w:rsidRPr="00B150AF">
              <w:rPr>
                <w:rFonts w:eastAsia="Calibri"/>
                <w:sz w:val="20"/>
                <w:lang w:val="fr-CA"/>
              </w:rPr>
              <w:t xml:space="preserve"> »)? – Peut-on exiger d’un intervenant ou d’un mis en cause ou une tierce personne des dommages exemplaires en vertu de l’article 49 de la </w:t>
            </w:r>
            <w:r w:rsidRPr="00B150AF">
              <w:rPr>
                <w:rFonts w:eastAsia="Calibri"/>
                <w:i/>
                <w:sz w:val="20"/>
                <w:lang w:val="fr-CA"/>
              </w:rPr>
              <w:t>Charte québécoise</w:t>
            </w:r>
            <w:r w:rsidRPr="00B150AF">
              <w:rPr>
                <w:rFonts w:eastAsia="Calibri"/>
                <w:sz w:val="20"/>
                <w:lang w:val="fr-CA"/>
              </w:rPr>
              <w:t xml:space="preserve"> si ce dernier a aussi commis la même faute c’est-à-dire un bris de contrat?</w:t>
            </w:r>
          </w:p>
        </w:tc>
      </w:tr>
      <w:tr w:rsidR="00497CA8" w:rsidRPr="003626B6" w:rsidTr="00E767F8">
        <w:tc>
          <w:tcPr>
            <w:tcW w:w="5000" w:type="pct"/>
            <w:gridSpan w:val="3"/>
          </w:tcPr>
          <w:p w:rsidR="00497CA8" w:rsidRPr="00B150AF" w:rsidRDefault="00497CA8" w:rsidP="00E767F8">
            <w:pPr>
              <w:jc w:val="both"/>
              <w:rPr>
                <w:rFonts w:eastAsia="Calibri"/>
                <w:sz w:val="20"/>
                <w:lang w:val="fr-CA"/>
              </w:rPr>
            </w:pPr>
          </w:p>
        </w:tc>
      </w:tr>
      <w:tr w:rsidR="00497CA8" w:rsidRPr="003626B6" w:rsidTr="00E767F8">
        <w:tc>
          <w:tcPr>
            <w:tcW w:w="5000" w:type="pct"/>
            <w:gridSpan w:val="3"/>
          </w:tcPr>
          <w:p w:rsidR="00497CA8" w:rsidRPr="00B150AF" w:rsidRDefault="00497CA8" w:rsidP="00E767F8">
            <w:pPr>
              <w:jc w:val="both"/>
              <w:rPr>
                <w:rFonts w:eastAsia="Calibri"/>
                <w:sz w:val="20"/>
                <w:lang w:val="fr-CA"/>
              </w:rPr>
            </w:pPr>
            <w:r w:rsidRPr="00B150AF">
              <w:rPr>
                <w:rFonts w:eastAsia="Calibri"/>
                <w:sz w:val="20"/>
                <w:lang w:val="fr-CA"/>
              </w:rPr>
              <w:t xml:space="preserve">Le 22 mai 2009, le demandeur, Loc Nguyen, dépose une  requête introductive d’instance en dommages réclamant la somme d’un million de dollars à l’intimée, Re/Max du Cartier inc. M. Nguyen n’a pas inscrit sa demande en justice pour enquête et audition dans le délai de rigueur prévu par l’article 110.1 du </w:t>
            </w:r>
            <w:r w:rsidRPr="00B150AF">
              <w:rPr>
                <w:rFonts w:eastAsia="Calibri"/>
                <w:i/>
                <w:sz w:val="20"/>
                <w:lang w:val="fr-CA"/>
              </w:rPr>
              <w:t>Code de procédure civile</w:t>
            </w:r>
            <w:r w:rsidRPr="00B150AF">
              <w:rPr>
                <w:rFonts w:eastAsia="Calibri"/>
                <w:sz w:val="20"/>
                <w:lang w:val="fr-CA"/>
              </w:rPr>
              <w:t>, L.R.Q. c. C-25 (« </w:t>
            </w:r>
            <w:r w:rsidRPr="00B150AF">
              <w:rPr>
                <w:rFonts w:eastAsia="Calibri"/>
                <w:i/>
                <w:sz w:val="20"/>
                <w:lang w:val="fr-CA"/>
              </w:rPr>
              <w:t>C.p.c.</w:t>
            </w:r>
            <w:r w:rsidRPr="00B150AF">
              <w:rPr>
                <w:rFonts w:eastAsia="Calibri"/>
                <w:sz w:val="20"/>
                <w:lang w:val="fr-CA"/>
              </w:rPr>
              <w:t xml:space="preserve"> »), à savoir au plus tard le 25 novembre 2009. Le 9 septembre 2010, soit plus de neuf mois suivant l’expiration du délai pour inscrire pour enquête et audition, l’intimée a inscrit, conformément aux articles 264 et 274.3 </w:t>
            </w:r>
            <w:r w:rsidRPr="00B150AF">
              <w:rPr>
                <w:rFonts w:eastAsia="Calibri"/>
                <w:i/>
                <w:sz w:val="20"/>
                <w:lang w:val="fr-CA"/>
              </w:rPr>
              <w:lastRenderedPageBreak/>
              <w:t>C.p.c.</w:t>
            </w:r>
            <w:r w:rsidRPr="00B150AF">
              <w:rPr>
                <w:rFonts w:eastAsia="Calibri"/>
                <w:sz w:val="20"/>
                <w:lang w:val="fr-CA"/>
              </w:rPr>
              <w:t>, pour que jugement sur désistement réputé quant aux frais soit rendu. Le 30 septembre 2010, jugement est rendu par Me Julie Bégin, greffière adjointe de la Cour supérieure du Québec, sur l’inscription pour jugement sur le désistement réputé. Le 14 octobre 2010, l’intimée a fait signifier au demandeur un mémoire de frais d’un montant de 10 474,05$. Le 19 novembre 2010, Me Lorie Lamouche, greffière adjointe de la Cour supérieure du Québec, a taxé ce mémoire de frais à la somme de 10 364,30$. Le 9 décembre 2010, l’intimée a signifié une mise en demeure au demandeur le sommant de payer la somme indiqué dans ce mémoire de frais taxé. Le 26 mai 2011, le demandeur a transmis aux procureurs de l’intimée une traite bancaire au montant de 5474,05$ et un chèque au montant de 5 000$ afin d’acquitter ce mémoire de frais taxé. Le 21 octobre 2011, le demandeur a signifié à l’intimée une requête pour permission d’appeler hors délai du jugement rendu par la greffière adjointe de la Cour supérieure du Québec, Me Julie Bégin, plus d’un an auparavant. Le 22 octobre 2011, le juge Doyon de la Cour d’appel du Québec refuse de placer la requête du demandeur au rôle du 24 octobre 2011. Le 16 février 2012, le demandeur signifie à l’intimée une deuxième requête pour permission d’appeler hors délai du jugement du 30 septembre 2010.</w:t>
            </w:r>
          </w:p>
          <w:p w:rsidR="00497CA8" w:rsidRPr="00B150AF" w:rsidRDefault="00497CA8" w:rsidP="00E767F8">
            <w:pPr>
              <w:jc w:val="both"/>
              <w:rPr>
                <w:rFonts w:eastAsia="Calibri"/>
                <w:sz w:val="20"/>
                <w:lang w:val="fr-CA"/>
              </w:rPr>
            </w:pPr>
          </w:p>
        </w:tc>
      </w:tr>
      <w:tr w:rsidR="00497CA8" w:rsidRPr="003626B6" w:rsidTr="00E767F8">
        <w:tc>
          <w:tcPr>
            <w:tcW w:w="2427" w:type="pct"/>
          </w:tcPr>
          <w:p w:rsidR="00497CA8" w:rsidRPr="00B150AF" w:rsidRDefault="00497CA8" w:rsidP="00E767F8">
            <w:pPr>
              <w:jc w:val="both"/>
              <w:rPr>
                <w:rFonts w:eastAsia="Calibri"/>
                <w:sz w:val="20"/>
                <w:lang w:val="fr-CA"/>
              </w:rPr>
            </w:pPr>
            <w:r w:rsidRPr="00B150AF">
              <w:rPr>
                <w:rFonts w:eastAsia="Calibri"/>
                <w:sz w:val="20"/>
                <w:lang w:val="fr-CA"/>
              </w:rPr>
              <w:lastRenderedPageBreak/>
              <w:t>Le 30 septembre 2010</w:t>
            </w:r>
          </w:p>
          <w:p w:rsidR="00497CA8" w:rsidRPr="00B150AF" w:rsidRDefault="00497CA8" w:rsidP="00E767F8">
            <w:pPr>
              <w:jc w:val="both"/>
              <w:rPr>
                <w:rFonts w:eastAsia="Calibri"/>
                <w:sz w:val="20"/>
                <w:lang w:val="fr-CA"/>
              </w:rPr>
            </w:pPr>
            <w:r w:rsidRPr="00B150AF">
              <w:rPr>
                <w:rFonts w:eastAsia="Calibri"/>
                <w:sz w:val="20"/>
                <w:lang w:val="fr-CA"/>
              </w:rPr>
              <w:t>Cour supérieure du Québec</w:t>
            </w:r>
          </w:p>
          <w:p w:rsidR="00497CA8" w:rsidRPr="00B150AF" w:rsidRDefault="00497CA8" w:rsidP="00E767F8">
            <w:pPr>
              <w:jc w:val="both"/>
              <w:rPr>
                <w:rFonts w:eastAsia="Calibri"/>
                <w:sz w:val="20"/>
                <w:lang w:val="fr-CA"/>
              </w:rPr>
            </w:pPr>
            <w:r w:rsidRPr="00B150AF">
              <w:rPr>
                <w:rFonts w:eastAsia="Calibri"/>
                <w:sz w:val="20"/>
                <w:lang w:val="fr-CA"/>
              </w:rPr>
              <w:t>(Greffière adjointe Me Bégin)</w:t>
            </w:r>
          </w:p>
          <w:p w:rsidR="00497CA8" w:rsidRPr="00B150AF" w:rsidRDefault="00497CA8" w:rsidP="00E767F8">
            <w:pPr>
              <w:jc w:val="both"/>
              <w:rPr>
                <w:rFonts w:eastAsia="Calibri"/>
                <w:sz w:val="20"/>
                <w:lang w:val="fr-CA"/>
              </w:rPr>
            </w:pPr>
            <w:r w:rsidRPr="00B150AF">
              <w:rPr>
                <w:rFonts w:eastAsia="Calibri"/>
                <w:sz w:val="20"/>
                <w:lang w:val="fr-CA"/>
              </w:rPr>
              <w:t>- non-répertorié –</w:t>
            </w:r>
          </w:p>
          <w:p w:rsidR="00497CA8" w:rsidRPr="00B150AF" w:rsidRDefault="00497CA8" w:rsidP="00E767F8">
            <w:pPr>
              <w:jc w:val="both"/>
              <w:rPr>
                <w:rFonts w:eastAsia="Calibri"/>
                <w:sz w:val="20"/>
                <w:lang w:val="fr-CA"/>
              </w:rPr>
            </w:pPr>
          </w:p>
        </w:tc>
        <w:tc>
          <w:tcPr>
            <w:tcW w:w="243" w:type="pct"/>
          </w:tcPr>
          <w:p w:rsidR="00497CA8" w:rsidRPr="00B150AF" w:rsidRDefault="00497CA8" w:rsidP="00E767F8">
            <w:pPr>
              <w:jc w:val="both"/>
              <w:rPr>
                <w:rFonts w:eastAsia="Calibri"/>
                <w:sz w:val="20"/>
                <w:lang w:val="fr-CA"/>
              </w:rPr>
            </w:pPr>
          </w:p>
        </w:tc>
        <w:tc>
          <w:tcPr>
            <w:tcW w:w="2330" w:type="pct"/>
          </w:tcPr>
          <w:p w:rsidR="00497CA8" w:rsidRPr="00B150AF" w:rsidRDefault="00497CA8" w:rsidP="00E767F8">
            <w:pPr>
              <w:jc w:val="both"/>
              <w:rPr>
                <w:rFonts w:eastAsia="Calibri"/>
                <w:sz w:val="20"/>
                <w:lang w:val="fr-CA"/>
              </w:rPr>
            </w:pPr>
            <w:r w:rsidRPr="00B150AF">
              <w:rPr>
                <w:rFonts w:eastAsia="Calibri"/>
                <w:sz w:val="20"/>
                <w:lang w:val="fr-CA"/>
              </w:rPr>
              <w:t>Désistement réputé du demandeur constaté;</w:t>
            </w:r>
          </w:p>
          <w:p w:rsidR="00497CA8" w:rsidRPr="00B150AF" w:rsidRDefault="00497CA8" w:rsidP="00E767F8">
            <w:pPr>
              <w:jc w:val="both"/>
              <w:rPr>
                <w:rFonts w:eastAsia="Calibri"/>
                <w:sz w:val="20"/>
                <w:lang w:val="fr-CA"/>
              </w:rPr>
            </w:pPr>
            <w:r w:rsidRPr="00B150AF">
              <w:rPr>
                <w:rFonts w:eastAsia="Calibri"/>
                <w:sz w:val="20"/>
                <w:lang w:val="fr-CA"/>
              </w:rPr>
              <w:t>Demandeur condamné à payer les frais occasionnés par sa demande.</w:t>
            </w:r>
          </w:p>
          <w:p w:rsidR="00497CA8" w:rsidRPr="00B150AF" w:rsidRDefault="00497CA8" w:rsidP="00E767F8">
            <w:pPr>
              <w:jc w:val="both"/>
              <w:rPr>
                <w:rFonts w:eastAsia="Calibri"/>
                <w:sz w:val="20"/>
                <w:lang w:val="fr-CA"/>
              </w:rPr>
            </w:pPr>
          </w:p>
        </w:tc>
      </w:tr>
      <w:tr w:rsidR="00497CA8" w:rsidRPr="003626B6" w:rsidTr="00E767F8">
        <w:tc>
          <w:tcPr>
            <w:tcW w:w="2427" w:type="pct"/>
          </w:tcPr>
          <w:p w:rsidR="00497CA8" w:rsidRPr="00B150AF" w:rsidRDefault="00497CA8" w:rsidP="00E767F8">
            <w:pPr>
              <w:jc w:val="both"/>
              <w:rPr>
                <w:rFonts w:eastAsia="Calibri"/>
                <w:sz w:val="20"/>
                <w:lang w:val="fr-CA"/>
              </w:rPr>
            </w:pPr>
            <w:r w:rsidRPr="00B150AF">
              <w:rPr>
                <w:rFonts w:eastAsia="Calibri"/>
                <w:sz w:val="20"/>
                <w:lang w:val="fr-CA"/>
              </w:rPr>
              <w:t>Le 27 février 2012</w:t>
            </w:r>
          </w:p>
          <w:p w:rsidR="00497CA8" w:rsidRPr="00B150AF" w:rsidRDefault="00497CA8" w:rsidP="00E767F8">
            <w:pPr>
              <w:jc w:val="both"/>
              <w:rPr>
                <w:rFonts w:eastAsia="Calibri"/>
                <w:sz w:val="20"/>
                <w:lang w:val="fr-CA"/>
              </w:rPr>
            </w:pPr>
            <w:r w:rsidRPr="00B150AF">
              <w:rPr>
                <w:rFonts w:eastAsia="Calibri"/>
                <w:sz w:val="20"/>
                <w:lang w:val="fr-CA"/>
              </w:rPr>
              <w:t>Cour d’appel du Québec (Montréal)</w:t>
            </w:r>
          </w:p>
          <w:p w:rsidR="00497CA8" w:rsidRPr="00B150AF" w:rsidRDefault="00497CA8" w:rsidP="00E767F8">
            <w:pPr>
              <w:jc w:val="both"/>
              <w:rPr>
                <w:rFonts w:eastAsia="Calibri"/>
                <w:sz w:val="20"/>
                <w:lang w:val="fr-CA"/>
              </w:rPr>
            </w:pPr>
            <w:r w:rsidRPr="00B150AF">
              <w:rPr>
                <w:rFonts w:eastAsia="Calibri"/>
                <w:sz w:val="20"/>
                <w:lang w:val="fr-CA"/>
              </w:rPr>
              <w:t>(Les juges Morin, Dalphond et Kasirer)</w:t>
            </w:r>
          </w:p>
          <w:p w:rsidR="00497CA8" w:rsidRPr="00B150AF" w:rsidRDefault="00497CA8" w:rsidP="00E767F8">
            <w:pPr>
              <w:jc w:val="both"/>
              <w:rPr>
                <w:rFonts w:eastAsia="Calibri"/>
                <w:sz w:val="20"/>
                <w:lang w:val="fr-CA"/>
              </w:rPr>
            </w:pPr>
            <w:r w:rsidRPr="00B150AF">
              <w:rPr>
                <w:rFonts w:eastAsia="Calibri"/>
                <w:sz w:val="20"/>
                <w:lang w:val="fr-CA"/>
              </w:rPr>
              <w:t>2012 QCCA 451</w:t>
            </w:r>
          </w:p>
          <w:p w:rsidR="00497CA8" w:rsidRPr="00B150AF" w:rsidRDefault="00497CA8" w:rsidP="00E767F8">
            <w:pPr>
              <w:jc w:val="both"/>
              <w:rPr>
                <w:rFonts w:eastAsia="Calibri"/>
                <w:sz w:val="20"/>
              </w:rPr>
            </w:pPr>
          </w:p>
        </w:tc>
        <w:tc>
          <w:tcPr>
            <w:tcW w:w="243" w:type="pct"/>
          </w:tcPr>
          <w:p w:rsidR="00497CA8" w:rsidRPr="00B150AF" w:rsidRDefault="00497CA8" w:rsidP="00E767F8">
            <w:pPr>
              <w:jc w:val="both"/>
              <w:rPr>
                <w:rFonts w:eastAsia="Calibri"/>
                <w:sz w:val="20"/>
              </w:rPr>
            </w:pPr>
          </w:p>
        </w:tc>
        <w:tc>
          <w:tcPr>
            <w:tcW w:w="2330" w:type="pct"/>
          </w:tcPr>
          <w:p w:rsidR="00497CA8" w:rsidRPr="00B150AF" w:rsidRDefault="00497CA8" w:rsidP="00E767F8">
            <w:pPr>
              <w:jc w:val="both"/>
              <w:rPr>
                <w:rFonts w:eastAsia="Calibri"/>
                <w:sz w:val="20"/>
                <w:lang w:val="fr-CA"/>
              </w:rPr>
            </w:pPr>
            <w:r w:rsidRPr="00B150AF">
              <w:rPr>
                <w:rFonts w:eastAsia="Calibri"/>
                <w:sz w:val="20"/>
                <w:lang w:val="fr-CA"/>
              </w:rPr>
              <w:t>Requête pour permission d’appeler hors délai rejetée.</w:t>
            </w:r>
          </w:p>
          <w:p w:rsidR="00497CA8" w:rsidRPr="00B150AF" w:rsidRDefault="00497CA8" w:rsidP="00E767F8">
            <w:pPr>
              <w:jc w:val="both"/>
              <w:rPr>
                <w:rFonts w:eastAsia="Calibri"/>
                <w:sz w:val="20"/>
                <w:lang w:val="fr-CA"/>
              </w:rPr>
            </w:pPr>
          </w:p>
        </w:tc>
      </w:tr>
      <w:tr w:rsidR="00497CA8" w:rsidRPr="00B150AF" w:rsidTr="00E767F8">
        <w:tc>
          <w:tcPr>
            <w:tcW w:w="2427" w:type="pct"/>
          </w:tcPr>
          <w:p w:rsidR="00497CA8" w:rsidRPr="00B150AF" w:rsidRDefault="00497CA8" w:rsidP="00E767F8">
            <w:pPr>
              <w:jc w:val="both"/>
              <w:rPr>
                <w:rFonts w:eastAsia="Calibri"/>
                <w:sz w:val="20"/>
                <w:lang w:val="fr-CA"/>
              </w:rPr>
            </w:pPr>
            <w:r w:rsidRPr="00B150AF">
              <w:rPr>
                <w:rFonts w:eastAsia="Calibri"/>
                <w:sz w:val="20"/>
                <w:lang w:val="fr-CA"/>
              </w:rPr>
              <w:t>Le 23 mars 2012</w:t>
            </w:r>
          </w:p>
          <w:p w:rsidR="00497CA8" w:rsidRPr="00B150AF" w:rsidRDefault="00497CA8" w:rsidP="00E767F8">
            <w:pPr>
              <w:jc w:val="both"/>
              <w:rPr>
                <w:rFonts w:eastAsia="Calibri"/>
                <w:sz w:val="20"/>
                <w:lang w:val="fr-CA"/>
              </w:rPr>
            </w:pPr>
            <w:r w:rsidRPr="00B150AF">
              <w:rPr>
                <w:rFonts w:eastAsia="Calibri"/>
                <w:sz w:val="20"/>
                <w:lang w:val="fr-CA"/>
              </w:rPr>
              <w:t>Cour suprême du Canada</w:t>
            </w:r>
          </w:p>
        </w:tc>
        <w:tc>
          <w:tcPr>
            <w:tcW w:w="243" w:type="pct"/>
          </w:tcPr>
          <w:p w:rsidR="00497CA8" w:rsidRPr="00B150AF" w:rsidRDefault="00497CA8" w:rsidP="00E767F8">
            <w:pPr>
              <w:jc w:val="both"/>
              <w:rPr>
                <w:rFonts w:eastAsia="Calibri"/>
                <w:sz w:val="20"/>
                <w:lang w:val="fr-CA"/>
              </w:rPr>
            </w:pPr>
          </w:p>
        </w:tc>
        <w:tc>
          <w:tcPr>
            <w:tcW w:w="2330" w:type="pct"/>
          </w:tcPr>
          <w:p w:rsidR="00497CA8" w:rsidRPr="00B150AF" w:rsidRDefault="00497CA8" w:rsidP="00E767F8">
            <w:pPr>
              <w:jc w:val="both"/>
              <w:rPr>
                <w:rFonts w:eastAsia="Calibri"/>
                <w:sz w:val="20"/>
                <w:lang w:val="fr-CA"/>
              </w:rPr>
            </w:pPr>
            <w:r w:rsidRPr="00B150AF">
              <w:rPr>
                <w:rFonts w:eastAsia="Calibri"/>
                <w:sz w:val="20"/>
                <w:lang w:val="fr-CA"/>
              </w:rPr>
              <w:t>Demande d'autorisation d'appel déposée.</w:t>
            </w:r>
          </w:p>
          <w:p w:rsidR="00497CA8" w:rsidRPr="00B150AF" w:rsidRDefault="00497CA8" w:rsidP="00E767F8">
            <w:pPr>
              <w:jc w:val="both"/>
              <w:rPr>
                <w:rFonts w:eastAsia="Calibri"/>
                <w:sz w:val="20"/>
                <w:lang w:val="fr-CA"/>
              </w:rPr>
            </w:pPr>
          </w:p>
        </w:tc>
      </w:tr>
    </w:tbl>
    <w:p w:rsidR="006748AB" w:rsidRDefault="006748AB" w:rsidP="006748AB">
      <w:pPr>
        <w:rPr>
          <w:sz w:val="20"/>
          <w:szCs w:val="20"/>
        </w:rPr>
      </w:pPr>
    </w:p>
    <w:p w:rsidR="006748AB" w:rsidRDefault="007333FF" w:rsidP="006748AB">
      <w:pPr>
        <w:rPr>
          <w:sz w:val="20"/>
          <w:szCs w:val="20"/>
        </w:rPr>
      </w:pPr>
      <w:r w:rsidRPr="007333FF">
        <w:rPr>
          <w:sz w:val="20"/>
          <w:szCs w:val="20"/>
          <w:lang w:val="fr-CA"/>
        </w:rPr>
        <w:pict>
          <v:rect id="_x0000_i1055" style="width:2in;height:1pt" o:hrpct="0" o:hralign="center" o:hrstd="t" o:hrnoshade="t" o:hr="t" fillcolor="black [3213]" stroked="f"/>
        </w:pict>
      </w:r>
    </w:p>
    <w:p w:rsidR="006748AB" w:rsidRDefault="006748AB" w:rsidP="006748A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C4611" w:rsidRPr="004C4611" w:rsidTr="00123E21">
        <w:trPr>
          <w:cantSplit/>
        </w:trPr>
        <w:tc>
          <w:tcPr>
            <w:tcW w:w="1458" w:type="dxa"/>
          </w:tcPr>
          <w:p w:rsidR="004C4611" w:rsidRPr="004C4611" w:rsidRDefault="004C4611" w:rsidP="00123E21">
            <w:pPr>
              <w:rPr>
                <w:sz w:val="20"/>
                <w:szCs w:val="20"/>
              </w:rPr>
            </w:pPr>
            <w:r w:rsidRPr="004C4611">
              <w:rPr>
                <w:rStyle w:val="SCCFileNumberChar"/>
                <w:sz w:val="20"/>
                <w:szCs w:val="20"/>
              </w:rPr>
              <w:t>34774</w:t>
            </w:r>
          </w:p>
          <w:p w:rsidR="004C4611" w:rsidRPr="004C4611" w:rsidRDefault="004C4611" w:rsidP="00123E21">
            <w:pPr>
              <w:rPr>
                <w:b/>
                <w:sz w:val="20"/>
                <w:szCs w:val="20"/>
                <w:lang w:val="fr-CA"/>
              </w:rPr>
            </w:pPr>
          </w:p>
        </w:tc>
        <w:tc>
          <w:tcPr>
            <w:tcW w:w="8118" w:type="dxa"/>
          </w:tcPr>
          <w:p w:rsidR="004C4611" w:rsidRPr="004C4611" w:rsidRDefault="004C4611" w:rsidP="00123E21">
            <w:pPr>
              <w:jc w:val="both"/>
              <w:rPr>
                <w:sz w:val="20"/>
                <w:szCs w:val="20"/>
              </w:rPr>
            </w:pPr>
            <w:r w:rsidRPr="004C4611">
              <w:rPr>
                <w:rStyle w:val="SCCLsocChar"/>
                <w:sz w:val="20"/>
                <w:szCs w:val="20"/>
                <w:lang w:val="en-CA"/>
              </w:rPr>
              <w:t>Ravinder Kumar Sharma v. Timminco Limited, Photon Consulting LLC, Rogol Energy Consulting LLC, Michael Rogol, Heinz Schimmelbusch, Robert Dietrich, René Boisvert, Arthur R. Spector, Jack L. Messman, John C. Fox, Michael D. Winfield, Mickey M. Yaksich and John P. Walsh</w:t>
            </w:r>
            <w:r w:rsidRPr="004C4611">
              <w:rPr>
                <w:sz w:val="20"/>
                <w:szCs w:val="20"/>
              </w:rPr>
              <w:t xml:space="preserve"> (Ont.) (Civil) (By Leave)</w:t>
            </w:r>
          </w:p>
          <w:p w:rsidR="004C4611" w:rsidRPr="004C4611" w:rsidRDefault="004C4611" w:rsidP="00123E21">
            <w:pPr>
              <w:jc w:val="both"/>
              <w:rPr>
                <w:sz w:val="20"/>
                <w:szCs w:val="20"/>
              </w:rPr>
            </w:pPr>
          </w:p>
        </w:tc>
      </w:tr>
      <w:tr w:rsidR="004C4611" w:rsidRPr="004C4611" w:rsidTr="00123E21">
        <w:trPr>
          <w:cantSplit/>
        </w:trPr>
        <w:tc>
          <w:tcPr>
            <w:tcW w:w="1458" w:type="dxa"/>
          </w:tcPr>
          <w:p w:rsidR="004C4611" w:rsidRPr="004C4611" w:rsidRDefault="004C4611" w:rsidP="00123E21">
            <w:pPr>
              <w:rPr>
                <w:sz w:val="20"/>
                <w:szCs w:val="20"/>
              </w:rPr>
            </w:pPr>
            <w:r w:rsidRPr="004C4611">
              <w:rPr>
                <w:sz w:val="20"/>
                <w:szCs w:val="20"/>
              </w:rPr>
              <w:t>Coram :</w:t>
            </w:r>
          </w:p>
        </w:tc>
        <w:tc>
          <w:tcPr>
            <w:tcW w:w="8118" w:type="dxa"/>
          </w:tcPr>
          <w:p w:rsidR="004C4611" w:rsidRPr="004C4611" w:rsidRDefault="004C4611" w:rsidP="00123E21">
            <w:pPr>
              <w:rPr>
                <w:sz w:val="20"/>
                <w:szCs w:val="20"/>
              </w:rPr>
            </w:pPr>
            <w:r w:rsidRPr="004C4611">
              <w:rPr>
                <w:rStyle w:val="SCCCoramChar"/>
                <w:sz w:val="20"/>
                <w:szCs w:val="20"/>
                <w:lang w:val="en-CA"/>
              </w:rPr>
              <w:t>LeBel, Abella and Cromwell JJ.</w:t>
            </w:r>
          </w:p>
          <w:p w:rsidR="004C4611" w:rsidRPr="004C4611" w:rsidRDefault="004C4611" w:rsidP="00123E21">
            <w:pPr>
              <w:rPr>
                <w:sz w:val="20"/>
                <w:szCs w:val="20"/>
                <w:u w:val="single"/>
              </w:rPr>
            </w:pPr>
          </w:p>
        </w:tc>
      </w:tr>
      <w:tr w:rsidR="004C4611" w:rsidRPr="003626B6" w:rsidTr="00123E21">
        <w:trPr>
          <w:cantSplit/>
        </w:trPr>
        <w:tc>
          <w:tcPr>
            <w:tcW w:w="9576" w:type="dxa"/>
            <w:gridSpan w:val="2"/>
          </w:tcPr>
          <w:p w:rsidR="004C4611" w:rsidRPr="004C4611" w:rsidRDefault="004C4611" w:rsidP="00123E21">
            <w:pPr>
              <w:pStyle w:val="SCCShortJudgment"/>
              <w:rPr>
                <w:szCs w:val="20"/>
              </w:rPr>
            </w:pPr>
            <w:r w:rsidRPr="004C4611">
              <w:rPr>
                <w:szCs w:val="20"/>
              </w:rPr>
              <w:t>The motion to strike out the affidavits is granted with costs to the respondents Timminco Limited, Heinz Schimmelbusch, Robert Dietrich, René Boisvert, Arthur R. Spector, Jack L. Messman, John C. Fox, Michael D. Winfield and Mickey M. Yaksich. The application for leave to appeal from the judgment of the Court of Appeal for Ontario, Number C53624, 2012 ONCA 107, dated February 16, 2012, is dismissed with costs.</w:t>
            </w:r>
          </w:p>
          <w:p w:rsidR="004C4611" w:rsidRPr="004C4611" w:rsidRDefault="004C4611" w:rsidP="00123E21">
            <w:pPr>
              <w:pStyle w:val="SCCShortJudgment"/>
              <w:ind w:firstLine="0"/>
              <w:rPr>
                <w:szCs w:val="20"/>
              </w:rPr>
            </w:pPr>
          </w:p>
          <w:p w:rsidR="004C4611" w:rsidRPr="004C4611" w:rsidRDefault="004C4611" w:rsidP="00123E21">
            <w:pPr>
              <w:pStyle w:val="SCCShortJudgment"/>
              <w:rPr>
                <w:szCs w:val="20"/>
                <w:lang w:val="fr-CA"/>
              </w:rPr>
            </w:pPr>
            <w:r w:rsidRPr="004C4611">
              <w:rPr>
                <w:szCs w:val="20"/>
                <w:lang w:val="fr-CA"/>
              </w:rPr>
              <w:t>La requête en radiation d’affidavits est accueillie avec dépens en faveur des intimés Timminco Limited, Heinz Schimmelbusch, Robert Dietrich, René Boisvert, Arthur R. Spector, Jack L. Messman, John C. Fox, Michael D. Winfield et Mickey M. Yaksich. La demande d’autorisation d’appel de l’arrêt de la Cour d’appel de l’Ontario, numéro C53624, 2012 ONCA 107, daté du 16 février 2012, est rejetée avec dépens.</w:t>
            </w:r>
          </w:p>
        </w:tc>
      </w:tr>
    </w:tbl>
    <w:p w:rsidR="006748AB" w:rsidRPr="004C4611" w:rsidRDefault="006748AB" w:rsidP="006748AB">
      <w:pPr>
        <w:rPr>
          <w:sz w:val="20"/>
          <w:szCs w:val="20"/>
          <w:lang w:val="fr-CA"/>
        </w:rPr>
      </w:pPr>
    </w:p>
    <w:p w:rsidR="006748AB" w:rsidRPr="001B157C" w:rsidRDefault="006748AB" w:rsidP="006748AB">
      <w:pPr>
        <w:rPr>
          <w:sz w:val="20"/>
          <w:szCs w:val="20"/>
          <w:u w:val="single"/>
        </w:rPr>
      </w:pPr>
      <w:r w:rsidRPr="001B157C">
        <w:rPr>
          <w:sz w:val="20"/>
          <w:szCs w:val="20"/>
          <w:u w:val="single"/>
        </w:rPr>
        <w:t>CASE SUMMARY</w:t>
      </w:r>
    </w:p>
    <w:p w:rsidR="006748AB" w:rsidRDefault="006748AB" w:rsidP="006748AB">
      <w:pPr>
        <w:rPr>
          <w:sz w:val="20"/>
          <w:szCs w:val="20"/>
        </w:rPr>
      </w:pPr>
    </w:p>
    <w:tbl>
      <w:tblPr>
        <w:tblW w:w="4952" w:type="pct"/>
        <w:tblLayout w:type="fixed"/>
        <w:tblCellMar>
          <w:left w:w="0" w:type="dxa"/>
          <w:bottom w:w="99" w:type="dxa"/>
          <w:right w:w="0" w:type="dxa"/>
        </w:tblCellMar>
        <w:tblLook w:val="04A0"/>
      </w:tblPr>
      <w:tblGrid>
        <w:gridCol w:w="4625"/>
        <w:gridCol w:w="476"/>
        <w:gridCol w:w="4426"/>
      </w:tblGrid>
      <w:tr w:rsidR="00497CA8" w:rsidRPr="00B150AF" w:rsidTr="00E767F8">
        <w:tc>
          <w:tcPr>
            <w:tcW w:w="5000" w:type="pct"/>
            <w:gridSpan w:val="3"/>
          </w:tcPr>
          <w:p w:rsidR="00497CA8" w:rsidRPr="00B150AF" w:rsidRDefault="00497CA8" w:rsidP="00E767F8">
            <w:pPr>
              <w:jc w:val="both"/>
              <w:rPr>
                <w:rFonts w:eastAsia="Calibri"/>
                <w:sz w:val="20"/>
              </w:rPr>
            </w:pPr>
            <w:r w:rsidRPr="00B150AF">
              <w:rPr>
                <w:rFonts w:eastAsia="Calibri"/>
                <w:sz w:val="20"/>
              </w:rPr>
              <w:t xml:space="preserve">Limitation of actions – Legislation – Interpretation – Civil procedure – Class actions – Applicant moving for order declaring that limitation period set out in Part XXIII.1 of </w:t>
            </w:r>
            <w:r w:rsidRPr="00B150AF">
              <w:rPr>
                <w:rFonts w:eastAsia="Calibri"/>
                <w:i/>
                <w:sz w:val="20"/>
              </w:rPr>
              <w:t>Securities Act</w:t>
            </w:r>
            <w:r w:rsidRPr="00B150AF">
              <w:rPr>
                <w:rFonts w:eastAsia="Calibri"/>
                <w:sz w:val="20"/>
              </w:rPr>
              <w:t xml:space="preserve">, R.S.O. 1990, c. S.5, is suspended pursuant to s. 28 of </w:t>
            </w:r>
            <w:r w:rsidRPr="00B150AF">
              <w:rPr>
                <w:rFonts w:eastAsia="Calibri"/>
                <w:i/>
                <w:sz w:val="20"/>
              </w:rPr>
              <w:t>Class Proceedings Act, 1992</w:t>
            </w:r>
            <w:r w:rsidRPr="00B150AF">
              <w:rPr>
                <w:rFonts w:eastAsia="Calibri"/>
                <w:sz w:val="20"/>
              </w:rPr>
              <w:t>, S.O. 1992, c. 6</w:t>
            </w:r>
            <w:r w:rsidRPr="00B150AF">
              <w:rPr>
                <w:rFonts w:eastAsia="Calibri"/>
                <w:i/>
                <w:sz w:val="20"/>
              </w:rPr>
              <w:t xml:space="preserve"> </w:t>
            </w:r>
            <w:r w:rsidRPr="00B150AF">
              <w:rPr>
                <w:rFonts w:eastAsia="Calibri"/>
                <w:sz w:val="20"/>
              </w:rPr>
              <w:t xml:space="preserve">– Whether a plaintiff’s “assertion” of a cause of action in a class action statement of claim suspends the running of the applicable limitation period when such a cause of action can be </w:t>
            </w:r>
            <w:r w:rsidRPr="00B150AF">
              <w:rPr>
                <w:rFonts w:eastAsia="Calibri"/>
                <w:sz w:val="20"/>
              </w:rPr>
              <w:lastRenderedPageBreak/>
              <w:t>“commenced” only by leave of the court.</w:t>
            </w:r>
          </w:p>
          <w:p w:rsidR="00497CA8" w:rsidRPr="00B150AF" w:rsidRDefault="00497CA8" w:rsidP="00E767F8">
            <w:pPr>
              <w:jc w:val="both"/>
              <w:rPr>
                <w:rFonts w:eastAsia="Calibri"/>
                <w:sz w:val="20"/>
              </w:rPr>
            </w:pPr>
          </w:p>
        </w:tc>
      </w:tr>
      <w:tr w:rsidR="00497CA8" w:rsidRPr="00B150AF" w:rsidTr="00E767F8">
        <w:tc>
          <w:tcPr>
            <w:tcW w:w="5000" w:type="pct"/>
            <w:gridSpan w:val="3"/>
          </w:tcPr>
          <w:p w:rsidR="00497CA8" w:rsidRPr="00B150AF" w:rsidRDefault="00497CA8" w:rsidP="00E767F8">
            <w:pPr>
              <w:jc w:val="both"/>
              <w:rPr>
                <w:rFonts w:eastAsia="Calibri"/>
                <w:sz w:val="20"/>
              </w:rPr>
            </w:pPr>
            <w:r w:rsidRPr="00B150AF">
              <w:rPr>
                <w:rFonts w:eastAsia="Calibri"/>
                <w:sz w:val="20"/>
              </w:rPr>
              <w:lastRenderedPageBreak/>
              <w:t xml:space="preserve">The applicant commenced a proposed class action alleging misrepresentations by the respondents that adversely affected the value of shares of Timminco Limited in the secondary market.  These misrepresentations are alleged to have commenced on March 17, 2008 and continued until November 11, 2008.  The statement of claim indicates that the applicant will seek an order granting leave to assert the statutory cause of action for misrepresentation provided by s. 138.3 of Part XXIII.1 of the Ontario </w:t>
            </w:r>
            <w:r w:rsidRPr="00B150AF">
              <w:rPr>
                <w:rFonts w:eastAsia="Calibri"/>
                <w:i/>
                <w:sz w:val="20"/>
              </w:rPr>
              <w:t>Securities Act.</w:t>
            </w:r>
            <w:r w:rsidRPr="00B150AF">
              <w:rPr>
                <w:rFonts w:eastAsia="Calibri"/>
                <w:sz w:val="20"/>
              </w:rPr>
              <w:t xml:space="preserve">  By the end of February 2011, the applicant had not yet sought that leave and, as a result, was faced with a possible limitation issue.  Part XXIII.1 imposes a limitation period of three years from the misrepresentation for the commencement of an action under this Part.  It also provides that such an action can be commenced only with leave.  Faced with this, the applicant moved for an order declaring that this limitation period is suspended pursuant to s. 28 of the </w:t>
            </w:r>
            <w:r w:rsidRPr="00B150AF">
              <w:rPr>
                <w:rFonts w:eastAsia="Calibri"/>
                <w:i/>
                <w:sz w:val="20"/>
              </w:rPr>
              <w:t>Class Proceedings Act, 1992</w:t>
            </w:r>
            <w:r w:rsidRPr="00B150AF">
              <w:rPr>
                <w:rFonts w:eastAsia="Calibri"/>
                <w:sz w:val="20"/>
              </w:rPr>
              <w:t>.  The motion judge granted the applicant’s motion.  The Court of Appeal allowed the respondents’ appeal.</w:t>
            </w:r>
          </w:p>
          <w:p w:rsidR="00497CA8" w:rsidRPr="00B150AF" w:rsidRDefault="00497CA8" w:rsidP="00E767F8">
            <w:pPr>
              <w:jc w:val="both"/>
              <w:rPr>
                <w:rFonts w:eastAsia="Calibri"/>
                <w:sz w:val="20"/>
              </w:rPr>
            </w:pPr>
          </w:p>
        </w:tc>
      </w:tr>
      <w:tr w:rsidR="00497CA8" w:rsidRPr="00B150AF" w:rsidTr="00E767F8">
        <w:tc>
          <w:tcPr>
            <w:tcW w:w="2427" w:type="pct"/>
          </w:tcPr>
          <w:p w:rsidR="00497CA8" w:rsidRPr="00B150AF" w:rsidRDefault="00497CA8" w:rsidP="00E767F8">
            <w:pPr>
              <w:jc w:val="both"/>
              <w:rPr>
                <w:rFonts w:eastAsia="Calibri"/>
                <w:sz w:val="20"/>
              </w:rPr>
            </w:pPr>
            <w:r w:rsidRPr="00B150AF">
              <w:rPr>
                <w:rFonts w:eastAsia="Calibri"/>
                <w:sz w:val="20"/>
              </w:rPr>
              <w:t>March 31, 2011</w:t>
            </w:r>
          </w:p>
          <w:p w:rsidR="00497CA8" w:rsidRPr="00B150AF" w:rsidRDefault="00497CA8" w:rsidP="00E767F8">
            <w:pPr>
              <w:jc w:val="both"/>
              <w:rPr>
                <w:rFonts w:eastAsia="Calibri"/>
                <w:sz w:val="20"/>
              </w:rPr>
            </w:pPr>
            <w:r w:rsidRPr="00B150AF">
              <w:rPr>
                <w:rFonts w:eastAsia="Calibri"/>
                <w:sz w:val="20"/>
              </w:rPr>
              <w:t>Ontario Superior Court of Justice</w:t>
            </w:r>
          </w:p>
          <w:p w:rsidR="00497CA8" w:rsidRPr="00B150AF" w:rsidRDefault="00497CA8" w:rsidP="00E767F8">
            <w:pPr>
              <w:jc w:val="both"/>
              <w:rPr>
                <w:rFonts w:eastAsia="Calibri"/>
                <w:sz w:val="20"/>
              </w:rPr>
            </w:pPr>
            <w:r w:rsidRPr="00B150AF">
              <w:rPr>
                <w:rFonts w:eastAsia="Calibri"/>
                <w:sz w:val="20"/>
              </w:rPr>
              <w:t>(Perell J.)</w:t>
            </w:r>
          </w:p>
          <w:p w:rsidR="00497CA8" w:rsidRPr="00B150AF" w:rsidRDefault="00497CA8" w:rsidP="00E767F8">
            <w:pPr>
              <w:jc w:val="both"/>
              <w:rPr>
                <w:rFonts w:eastAsia="Calibri"/>
                <w:sz w:val="20"/>
              </w:rPr>
            </w:pPr>
            <w:r w:rsidRPr="00B150AF">
              <w:rPr>
                <w:rFonts w:eastAsia="Calibri"/>
                <w:sz w:val="20"/>
              </w:rPr>
              <w:t>2011 ONSC 2040</w:t>
            </w:r>
          </w:p>
          <w:p w:rsidR="00497CA8" w:rsidRPr="00B150AF" w:rsidRDefault="00497CA8" w:rsidP="00E767F8">
            <w:pPr>
              <w:jc w:val="both"/>
              <w:rPr>
                <w:rFonts w:eastAsia="Calibri"/>
                <w:sz w:val="20"/>
              </w:rPr>
            </w:pPr>
          </w:p>
        </w:tc>
        <w:tc>
          <w:tcPr>
            <w:tcW w:w="250" w:type="pct"/>
          </w:tcPr>
          <w:p w:rsidR="00497CA8" w:rsidRPr="00B150AF" w:rsidRDefault="00497CA8" w:rsidP="00E767F8">
            <w:pPr>
              <w:jc w:val="both"/>
              <w:rPr>
                <w:rFonts w:eastAsia="Calibri"/>
                <w:sz w:val="20"/>
              </w:rPr>
            </w:pPr>
          </w:p>
        </w:tc>
        <w:tc>
          <w:tcPr>
            <w:tcW w:w="2323" w:type="pct"/>
          </w:tcPr>
          <w:p w:rsidR="00497CA8" w:rsidRPr="00B150AF" w:rsidRDefault="00497CA8" w:rsidP="00E767F8">
            <w:pPr>
              <w:jc w:val="both"/>
              <w:rPr>
                <w:rFonts w:eastAsia="Calibri"/>
                <w:sz w:val="20"/>
              </w:rPr>
            </w:pPr>
            <w:r w:rsidRPr="00B150AF">
              <w:rPr>
                <w:rFonts w:eastAsia="Calibri"/>
                <w:sz w:val="20"/>
              </w:rPr>
              <w:t>Limitation period declared suspended</w:t>
            </w:r>
          </w:p>
          <w:p w:rsidR="00497CA8" w:rsidRPr="00B150AF" w:rsidRDefault="00497CA8" w:rsidP="00E767F8">
            <w:pPr>
              <w:jc w:val="both"/>
              <w:rPr>
                <w:rFonts w:eastAsia="Calibri"/>
                <w:sz w:val="20"/>
              </w:rPr>
            </w:pPr>
          </w:p>
        </w:tc>
      </w:tr>
      <w:tr w:rsidR="00497CA8" w:rsidRPr="00B150AF" w:rsidTr="00E767F8">
        <w:tc>
          <w:tcPr>
            <w:tcW w:w="2427" w:type="pct"/>
          </w:tcPr>
          <w:p w:rsidR="00497CA8" w:rsidRPr="00B150AF" w:rsidRDefault="00497CA8" w:rsidP="00E767F8">
            <w:pPr>
              <w:jc w:val="both"/>
              <w:rPr>
                <w:rFonts w:eastAsia="Calibri"/>
                <w:sz w:val="20"/>
              </w:rPr>
            </w:pPr>
            <w:r w:rsidRPr="00B150AF">
              <w:rPr>
                <w:rFonts w:eastAsia="Calibri"/>
                <w:sz w:val="20"/>
              </w:rPr>
              <w:t>February 16, 2012</w:t>
            </w:r>
          </w:p>
          <w:p w:rsidR="00497CA8" w:rsidRPr="00B150AF" w:rsidRDefault="00497CA8" w:rsidP="00E767F8">
            <w:pPr>
              <w:jc w:val="both"/>
              <w:rPr>
                <w:rFonts w:eastAsia="Calibri"/>
                <w:sz w:val="20"/>
              </w:rPr>
            </w:pPr>
            <w:r w:rsidRPr="00B150AF">
              <w:rPr>
                <w:rFonts w:eastAsia="Calibri"/>
                <w:sz w:val="20"/>
              </w:rPr>
              <w:t>Court of Appeal for Ontario</w:t>
            </w:r>
          </w:p>
          <w:p w:rsidR="00497CA8" w:rsidRPr="00B150AF" w:rsidRDefault="00497CA8" w:rsidP="00E767F8">
            <w:pPr>
              <w:jc w:val="both"/>
              <w:rPr>
                <w:rFonts w:eastAsia="Calibri"/>
                <w:sz w:val="20"/>
              </w:rPr>
            </w:pPr>
            <w:r w:rsidRPr="00B150AF">
              <w:rPr>
                <w:rFonts w:eastAsia="Calibri"/>
                <w:sz w:val="20"/>
              </w:rPr>
              <w:t>(Goudge, Armstrong and Lang JJ.A.)</w:t>
            </w:r>
          </w:p>
          <w:p w:rsidR="00497CA8" w:rsidRPr="00B150AF" w:rsidRDefault="00497CA8" w:rsidP="00E767F8">
            <w:pPr>
              <w:jc w:val="both"/>
              <w:rPr>
                <w:rFonts w:eastAsia="Calibri"/>
                <w:sz w:val="20"/>
              </w:rPr>
            </w:pPr>
            <w:r w:rsidRPr="00B150AF">
              <w:rPr>
                <w:rFonts w:eastAsia="Calibri"/>
                <w:sz w:val="20"/>
              </w:rPr>
              <w:t>2012 ONCA 107</w:t>
            </w:r>
          </w:p>
          <w:p w:rsidR="00497CA8" w:rsidRPr="00B150AF" w:rsidRDefault="00497CA8" w:rsidP="00E767F8">
            <w:pPr>
              <w:jc w:val="both"/>
              <w:rPr>
                <w:rFonts w:eastAsia="Calibri"/>
                <w:sz w:val="20"/>
              </w:rPr>
            </w:pPr>
          </w:p>
        </w:tc>
        <w:tc>
          <w:tcPr>
            <w:tcW w:w="250" w:type="pct"/>
          </w:tcPr>
          <w:p w:rsidR="00497CA8" w:rsidRPr="00B150AF" w:rsidRDefault="00497CA8" w:rsidP="00E767F8">
            <w:pPr>
              <w:jc w:val="both"/>
              <w:rPr>
                <w:rFonts w:eastAsia="Calibri"/>
                <w:sz w:val="20"/>
              </w:rPr>
            </w:pPr>
          </w:p>
        </w:tc>
        <w:tc>
          <w:tcPr>
            <w:tcW w:w="2323" w:type="pct"/>
          </w:tcPr>
          <w:p w:rsidR="00497CA8" w:rsidRPr="00B150AF" w:rsidRDefault="00497CA8" w:rsidP="00E767F8">
            <w:pPr>
              <w:jc w:val="both"/>
              <w:rPr>
                <w:rFonts w:eastAsia="Calibri"/>
                <w:sz w:val="20"/>
              </w:rPr>
            </w:pPr>
            <w:r w:rsidRPr="00B150AF">
              <w:rPr>
                <w:rFonts w:eastAsia="Calibri"/>
                <w:sz w:val="20"/>
              </w:rPr>
              <w:t>Appeal allowed</w:t>
            </w:r>
          </w:p>
          <w:p w:rsidR="00497CA8" w:rsidRPr="00B150AF" w:rsidRDefault="00497CA8" w:rsidP="00E767F8">
            <w:pPr>
              <w:jc w:val="both"/>
              <w:rPr>
                <w:rFonts w:eastAsia="Calibri"/>
                <w:sz w:val="20"/>
              </w:rPr>
            </w:pPr>
          </w:p>
        </w:tc>
      </w:tr>
      <w:tr w:rsidR="00497CA8" w:rsidRPr="00B150AF" w:rsidTr="00E767F8">
        <w:tc>
          <w:tcPr>
            <w:tcW w:w="2427" w:type="pct"/>
          </w:tcPr>
          <w:p w:rsidR="00497CA8" w:rsidRPr="00B150AF" w:rsidRDefault="00497CA8" w:rsidP="00E767F8">
            <w:pPr>
              <w:jc w:val="both"/>
              <w:rPr>
                <w:rFonts w:eastAsia="Calibri"/>
                <w:sz w:val="20"/>
              </w:rPr>
            </w:pPr>
            <w:r w:rsidRPr="00B150AF">
              <w:rPr>
                <w:rFonts w:eastAsia="Calibri"/>
                <w:sz w:val="20"/>
              </w:rPr>
              <w:t>April 16, 2012</w:t>
            </w:r>
          </w:p>
          <w:p w:rsidR="00497CA8" w:rsidRPr="00B150AF" w:rsidRDefault="00497CA8" w:rsidP="00E767F8">
            <w:pPr>
              <w:jc w:val="both"/>
              <w:rPr>
                <w:rFonts w:eastAsia="Calibri"/>
                <w:sz w:val="20"/>
              </w:rPr>
            </w:pPr>
            <w:r w:rsidRPr="00B150AF">
              <w:rPr>
                <w:rFonts w:eastAsia="Calibri"/>
                <w:sz w:val="20"/>
              </w:rPr>
              <w:t>Supreme Court of Canada</w:t>
            </w:r>
          </w:p>
          <w:p w:rsidR="00497CA8" w:rsidRPr="00B150AF" w:rsidRDefault="00497CA8" w:rsidP="00E767F8">
            <w:pPr>
              <w:jc w:val="both"/>
              <w:rPr>
                <w:rFonts w:eastAsia="Calibri"/>
                <w:sz w:val="20"/>
              </w:rPr>
            </w:pPr>
          </w:p>
        </w:tc>
        <w:tc>
          <w:tcPr>
            <w:tcW w:w="250" w:type="pct"/>
          </w:tcPr>
          <w:p w:rsidR="00497CA8" w:rsidRPr="00B150AF" w:rsidRDefault="00497CA8" w:rsidP="00E767F8">
            <w:pPr>
              <w:jc w:val="both"/>
              <w:rPr>
                <w:rFonts w:eastAsia="Calibri"/>
                <w:sz w:val="20"/>
              </w:rPr>
            </w:pPr>
          </w:p>
        </w:tc>
        <w:tc>
          <w:tcPr>
            <w:tcW w:w="2323" w:type="pct"/>
          </w:tcPr>
          <w:p w:rsidR="00497CA8" w:rsidRPr="00B150AF" w:rsidRDefault="00497CA8" w:rsidP="00E767F8">
            <w:pPr>
              <w:jc w:val="both"/>
              <w:rPr>
                <w:rFonts w:eastAsia="Calibri"/>
                <w:sz w:val="20"/>
              </w:rPr>
            </w:pPr>
            <w:r w:rsidRPr="00B150AF">
              <w:rPr>
                <w:rFonts w:eastAsia="Calibri"/>
                <w:sz w:val="20"/>
              </w:rPr>
              <w:t>Application for leave to appeal filed</w:t>
            </w:r>
          </w:p>
          <w:p w:rsidR="00497CA8" w:rsidRPr="00B150AF" w:rsidRDefault="00497CA8" w:rsidP="00E767F8">
            <w:pPr>
              <w:jc w:val="both"/>
              <w:rPr>
                <w:rFonts w:eastAsia="Calibri"/>
                <w:sz w:val="20"/>
              </w:rPr>
            </w:pPr>
          </w:p>
        </w:tc>
      </w:tr>
      <w:tr w:rsidR="00497CA8" w:rsidRPr="00B150AF" w:rsidTr="00E767F8">
        <w:tc>
          <w:tcPr>
            <w:tcW w:w="2427" w:type="pct"/>
          </w:tcPr>
          <w:p w:rsidR="00497CA8" w:rsidRPr="00B150AF" w:rsidRDefault="00497CA8" w:rsidP="00E767F8">
            <w:pPr>
              <w:jc w:val="both"/>
              <w:rPr>
                <w:rFonts w:eastAsia="Calibri"/>
                <w:sz w:val="20"/>
              </w:rPr>
            </w:pPr>
            <w:r w:rsidRPr="00B150AF">
              <w:rPr>
                <w:rFonts w:eastAsia="Calibri"/>
                <w:sz w:val="20"/>
              </w:rPr>
              <w:t>May 3, 2012</w:t>
            </w:r>
          </w:p>
          <w:p w:rsidR="00497CA8" w:rsidRPr="00B150AF" w:rsidRDefault="00497CA8" w:rsidP="00E767F8">
            <w:pPr>
              <w:jc w:val="both"/>
              <w:rPr>
                <w:rFonts w:eastAsia="Calibri"/>
                <w:sz w:val="20"/>
              </w:rPr>
            </w:pPr>
            <w:r w:rsidRPr="00B150AF">
              <w:rPr>
                <w:rFonts w:eastAsia="Calibri"/>
                <w:sz w:val="20"/>
              </w:rPr>
              <w:t>Supreme Court of Canada</w:t>
            </w:r>
          </w:p>
        </w:tc>
        <w:tc>
          <w:tcPr>
            <w:tcW w:w="250" w:type="pct"/>
          </w:tcPr>
          <w:p w:rsidR="00497CA8" w:rsidRPr="00B150AF" w:rsidRDefault="00497CA8" w:rsidP="00E767F8">
            <w:pPr>
              <w:jc w:val="both"/>
              <w:rPr>
                <w:rFonts w:eastAsia="Calibri"/>
                <w:sz w:val="20"/>
              </w:rPr>
            </w:pPr>
          </w:p>
        </w:tc>
        <w:tc>
          <w:tcPr>
            <w:tcW w:w="2323" w:type="pct"/>
          </w:tcPr>
          <w:p w:rsidR="00497CA8" w:rsidRPr="00B150AF" w:rsidRDefault="00497CA8" w:rsidP="00E767F8">
            <w:pPr>
              <w:jc w:val="both"/>
              <w:rPr>
                <w:rFonts w:eastAsia="Calibri"/>
                <w:sz w:val="20"/>
              </w:rPr>
            </w:pPr>
            <w:r w:rsidRPr="00B150AF">
              <w:rPr>
                <w:rFonts w:eastAsia="Calibri"/>
                <w:sz w:val="20"/>
              </w:rPr>
              <w:t>Motion to strike affidavits filed</w:t>
            </w:r>
          </w:p>
        </w:tc>
      </w:tr>
    </w:tbl>
    <w:p w:rsidR="006748AB" w:rsidRDefault="006748AB" w:rsidP="006748AB">
      <w:pPr>
        <w:rPr>
          <w:sz w:val="20"/>
          <w:szCs w:val="20"/>
        </w:rPr>
      </w:pPr>
    </w:p>
    <w:p w:rsidR="006748AB" w:rsidRPr="00C50A5C" w:rsidRDefault="007333FF" w:rsidP="006748AB">
      <w:pPr>
        <w:rPr>
          <w:sz w:val="20"/>
          <w:szCs w:val="20"/>
        </w:rPr>
      </w:pPr>
      <w:r w:rsidRPr="007333FF">
        <w:rPr>
          <w:sz w:val="20"/>
          <w:szCs w:val="20"/>
          <w:lang w:val="fr-CA"/>
        </w:rPr>
        <w:pict>
          <v:rect id="_x0000_i1056" style="width:2in;height:1pt" o:hrpct="0" o:hralign="center" o:hrstd="t" o:hrnoshade="t" o:hr="t" fillcolor="black [3213]" stroked="f"/>
        </w:pict>
      </w:r>
    </w:p>
    <w:p w:rsidR="006748AB" w:rsidRDefault="006748AB" w:rsidP="006748AB">
      <w:pPr>
        <w:rPr>
          <w:sz w:val="20"/>
          <w:szCs w:val="20"/>
        </w:rPr>
      </w:pPr>
    </w:p>
    <w:p w:rsidR="006748AB" w:rsidRPr="001B157C" w:rsidRDefault="006748AB" w:rsidP="006748AB">
      <w:pPr>
        <w:rPr>
          <w:sz w:val="20"/>
          <w:szCs w:val="20"/>
          <w:u w:val="single"/>
          <w:lang w:val="fr-CA"/>
        </w:rPr>
      </w:pPr>
      <w:r w:rsidRPr="001B157C">
        <w:rPr>
          <w:sz w:val="20"/>
          <w:szCs w:val="20"/>
          <w:u w:val="single"/>
          <w:lang w:val="fr-CA"/>
        </w:rPr>
        <w:t>RÉSUMÉ DE L’AFFAIRE</w:t>
      </w:r>
    </w:p>
    <w:p w:rsidR="006748AB" w:rsidRDefault="006748AB" w:rsidP="006748AB">
      <w:pPr>
        <w:rPr>
          <w:sz w:val="20"/>
          <w:szCs w:val="20"/>
        </w:rPr>
      </w:pPr>
    </w:p>
    <w:tbl>
      <w:tblPr>
        <w:tblW w:w="4952" w:type="pct"/>
        <w:tblLayout w:type="fixed"/>
        <w:tblCellMar>
          <w:left w:w="0" w:type="dxa"/>
          <w:bottom w:w="99" w:type="dxa"/>
          <w:right w:w="0" w:type="dxa"/>
        </w:tblCellMar>
        <w:tblLook w:val="00A0"/>
      </w:tblPr>
      <w:tblGrid>
        <w:gridCol w:w="4625"/>
        <w:gridCol w:w="476"/>
        <w:gridCol w:w="4426"/>
      </w:tblGrid>
      <w:tr w:rsidR="00497CA8" w:rsidRPr="003626B6" w:rsidTr="00E767F8">
        <w:tc>
          <w:tcPr>
            <w:tcW w:w="5000" w:type="pct"/>
            <w:gridSpan w:val="3"/>
          </w:tcPr>
          <w:p w:rsidR="00497CA8" w:rsidRPr="00B150AF" w:rsidRDefault="00497CA8" w:rsidP="00E767F8">
            <w:pPr>
              <w:jc w:val="both"/>
              <w:rPr>
                <w:rFonts w:eastAsia="Calibri"/>
                <w:sz w:val="20"/>
                <w:lang w:val="fr-CA"/>
              </w:rPr>
            </w:pPr>
            <w:r w:rsidRPr="00B150AF">
              <w:rPr>
                <w:rFonts w:eastAsia="Calibri"/>
                <w:sz w:val="20"/>
                <w:lang w:val="fr-CA"/>
              </w:rPr>
              <w:t>Prescription – Législation – Interprétation – Procédure civile – Recours collectifs – le demandeur a demandé par motion une ordonnance déclarant que le délai de prescription prévu à la Partie XXIII.1 de la</w:t>
            </w:r>
            <w:r w:rsidRPr="00B150AF">
              <w:rPr>
                <w:rFonts w:eastAsia="Calibri"/>
                <w:i/>
                <w:sz w:val="20"/>
                <w:lang w:val="fr-CA"/>
              </w:rPr>
              <w:t xml:space="preserve"> Loi sur les valeurs mobilières</w:t>
            </w:r>
            <w:r w:rsidRPr="00B150AF">
              <w:rPr>
                <w:rFonts w:eastAsia="Calibri"/>
                <w:sz w:val="20"/>
                <w:lang w:val="fr-CA"/>
              </w:rPr>
              <w:t>, L.R.O. 1990, ch. S.5, est suspendu en application de l'art. 28 de la</w:t>
            </w:r>
            <w:r w:rsidRPr="00B150AF">
              <w:rPr>
                <w:rFonts w:eastAsia="Calibri"/>
                <w:i/>
                <w:sz w:val="20"/>
                <w:lang w:val="fr-CA"/>
              </w:rPr>
              <w:t xml:space="preserve"> Loi de 1992 sur les recours collectifs</w:t>
            </w:r>
            <w:r w:rsidRPr="00B150AF">
              <w:rPr>
                <w:rFonts w:eastAsia="Calibri"/>
                <w:sz w:val="20"/>
                <w:lang w:val="fr-CA"/>
              </w:rPr>
              <w:t>, L.O. 1992, ch. 6</w:t>
            </w:r>
            <w:r w:rsidRPr="00B150AF">
              <w:rPr>
                <w:rFonts w:eastAsia="Calibri"/>
                <w:i/>
                <w:sz w:val="20"/>
                <w:lang w:val="fr-CA"/>
              </w:rPr>
              <w:t xml:space="preserve"> </w:t>
            </w:r>
            <w:r w:rsidRPr="00B150AF">
              <w:rPr>
                <w:rFonts w:eastAsia="Calibri"/>
                <w:sz w:val="20"/>
                <w:lang w:val="fr-CA"/>
              </w:rPr>
              <w:t>– Le fait qu'un demandeur invoque une cause d'action dans la déclaration d’un recours collectif a</w:t>
            </w:r>
            <w:r w:rsidRPr="00B150AF">
              <w:rPr>
                <w:rFonts w:eastAsia="Calibri"/>
                <w:sz w:val="20"/>
                <w:lang w:val="fr-CA"/>
              </w:rPr>
              <w:noBreakHyphen/>
              <w:t>t</w:t>
            </w:r>
            <w:r w:rsidRPr="00B150AF">
              <w:rPr>
                <w:rFonts w:eastAsia="Calibri"/>
                <w:sz w:val="20"/>
                <w:lang w:val="fr-CA"/>
              </w:rPr>
              <w:noBreakHyphen/>
              <w:t>il pour effet de suspendre le délai de prescription applicable lorsque la cause d'action ne peut être introduite qu'avec l'autorisation de la cour?</w:t>
            </w:r>
          </w:p>
          <w:p w:rsidR="00497CA8" w:rsidRPr="00B150AF" w:rsidRDefault="00497CA8" w:rsidP="00E767F8">
            <w:pPr>
              <w:jc w:val="both"/>
              <w:rPr>
                <w:rFonts w:eastAsia="Calibri"/>
                <w:sz w:val="20"/>
                <w:lang w:val="fr-CA"/>
              </w:rPr>
            </w:pPr>
          </w:p>
        </w:tc>
      </w:tr>
      <w:tr w:rsidR="00497CA8" w:rsidRPr="00B150AF" w:rsidTr="00E767F8">
        <w:tc>
          <w:tcPr>
            <w:tcW w:w="5000" w:type="pct"/>
            <w:gridSpan w:val="3"/>
          </w:tcPr>
          <w:p w:rsidR="00497CA8" w:rsidRPr="00B150AF" w:rsidRDefault="00497CA8" w:rsidP="00E767F8">
            <w:pPr>
              <w:jc w:val="both"/>
              <w:rPr>
                <w:rFonts w:eastAsia="Calibri"/>
                <w:sz w:val="20"/>
                <w:lang w:val="fr-CA"/>
              </w:rPr>
            </w:pPr>
            <w:r w:rsidRPr="00B150AF">
              <w:rPr>
                <w:rFonts w:eastAsia="Calibri"/>
                <w:sz w:val="20"/>
                <w:lang w:val="fr-CA"/>
              </w:rPr>
              <w:t>Le demandeur a introduit un recours collectif projeté, alléguant que les intimés auraient fait une présentation inexacte des faits qui aurait eu pour effet de diminuer la valeur des actions de Timminco Limited dans le marché secondaire. Il allègue que cette présentation inexacte des faits aurait commencé le 17 mars 2008 et se serait poursuivie jusqu'au 11 novembre 2008. La déclaration indique que le demandeur sollicitera une ordonnance accordant l'autorisation d'invoquer la cause d'action d'origine législative, c'est</w:t>
            </w:r>
            <w:r w:rsidRPr="00B150AF">
              <w:rPr>
                <w:rFonts w:eastAsia="Calibri"/>
                <w:sz w:val="20"/>
                <w:lang w:val="fr-CA"/>
              </w:rPr>
              <w:noBreakHyphen/>
              <w:t>à</w:t>
            </w:r>
            <w:r w:rsidRPr="00B150AF">
              <w:rPr>
                <w:rFonts w:eastAsia="Calibri"/>
                <w:sz w:val="20"/>
                <w:lang w:val="fr-CA"/>
              </w:rPr>
              <w:noBreakHyphen/>
              <w:t>dire la présentation inexacte des faits prévue à l'art. 138.3 de la Partie XXIII.1 de la</w:t>
            </w:r>
            <w:r w:rsidRPr="00B150AF">
              <w:rPr>
                <w:rFonts w:eastAsia="Calibri"/>
                <w:i/>
                <w:sz w:val="20"/>
                <w:lang w:val="fr-CA"/>
              </w:rPr>
              <w:t xml:space="preserve"> Loi sur les valeurs mobilières</w:t>
            </w:r>
            <w:r w:rsidRPr="00B150AF">
              <w:rPr>
                <w:rFonts w:eastAsia="Calibri"/>
                <w:sz w:val="20"/>
                <w:lang w:val="fr-CA"/>
              </w:rPr>
              <w:t xml:space="preserve"> de l'Ontario</w:t>
            </w:r>
            <w:r w:rsidRPr="00B150AF">
              <w:rPr>
                <w:rFonts w:eastAsia="Calibri"/>
                <w:i/>
                <w:sz w:val="20"/>
                <w:lang w:val="fr-CA"/>
              </w:rPr>
              <w:t>.</w:t>
            </w:r>
            <w:r w:rsidRPr="00B150AF">
              <w:rPr>
                <w:rFonts w:eastAsia="Calibri"/>
                <w:sz w:val="20"/>
                <w:lang w:val="fr-CA"/>
              </w:rPr>
              <w:t xml:space="preserve"> À la fin de février 2011, le demandeur n'avait toujours pas demandé cette autorisation, si bien que la question de la prescription s'est posée.  La Partie XXIII.1 impose un délai de prescription de trois ans à compter de la présentation inexacte des faits pour introduire une action fondée sur cette Partie. Il est également prévu qu'une telle action ne peut être introduite que sur autorisation. Devant cette situation, le demandeur a demandé par motion une ordonnance portant que ce délai de prescription était suspendu en application de l'art. 28 de la</w:t>
            </w:r>
            <w:r w:rsidRPr="00B150AF">
              <w:rPr>
                <w:rFonts w:eastAsia="Calibri"/>
                <w:i/>
                <w:sz w:val="20"/>
                <w:lang w:val="fr-CA"/>
              </w:rPr>
              <w:t xml:space="preserve"> Loi de 1992 sur les recours collectifs</w:t>
            </w:r>
            <w:r w:rsidRPr="00B150AF">
              <w:rPr>
                <w:rFonts w:eastAsia="Calibri"/>
                <w:sz w:val="20"/>
                <w:lang w:val="fr-CA"/>
              </w:rPr>
              <w:t xml:space="preserve">. Le juge de première instance a accueilli la </w:t>
            </w:r>
            <w:r w:rsidRPr="00B150AF">
              <w:rPr>
                <w:rFonts w:eastAsia="Calibri"/>
                <w:sz w:val="20"/>
                <w:lang w:val="fr-CA"/>
              </w:rPr>
              <w:lastRenderedPageBreak/>
              <w:t>motion du demandeur. La Cour d'appel a accueilli l'appel des intimés.</w:t>
            </w:r>
          </w:p>
          <w:p w:rsidR="00497CA8" w:rsidRPr="00B150AF" w:rsidRDefault="00497CA8" w:rsidP="00E767F8">
            <w:pPr>
              <w:jc w:val="both"/>
              <w:rPr>
                <w:rFonts w:eastAsia="Calibri"/>
                <w:sz w:val="20"/>
                <w:lang w:val="fr-CA"/>
              </w:rPr>
            </w:pPr>
          </w:p>
        </w:tc>
      </w:tr>
      <w:tr w:rsidR="00497CA8" w:rsidRPr="003626B6" w:rsidTr="00E767F8">
        <w:tc>
          <w:tcPr>
            <w:tcW w:w="2427" w:type="pct"/>
          </w:tcPr>
          <w:p w:rsidR="00497CA8" w:rsidRPr="00B150AF" w:rsidRDefault="00497CA8" w:rsidP="00E767F8">
            <w:pPr>
              <w:jc w:val="both"/>
              <w:rPr>
                <w:rFonts w:eastAsia="Calibri"/>
                <w:sz w:val="20"/>
                <w:lang w:val="fr-CA"/>
              </w:rPr>
            </w:pPr>
            <w:r w:rsidRPr="00B150AF">
              <w:rPr>
                <w:rFonts w:eastAsia="Calibri"/>
                <w:sz w:val="20"/>
                <w:lang w:val="fr-CA"/>
              </w:rPr>
              <w:lastRenderedPageBreak/>
              <w:t>31 mars 2011</w:t>
            </w:r>
          </w:p>
          <w:p w:rsidR="00497CA8" w:rsidRPr="00B150AF" w:rsidRDefault="00497CA8" w:rsidP="00E767F8">
            <w:pPr>
              <w:jc w:val="both"/>
              <w:rPr>
                <w:rFonts w:eastAsia="Calibri"/>
                <w:sz w:val="20"/>
                <w:lang w:val="fr-CA"/>
              </w:rPr>
            </w:pPr>
            <w:r w:rsidRPr="00B150AF">
              <w:rPr>
                <w:rFonts w:eastAsia="Calibri"/>
                <w:sz w:val="20"/>
                <w:lang w:val="fr-CA"/>
              </w:rPr>
              <w:t xml:space="preserve">Cour supérieure de justice de l'Ontario </w:t>
            </w:r>
          </w:p>
          <w:p w:rsidR="00497CA8" w:rsidRPr="00B150AF" w:rsidRDefault="00497CA8" w:rsidP="00E767F8">
            <w:pPr>
              <w:jc w:val="both"/>
              <w:rPr>
                <w:rFonts w:eastAsia="Calibri"/>
                <w:sz w:val="20"/>
                <w:lang w:val="fr-CA"/>
              </w:rPr>
            </w:pPr>
            <w:r w:rsidRPr="00B150AF">
              <w:rPr>
                <w:rFonts w:eastAsia="Calibri"/>
                <w:sz w:val="20"/>
                <w:lang w:val="fr-CA"/>
              </w:rPr>
              <w:t>(Juge Perell)</w:t>
            </w:r>
          </w:p>
          <w:p w:rsidR="00497CA8" w:rsidRPr="00B150AF" w:rsidRDefault="00497CA8" w:rsidP="00E767F8">
            <w:pPr>
              <w:jc w:val="both"/>
              <w:rPr>
                <w:rFonts w:eastAsia="Calibri"/>
                <w:sz w:val="20"/>
                <w:lang w:val="fr-CA"/>
              </w:rPr>
            </w:pPr>
            <w:r w:rsidRPr="00B150AF">
              <w:rPr>
                <w:rFonts w:eastAsia="Calibri"/>
                <w:sz w:val="20"/>
                <w:lang w:val="fr-CA"/>
              </w:rPr>
              <w:t>2011 ONSC 2040</w:t>
            </w:r>
          </w:p>
          <w:p w:rsidR="00497CA8" w:rsidRPr="00B150AF" w:rsidRDefault="00497CA8" w:rsidP="00E767F8">
            <w:pPr>
              <w:jc w:val="both"/>
              <w:rPr>
                <w:rFonts w:eastAsia="Calibri"/>
                <w:sz w:val="20"/>
                <w:lang w:val="fr-CA"/>
              </w:rPr>
            </w:pPr>
          </w:p>
        </w:tc>
        <w:tc>
          <w:tcPr>
            <w:tcW w:w="250" w:type="pct"/>
          </w:tcPr>
          <w:p w:rsidR="00497CA8" w:rsidRPr="00B150AF" w:rsidRDefault="00497CA8" w:rsidP="00E767F8">
            <w:pPr>
              <w:jc w:val="both"/>
              <w:rPr>
                <w:rFonts w:eastAsia="Calibri"/>
                <w:sz w:val="20"/>
                <w:lang w:val="fr-CA"/>
              </w:rPr>
            </w:pPr>
          </w:p>
        </w:tc>
        <w:tc>
          <w:tcPr>
            <w:tcW w:w="2323" w:type="pct"/>
          </w:tcPr>
          <w:p w:rsidR="00497CA8" w:rsidRPr="00B150AF" w:rsidRDefault="00497CA8" w:rsidP="00E767F8">
            <w:pPr>
              <w:jc w:val="both"/>
              <w:rPr>
                <w:rFonts w:eastAsia="Calibri"/>
                <w:sz w:val="20"/>
                <w:lang w:val="fr-CA"/>
              </w:rPr>
            </w:pPr>
            <w:r w:rsidRPr="00B150AF">
              <w:rPr>
                <w:rFonts w:eastAsia="Calibri"/>
                <w:sz w:val="20"/>
                <w:lang w:val="fr-CA"/>
              </w:rPr>
              <w:t>Déclaration portant que le délai de prescription est suspendu</w:t>
            </w:r>
          </w:p>
          <w:p w:rsidR="00497CA8" w:rsidRPr="00B150AF" w:rsidRDefault="00497CA8" w:rsidP="00E767F8">
            <w:pPr>
              <w:jc w:val="both"/>
              <w:rPr>
                <w:rFonts w:eastAsia="Calibri"/>
                <w:sz w:val="20"/>
                <w:lang w:val="fr-CA"/>
              </w:rPr>
            </w:pPr>
          </w:p>
        </w:tc>
      </w:tr>
      <w:tr w:rsidR="00497CA8" w:rsidRPr="00B150AF" w:rsidTr="00E767F8">
        <w:tc>
          <w:tcPr>
            <w:tcW w:w="2427" w:type="pct"/>
          </w:tcPr>
          <w:p w:rsidR="00497CA8" w:rsidRPr="00B150AF" w:rsidRDefault="00497CA8" w:rsidP="00E767F8">
            <w:pPr>
              <w:jc w:val="both"/>
              <w:rPr>
                <w:rFonts w:eastAsia="Calibri"/>
                <w:sz w:val="20"/>
                <w:lang w:val="fr-CA"/>
              </w:rPr>
            </w:pPr>
            <w:r w:rsidRPr="00B150AF">
              <w:rPr>
                <w:rFonts w:eastAsia="Calibri"/>
                <w:sz w:val="20"/>
                <w:lang w:val="fr-CA"/>
              </w:rPr>
              <w:t>16 février 2012</w:t>
            </w:r>
          </w:p>
          <w:p w:rsidR="00497CA8" w:rsidRPr="00B150AF" w:rsidRDefault="00497CA8" w:rsidP="00E767F8">
            <w:pPr>
              <w:jc w:val="both"/>
              <w:rPr>
                <w:rFonts w:eastAsia="Calibri"/>
                <w:sz w:val="20"/>
                <w:lang w:val="fr-CA"/>
              </w:rPr>
            </w:pPr>
            <w:r w:rsidRPr="00B150AF">
              <w:rPr>
                <w:rFonts w:eastAsia="Calibri"/>
                <w:sz w:val="20"/>
                <w:lang w:val="fr-CA"/>
              </w:rPr>
              <w:t>Cour d'appel de l’Ontario</w:t>
            </w:r>
          </w:p>
          <w:p w:rsidR="00497CA8" w:rsidRPr="00B150AF" w:rsidRDefault="00497CA8" w:rsidP="00E767F8">
            <w:pPr>
              <w:jc w:val="both"/>
              <w:rPr>
                <w:rFonts w:eastAsia="Calibri"/>
                <w:sz w:val="20"/>
                <w:lang w:val="fr-CA"/>
              </w:rPr>
            </w:pPr>
            <w:r w:rsidRPr="00B150AF">
              <w:rPr>
                <w:rFonts w:eastAsia="Calibri"/>
                <w:sz w:val="20"/>
                <w:lang w:val="fr-CA"/>
              </w:rPr>
              <w:t>(Juges Goudge, Armstrong et Lang)</w:t>
            </w:r>
          </w:p>
          <w:p w:rsidR="00497CA8" w:rsidRPr="00B150AF" w:rsidRDefault="00497CA8" w:rsidP="00E767F8">
            <w:pPr>
              <w:jc w:val="both"/>
              <w:rPr>
                <w:rFonts w:eastAsia="Calibri"/>
                <w:sz w:val="20"/>
                <w:lang w:val="fr-CA"/>
              </w:rPr>
            </w:pPr>
            <w:r w:rsidRPr="00B150AF">
              <w:rPr>
                <w:rFonts w:eastAsia="Calibri"/>
                <w:sz w:val="20"/>
                <w:lang w:val="fr-CA"/>
              </w:rPr>
              <w:t>2012 ONCA 107</w:t>
            </w:r>
          </w:p>
          <w:p w:rsidR="00497CA8" w:rsidRPr="00B150AF" w:rsidRDefault="00497CA8" w:rsidP="00E767F8">
            <w:pPr>
              <w:jc w:val="both"/>
              <w:rPr>
                <w:rFonts w:eastAsia="Calibri"/>
                <w:sz w:val="20"/>
                <w:lang w:val="fr-CA"/>
              </w:rPr>
            </w:pPr>
          </w:p>
        </w:tc>
        <w:tc>
          <w:tcPr>
            <w:tcW w:w="250" w:type="pct"/>
          </w:tcPr>
          <w:p w:rsidR="00497CA8" w:rsidRPr="00B150AF" w:rsidRDefault="00497CA8" w:rsidP="00E767F8">
            <w:pPr>
              <w:jc w:val="both"/>
              <w:rPr>
                <w:rFonts w:eastAsia="Calibri"/>
                <w:sz w:val="20"/>
                <w:lang w:val="fr-CA"/>
              </w:rPr>
            </w:pPr>
          </w:p>
        </w:tc>
        <w:tc>
          <w:tcPr>
            <w:tcW w:w="2323" w:type="pct"/>
          </w:tcPr>
          <w:p w:rsidR="00497CA8" w:rsidRPr="00B150AF" w:rsidRDefault="00497CA8" w:rsidP="00E767F8">
            <w:pPr>
              <w:jc w:val="both"/>
              <w:rPr>
                <w:rFonts w:eastAsia="Calibri"/>
                <w:sz w:val="20"/>
                <w:lang w:val="fr-CA"/>
              </w:rPr>
            </w:pPr>
            <w:r w:rsidRPr="00B150AF">
              <w:rPr>
                <w:rFonts w:eastAsia="Calibri"/>
                <w:sz w:val="20"/>
                <w:lang w:val="fr-CA"/>
              </w:rPr>
              <w:t>Appel accueilli</w:t>
            </w:r>
          </w:p>
          <w:p w:rsidR="00497CA8" w:rsidRPr="00B150AF" w:rsidRDefault="00497CA8" w:rsidP="00E767F8">
            <w:pPr>
              <w:jc w:val="both"/>
              <w:rPr>
                <w:rFonts w:eastAsia="Calibri"/>
                <w:sz w:val="20"/>
                <w:lang w:val="fr-CA"/>
              </w:rPr>
            </w:pPr>
          </w:p>
        </w:tc>
      </w:tr>
      <w:tr w:rsidR="00497CA8" w:rsidRPr="00B150AF" w:rsidTr="00E767F8">
        <w:tc>
          <w:tcPr>
            <w:tcW w:w="2427" w:type="pct"/>
          </w:tcPr>
          <w:p w:rsidR="00497CA8" w:rsidRPr="00B150AF" w:rsidRDefault="00497CA8" w:rsidP="00E767F8">
            <w:pPr>
              <w:jc w:val="both"/>
              <w:rPr>
                <w:rFonts w:eastAsia="Calibri"/>
                <w:sz w:val="20"/>
                <w:lang w:val="fr-CA"/>
              </w:rPr>
            </w:pPr>
            <w:r w:rsidRPr="00B150AF">
              <w:rPr>
                <w:rFonts w:eastAsia="Calibri"/>
                <w:sz w:val="20"/>
                <w:lang w:val="fr-CA"/>
              </w:rPr>
              <w:t>16 avril 2012</w:t>
            </w:r>
          </w:p>
          <w:p w:rsidR="00497CA8" w:rsidRPr="00B150AF" w:rsidRDefault="00497CA8" w:rsidP="00E767F8">
            <w:pPr>
              <w:jc w:val="both"/>
              <w:rPr>
                <w:rFonts w:eastAsia="Calibri"/>
                <w:sz w:val="20"/>
                <w:lang w:val="fr-CA"/>
              </w:rPr>
            </w:pPr>
            <w:r w:rsidRPr="00B150AF">
              <w:rPr>
                <w:rFonts w:eastAsia="Calibri"/>
                <w:sz w:val="20"/>
                <w:lang w:val="fr-CA"/>
              </w:rPr>
              <w:t>Cour suprême du Canada</w:t>
            </w:r>
          </w:p>
          <w:p w:rsidR="00497CA8" w:rsidRPr="00B150AF" w:rsidRDefault="00497CA8" w:rsidP="00E767F8">
            <w:pPr>
              <w:jc w:val="both"/>
              <w:rPr>
                <w:rFonts w:eastAsia="Calibri"/>
                <w:sz w:val="20"/>
                <w:lang w:val="fr-CA"/>
              </w:rPr>
            </w:pPr>
          </w:p>
        </w:tc>
        <w:tc>
          <w:tcPr>
            <w:tcW w:w="250" w:type="pct"/>
          </w:tcPr>
          <w:p w:rsidR="00497CA8" w:rsidRPr="00B150AF" w:rsidRDefault="00497CA8" w:rsidP="00E767F8">
            <w:pPr>
              <w:jc w:val="both"/>
              <w:rPr>
                <w:rFonts w:eastAsia="Calibri"/>
                <w:sz w:val="20"/>
                <w:lang w:val="fr-CA"/>
              </w:rPr>
            </w:pPr>
          </w:p>
        </w:tc>
        <w:tc>
          <w:tcPr>
            <w:tcW w:w="2323" w:type="pct"/>
          </w:tcPr>
          <w:p w:rsidR="00497CA8" w:rsidRPr="00B150AF" w:rsidRDefault="00497CA8" w:rsidP="00E767F8">
            <w:pPr>
              <w:jc w:val="both"/>
              <w:rPr>
                <w:rFonts w:eastAsia="Calibri"/>
                <w:sz w:val="20"/>
                <w:lang w:val="fr-CA"/>
              </w:rPr>
            </w:pPr>
            <w:r w:rsidRPr="00B150AF">
              <w:rPr>
                <w:rFonts w:eastAsia="Calibri"/>
                <w:sz w:val="20"/>
                <w:lang w:val="fr-CA"/>
              </w:rPr>
              <w:t>Demande d'autorisation d'appel, déposée</w:t>
            </w:r>
          </w:p>
          <w:p w:rsidR="00497CA8" w:rsidRPr="00B150AF" w:rsidRDefault="00497CA8" w:rsidP="00E767F8">
            <w:pPr>
              <w:jc w:val="both"/>
              <w:rPr>
                <w:rFonts w:eastAsia="Calibri"/>
                <w:sz w:val="20"/>
                <w:lang w:val="fr-CA"/>
              </w:rPr>
            </w:pPr>
          </w:p>
        </w:tc>
      </w:tr>
      <w:tr w:rsidR="00497CA8" w:rsidRPr="003626B6" w:rsidTr="00E767F8">
        <w:tc>
          <w:tcPr>
            <w:tcW w:w="2427" w:type="pct"/>
          </w:tcPr>
          <w:p w:rsidR="00497CA8" w:rsidRPr="00B150AF" w:rsidRDefault="00497CA8" w:rsidP="00E767F8">
            <w:pPr>
              <w:jc w:val="both"/>
              <w:rPr>
                <w:rFonts w:eastAsia="Calibri"/>
                <w:sz w:val="20"/>
                <w:lang w:val="fr-CA"/>
              </w:rPr>
            </w:pPr>
            <w:r w:rsidRPr="00B150AF">
              <w:rPr>
                <w:rFonts w:eastAsia="Calibri"/>
                <w:sz w:val="20"/>
                <w:lang w:val="fr-CA"/>
              </w:rPr>
              <w:t>3 mai 2012</w:t>
            </w:r>
          </w:p>
          <w:p w:rsidR="00497CA8" w:rsidRPr="00B150AF" w:rsidRDefault="00497CA8" w:rsidP="00E767F8">
            <w:pPr>
              <w:jc w:val="both"/>
              <w:rPr>
                <w:rFonts w:eastAsia="Calibri"/>
                <w:sz w:val="20"/>
                <w:lang w:val="fr-CA"/>
              </w:rPr>
            </w:pPr>
            <w:r w:rsidRPr="00B150AF">
              <w:rPr>
                <w:rFonts w:eastAsia="Calibri"/>
                <w:sz w:val="20"/>
                <w:lang w:val="fr-CA"/>
              </w:rPr>
              <w:t>Cour suprême du Canada</w:t>
            </w:r>
          </w:p>
        </w:tc>
        <w:tc>
          <w:tcPr>
            <w:tcW w:w="250" w:type="pct"/>
          </w:tcPr>
          <w:p w:rsidR="00497CA8" w:rsidRPr="00B150AF" w:rsidRDefault="00497CA8" w:rsidP="00E767F8">
            <w:pPr>
              <w:jc w:val="both"/>
              <w:rPr>
                <w:rFonts w:eastAsia="Calibri"/>
                <w:sz w:val="20"/>
                <w:lang w:val="fr-CA"/>
              </w:rPr>
            </w:pPr>
          </w:p>
        </w:tc>
        <w:tc>
          <w:tcPr>
            <w:tcW w:w="2323" w:type="pct"/>
          </w:tcPr>
          <w:p w:rsidR="00497CA8" w:rsidRPr="00B150AF" w:rsidRDefault="00497CA8" w:rsidP="00E767F8">
            <w:pPr>
              <w:jc w:val="both"/>
              <w:rPr>
                <w:rFonts w:eastAsia="Calibri"/>
                <w:sz w:val="20"/>
                <w:lang w:val="fr-CA"/>
              </w:rPr>
            </w:pPr>
            <w:r w:rsidRPr="00B150AF">
              <w:rPr>
                <w:rFonts w:eastAsia="Calibri"/>
                <w:sz w:val="20"/>
                <w:lang w:val="fr-CA"/>
              </w:rPr>
              <w:t>Requête visant à faire radier les affidavits, déposée</w:t>
            </w:r>
          </w:p>
        </w:tc>
      </w:tr>
    </w:tbl>
    <w:p w:rsidR="006748AB" w:rsidRPr="00497CA8" w:rsidRDefault="006748AB" w:rsidP="006748AB">
      <w:pPr>
        <w:rPr>
          <w:sz w:val="20"/>
          <w:szCs w:val="20"/>
          <w:lang w:val="fr-CA"/>
        </w:rPr>
      </w:pPr>
    </w:p>
    <w:p w:rsidR="006748AB" w:rsidRDefault="007333FF" w:rsidP="006748AB">
      <w:pPr>
        <w:rPr>
          <w:sz w:val="20"/>
          <w:szCs w:val="20"/>
        </w:rPr>
      </w:pPr>
      <w:r w:rsidRPr="007333FF">
        <w:rPr>
          <w:sz w:val="20"/>
          <w:szCs w:val="20"/>
          <w:lang w:val="fr-CA"/>
        </w:rPr>
        <w:pict>
          <v:rect id="_x0000_i1057" style="width:2in;height:1pt" o:hrpct="0" o:hralign="center" o:hrstd="t" o:hrnoshade="t" o:hr="t" fillcolor="black [3213]" stroked="f"/>
        </w:pict>
      </w:r>
    </w:p>
    <w:p w:rsidR="006748AB" w:rsidRDefault="006748AB" w:rsidP="006748A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C4611" w:rsidRPr="006976EB" w:rsidTr="00123E21">
        <w:trPr>
          <w:cantSplit/>
        </w:trPr>
        <w:tc>
          <w:tcPr>
            <w:tcW w:w="1458" w:type="dxa"/>
          </w:tcPr>
          <w:p w:rsidR="004C4611" w:rsidRPr="006976EB" w:rsidRDefault="004C4611" w:rsidP="00123E21">
            <w:pPr>
              <w:rPr>
                <w:sz w:val="20"/>
                <w:szCs w:val="20"/>
              </w:rPr>
            </w:pPr>
            <w:r w:rsidRPr="006976EB">
              <w:rPr>
                <w:rStyle w:val="SCCFileNumberChar"/>
                <w:sz w:val="20"/>
                <w:szCs w:val="20"/>
              </w:rPr>
              <w:t>34789</w:t>
            </w:r>
          </w:p>
          <w:p w:rsidR="004C4611" w:rsidRPr="006976EB" w:rsidRDefault="004C4611" w:rsidP="00123E21">
            <w:pPr>
              <w:rPr>
                <w:b/>
                <w:sz w:val="20"/>
                <w:szCs w:val="20"/>
                <w:lang w:val="fr-CA"/>
              </w:rPr>
            </w:pPr>
          </w:p>
        </w:tc>
        <w:tc>
          <w:tcPr>
            <w:tcW w:w="8118" w:type="dxa"/>
          </w:tcPr>
          <w:p w:rsidR="004C4611" w:rsidRPr="006976EB" w:rsidRDefault="004C4611" w:rsidP="00123E21">
            <w:pPr>
              <w:jc w:val="both"/>
              <w:rPr>
                <w:sz w:val="20"/>
                <w:szCs w:val="20"/>
              </w:rPr>
            </w:pPr>
            <w:r w:rsidRPr="004C4611">
              <w:rPr>
                <w:rStyle w:val="SCCLsocChar"/>
                <w:sz w:val="20"/>
                <w:szCs w:val="20"/>
                <w:lang w:val="en-CA"/>
              </w:rPr>
              <w:t>Ivanco Keremelevski v. Insurance Corporation of British Columbia, Habib Neaime and Najwa Neaime</w:t>
            </w:r>
            <w:r w:rsidRPr="006976EB">
              <w:rPr>
                <w:sz w:val="20"/>
                <w:szCs w:val="20"/>
              </w:rPr>
              <w:t xml:space="preserve"> (B.C.) (Civil) (By Leave)</w:t>
            </w:r>
          </w:p>
          <w:p w:rsidR="004C4611" w:rsidRPr="006976EB" w:rsidRDefault="004C4611" w:rsidP="00123E21">
            <w:pPr>
              <w:rPr>
                <w:sz w:val="20"/>
                <w:szCs w:val="20"/>
              </w:rPr>
            </w:pPr>
          </w:p>
        </w:tc>
      </w:tr>
      <w:tr w:rsidR="004C4611" w:rsidRPr="006976EB" w:rsidTr="00123E21">
        <w:trPr>
          <w:cantSplit/>
        </w:trPr>
        <w:tc>
          <w:tcPr>
            <w:tcW w:w="1458" w:type="dxa"/>
          </w:tcPr>
          <w:p w:rsidR="004C4611" w:rsidRPr="006976EB" w:rsidRDefault="004C4611" w:rsidP="00123E21">
            <w:pPr>
              <w:rPr>
                <w:sz w:val="20"/>
                <w:szCs w:val="20"/>
              </w:rPr>
            </w:pPr>
            <w:r w:rsidRPr="006976EB">
              <w:rPr>
                <w:sz w:val="20"/>
                <w:szCs w:val="20"/>
              </w:rPr>
              <w:t>Coram :</w:t>
            </w:r>
          </w:p>
        </w:tc>
        <w:tc>
          <w:tcPr>
            <w:tcW w:w="8118" w:type="dxa"/>
          </w:tcPr>
          <w:p w:rsidR="004C4611" w:rsidRPr="006976EB" w:rsidRDefault="004C4611" w:rsidP="00123E21">
            <w:pPr>
              <w:rPr>
                <w:sz w:val="20"/>
                <w:szCs w:val="20"/>
              </w:rPr>
            </w:pPr>
            <w:r w:rsidRPr="004C4611">
              <w:rPr>
                <w:rStyle w:val="SCCCoramChar"/>
                <w:sz w:val="20"/>
                <w:szCs w:val="20"/>
                <w:lang w:val="en-CA"/>
              </w:rPr>
              <w:t>LeBel, Abella and Moldaver JJ.</w:t>
            </w:r>
          </w:p>
          <w:p w:rsidR="004C4611" w:rsidRPr="006976EB" w:rsidRDefault="004C4611" w:rsidP="00123E21">
            <w:pPr>
              <w:rPr>
                <w:sz w:val="20"/>
                <w:szCs w:val="20"/>
                <w:u w:val="single"/>
              </w:rPr>
            </w:pPr>
          </w:p>
        </w:tc>
      </w:tr>
      <w:tr w:rsidR="004C4611" w:rsidRPr="003626B6" w:rsidTr="00123E21">
        <w:trPr>
          <w:cantSplit/>
        </w:trPr>
        <w:tc>
          <w:tcPr>
            <w:tcW w:w="9576" w:type="dxa"/>
            <w:gridSpan w:val="2"/>
          </w:tcPr>
          <w:p w:rsidR="004C4611" w:rsidRPr="006976EB" w:rsidRDefault="004C4611" w:rsidP="00123E21">
            <w:pPr>
              <w:pStyle w:val="SCCShortJudgment"/>
              <w:rPr>
                <w:szCs w:val="20"/>
              </w:rPr>
            </w:pPr>
            <w:r w:rsidRPr="006976EB">
              <w:rPr>
                <w:szCs w:val="20"/>
              </w:rPr>
              <w:t>The motion for indigent status is dismissed. The application for leave to appeal from the judgment of the Court of Appeal for British Columbia (Vancouver), Numbers CA038001 and CA038002, 2012 BCCA 88, dated February 20, 2012, is dismissed with costs.</w:t>
            </w:r>
          </w:p>
          <w:p w:rsidR="004C4611" w:rsidRPr="006976EB" w:rsidRDefault="004C4611" w:rsidP="00123E21">
            <w:pPr>
              <w:pStyle w:val="SCCShortJudgment"/>
              <w:ind w:firstLine="0"/>
              <w:rPr>
                <w:szCs w:val="20"/>
              </w:rPr>
            </w:pPr>
          </w:p>
          <w:p w:rsidR="004C4611" w:rsidRPr="006976EB" w:rsidRDefault="004C4611" w:rsidP="00123E21">
            <w:pPr>
              <w:pStyle w:val="SCCShortJudgment"/>
              <w:rPr>
                <w:szCs w:val="20"/>
                <w:lang w:val="fr-CA"/>
              </w:rPr>
            </w:pPr>
            <w:r w:rsidRPr="006976EB">
              <w:rPr>
                <w:szCs w:val="20"/>
                <w:lang w:val="fr-CA"/>
              </w:rPr>
              <w:t>La requête en vue de se faire reconnaître le statut d’indigent est rejetée. La demande d’autorisation d’appel de l’arrêt de la Cour d’appel de la Colombie-Britannique (Vancouver), numéros CA038001 et CA038002, 2012 BCCA 88, daté du 20 février 2012, est rejetée avec dépens.</w:t>
            </w:r>
          </w:p>
        </w:tc>
      </w:tr>
    </w:tbl>
    <w:p w:rsidR="006748AB" w:rsidRPr="004C4611" w:rsidRDefault="006748AB" w:rsidP="006748AB">
      <w:pPr>
        <w:rPr>
          <w:sz w:val="20"/>
          <w:szCs w:val="20"/>
          <w:lang w:val="fr-CA"/>
        </w:rPr>
      </w:pPr>
    </w:p>
    <w:p w:rsidR="006748AB" w:rsidRPr="001B157C" w:rsidRDefault="006748AB" w:rsidP="006748AB">
      <w:pPr>
        <w:rPr>
          <w:sz w:val="20"/>
          <w:szCs w:val="20"/>
          <w:u w:val="single"/>
        </w:rPr>
      </w:pPr>
      <w:r w:rsidRPr="001B157C">
        <w:rPr>
          <w:sz w:val="20"/>
          <w:szCs w:val="20"/>
          <w:u w:val="single"/>
        </w:rPr>
        <w:t>CASE SUMMARY</w:t>
      </w:r>
    </w:p>
    <w:p w:rsidR="006748AB" w:rsidRDefault="006748AB" w:rsidP="006748A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97CA8" w:rsidRPr="00B150AF" w:rsidTr="00E767F8">
        <w:tc>
          <w:tcPr>
            <w:tcW w:w="5000" w:type="pct"/>
            <w:gridSpan w:val="3"/>
          </w:tcPr>
          <w:p w:rsidR="00497CA8" w:rsidRPr="00B150AF" w:rsidRDefault="00497CA8" w:rsidP="00E767F8">
            <w:pPr>
              <w:jc w:val="both"/>
              <w:rPr>
                <w:rFonts w:eastAsia="Calibri"/>
                <w:sz w:val="20"/>
              </w:rPr>
            </w:pPr>
            <w:r w:rsidRPr="00B150AF">
              <w:rPr>
                <w:rFonts w:eastAsia="Calibri"/>
                <w:sz w:val="20"/>
              </w:rPr>
              <w:t>Civil procedure – Appeals – Applicant’s actions dismissed- – Whether lower courts were biased – Whether Applicant received a fair hearing</w:t>
            </w:r>
          </w:p>
        </w:tc>
      </w:tr>
      <w:tr w:rsidR="00497CA8" w:rsidRPr="00B150AF" w:rsidTr="00E767F8">
        <w:tc>
          <w:tcPr>
            <w:tcW w:w="5000" w:type="pct"/>
            <w:gridSpan w:val="3"/>
          </w:tcPr>
          <w:p w:rsidR="00497CA8" w:rsidRPr="00B150AF" w:rsidRDefault="00497CA8" w:rsidP="00E767F8">
            <w:pPr>
              <w:jc w:val="both"/>
              <w:rPr>
                <w:rFonts w:eastAsia="Calibri"/>
                <w:sz w:val="20"/>
              </w:rPr>
            </w:pPr>
          </w:p>
        </w:tc>
      </w:tr>
      <w:tr w:rsidR="00497CA8" w:rsidRPr="00B150AF" w:rsidTr="00E767F8">
        <w:tc>
          <w:tcPr>
            <w:tcW w:w="5000" w:type="pct"/>
            <w:gridSpan w:val="3"/>
          </w:tcPr>
          <w:p w:rsidR="00497CA8" w:rsidRPr="00B150AF" w:rsidRDefault="00497CA8" w:rsidP="00E767F8">
            <w:pPr>
              <w:jc w:val="both"/>
              <w:rPr>
                <w:rFonts w:eastAsia="Calibri"/>
                <w:sz w:val="20"/>
              </w:rPr>
            </w:pPr>
            <w:r w:rsidRPr="00B150AF">
              <w:rPr>
                <w:rFonts w:eastAsia="Calibri"/>
                <w:sz w:val="20"/>
              </w:rPr>
              <w:t>Mr. Keremelevski commenced two actions for damages after he was involved in two motor vehicle accidents in 2005.  In 2008, when Mr. Keremelevski was scheduled to be at a case management conference, he was involved in an altercation at the courthouse that resulted in his spending the day in jail and an order was made requiring him to appear before a judge to explain his conduct and to give a formal undertaking to conduct himself appropriately.  He sought to have his actions transferred from New Westminister to the Vancouver courthouse but his motion was dismissed.  In 2010, the Respondents had the actions dismissed for want of prosecution.  Mr. Keremelevski brought four applications before the court in Vancouver.</w:t>
            </w:r>
          </w:p>
          <w:p w:rsidR="00497CA8" w:rsidRPr="00B150AF" w:rsidRDefault="00497CA8" w:rsidP="00E767F8">
            <w:pPr>
              <w:jc w:val="both"/>
              <w:rPr>
                <w:rFonts w:eastAsia="Calibri"/>
                <w:sz w:val="20"/>
              </w:rPr>
            </w:pPr>
          </w:p>
        </w:tc>
      </w:tr>
      <w:tr w:rsidR="00497CA8" w:rsidRPr="00B150AF" w:rsidTr="0056619E">
        <w:trPr>
          <w:cantSplit/>
        </w:trPr>
        <w:tc>
          <w:tcPr>
            <w:tcW w:w="2427" w:type="pct"/>
          </w:tcPr>
          <w:p w:rsidR="00497CA8" w:rsidRPr="00B150AF" w:rsidRDefault="00497CA8" w:rsidP="00E767F8">
            <w:pPr>
              <w:jc w:val="both"/>
              <w:rPr>
                <w:rFonts w:eastAsia="Calibri"/>
                <w:sz w:val="20"/>
              </w:rPr>
            </w:pPr>
            <w:r w:rsidRPr="00B150AF">
              <w:rPr>
                <w:rFonts w:eastAsia="Calibri"/>
                <w:sz w:val="20"/>
              </w:rPr>
              <w:lastRenderedPageBreak/>
              <w:t>March 30, 2010</w:t>
            </w:r>
          </w:p>
          <w:p w:rsidR="00497CA8" w:rsidRPr="00B150AF" w:rsidRDefault="00497CA8" w:rsidP="00E767F8">
            <w:pPr>
              <w:jc w:val="both"/>
              <w:rPr>
                <w:rFonts w:eastAsia="Calibri"/>
                <w:sz w:val="20"/>
              </w:rPr>
            </w:pPr>
            <w:r w:rsidRPr="00B150AF">
              <w:rPr>
                <w:rFonts w:eastAsia="Calibri"/>
                <w:sz w:val="20"/>
              </w:rPr>
              <w:t>Supreme Court of British Columbia</w:t>
            </w:r>
          </w:p>
          <w:p w:rsidR="00497CA8" w:rsidRPr="00B150AF" w:rsidRDefault="00497CA8" w:rsidP="00E767F8">
            <w:pPr>
              <w:jc w:val="both"/>
              <w:rPr>
                <w:rFonts w:eastAsia="Calibri"/>
                <w:sz w:val="20"/>
              </w:rPr>
            </w:pPr>
            <w:r w:rsidRPr="00B150AF">
              <w:rPr>
                <w:rFonts w:eastAsia="Calibri"/>
                <w:sz w:val="20"/>
              </w:rPr>
              <w:t>(Sewell J.)</w:t>
            </w:r>
          </w:p>
          <w:p w:rsidR="00497CA8" w:rsidRPr="00B150AF" w:rsidRDefault="00497CA8" w:rsidP="00E767F8">
            <w:pPr>
              <w:jc w:val="both"/>
              <w:rPr>
                <w:rFonts w:eastAsia="Calibri"/>
                <w:sz w:val="20"/>
              </w:rPr>
            </w:pPr>
          </w:p>
        </w:tc>
        <w:tc>
          <w:tcPr>
            <w:tcW w:w="243" w:type="pct"/>
          </w:tcPr>
          <w:p w:rsidR="00497CA8" w:rsidRPr="00B150AF" w:rsidRDefault="00497CA8" w:rsidP="00E767F8">
            <w:pPr>
              <w:jc w:val="both"/>
              <w:rPr>
                <w:rFonts w:eastAsia="Calibri"/>
                <w:sz w:val="20"/>
              </w:rPr>
            </w:pPr>
          </w:p>
        </w:tc>
        <w:tc>
          <w:tcPr>
            <w:tcW w:w="2330" w:type="pct"/>
          </w:tcPr>
          <w:p w:rsidR="00497CA8" w:rsidRPr="00B150AF" w:rsidRDefault="00497CA8" w:rsidP="00E767F8">
            <w:pPr>
              <w:jc w:val="both"/>
              <w:rPr>
                <w:rFonts w:eastAsia="Calibri"/>
                <w:sz w:val="20"/>
              </w:rPr>
            </w:pPr>
            <w:r w:rsidRPr="00B150AF">
              <w:rPr>
                <w:rFonts w:eastAsia="Calibri"/>
                <w:sz w:val="20"/>
              </w:rPr>
              <w:t>Applicant’s applications dismissed</w:t>
            </w:r>
          </w:p>
          <w:p w:rsidR="00497CA8" w:rsidRPr="00B150AF" w:rsidRDefault="00497CA8" w:rsidP="00E767F8">
            <w:pPr>
              <w:jc w:val="both"/>
              <w:rPr>
                <w:rFonts w:eastAsia="Calibri"/>
                <w:sz w:val="20"/>
              </w:rPr>
            </w:pPr>
          </w:p>
        </w:tc>
      </w:tr>
      <w:tr w:rsidR="00497CA8" w:rsidRPr="00B150AF" w:rsidTr="0056619E">
        <w:trPr>
          <w:cantSplit/>
        </w:trPr>
        <w:tc>
          <w:tcPr>
            <w:tcW w:w="2427" w:type="pct"/>
          </w:tcPr>
          <w:p w:rsidR="00497CA8" w:rsidRPr="00B150AF" w:rsidRDefault="00497CA8" w:rsidP="00E767F8">
            <w:pPr>
              <w:jc w:val="both"/>
              <w:rPr>
                <w:rFonts w:eastAsia="Calibri"/>
                <w:sz w:val="20"/>
              </w:rPr>
            </w:pPr>
            <w:r w:rsidRPr="00B150AF">
              <w:rPr>
                <w:rFonts w:eastAsia="Calibri"/>
                <w:sz w:val="20"/>
              </w:rPr>
              <w:t>September 13, 2011</w:t>
            </w:r>
          </w:p>
          <w:p w:rsidR="00497CA8" w:rsidRPr="00B150AF" w:rsidRDefault="00497CA8" w:rsidP="00E767F8">
            <w:pPr>
              <w:jc w:val="both"/>
              <w:rPr>
                <w:rFonts w:eastAsia="Calibri"/>
                <w:sz w:val="20"/>
              </w:rPr>
            </w:pPr>
            <w:r w:rsidRPr="00B150AF">
              <w:rPr>
                <w:rFonts w:eastAsia="Calibri"/>
                <w:sz w:val="20"/>
              </w:rPr>
              <w:t>Court of Appeal for British Columbia (Vancouver)</w:t>
            </w:r>
          </w:p>
          <w:p w:rsidR="00497CA8" w:rsidRPr="00B150AF" w:rsidRDefault="00497CA8" w:rsidP="00E767F8">
            <w:pPr>
              <w:jc w:val="both"/>
              <w:rPr>
                <w:rFonts w:eastAsia="Calibri"/>
                <w:sz w:val="20"/>
              </w:rPr>
            </w:pPr>
            <w:r w:rsidRPr="00B150AF">
              <w:rPr>
                <w:rFonts w:eastAsia="Calibri"/>
                <w:sz w:val="20"/>
              </w:rPr>
              <w:t>(Hall J.A.)</w:t>
            </w:r>
          </w:p>
          <w:p w:rsidR="00497CA8" w:rsidRPr="00B150AF" w:rsidRDefault="00497CA8" w:rsidP="00E767F8">
            <w:pPr>
              <w:jc w:val="both"/>
              <w:rPr>
                <w:rFonts w:eastAsia="Calibri"/>
                <w:sz w:val="20"/>
              </w:rPr>
            </w:pPr>
          </w:p>
        </w:tc>
        <w:tc>
          <w:tcPr>
            <w:tcW w:w="243" w:type="pct"/>
          </w:tcPr>
          <w:p w:rsidR="00497CA8" w:rsidRPr="00B150AF" w:rsidRDefault="00497CA8" w:rsidP="00E767F8">
            <w:pPr>
              <w:jc w:val="both"/>
              <w:rPr>
                <w:rFonts w:eastAsia="Calibri"/>
                <w:sz w:val="20"/>
              </w:rPr>
            </w:pPr>
          </w:p>
        </w:tc>
        <w:tc>
          <w:tcPr>
            <w:tcW w:w="2330" w:type="pct"/>
          </w:tcPr>
          <w:p w:rsidR="00497CA8" w:rsidRPr="00B150AF" w:rsidRDefault="00497CA8" w:rsidP="00E767F8">
            <w:pPr>
              <w:jc w:val="both"/>
              <w:rPr>
                <w:rFonts w:eastAsia="Calibri"/>
                <w:sz w:val="20"/>
              </w:rPr>
            </w:pPr>
            <w:r w:rsidRPr="00B150AF">
              <w:rPr>
                <w:rFonts w:eastAsia="Calibri"/>
                <w:sz w:val="20"/>
              </w:rPr>
              <w:t>Appeal dismissed; Applicant precluded from filing further documents without leave</w:t>
            </w:r>
          </w:p>
          <w:p w:rsidR="00497CA8" w:rsidRPr="00B150AF" w:rsidRDefault="00497CA8" w:rsidP="00E767F8">
            <w:pPr>
              <w:jc w:val="both"/>
              <w:rPr>
                <w:rFonts w:eastAsia="Calibri"/>
                <w:sz w:val="20"/>
              </w:rPr>
            </w:pPr>
          </w:p>
        </w:tc>
      </w:tr>
      <w:tr w:rsidR="00497CA8" w:rsidRPr="00B150AF" w:rsidTr="0056619E">
        <w:trPr>
          <w:cantSplit/>
        </w:trPr>
        <w:tc>
          <w:tcPr>
            <w:tcW w:w="2427" w:type="pct"/>
          </w:tcPr>
          <w:p w:rsidR="00497CA8" w:rsidRPr="00B150AF" w:rsidRDefault="00497CA8" w:rsidP="00E767F8">
            <w:pPr>
              <w:jc w:val="both"/>
              <w:rPr>
                <w:rFonts w:eastAsia="Calibri"/>
                <w:sz w:val="20"/>
              </w:rPr>
            </w:pPr>
            <w:r w:rsidRPr="00B150AF">
              <w:rPr>
                <w:rFonts w:eastAsia="Calibri"/>
                <w:sz w:val="20"/>
              </w:rPr>
              <w:t>February 20, 2012</w:t>
            </w:r>
          </w:p>
          <w:p w:rsidR="00497CA8" w:rsidRPr="00B150AF" w:rsidRDefault="00497CA8" w:rsidP="00E767F8">
            <w:pPr>
              <w:jc w:val="both"/>
              <w:rPr>
                <w:rFonts w:eastAsia="Calibri"/>
                <w:sz w:val="20"/>
              </w:rPr>
            </w:pPr>
            <w:r w:rsidRPr="00B150AF">
              <w:rPr>
                <w:rFonts w:eastAsia="Calibri"/>
                <w:sz w:val="20"/>
              </w:rPr>
              <w:t>Court of Appeal for British Columbia (Vancouver)</w:t>
            </w:r>
          </w:p>
          <w:p w:rsidR="00497CA8" w:rsidRPr="00B150AF" w:rsidRDefault="00497CA8" w:rsidP="00E767F8">
            <w:pPr>
              <w:jc w:val="both"/>
              <w:rPr>
                <w:rFonts w:eastAsia="Calibri"/>
                <w:sz w:val="20"/>
              </w:rPr>
            </w:pPr>
            <w:r w:rsidRPr="00B150AF">
              <w:rPr>
                <w:rFonts w:eastAsia="Calibri"/>
                <w:sz w:val="20"/>
              </w:rPr>
              <w:t>(Lowry, Tysoe and Bennett JJ.A.)</w:t>
            </w:r>
          </w:p>
          <w:p w:rsidR="00497CA8" w:rsidRPr="00B150AF" w:rsidRDefault="00497CA8" w:rsidP="00E767F8">
            <w:pPr>
              <w:jc w:val="both"/>
              <w:rPr>
                <w:rFonts w:eastAsia="Calibri"/>
                <w:sz w:val="20"/>
              </w:rPr>
            </w:pPr>
            <w:r w:rsidRPr="00B150AF">
              <w:rPr>
                <w:rFonts w:eastAsia="Calibri"/>
                <w:sz w:val="20"/>
              </w:rPr>
              <w:t xml:space="preserve">2011 BCCA 369 </w:t>
            </w:r>
          </w:p>
          <w:p w:rsidR="00497CA8" w:rsidRPr="00B150AF" w:rsidRDefault="00497CA8" w:rsidP="00E767F8">
            <w:pPr>
              <w:jc w:val="both"/>
              <w:rPr>
                <w:rFonts w:eastAsia="Calibri"/>
                <w:sz w:val="20"/>
              </w:rPr>
            </w:pPr>
          </w:p>
        </w:tc>
        <w:tc>
          <w:tcPr>
            <w:tcW w:w="243" w:type="pct"/>
          </w:tcPr>
          <w:p w:rsidR="00497CA8" w:rsidRPr="00B150AF" w:rsidRDefault="00497CA8" w:rsidP="00E767F8">
            <w:pPr>
              <w:jc w:val="both"/>
              <w:rPr>
                <w:rFonts w:eastAsia="Calibri"/>
                <w:sz w:val="20"/>
              </w:rPr>
            </w:pPr>
          </w:p>
        </w:tc>
        <w:tc>
          <w:tcPr>
            <w:tcW w:w="2330" w:type="pct"/>
          </w:tcPr>
          <w:p w:rsidR="00497CA8" w:rsidRPr="00B150AF" w:rsidRDefault="00497CA8" w:rsidP="00E767F8">
            <w:pPr>
              <w:jc w:val="both"/>
              <w:rPr>
                <w:rFonts w:eastAsia="Calibri"/>
                <w:sz w:val="20"/>
              </w:rPr>
            </w:pPr>
            <w:r w:rsidRPr="00B150AF">
              <w:rPr>
                <w:rFonts w:eastAsia="Calibri"/>
                <w:sz w:val="20"/>
              </w:rPr>
              <w:t>Applicant’s application for review dismissed</w:t>
            </w:r>
          </w:p>
          <w:p w:rsidR="00497CA8" w:rsidRPr="00B150AF" w:rsidRDefault="00497CA8" w:rsidP="00E767F8">
            <w:pPr>
              <w:jc w:val="both"/>
              <w:rPr>
                <w:rFonts w:eastAsia="Calibri"/>
                <w:sz w:val="20"/>
              </w:rPr>
            </w:pPr>
          </w:p>
        </w:tc>
      </w:tr>
      <w:tr w:rsidR="00497CA8" w:rsidRPr="00B150AF" w:rsidTr="0056619E">
        <w:trPr>
          <w:cantSplit/>
        </w:trPr>
        <w:tc>
          <w:tcPr>
            <w:tcW w:w="2427" w:type="pct"/>
          </w:tcPr>
          <w:p w:rsidR="00497CA8" w:rsidRPr="00B150AF" w:rsidRDefault="00497CA8" w:rsidP="00E767F8">
            <w:pPr>
              <w:jc w:val="both"/>
              <w:rPr>
                <w:rFonts w:eastAsia="Calibri"/>
                <w:sz w:val="20"/>
              </w:rPr>
            </w:pPr>
            <w:r w:rsidRPr="00B150AF">
              <w:rPr>
                <w:rFonts w:eastAsia="Calibri"/>
                <w:sz w:val="20"/>
              </w:rPr>
              <w:t>April 17, 2012</w:t>
            </w:r>
          </w:p>
          <w:p w:rsidR="00497CA8" w:rsidRPr="00B150AF" w:rsidRDefault="00497CA8" w:rsidP="00E767F8">
            <w:pPr>
              <w:jc w:val="both"/>
              <w:rPr>
                <w:rFonts w:eastAsia="Calibri"/>
                <w:sz w:val="20"/>
              </w:rPr>
            </w:pPr>
            <w:r w:rsidRPr="00B150AF">
              <w:rPr>
                <w:rFonts w:eastAsia="Calibri"/>
                <w:sz w:val="20"/>
              </w:rPr>
              <w:t>Supreme Court of Canada</w:t>
            </w:r>
          </w:p>
        </w:tc>
        <w:tc>
          <w:tcPr>
            <w:tcW w:w="243" w:type="pct"/>
          </w:tcPr>
          <w:p w:rsidR="00497CA8" w:rsidRPr="00B150AF" w:rsidRDefault="00497CA8" w:rsidP="00E767F8">
            <w:pPr>
              <w:jc w:val="both"/>
              <w:rPr>
                <w:rFonts w:eastAsia="Calibri"/>
                <w:sz w:val="20"/>
              </w:rPr>
            </w:pPr>
          </w:p>
        </w:tc>
        <w:tc>
          <w:tcPr>
            <w:tcW w:w="2330" w:type="pct"/>
          </w:tcPr>
          <w:p w:rsidR="00497CA8" w:rsidRPr="00B150AF" w:rsidRDefault="00497CA8" w:rsidP="00E767F8">
            <w:pPr>
              <w:jc w:val="both"/>
              <w:rPr>
                <w:rFonts w:eastAsia="Calibri"/>
                <w:sz w:val="20"/>
              </w:rPr>
            </w:pPr>
            <w:r w:rsidRPr="00B150AF">
              <w:rPr>
                <w:rFonts w:eastAsia="Calibri"/>
                <w:sz w:val="20"/>
              </w:rPr>
              <w:t>Application for leave to appeal filed</w:t>
            </w:r>
          </w:p>
          <w:p w:rsidR="00497CA8" w:rsidRPr="00B150AF" w:rsidRDefault="00497CA8" w:rsidP="00E767F8">
            <w:pPr>
              <w:jc w:val="both"/>
              <w:rPr>
                <w:rFonts w:eastAsia="Calibri"/>
                <w:sz w:val="20"/>
              </w:rPr>
            </w:pPr>
          </w:p>
        </w:tc>
      </w:tr>
    </w:tbl>
    <w:p w:rsidR="006748AB" w:rsidRDefault="006748AB" w:rsidP="006748AB">
      <w:pPr>
        <w:rPr>
          <w:sz w:val="20"/>
          <w:szCs w:val="20"/>
        </w:rPr>
      </w:pPr>
    </w:p>
    <w:p w:rsidR="006748AB" w:rsidRPr="00C50A5C" w:rsidRDefault="007333FF" w:rsidP="006748AB">
      <w:pPr>
        <w:rPr>
          <w:sz w:val="20"/>
          <w:szCs w:val="20"/>
        </w:rPr>
      </w:pPr>
      <w:r w:rsidRPr="007333FF">
        <w:rPr>
          <w:sz w:val="20"/>
          <w:szCs w:val="20"/>
          <w:lang w:val="fr-CA"/>
        </w:rPr>
        <w:pict>
          <v:rect id="_x0000_i1058" style="width:2in;height:1pt" o:hrpct="0" o:hralign="center" o:hrstd="t" o:hrnoshade="t" o:hr="t" fillcolor="black [3213]" stroked="f"/>
        </w:pict>
      </w:r>
    </w:p>
    <w:p w:rsidR="006748AB" w:rsidRDefault="006748AB" w:rsidP="006748AB">
      <w:pPr>
        <w:rPr>
          <w:sz w:val="20"/>
          <w:szCs w:val="20"/>
        </w:rPr>
      </w:pPr>
    </w:p>
    <w:p w:rsidR="006748AB" w:rsidRPr="001B157C" w:rsidRDefault="006748AB" w:rsidP="006748AB">
      <w:pPr>
        <w:rPr>
          <w:sz w:val="20"/>
          <w:szCs w:val="20"/>
          <w:u w:val="single"/>
          <w:lang w:val="fr-CA"/>
        </w:rPr>
      </w:pPr>
      <w:r w:rsidRPr="001B157C">
        <w:rPr>
          <w:sz w:val="20"/>
          <w:szCs w:val="20"/>
          <w:u w:val="single"/>
          <w:lang w:val="fr-CA"/>
        </w:rPr>
        <w:t>RÉSUMÉ DE L’AFFAIRE</w:t>
      </w:r>
    </w:p>
    <w:p w:rsidR="006748AB" w:rsidRDefault="006748AB" w:rsidP="006748AB">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497CA8" w:rsidRPr="003626B6" w:rsidTr="00E767F8">
        <w:tc>
          <w:tcPr>
            <w:tcW w:w="5000" w:type="pct"/>
            <w:gridSpan w:val="3"/>
          </w:tcPr>
          <w:p w:rsidR="00497CA8" w:rsidRPr="00B150AF" w:rsidRDefault="00497CA8" w:rsidP="00E767F8">
            <w:pPr>
              <w:jc w:val="both"/>
              <w:rPr>
                <w:rFonts w:eastAsia="Calibri"/>
                <w:sz w:val="20"/>
                <w:lang w:val="fr-CA"/>
              </w:rPr>
            </w:pPr>
            <w:r w:rsidRPr="00B150AF">
              <w:rPr>
                <w:rFonts w:eastAsia="Calibri"/>
                <w:sz w:val="20"/>
                <w:lang w:val="fr-CA"/>
              </w:rPr>
              <w:t>Procédure civile – Appels – Action du demandeur rejetée – Les juridictions inférieures avaient-elles un parti pris? – Le demandeur a-t-il eu droit à une audience équitable?</w:t>
            </w:r>
          </w:p>
        </w:tc>
      </w:tr>
      <w:tr w:rsidR="00497CA8" w:rsidRPr="003626B6" w:rsidTr="00E767F8">
        <w:tc>
          <w:tcPr>
            <w:tcW w:w="5000" w:type="pct"/>
            <w:gridSpan w:val="3"/>
          </w:tcPr>
          <w:p w:rsidR="00497CA8" w:rsidRPr="00B150AF" w:rsidRDefault="00497CA8" w:rsidP="00E767F8">
            <w:pPr>
              <w:jc w:val="both"/>
              <w:rPr>
                <w:rFonts w:eastAsia="Calibri"/>
                <w:sz w:val="20"/>
                <w:lang w:val="fr-CA"/>
              </w:rPr>
            </w:pPr>
          </w:p>
        </w:tc>
      </w:tr>
      <w:tr w:rsidR="00497CA8" w:rsidRPr="003626B6" w:rsidTr="00E767F8">
        <w:tc>
          <w:tcPr>
            <w:tcW w:w="5000" w:type="pct"/>
            <w:gridSpan w:val="3"/>
          </w:tcPr>
          <w:p w:rsidR="00497CA8" w:rsidRPr="00B150AF" w:rsidRDefault="00497CA8" w:rsidP="00E767F8">
            <w:pPr>
              <w:jc w:val="both"/>
              <w:rPr>
                <w:rFonts w:eastAsia="Calibri"/>
                <w:sz w:val="20"/>
                <w:lang w:val="fr-CA"/>
              </w:rPr>
            </w:pPr>
            <w:r w:rsidRPr="00B150AF">
              <w:rPr>
                <w:rFonts w:eastAsia="Calibri"/>
                <w:sz w:val="20"/>
                <w:lang w:val="fr-CA"/>
              </w:rPr>
              <w:t>Monsieur Keremelevski a intenté deux actions en dommages-intérêts après avoir été impliqué dans deux accidents de la route en 2005.  En 2008, alors que M. Keremelevski devait se trouver à une conférence de gestion d’instance, il a été impliqué dans une altercation au palais de justice à la suite de quoi il passé une journée en prison et une ordonnance a été rendue le sommant de comparaître devant un juge pour expliquer sa conduite et de s'engager formellement à se comporter convenablement. Il a demandé que l'instruction de ses actions se fasse au palais de justice de Vancouver plutôt qu'à celui de New Westminister, mais sa requête a été rejetée. En 2010, les intimés ont obtenu le rejet des actions pour défaut de poursuivre. Monsieur Keremelevski a présenté quatre demandes au tribunal à Vancouver.</w:t>
            </w:r>
          </w:p>
          <w:p w:rsidR="00497CA8" w:rsidRPr="00B150AF" w:rsidRDefault="00497CA8" w:rsidP="00E767F8">
            <w:pPr>
              <w:jc w:val="both"/>
              <w:rPr>
                <w:rFonts w:eastAsia="Calibri"/>
                <w:sz w:val="20"/>
                <w:lang w:val="fr-CA"/>
              </w:rPr>
            </w:pPr>
          </w:p>
        </w:tc>
      </w:tr>
      <w:tr w:rsidR="00497CA8" w:rsidRPr="00B150AF" w:rsidTr="00E767F8">
        <w:tc>
          <w:tcPr>
            <w:tcW w:w="2427" w:type="pct"/>
          </w:tcPr>
          <w:p w:rsidR="00497CA8" w:rsidRPr="00B150AF" w:rsidRDefault="00497CA8" w:rsidP="00E767F8">
            <w:pPr>
              <w:jc w:val="both"/>
              <w:rPr>
                <w:rFonts w:eastAsia="Calibri"/>
                <w:sz w:val="20"/>
                <w:lang w:val="fr-CA"/>
              </w:rPr>
            </w:pPr>
            <w:r w:rsidRPr="00B150AF">
              <w:rPr>
                <w:rFonts w:eastAsia="Calibri"/>
                <w:sz w:val="20"/>
                <w:lang w:val="fr-CA"/>
              </w:rPr>
              <w:t>30 mars 2010</w:t>
            </w:r>
          </w:p>
          <w:p w:rsidR="00497CA8" w:rsidRPr="00B150AF" w:rsidRDefault="00497CA8" w:rsidP="00E767F8">
            <w:pPr>
              <w:jc w:val="both"/>
              <w:rPr>
                <w:rFonts w:eastAsia="Calibri"/>
                <w:sz w:val="20"/>
                <w:lang w:val="fr-CA"/>
              </w:rPr>
            </w:pPr>
            <w:r w:rsidRPr="00B150AF">
              <w:rPr>
                <w:rFonts w:eastAsia="Calibri"/>
                <w:sz w:val="20"/>
                <w:lang w:val="fr-CA"/>
              </w:rPr>
              <w:t xml:space="preserve">Cour suprême de la Colombie-Britannique </w:t>
            </w:r>
          </w:p>
          <w:p w:rsidR="00497CA8" w:rsidRPr="00B150AF" w:rsidRDefault="00497CA8" w:rsidP="00E767F8">
            <w:pPr>
              <w:jc w:val="both"/>
              <w:rPr>
                <w:rFonts w:eastAsia="Calibri"/>
                <w:sz w:val="20"/>
                <w:lang w:val="fr-CA"/>
              </w:rPr>
            </w:pPr>
            <w:r w:rsidRPr="00B150AF">
              <w:rPr>
                <w:rFonts w:eastAsia="Calibri"/>
                <w:sz w:val="20"/>
                <w:lang w:val="fr-CA"/>
              </w:rPr>
              <w:t>(Juge Sewell)</w:t>
            </w:r>
          </w:p>
          <w:p w:rsidR="00497CA8" w:rsidRPr="00B150AF" w:rsidRDefault="00497CA8" w:rsidP="00E767F8">
            <w:pPr>
              <w:jc w:val="both"/>
              <w:rPr>
                <w:rFonts w:eastAsia="Calibri"/>
                <w:sz w:val="20"/>
                <w:lang w:val="fr-CA"/>
              </w:rPr>
            </w:pPr>
          </w:p>
        </w:tc>
        <w:tc>
          <w:tcPr>
            <w:tcW w:w="243" w:type="pct"/>
          </w:tcPr>
          <w:p w:rsidR="00497CA8" w:rsidRPr="00B150AF" w:rsidRDefault="00497CA8" w:rsidP="00E767F8">
            <w:pPr>
              <w:jc w:val="both"/>
              <w:rPr>
                <w:rFonts w:eastAsia="Calibri"/>
                <w:sz w:val="20"/>
                <w:lang w:val="fr-CA"/>
              </w:rPr>
            </w:pPr>
          </w:p>
        </w:tc>
        <w:tc>
          <w:tcPr>
            <w:tcW w:w="2330" w:type="pct"/>
          </w:tcPr>
          <w:p w:rsidR="00497CA8" w:rsidRPr="00B150AF" w:rsidRDefault="00497CA8" w:rsidP="00E767F8">
            <w:pPr>
              <w:jc w:val="both"/>
              <w:rPr>
                <w:rFonts w:eastAsia="Calibri"/>
                <w:sz w:val="20"/>
                <w:lang w:val="fr-CA"/>
              </w:rPr>
            </w:pPr>
            <w:r w:rsidRPr="00B150AF">
              <w:rPr>
                <w:rFonts w:eastAsia="Calibri"/>
                <w:sz w:val="20"/>
                <w:lang w:val="fr-CA"/>
              </w:rPr>
              <w:t>Demandes du demandeur rejetées</w:t>
            </w:r>
          </w:p>
          <w:p w:rsidR="00497CA8" w:rsidRPr="00B150AF" w:rsidRDefault="00497CA8" w:rsidP="00E767F8">
            <w:pPr>
              <w:jc w:val="both"/>
              <w:rPr>
                <w:rFonts w:eastAsia="Calibri"/>
                <w:sz w:val="20"/>
                <w:lang w:val="fr-CA"/>
              </w:rPr>
            </w:pPr>
          </w:p>
          <w:p w:rsidR="00497CA8" w:rsidRPr="00B150AF" w:rsidRDefault="00497CA8" w:rsidP="00E767F8">
            <w:pPr>
              <w:jc w:val="both"/>
              <w:rPr>
                <w:rFonts w:eastAsia="Calibri"/>
                <w:sz w:val="20"/>
                <w:lang w:val="fr-CA"/>
              </w:rPr>
            </w:pPr>
          </w:p>
        </w:tc>
      </w:tr>
      <w:tr w:rsidR="00497CA8" w:rsidRPr="003626B6" w:rsidTr="00E767F8">
        <w:tc>
          <w:tcPr>
            <w:tcW w:w="2427" w:type="pct"/>
          </w:tcPr>
          <w:p w:rsidR="00497CA8" w:rsidRPr="00B150AF" w:rsidRDefault="00497CA8" w:rsidP="00E767F8">
            <w:pPr>
              <w:jc w:val="both"/>
              <w:rPr>
                <w:rFonts w:eastAsia="Calibri"/>
                <w:sz w:val="20"/>
                <w:lang w:val="fr-CA"/>
              </w:rPr>
            </w:pPr>
            <w:r w:rsidRPr="00B150AF">
              <w:rPr>
                <w:rFonts w:eastAsia="Calibri"/>
                <w:sz w:val="20"/>
                <w:lang w:val="fr-CA"/>
              </w:rPr>
              <w:t>13 septembre 2011</w:t>
            </w:r>
          </w:p>
          <w:p w:rsidR="00497CA8" w:rsidRPr="00B150AF" w:rsidRDefault="00497CA8" w:rsidP="00E767F8">
            <w:pPr>
              <w:jc w:val="both"/>
              <w:rPr>
                <w:rFonts w:eastAsia="Calibri"/>
                <w:sz w:val="20"/>
                <w:lang w:val="fr-CA"/>
              </w:rPr>
            </w:pPr>
            <w:r w:rsidRPr="00B150AF">
              <w:rPr>
                <w:rFonts w:eastAsia="Calibri"/>
                <w:sz w:val="20"/>
                <w:lang w:val="fr-CA"/>
              </w:rPr>
              <w:t>Cour d'appel de la Colombie-Britannique (Vancouver)</w:t>
            </w:r>
          </w:p>
          <w:p w:rsidR="00497CA8" w:rsidRPr="00B150AF" w:rsidRDefault="00497CA8" w:rsidP="00E767F8">
            <w:pPr>
              <w:jc w:val="both"/>
              <w:rPr>
                <w:rFonts w:eastAsia="Calibri"/>
                <w:sz w:val="20"/>
                <w:lang w:val="fr-CA"/>
              </w:rPr>
            </w:pPr>
            <w:r w:rsidRPr="00B150AF">
              <w:rPr>
                <w:rFonts w:eastAsia="Calibri"/>
                <w:sz w:val="20"/>
                <w:lang w:val="fr-CA"/>
              </w:rPr>
              <w:t>(Juge Hall)</w:t>
            </w:r>
          </w:p>
          <w:p w:rsidR="00497CA8" w:rsidRPr="00B150AF" w:rsidRDefault="00497CA8" w:rsidP="00E767F8">
            <w:pPr>
              <w:jc w:val="both"/>
              <w:rPr>
                <w:rFonts w:eastAsia="Calibri"/>
                <w:sz w:val="20"/>
                <w:lang w:val="fr-CA"/>
              </w:rPr>
            </w:pPr>
          </w:p>
        </w:tc>
        <w:tc>
          <w:tcPr>
            <w:tcW w:w="243" w:type="pct"/>
          </w:tcPr>
          <w:p w:rsidR="00497CA8" w:rsidRPr="00B150AF" w:rsidRDefault="00497CA8" w:rsidP="00E767F8">
            <w:pPr>
              <w:jc w:val="both"/>
              <w:rPr>
                <w:rFonts w:eastAsia="Calibri"/>
                <w:sz w:val="20"/>
                <w:lang w:val="fr-CA"/>
              </w:rPr>
            </w:pPr>
          </w:p>
        </w:tc>
        <w:tc>
          <w:tcPr>
            <w:tcW w:w="2330" w:type="pct"/>
          </w:tcPr>
          <w:p w:rsidR="00497CA8" w:rsidRPr="00B150AF" w:rsidRDefault="00497CA8" w:rsidP="00E767F8">
            <w:pPr>
              <w:jc w:val="both"/>
              <w:rPr>
                <w:rFonts w:eastAsia="Calibri"/>
                <w:sz w:val="20"/>
                <w:lang w:val="fr-CA"/>
              </w:rPr>
            </w:pPr>
            <w:r w:rsidRPr="00B150AF">
              <w:rPr>
                <w:rFonts w:eastAsia="Calibri"/>
                <w:sz w:val="20"/>
                <w:lang w:val="fr-CA"/>
              </w:rPr>
              <w:t>Appel rejeté; le demandeur ne peut déposer d'autres documents sans autorisation</w:t>
            </w:r>
          </w:p>
          <w:p w:rsidR="00497CA8" w:rsidRPr="00B150AF" w:rsidRDefault="00497CA8" w:rsidP="00E767F8">
            <w:pPr>
              <w:jc w:val="both"/>
              <w:rPr>
                <w:rFonts w:eastAsia="Calibri"/>
                <w:sz w:val="20"/>
                <w:lang w:val="fr-CA"/>
              </w:rPr>
            </w:pPr>
          </w:p>
          <w:p w:rsidR="00497CA8" w:rsidRPr="00B150AF" w:rsidRDefault="00497CA8" w:rsidP="00E767F8">
            <w:pPr>
              <w:jc w:val="both"/>
              <w:rPr>
                <w:rFonts w:eastAsia="Calibri"/>
                <w:sz w:val="20"/>
                <w:lang w:val="fr-CA"/>
              </w:rPr>
            </w:pPr>
          </w:p>
        </w:tc>
      </w:tr>
      <w:tr w:rsidR="00497CA8" w:rsidRPr="003626B6" w:rsidTr="00E767F8">
        <w:tc>
          <w:tcPr>
            <w:tcW w:w="2427" w:type="pct"/>
          </w:tcPr>
          <w:p w:rsidR="00497CA8" w:rsidRPr="00B150AF" w:rsidRDefault="00497CA8" w:rsidP="00E767F8">
            <w:pPr>
              <w:jc w:val="both"/>
              <w:rPr>
                <w:rFonts w:eastAsia="Calibri"/>
                <w:sz w:val="20"/>
                <w:lang w:val="fr-CA"/>
              </w:rPr>
            </w:pPr>
            <w:r w:rsidRPr="00B150AF">
              <w:rPr>
                <w:rFonts w:eastAsia="Calibri"/>
                <w:sz w:val="20"/>
                <w:lang w:val="fr-CA"/>
              </w:rPr>
              <w:t>20 février 2012</w:t>
            </w:r>
          </w:p>
          <w:p w:rsidR="00497CA8" w:rsidRPr="00B150AF" w:rsidRDefault="00497CA8" w:rsidP="00E767F8">
            <w:pPr>
              <w:jc w:val="both"/>
              <w:rPr>
                <w:rFonts w:eastAsia="Calibri"/>
                <w:sz w:val="20"/>
                <w:lang w:val="fr-CA"/>
              </w:rPr>
            </w:pPr>
            <w:r w:rsidRPr="00B150AF">
              <w:rPr>
                <w:rFonts w:eastAsia="Calibri"/>
                <w:sz w:val="20"/>
                <w:lang w:val="fr-CA"/>
              </w:rPr>
              <w:t>Cour d'appel de la Colombie Britannique (Vancouver)</w:t>
            </w:r>
          </w:p>
          <w:p w:rsidR="00497CA8" w:rsidRPr="00B150AF" w:rsidRDefault="00497CA8" w:rsidP="00E767F8">
            <w:pPr>
              <w:jc w:val="both"/>
              <w:rPr>
                <w:rFonts w:eastAsia="Calibri"/>
                <w:sz w:val="20"/>
                <w:lang w:val="fr-CA"/>
              </w:rPr>
            </w:pPr>
            <w:r w:rsidRPr="00B150AF">
              <w:rPr>
                <w:rFonts w:eastAsia="Calibri"/>
                <w:sz w:val="20"/>
                <w:lang w:val="fr-CA"/>
              </w:rPr>
              <w:t>(Juges Lowry, Tysoe et Bennett)</w:t>
            </w:r>
          </w:p>
          <w:p w:rsidR="00497CA8" w:rsidRPr="00B150AF" w:rsidRDefault="00497CA8" w:rsidP="00E767F8">
            <w:pPr>
              <w:jc w:val="both"/>
              <w:rPr>
                <w:rFonts w:eastAsia="Calibri"/>
                <w:sz w:val="20"/>
                <w:lang w:val="fr-CA"/>
              </w:rPr>
            </w:pPr>
            <w:r w:rsidRPr="00B150AF">
              <w:rPr>
                <w:rFonts w:eastAsia="Calibri"/>
                <w:sz w:val="20"/>
                <w:lang w:val="fr-CA"/>
              </w:rPr>
              <w:t xml:space="preserve">2011 BCCA 369 </w:t>
            </w:r>
          </w:p>
          <w:p w:rsidR="00497CA8" w:rsidRPr="00B150AF" w:rsidRDefault="00497CA8" w:rsidP="00E767F8">
            <w:pPr>
              <w:jc w:val="both"/>
              <w:rPr>
                <w:rFonts w:eastAsia="Calibri"/>
                <w:sz w:val="20"/>
                <w:lang w:val="fr-CA"/>
              </w:rPr>
            </w:pPr>
          </w:p>
        </w:tc>
        <w:tc>
          <w:tcPr>
            <w:tcW w:w="243" w:type="pct"/>
          </w:tcPr>
          <w:p w:rsidR="00497CA8" w:rsidRPr="00B150AF" w:rsidRDefault="00497CA8" w:rsidP="00E767F8">
            <w:pPr>
              <w:jc w:val="both"/>
              <w:rPr>
                <w:rFonts w:eastAsia="Calibri"/>
                <w:sz w:val="20"/>
                <w:lang w:val="fr-CA"/>
              </w:rPr>
            </w:pPr>
          </w:p>
        </w:tc>
        <w:tc>
          <w:tcPr>
            <w:tcW w:w="2330" w:type="pct"/>
          </w:tcPr>
          <w:p w:rsidR="00497CA8" w:rsidRPr="00B150AF" w:rsidRDefault="00497CA8" w:rsidP="00E767F8">
            <w:pPr>
              <w:jc w:val="both"/>
              <w:rPr>
                <w:rFonts w:eastAsia="Calibri"/>
                <w:sz w:val="20"/>
                <w:lang w:val="fr-CA"/>
              </w:rPr>
            </w:pPr>
            <w:r w:rsidRPr="00B150AF">
              <w:rPr>
                <w:rFonts w:eastAsia="Calibri"/>
                <w:sz w:val="20"/>
                <w:lang w:val="fr-CA"/>
              </w:rPr>
              <w:t>Demande de révision du demandeur, rejetée</w:t>
            </w:r>
          </w:p>
          <w:p w:rsidR="00497CA8" w:rsidRPr="00B150AF" w:rsidRDefault="00497CA8" w:rsidP="00E767F8">
            <w:pPr>
              <w:jc w:val="both"/>
              <w:rPr>
                <w:rFonts w:eastAsia="Calibri"/>
                <w:sz w:val="20"/>
                <w:lang w:val="fr-CA"/>
              </w:rPr>
            </w:pPr>
          </w:p>
        </w:tc>
      </w:tr>
      <w:tr w:rsidR="00497CA8" w:rsidRPr="00B150AF" w:rsidTr="00E767F8">
        <w:tc>
          <w:tcPr>
            <w:tcW w:w="2427" w:type="pct"/>
          </w:tcPr>
          <w:p w:rsidR="00497CA8" w:rsidRPr="00B150AF" w:rsidRDefault="00497CA8" w:rsidP="00E767F8">
            <w:pPr>
              <w:jc w:val="both"/>
              <w:rPr>
                <w:rFonts w:eastAsia="Calibri"/>
                <w:sz w:val="20"/>
                <w:lang w:val="fr-CA"/>
              </w:rPr>
            </w:pPr>
            <w:r w:rsidRPr="00B150AF">
              <w:rPr>
                <w:rFonts w:eastAsia="Calibri"/>
                <w:sz w:val="20"/>
                <w:lang w:val="fr-CA"/>
              </w:rPr>
              <w:t>17 avril 2012</w:t>
            </w:r>
          </w:p>
          <w:p w:rsidR="00497CA8" w:rsidRPr="00B150AF" w:rsidRDefault="00497CA8" w:rsidP="00E767F8">
            <w:pPr>
              <w:jc w:val="both"/>
              <w:rPr>
                <w:rFonts w:eastAsia="Calibri"/>
                <w:sz w:val="20"/>
                <w:lang w:val="fr-CA"/>
              </w:rPr>
            </w:pPr>
            <w:r w:rsidRPr="00B150AF">
              <w:rPr>
                <w:rFonts w:eastAsia="Calibri"/>
                <w:sz w:val="20"/>
                <w:lang w:val="fr-CA"/>
              </w:rPr>
              <w:t>Cour suprême du Canada</w:t>
            </w:r>
          </w:p>
        </w:tc>
        <w:tc>
          <w:tcPr>
            <w:tcW w:w="243" w:type="pct"/>
          </w:tcPr>
          <w:p w:rsidR="00497CA8" w:rsidRPr="00B150AF" w:rsidRDefault="00497CA8" w:rsidP="00E767F8">
            <w:pPr>
              <w:jc w:val="both"/>
              <w:rPr>
                <w:rFonts w:eastAsia="Calibri"/>
                <w:sz w:val="20"/>
                <w:lang w:val="fr-CA"/>
              </w:rPr>
            </w:pPr>
          </w:p>
        </w:tc>
        <w:tc>
          <w:tcPr>
            <w:tcW w:w="2330" w:type="pct"/>
          </w:tcPr>
          <w:p w:rsidR="00497CA8" w:rsidRPr="00B150AF" w:rsidRDefault="00497CA8" w:rsidP="00E767F8">
            <w:pPr>
              <w:jc w:val="both"/>
              <w:rPr>
                <w:rFonts w:eastAsia="Calibri"/>
                <w:sz w:val="20"/>
                <w:lang w:val="fr-CA"/>
              </w:rPr>
            </w:pPr>
            <w:r w:rsidRPr="00B150AF">
              <w:rPr>
                <w:rFonts w:eastAsia="Calibri"/>
                <w:sz w:val="20"/>
                <w:lang w:val="fr-CA"/>
              </w:rPr>
              <w:t>Demande d'autorisation d'appel, déposée</w:t>
            </w:r>
          </w:p>
          <w:p w:rsidR="00497CA8" w:rsidRPr="00B150AF" w:rsidRDefault="00497CA8" w:rsidP="00E767F8">
            <w:pPr>
              <w:jc w:val="both"/>
              <w:rPr>
                <w:rFonts w:eastAsia="Calibri"/>
                <w:sz w:val="20"/>
                <w:lang w:val="fr-CA"/>
              </w:rPr>
            </w:pPr>
          </w:p>
        </w:tc>
      </w:tr>
    </w:tbl>
    <w:p w:rsidR="006748AB" w:rsidRDefault="006748AB" w:rsidP="006748AB">
      <w:pPr>
        <w:rPr>
          <w:sz w:val="20"/>
          <w:szCs w:val="20"/>
        </w:rPr>
      </w:pPr>
    </w:p>
    <w:p w:rsidR="006748AB" w:rsidRDefault="007333FF" w:rsidP="006748AB">
      <w:pPr>
        <w:rPr>
          <w:sz w:val="20"/>
          <w:szCs w:val="20"/>
        </w:rPr>
      </w:pPr>
      <w:r w:rsidRPr="007333FF">
        <w:rPr>
          <w:sz w:val="20"/>
          <w:szCs w:val="20"/>
          <w:lang w:val="fr-CA"/>
        </w:rPr>
        <w:pict>
          <v:rect id="_x0000_i1059" style="width:2in;height:1pt" o:hrpct="0" o:hralign="center" o:hrstd="t" o:hrnoshade="t" o:hr="t" fillcolor="black [3213]" stroked="f"/>
        </w:pict>
      </w:r>
    </w:p>
    <w:p w:rsidR="006748AB" w:rsidRDefault="006748AB" w:rsidP="006748A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C4611" w:rsidRPr="006976EB" w:rsidTr="00123E21">
        <w:trPr>
          <w:cantSplit/>
        </w:trPr>
        <w:tc>
          <w:tcPr>
            <w:tcW w:w="1458" w:type="dxa"/>
          </w:tcPr>
          <w:p w:rsidR="004C4611" w:rsidRPr="006976EB" w:rsidRDefault="004C4611" w:rsidP="00123E21">
            <w:pPr>
              <w:rPr>
                <w:sz w:val="20"/>
                <w:szCs w:val="20"/>
              </w:rPr>
            </w:pPr>
            <w:r w:rsidRPr="006976EB">
              <w:rPr>
                <w:rStyle w:val="SCCFileNumberChar"/>
                <w:sz w:val="20"/>
                <w:szCs w:val="20"/>
              </w:rPr>
              <w:lastRenderedPageBreak/>
              <w:t>34850</w:t>
            </w:r>
          </w:p>
          <w:p w:rsidR="004C4611" w:rsidRPr="006976EB" w:rsidRDefault="004C4611" w:rsidP="00123E21">
            <w:pPr>
              <w:rPr>
                <w:b/>
                <w:sz w:val="20"/>
                <w:szCs w:val="20"/>
                <w:lang w:val="fr-CA"/>
              </w:rPr>
            </w:pPr>
          </w:p>
        </w:tc>
        <w:tc>
          <w:tcPr>
            <w:tcW w:w="8118" w:type="dxa"/>
          </w:tcPr>
          <w:p w:rsidR="004C4611" w:rsidRPr="006976EB" w:rsidRDefault="004C4611" w:rsidP="00123E21">
            <w:pPr>
              <w:jc w:val="both"/>
              <w:rPr>
                <w:sz w:val="20"/>
                <w:szCs w:val="20"/>
              </w:rPr>
            </w:pPr>
            <w:r w:rsidRPr="004C4611">
              <w:rPr>
                <w:rStyle w:val="SCCLsocChar"/>
                <w:sz w:val="20"/>
                <w:szCs w:val="20"/>
                <w:lang w:val="en-CA"/>
              </w:rPr>
              <w:t>L.P. v. Director of Child, Youth and Family Services, Province of Newfoundland and Labrador</w:t>
            </w:r>
            <w:r w:rsidRPr="006976EB">
              <w:rPr>
                <w:sz w:val="20"/>
                <w:szCs w:val="20"/>
              </w:rPr>
              <w:t xml:space="preserve"> (N.L.) (Civil) (By Leave)</w:t>
            </w:r>
          </w:p>
          <w:p w:rsidR="004C4611" w:rsidRPr="006976EB" w:rsidRDefault="004C4611" w:rsidP="00123E21">
            <w:pPr>
              <w:rPr>
                <w:sz w:val="20"/>
                <w:szCs w:val="20"/>
              </w:rPr>
            </w:pPr>
          </w:p>
        </w:tc>
      </w:tr>
      <w:tr w:rsidR="004C4611" w:rsidRPr="006976EB" w:rsidTr="00123E21">
        <w:trPr>
          <w:cantSplit/>
        </w:trPr>
        <w:tc>
          <w:tcPr>
            <w:tcW w:w="1458" w:type="dxa"/>
          </w:tcPr>
          <w:p w:rsidR="004C4611" w:rsidRPr="006976EB" w:rsidRDefault="004C4611" w:rsidP="00123E21">
            <w:pPr>
              <w:rPr>
                <w:sz w:val="20"/>
                <w:szCs w:val="20"/>
              </w:rPr>
            </w:pPr>
            <w:r w:rsidRPr="006976EB">
              <w:rPr>
                <w:sz w:val="20"/>
                <w:szCs w:val="20"/>
              </w:rPr>
              <w:t>Coram :</w:t>
            </w:r>
          </w:p>
        </w:tc>
        <w:tc>
          <w:tcPr>
            <w:tcW w:w="8118" w:type="dxa"/>
          </w:tcPr>
          <w:p w:rsidR="004C4611" w:rsidRPr="006976EB" w:rsidRDefault="004C4611" w:rsidP="00123E21">
            <w:pPr>
              <w:rPr>
                <w:sz w:val="20"/>
                <w:szCs w:val="20"/>
              </w:rPr>
            </w:pPr>
            <w:r w:rsidRPr="004C4611">
              <w:rPr>
                <w:rStyle w:val="SCCCoramChar"/>
                <w:sz w:val="20"/>
                <w:szCs w:val="20"/>
                <w:lang w:val="en-CA"/>
              </w:rPr>
              <w:t>McLachlin C.J. and Rothstein and Moldaver JJ.</w:t>
            </w:r>
          </w:p>
          <w:p w:rsidR="004C4611" w:rsidRPr="006976EB" w:rsidRDefault="004C4611" w:rsidP="00123E21">
            <w:pPr>
              <w:rPr>
                <w:sz w:val="20"/>
                <w:szCs w:val="20"/>
                <w:u w:val="single"/>
              </w:rPr>
            </w:pPr>
          </w:p>
        </w:tc>
      </w:tr>
      <w:tr w:rsidR="004C4611" w:rsidRPr="003626B6" w:rsidTr="00123E21">
        <w:trPr>
          <w:cantSplit/>
        </w:trPr>
        <w:tc>
          <w:tcPr>
            <w:tcW w:w="9576" w:type="dxa"/>
            <w:gridSpan w:val="2"/>
          </w:tcPr>
          <w:p w:rsidR="004C4611" w:rsidRPr="006976EB" w:rsidRDefault="004C4611" w:rsidP="00123E21">
            <w:pPr>
              <w:pStyle w:val="SCCShortJudgment"/>
              <w:rPr>
                <w:szCs w:val="20"/>
              </w:rPr>
            </w:pPr>
            <w:r w:rsidRPr="006976EB">
              <w:rPr>
                <w:szCs w:val="20"/>
              </w:rPr>
              <w:t>The motion for an extension of time to serve and file the application for leave to appeal is granted.  The application for leave to appeal from the judgment of the Supreme Court of Newfoundland and Labrador - Court of Appeal, Number 10/116, 2011 NLCA 61, dated September 21, 2011, is dismissed without costs.</w:t>
            </w:r>
          </w:p>
          <w:p w:rsidR="004C4611" w:rsidRPr="006976EB" w:rsidRDefault="004C4611" w:rsidP="00123E21">
            <w:pPr>
              <w:pStyle w:val="SCCShortJudgment"/>
              <w:ind w:firstLine="0"/>
              <w:rPr>
                <w:szCs w:val="20"/>
              </w:rPr>
            </w:pPr>
          </w:p>
          <w:p w:rsidR="004C4611" w:rsidRPr="006976EB" w:rsidRDefault="004C4611" w:rsidP="00123E21">
            <w:pPr>
              <w:pStyle w:val="SCCShortJudgment"/>
              <w:rPr>
                <w:szCs w:val="20"/>
                <w:lang w:val="fr-CA"/>
              </w:rPr>
            </w:pPr>
            <w:r w:rsidRPr="006976EB">
              <w:rPr>
                <w:szCs w:val="20"/>
                <w:lang w:val="fr-CA"/>
              </w:rPr>
              <w:t>La requête en prorogation du délai de signification et de dépôt de la demande d’autorisation d’appel est accueillie. La demande d’autorisation d’appel de l’arrêt de la Cour suprême de Terre-Neuve-et-Labrador - Cour d’appel, numéro 10/116, 2011 NLCA 61, daté du 21 septembre 2011, est rejetée sans dépens.</w:t>
            </w:r>
          </w:p>
        </w:tc>
      </w:tr>
    </w:tbl>
    <w:p w:rsidR="006748AB" w:rsidRPr="004C4611" w:rsidRDefault="006748AB" w:rsidP="006748AB">
      <w:pPr>
        <w:rPr>
          <w:sz w:val="20"/>
          <w:szCs w:val="20"/>
          <w:lang w:val="fr-CA"/>
        </w:rPr>
      </w:pPr>
    </w:p>
    <w:p w:rsidR="006748AB" w:rsidRPr="001B157C" w:rsidRDefault="006748AB" w:rsidP="006748AB">
      <w:pPr>
        <w:rPr>
          <w:sz w:val="20"/>
          <w:szCs w:val="20"/>
          <w:u w:val="single"/>
        </w:rPr>
      </w:pPr>
      <w:r w:rsidRPr="001B157C">
        <w:rPr>
          <w:sz w:val="20"/>
          <w:szCs w:val="20"/>
          <w:u w:val="single"/>
        </w:rPr>
        <w:t>CASE SUMMARY</w:t>
      </w:r>
    </w:p>
    <w:p w:rsidR="006748AB" w:rsidRDefault="006748AB" w:rsidP="006748A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97CA8" w:rsidRPr="00B150AF" w:rsidTr="00E767F8">
        <w:tc>
          <w:tcPr>
            <w:tcW w:w="5000" w:type="pct"/>
            <w:gridSpan w:val="3"/>
          </w:tcPr>
          <w:p w:rsidR="00497CA8" w:rsidRPr="00B150AF" w:rsidRDefault="00497CA8" w:rsidP="00E767F8">
            <w:pPr>
              <w:jc w:val="both"/>
              <w:rPr>
                <w:rFonts w:eastAsia="Calibri"/>
                <w:smallCaps/>
                <w:sz w:val="20"/>
              </w:rPr>
            </w:pPr>
            <w:r w:rsidRPr="00B150AF">
              <w:rPr>
                <w:rFonts w:eastAsia="Calibri"/>
                <w:smallCaps/>
                <w:sz w:val="20"/>
              </w:rPr>
              <w:t>(Publication Ban in Case) (Publication Ban on Party) (Court File Contains Information That is not Available for Inspection by the Public)</w:t>
            </w:r>
          </w:p>
          <w:p w:rsidR="00497CA8" w:rsidRPr="00B150AF" w:rsidRDefault="00497CA8" w:rsidP="00E767F8">
            <w:pPr>
              <w:jc w:val="both"/>
              <w:rPr>
                <w:rFonts w:eastAsia="Calibri"/>
                <w:sz w:val="20"/>
              </w:rPr>
            </w:pPr>
          </w:p>
          <w:p w:rsidR="00497CA8" w:rsidRPr="00B150AF" w:rsidRDefault="00497CA8" w:rsidP="00E767F8">
            <w:pPr>
              <w:jc w:val="both"/>
              <w:rPr>
                <w:rFonts w:eastAsia="Calibri"/>
                <w:sz w:val="20"/>
              </w:rPr>
            </w:pPr>
            <w:r w:rsidRPr="00B150AF">
              <w:rPr>
                <w:rFonts w:eastAsia="Calibri"/>
                <w:i/>
                <w:sz w:val="20"/>
              </w:rPr>
              <w:t>Charter of Rights</w:t>
            </w:r>
            <w:r w:rsidRPr="00B150AF">
              <w:rPr>
                <w:rFonts w:eastAsia="Calibri"/>
                <w:sz w:val="20"/>
              </w:rPr>
              <w:t xml:space="preserve"> – Right to life, liberty and security of person – Status of persons – Child protection – Mother’s five children apprehended shortly after twins born – Twins found to be in need of continuous custody and permanent wardship ordered – Three oldest children put in custody of mother under supervision order – Whether trial judge erred by giving weight to the report of Dr. Jeffery – Whether court of appeal erred by failing to find that trial judge erred by relying on the evidence of agents of  Director to support his findings after determining that report of Dr. Jeffery was tainted </w:t>
            </w:r>
            <w:r w:rsidRPr="00B150AF">
              <w:rPr>
                <w:rFonts w:eastAsia="Calibri"/>
                <w:sz w:val="20"/>
              </w:rPr>
              <w:noBreakHyphen/>
              <w:t xml:space="preserve"> Whether mother’s rights were violated by trial judge’s failure to appropriately assess evidence and Director’s role in gathering and presenting that evidence</w:t>
            </w:r>
          </w:p>
        </w:tc>
      </w:tr>
      <w:tr w:rsidR="00497CA8" w:rsidRPr="00B150AF" w:rsidTr="00E767F8">
        <w:tc>
          <w:tcPr>
            <w:tcW w:w="5000" w:type="pct"/>
            <w:gridSpan w:val="3"/>
          </w:tcPr>
          <w:p w:rsidR="00497CA8" w:rsidRPr="00B150AF" w:rsidRDefault="00497CA8" w:rsidP="00E767F8">
            <w:pPr>
              <w:jc w:val="both"/>
              <w:rPr>
                <w:rFonts w:eastAsia="Calibri"/>
                <w:sz w:val="20"/>
              </w:rPr>
            </w:pPr>
          </w:p>
        </w:tc>
      </w:tr>
      <w:tr w:rsidR="00497CA8" w:rsidRPr="00B150AF" w:rsidTr="00E767F8">
        <w:tc>
          <w:tcPr>
            <w:tcW w:w="5000" w:type="pct"/>
            <w:gridSpan w:val="3"/>
          </w:tcPr>
          <w:p w:rsidR="00497CA8" w:rsidRPr="00B150AF" w:rsidRDefault="00497CA8" w:rsidP="00E767F8">
            <w:pPr>
              <w:jc w:val="both"/>
              <w:rPr>
                <w:rFonts w:eastAsia="Calibri"/>
                <w:sz w:val="20"/>
              </w:rPr>
            </w:pPr>
            <w:r w:rsidRPr="00B150AF">
              <w:rPr>
                <w:rFonts w:eastAsia="Calibri"/>
                <w:sz w:val="20"/>
              </w:rPr>
              <w:t xml:space="preserve">The Respondent Director applied under the </w:t>
            </w:r>
            <w:r w:rsidRPr="00B150AF">
              <w:rPr>
                <w:rFonts w:eastAsia="Calibri"/>
                <w:i/>
                <w:sz w:val="20"/>
              </w:rPr>
              <w:t>Child Youth and Family Services Act</w:t>
            </w:r>
            <w:r w:rsidRPr="00B150AF">
              <w:rPr>
                <w:rFonts w:eastAsia="Calibri"/>
                <w:sz w:val="20"/>
              </w:rPr>
              <w:t>, SNL 1998, c. C</w:t>
            </w:r>
            <w:r w:rsidRPr="00B150AF">
              <w:rPr>
                <w:rFonts w:eastAsia="Calibri"/>
                <w:sz w:val="20"/>
              </w:rPr>
              <w:noBreakHyphen/>
              <w:t>12.1 for an order for continuous care of the mother’s five children as being in need of protective intervention.  At the time of trial, the oldest children were nine, seven, two and a half years of age while the twins were one.  Prior to the birth of the twins in February, 2009, her other children had not been in her custody.  In December, 2008 they were returned to her under a six month supervision order.  The two oldest children had been voluntarily placed with their paternal grandparents while the third child had been living in an alternate living arrangement home.  The mother has a borderline personality disorder and she had undergone counselling to manage her emotional state and impulsivity.  In September of 2009 after information was provided to the Director concerning the well</w:t>
            </w:r>
            <w:r w:rsidRPr="00B150AF">
              <w:rPr>
                <w:rFonts w:eastAsia="Calibri"/>
                <w:sz w:val="20"/>
              </w:rPr>
              <w:noBreakHyphen/>
              <w:t xml:space="preserve">being of the children, a warrant of removal was granted and the five children were apprehended. </w:t>
            </w:r>
          </w:p>
          <w:p w:rsidR="00497CA8" w:rsidRPr="00B150AF" w:rsidRDefault="00497CA8" w:rsidP="00E767F8">
            <w:pPr>
              <w:jc w:val="both"/>
              <w:rPr>
                <w:rFonts w:eastAsia="Calibri"/>
                <w:sz w:val="20"/>
              </w:rPr>
            </w:pPr>
          </w:p>
        </w:tc>
      </w:tr>
      <w:tr w:rsidR="00497CA8" w:rsidRPr="00B150AF" w:rsidTr="00E767F8">
        <w:tc>
          <w:tcPr>
            <w:tcW w:w="2427" w:type="pct"/>
          </w:tcPr>
          <w:p w:rsidR="00497CA8" w:rsidRPr="00B150AF" w:rsidRDefault="00497CA8" w:rsidP="00E767F8">
            <w:pPr>
              <w:jc w:val="both"/>
              <w:rPr>
                <w:rFonts w:eastAsia="Calibri"/>
                <w:sz w:val="20"/>
              </w:rPr>
            </w:pPr>
            <w:r w:rsidRPr="00B150AF">
              <w:rPr>
                <w:rFonts w:eastAsia="Calibri"/>
                <w:sz w:val="20"/>
              </w:rPr>
              <w:t>June 2, 2010</w:t>
            </w:r>
          </w:p>
          <w:p w:rsidR="00497CA8" w:rsidRPr="00B150AF" w:rsidRDefault="00497CA8" w:rsidP="00E767F8">
            <w:pPr>
              <w:jc w:val="both"/>
              <w:rPr>
                <w:rFonts w:eastAsia="Calibri"/>
                <w:sz w:val="20"/>
              </w:rPr>
            </w:pPr>
            <w:r w:rsidRPr="00B150AF">
              <w:rPr>
                <w:rFonts w:eastAsia="Calibri"/>
                <w:sz w:val="20"/>
              </w:rPr>
              <w:t>Supreme Court of Newfoundland &amp; Labrador, Trial Division</w:t>
            </w:r>
          </w:p>
          <w:p w:rsidR="00497CA8" w:rsidRPr="00B150AF" w:rsidRDefault="00497CA8" w:rsidP="00E767F8">
            <w:pPr>
              <w:jc w:val="both"/>
              <w:rPr>
                <w:rFonts w:eastAsia="Calibri"/>
                <w:sz w:val="20"/>
              </w:rPr>
            </w:pPr>
            <w:r w:rsidRPr="00B150AF">
              <w:rPr>
                <w:rFonts w:eastAsia="Calibri"/>
                <w:sz w:val="20"/>
              </w:rPr>
              <w:t>(Dymond J.)</w:t>
            </w:r>
          </w:p>
          <w:p w:rsidR="00497CA8" w:rsidRPr="00B150AF" w:rsidRDefault="00497CA8" w:rsidP="00E767F8">
            <w:pPr>
              <w:jc w:val="both"/>
              <w:rPr>
                <w:rFonts w:eastAsia="Calibri"/>
                <w:sz w:val="20"/>
              </w:rPr>
            </w:pPr>
            <w:r w:rsidRPr="00B150AF">
              <w:rPr>
                <w:rFonts w:eastAsia="Calibri"/>
                <w:sz w:val="20"/>
              </w:rPr>
              <w:t>2010 NLTD(F)14</w:t>
            </w:r>
          </w:p>
          <w:p w:rsidR="00497CA8" w:rsidRPr="00B150AF" w:rsidRDefault="00497CA8" w:rsidP="00E767F8">
            <w:pPr>
              <w:jc w:val="both"/>
              <w:rPr>
                <w:rFonts w:eastAsia="Calibri"/>
                <w:sz w:val="20"/>
              </w:rPr>
            </w:pPr>
          </w:p>
        </w:tc>
        <w:tc>
          <w:tcPr>
            <w:tcW w:w="243" w:type="pct"/>
          </w:tcPr>
          <w:p w:rsidR="00497CA8" w:rsidRPr="00B150AF" w:rsidRDefault="00497CA8" w:rsidP="00E767F8">
            <w:pPr>
              <w:jc w:val="both"/>
              <w:rPr>
                <w:rFonts w:eastAsia="Calibri"/>
                <w:sz w:val="20"/>
              </w:rPr>
            </w:pPr>
          </w:p>
        </w:tc>
        <w:tc>
          <w:tcPr>
            <w:tcW w:w="2330" w:type="pct"/>
          </w:tcPr>
          <w:p w:rsidR="00497CA8" w:rsidRPr="00B150AF" w:rsidRDefault="00497CA8" w:rsidP="00E767F8">
            <w:pPr>
              <w:jc w:val="both"/>
              <w:rPr>
                <w:rFonts w:eastAsia="Calibri"/>
                <w:sz w:val="20"/>
              </w:rPr>
            </w:pPr>
            <w:r w:rsidRPr="00B150AF">
              <w:rPr>
                <w:rFonts w:eastAsia="Calibri"/>
                <w:sz w:val="20"/>
              </w:rPr>
              <w:t xml:space="preserve">Permanent wardship of youngest two children ordered; Custody of three older children awarded to mother, subject to order of supervision </w:t>
            </w:r>
          </w:p>
          <w:p w:rsidR="00497CA8" w:rsidRPr="00B150AF" w:rsidRDefault="00497CA8" w:rsidP="00E767F8">
            <w:pPr>
              <w:jc w:val="both"/>
              <w:rPr>
                <w:rFonts w:eastAsia="Calibri"/>
                <w:sz w:val="20"/>
              </w:rPr>
            </w:pPr>
          </w:p>
          <w:p w:rsidR="00497CA8" w:rsidRPr="00B150AF" w:rsidRDefault="00497CA8" w:rsidP="00E767F8">
            <w:pPr>
              <w:jc w:val="both"/>
              <w:rPr>
                <w:rFonts w:eastAsia="Calibri"/>
                <w:sz w:val="20"/>
              </w:rPr>
            </w:pPr>
          </w:p>
        </w:tc>
      </w:tr>
      <w:tr w:rsidR="00497CA8" w:rsidRPr="00B150AF" w:rsidTr="00E767F8">
        <w:tc>
          <w:tcPr>
            <w:tcW w:w="2427" w:type="pct"/>
          </w:tcPr>
          <w:p w:rsidR="00497CA8" w:rsidRPr="00B150AF" w:rsidRDefault="00497CA8" w:rsidP="00E767F8">
            <w:pPr>
              <w:jc w:val="both"/>
              <w:rPr>
                <w:rFonts w:eastAsia="Calibri"/>
                <w:sz w:val="20"/>
              </w:rPr>
            </w:pPr>
            <w:r w:rsidRPr="00B150AF">
              <w:rPr>
                <w:rFonts w:eastAsia="Calibri"/>
                <w:sz w:val="20"/>
              </w:rPr>
              <w:t>September 21, 2011</w:t>
            </w:r>
          </w:p>
          <w:p w:rsidR="00497CA8" w:rsidRPr="00B150AF" w:rsidRDefault="00497CA8" w:rsidP="00E767F8">
            <w:pPr>
              <w:jc w:val="both"/>
              <w:rPr>
                <w:rFonts w:eastAsia="Calibri"/>
                <w:sz w:val="20"/>
              </w:rPr>
            </w:pPr>
            <w:r w:rsidRPr="00B150AF">
              <w:rPr>
                <w:rFonts w:eastAsia="Calibri"/>
                <w:sz w:val="20"/>
              </w:rPr>
              <w:t xml:space="preserve">Supreme Court of Newfoundland and Labrador </w:t>
            </w:r>
            <w:r w:rsidRPr="00B150AF">
              <w:rPr>
                <w:rFonts w:eastAsia="Calibri"/>
                <w:sz w:val="20"/>
              </w:rPr>
              <w:noBreakHyphen/>
              <w:t xml:space="preserve"> Court of Appeal</w:t>
            </w:r>
          </w:p>
          <w:p w:rsidR="00497CA8" w:rsidRPr="00B150AF" w:rsidRDefault="00497CA8" w:rsidP="00E767F8">
            <w:pPr>
              <w:jc w:val="both"/>
              <w:rPr>
                <w:rFonts w:eastAsia="Calibri"/>
                <w:sz w:val="20"/>
              </w:rPr>
            </w:pPr>
            <w:r w:rsidRPr="00B150AF">
              <w:rPr>
                <w:rFonts w:eastAsia="Calibri"/>
                <w:sz w:val="20"/>
              </w:rPr>
              <w:t>(Welsh, White and Hoegg JJ.A.)</w:t>
            </w:r>
          </w:p>
          <w:p w:rsidR="00497CA8" w:rsidRPr="00B150AF" w:rsidRDefault="00497CA8" w:rsidP="00E767F8">
            <w:pPr>
              <w:jc w:val="both"/>
              <w:rPr>
                <w:rFonts w:eastAsia="Calibri"/>
                <w:sz w:val="20"/>
              </w:rPr>
            </w:pPr>
            <w:r w:rsidRPr="00B150AF">
              <w:rPr>
                <w:rFonts w:eastAsia="Calibri"/>
                <w:sz w:val="20"/>
              </w:rPr>
              <w:t>2011 NLCA 61</w:t>
            </w:r>
          </w:p>
          <w:p w:rsidR="00497CA8" w:rsidRPr="00B150AF" w:rsidRDefault="00497CA8" w:rsidP="00E767F8">
            <w:pPr>
              <w:jc w:val="both"/>
              <w:rPr>
                <w:rFonts w:eastAsia="Calibri"/>
                <w:sz w:val="20"/>
              </w:rPr>
            </w:pPr>
          </w:p>
        </w:tc>
        <w:tc>
          <w:tcPr>
            <w:tcW w:w="243" w:type="pct"/>
          </w:tcPr>
          <w:p w:rsidR="00497CA8" w:rsidRPr="00B150AF" w:rsidRDefault="00497CA8" w:rsidP="00E767F8">
            <w:pPr>
              <w:jc w:val="both"/>
              <w:rPr>
                <w:rFonts w:eastAsia="Calibri"/>
                <w:sz w:val="20"/>
              </w:rPr>
            </w:pPr>
          </w:p>
        </w:tc>
        <w:tc>
          <w:tcPr>
            <w:tcW w:w="2330" w:type="pct"/>
          </w:tcPr>
          <w:p w:rsidR="00497CA8" w:rsidRPr="00B150AF" w:rsidRDefault="00497CA8" w:rsidP="00E767F8">
            <w:pPr>
              <w:jc w:val="both"/>
              <w:rPr>
                <w:rFonts w:eastAsia="Calibri"/>
                <w:sz w:val="20"/>
              </w:rPr>
            </w:pPr>
            <w:r w:rsidRPr="00B150AF">
              <w:rPr>
                <w:rFonts w:eastAsia="Calibri"/>
                <w:sz w:val="20"/>
              </w:rPr>
              <w:t>Mother’s appeal dismissed</w:t>
            </w:r>
          </w:p>
          <w:p w:rsidR="00497CA8" w:rsidRPr="00B150AF" w:rsidRDefault="00497CA8" w:rsidP="00E767F8">
            <w:pPr>
              <w:jc w:val="both"/>
              <w:rPr>
                <w:rFonts w:eastAsia="Calibri"/>
                <w:sz w:val="20"/>
              </w:rPr>
            </w:pPr>
          </w:p>
        </w:tc>
      </w:tr>
      <w:tr w:rsidR="00497CA8" w:rsidRPr="00B150AF" w:rsidTr="0056619E">
        <w:trPr>
          <w:cantSplit/>
        </w:trPr>
        <w:tc>
          <w:tcPr>
            <w:tcW w:w="2427" w:type="pct"/>
          </w:tcPr>
          <w:p w:rsidR="00497CA8" w:rsidRPr="00B150AF" w:rsidRDefault="00497CA8" w:rsidP="00E767F8">
            <w:pPr>
              <w:jc w:val="both"/>
              <w:rPr>
                <w:rFonts w:eastAsia="Calibri"/>
                <w:sz w:val="20"/>
              </w:rPr>
            </w:pPr>
            <w:r w:rsidRPr="00B150AF">
              <w:rPr>
                <w:rFonts w:eastAsia="Calibri"/>
                <w:sz w:val="20"/>
              </w:rPr>
              <w:lastRenderedPageBreak/>
              <w:t>May 24, 2012</w:t>
            </w:r>
          </w:p>
          <w:p w:rsidR="00497CA8" w:rsidRPr="00B150AF" w:rsidRDefault="00497CA8" w:rsidP="00E767F8">
            <w:pPr>
              <w:jc w:val="both"/>
              <w:rPr>
                <w:rFonts w:eastAsia="Calibri"/>
                <w:sz w:val="20"/>
              </w:rPr>
            </w:pPr>
            <w:r w:rsidRPr="00B150AF">
              <w:rPr>
                <w:rFonts w:eastAsia="Calibri"/>
                <w:sz w:val="20"/>
              </w:rPr>
              <w:t>Supreme Court of Canada</w:t>
            </w:r>
          </w:p>
          <w:p w:rsidR="00497CA8" w:rsidRPr="00B150AF" w:rsidRDefault="00497CA8" w:rsidP="00E767F8">
            <w:pPr>
              <w:jc w:val="both"/>
              <w:rPr>
                <w:rFonts w:eastAsia="Calibri"/>
                <w:sz w:val="20"/>
              </w:rPr>
            </w:pPr>
          </w:p>
        </w:tc>
        <w:tc>
          <w:tcPr>
            <w:tcW w:w="243" w:type="pct"/>
          </w:tcPr>
          <w:p w:rsidR="00497CA8" w:rsidRPr="00B150AF" w:rsidRDefault="00497CA8" w:rsidP="00E767F8">
            <w:pPr>
              <w:jc w:val="both"/>
              <w:rPr>
                <w:rFonts w:eastAsia="Calibri"/>
                <w:sz w:val="20"/>
              </w:rPr>
            </w:pPr>
          </w:p>
        </w:tc>
        <w:tc>
          <w:tcPr>
            <w:tcW w:w="2330" w:type="pct"/>
          </w:tcPr>
          <w:p w:rsidR="00497CA8" w:rsidRPr="00B150AF" w:rsidRDefault="00497CA8" w:rsidP="00E767F8">
            <w:pPr>
              <w:jc w:val="both"/>
              <w:rPr>
                <w:rFonts w:eastAsia="Calibri"/>
                <w:sz w:val="20"/>
              </w:rPr>
            </w:pPr>
            <w:r w:rsidRPr="00B150AF">
              <w:rPr>
                <w:rFonts w:eastAsia="Calibri"/>
                <w:sz w:val="20"/>
              </w:rPr>
              <w:t>Application for leave to appeal and motion for extension of time in which to serve and file application for leave to appeal filed</w:t>
            </w:r>
          </w:p>
        </w:tc>
      </w:tr>
    </w:tbl>
    <w:p w:rsidR="006748AB" w:rsidRDefault="006748AB" w:rsidP="006748AB">
      <w:pPr>
        <w:rPr>
          <w:sz w:val="20"/>
          <w:szCs w:val="20"/>
        </w:rPr>
      </w:pPr>
    </w:p>
    <w:p w:rsidR="006748AB" w:rsidRPr="00C50A5C" w:rsidRDefault="007333FF" w:rsidP="006748AB">
      <w:pPr>
        <w:rPr>
          <w:sz w:val="20"/>
          <w:szCs w:val="20"/>
        </w:rPr>
      </w:pPr>
      <w:r w:rsidRPr="007333FF">
        <w:rPr>
          <w:sz w:val="20"/>
          <w:szCs w:val="20"/>
          <w:lang w:val="fr-CA"/>
        </w:rPr>
        <w:pict>
          <v:rect id="_x0000_i1060" style="width:2in;height:1pt" o:hrpct="0" o:hralign="center" o:hrstd="t" o:hrnoshade="t" o:hr="t" fillcolor="black [3213]" stroked="f"/>
        </w:pict>
      </w:r>
    </w:p>
    <w:p w:rsidR="006748AB" w:rsidRDefault="006748AB" w:rsidP="006748AB">
      <w:pPr>
        <w:rPr>
          <w:sz w:val="20"/>
          <w:szCs w:val="20"/>
        </w:rPr>
      </w:pPr>
    </w:p>
    <w:p w:rsidR="006748AB" w:rsidRPr="001B157C" w:rsidRDefault="006748AB" w:rsidP="006748AB">
      <w:pPr>
        <w:rPr>
          <w:sz w:val="20"/>
          <w:szCs w:val="20"/>
          <w:u w:val="single"/>
          <w:lang w:val="fr-CA"/>
        </w:rPr>
      </w:pPr>
      <w:r w:rsidRPr="001B157C">
        <w:rPr>
          <w:sz w:val="20"/>
          <w:szCs w:val="20"/>
          <w:u w:val="single"/>
          <w:lang w:val="fr-CA"/>
        </w:rPr>
        <w:t>RÉSUMÉ DE L’AFFAIRE</w:t>
      </w:r>
    </w:p>
    <w:p w:rsidR="006748AB" w:rsidRDefault="006748AB" w:rsidP="006748AB">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497CA8" w:rsidRPr="003626B6" w:rsidTr="00E767F8">
        <w:tc>
          <w:tcPr>
            <w:tcW w:w="5000" w:type="pct"/>
            <w:gridSpan w:val="3"/>
          </w:tcPr>
          <w:p w:rsidR="00497CA8" w:rsidRPr="00B150AF" w:rsidRDefault="00497CA8" w:rsidP="00E767F8">
            <w:pPr>
              <w:jc w:val="both"/>
              <w:rPr>
                <w:rFonts w:eastAsia="Calibri"/>
                <w:smallCaps/>
                <w:sz w:val="20"/>
                <w:lang w:val="fr-CA"/>
              </w:rPr>
            </w:pPr>
            <w:r w:rsidRPr="00B150AF">
              <w:rPr>
                <w:rFonts w:eastAsia="Calibri"/>
                <w:smallCaps/>
                <w:sz w:val="20"/>
                <w:lang w:val="fr-CA"/>
              </w:rPr>
              <w:t>(Ordonnance de non</w:t>
            </w:r>
            <w:r w:rsidRPr="00B150AF">
              <w:rPr>
                <w:rFonts w:eastAsia="Calibri"/>
                <w:smallCaps/>
                <w:sz w:val="20"/>
                <w:lang w:val="fr-CA"/>
              </w:rPr>
              <w:noBreakHyphen/>
              <w:t>publication dans le dossier) (Ordonnance de non</w:t>
            </w:r>
            <w:r w:rsidRPr="00B150AF">
              <w:rPr>
                <w:rFonts w:eastAsia="Calibri"/>
                <w:smallCaps/>
                <w:sz w:val="20"/>
                <w:lang w:val="fr-CA"/>
              </w:rPr>
              <w:noBreakHyphen/>
              <w:t>publication visant une partie) (Le dossier de la Cour renferme des données que le public n'est pas autorisé à consulter)</w:t>
            </w:r>
          </w:p>
          <w:p w:rsidR="00497CA8" w:rsidRPr="00B150AF" w:rsidRDefault="00497CA8" w:rsidP="00E767F8">
            <w:pPr>
              <w:jc w:val="both"/>
              <w:rPr>
                <w:rFonts w:eastAsia="Calibri"/>
                <w:sz w:val="20"/>
                <w:lang w:val="fr-CA"/>
              </w:rPr>
            </w:pPr>
          </w:p>
          <w:p w:rsidR="00497CA8" w:rsidRPr="00B150AF" w:rsidRDefault="00497CA8" w:rsidP="00E767F8">
            <w:pPr>
              <w:jc w:val="both"/>
              <w:rPr>
                <w:rFonts w:eastAsia="Calibri"/>
                <w:sz w:val="20"/>
                <w:lang w:val="fr-CA"/>
              </w:rPr>
            </w:pPr>
            <w:r w:rsidRPr="00B150AF">
              <w:rPr>
                <w:rFonts w:eastAsia="Calibri"/>
                <w:i/>
                <w:sz w:val="20"/>
                <w:lang w:val="fr-CA"/>
              </w:rPr>
              <w:t xml:space="preserve">Charte des droits </w:t>
            </w:r>
            <w:r w:rsidRPr="00B150AF">
              <w:rPr>
                <w:rFonts w:eastAsia="Calibri"/>
                <w:sz w:val="20"/>
                <w:lang w:val="fr-CA"/>
              </w:rPr>
              <w:t>– Droit à la vie, à la liberté et à la sécurité de la personne – Droit des personnes – Protection de l'enfance – Les cinq enfants de la mère ont été appréhendés peu de temps après la naissance des jumeaux – Conclusion selon laquelle les jumeaux ont besoin de garde continue et ordonnance de tutelle permanente – Les trois enfants aînés sont placés sous la garde de la mère sous réserve d'une ordonnance de surveillance – Le juge de première instance a</w:t>
            </w:r>
            <w:r w:rsidRPr="00B150AF">
              <w:rPr>
                <w:rFonts w:eastAsia="Calibri"/>
                <w:sz w:val="20"/>
                <w:lang w:val="fr-CA"/>
              </w:rPr>
              <w:noBreakHyphen/>
              <w:t>t</w:t>
            </w:r>
            <w:r w:rsidRPr="00B150AF">
              <w:rPr>
                <w:rFonts w:eastAsia="Calibri"/>
                <w:sz w:val="20"/>
                <w:lang w:val="fr-CA"/>
              </w:rPr>
              <w:noBreakHyphen/>
              <w:t>il eu tort d'accorder de l'importance au rapport du docteur Jeffery? – La Cour d'appel a</w:t>
            </w:r>
            <w:r w:rsidRPr="00B150AF">
              <w:rPr>
                <w:rFonts w:eastAsia="Calibri"/>
                <w:sz w:val="20"/>
                <w:lang w:val="fr-CA"/>
              </w:rPr>
              <w:noBreakHyphen/>
              <w:t>t</w:t>
            </w:r>
            <w:r w:rsidRPr="00B150AF">
              <w:rPr>
                <w:rFonts w:eastAsia="Calibri"/>
                <w:sz w:val="20"/>
                <w:lang w:val="fr-CA"/>
              </w:rPr>
              <w:noBreakHyphen/>
              <w:t>elle eu tort de ne pas conclure que le juge de première instance avait commis une erreur en s'appuyant sur le témoignage des agents du directeur au soutien de ses conclusions après avoir jugé que le rapport du docteur Jeffery était vicié? – Les droits de la mère ont</w:t>
            </w:r>
            <w:r w:rsidRPr="00B150AF">
              <w:rPr>
                <w:rFonts w:eastAsia="Calibri"/>
                <w:sz w:val="20"/>
                <w:lang w:val="fr-CA"/>
              </w:rPr>
              <w:noBreakHyphen/>
              <w:t>ils été violés du fait que le juge de première instance n'a pas dûment évalué la preuve et le rôle du directeur dans la cueillette et la présentation de cette preuve?</w:t>
            </w:r>
          </w:p>
        </w:tc>
      </w:tr>
      <w:tr w:rsidR="00497CA8" w:rsidRPr="003626B6" w:rsidTr="00E767F8">
        <w:tc>
          <w:tcPr>
            <w:tcW w:w="5000" w:type="pct"/>
            <w:gridSpan w:val="3"/>
          </w:tcPr>
          <w:p w:rsidR="00497CA8" w:rsidRPr="00B150AF" w:rsidRDefault="00497CA8" w:rsidP="00E767F8">
            <w:pPr>
              <w:jc w:val="both"/>
              <w:rPr>
                <w:rFonts w:eastAsia="Calibri"/>
                <w:sz w:val="20"/>
                <w:lang w:val="fr-CA"/>
              </w:rPr>
            </w:pPr>
          </w:p>
        </w:tc>
      </w:tr>
      <w:tr w:rsidR="00497CA8" w:rsidRPr="003626B6" w:rsidTr="00E767F8">
        <w:tc>
          <w:tcPr>
            <w:tcW w:w="5000" w:type="pct"/>
            <w:gridSpan w:val="3"/>
          </w:tcPr>
          <w:p w:rsidR="00497CA8" w:rsidRPr="00B150AF" w:rsidRDefault="00497CA8" w:rsidP="00E767F8">
            <w:pPr>
              <w:jc w:val="both"/>
              <w:rPr>
                <w:rFonts w:eastAsia="Calibri"/>
                <w:sz w:val="20"/>
                <w:lang w:val="fr-CA"/>
              </w:rPr>
            </w:pPr>
            <w:r w:rsidRPr="00B150AF">
              <w:rPr>
                <w:rFonts w:eastAsia="Calibri"/>
                <w:sz w:val="20"/>
                <w:lang w:val="fr-CA"/>
              </w:rPr>
              <w:t xml:space="preserve">Le directeur intimé a présenté une demande fondée sur la </w:t>
            </w:r>
            <w:r w:rsidRPr="00B150AF">
              <w:rPr>
                <w:rFonts w:eastAsia="Calibri"/>
                <w:i/>
                <w:sz w:val="20"/>
                <w:lang w:val="fr-CA"/>
              </w:rPr>
              <w:t>Child Youth and Family Services Act</w:t>
            </w:r>
            <w:r w:rsidRPr="00B150AF">
              <w:rPr>
                <w:rFonts w:eastAsia="Calibri"/>
                <w:sz w:val="20"/>
                <w:lang w:val="fr-CA"/>
              </w:rPr>
              <w:t>, SNL 1998, ch. C</w:t>
            </w:r>
            <w:r w:rsidRPr="00B150AF">
              <w:rPr>
                <w:rFonts w:eastAsia="Calibri"/>
                <w:sz w:val="20"/>
                <w:lang w:val="fr-CA"/>
              </w:rPr>
              <w:noBreakHyphen/>
              <w:t xml:space="preserve">12.1 pour obtenir une ordonnance de garde continue des cinq enfants de la mère parce qu'ils ont besoin d'intervention protectrice. Au moment du procès, les enfants aînés étaient âgés de neuf ans, de sept ans et de deux ans et demi alors que les jumeaux avaient un an. Avant la naissance des jumeaux en février 2009, la mère n'avait pas la garde de ses autres enfants. En décembre 2008, ils lui ont été rendus sous réserve d'une ordonnance de surveillance de six mois. Les deux enfants aînés avaient été volontairement placés chez leurs grands-parents paternels, tandis que le troisième enfant vivait dans un foyer d'accueil. La mère avait un trouble de la personnalité limite et elle avait suivi une thérapie pour gérer son état émotif et son impulsivité. En septembre 2009, après que des renseignements ont été fournis au directeur relativement au bien-être des enfants, un mandat de retrait a été accordé et les cinq enfants ont été appréhendés. </w:t>
            </w:r>
          </w:p>
          <w:p w:rsidR="00497CA8" w:rsidRPr="00B150AF" w:rsidRDefault="00497CA8" w:rsidP="00E767F8">
            <w:pPr>
              <w:jc w:val="both"/>
              <w:rPr>
                <w:rFonts w:eastAsia="Calibri"/>
                <w:sz w:val="20"/>
                <w:lang w:val="fr-CA"/>
              </w:rPr>
            </w:pPr>
          </w:p>
        </w:tc>
      </w:tr>
      <w:tr w:rsidR="00497CA8" w:rsidRPr="003626B6" w:rsidTr="00E767F8">
        <w:tc>
          <w:tcPr>
            <w:tcW w:w="2427" w:type="pct"/>
          </w:tcPr>
          <w:p w:rsidR="00497CA8" w:rsidRPr="00B150AF" w:rsidRDefault="00497CA8" w:rsidP="00E767F8">
            <w:pPr>
              <w:jc w:val="both"/>
              <w:rPr>
                <w:rFonts w:eastAsia="Calibri"/>
                <w:sz w:val="20"/>
                <w:lang w:val="fr-CA"/>
              </w:rPr>
            </w:pPr>
            <w:r w:rsidRPr="00B150AF">
              <w:rPr>
                <w:rFonts w:eastAsia="Calibri"/>
                <w:sz w:val="20"/>
                <w:lang w:val="fr-CA"/>
              </w:rPr>
              <w:t>2 juin 2010</w:t>
            </w:r>
          </w:p>
          <w:p w:rsidR="00497CA8" w:rsidRPr="00B150AF" w:rsidRDefault="00497CA8" w:rsidP="00E767F8">
            <w:pPr>
              <w:jc w:val="both"/>
              <w:rPr>
                <w:rFonts w:eastAsia="Calibri"/>
                <w:sz w:val="20"/>
                <w:lang w:val="fr-CA"/>
              </w:rPr>
            </w:pPr>
            <w:r w:rsidRPr="00B150AF">
              <w:rPr>
                <w:rFonts w:eastAsia="Calibri"/>
                <w:sz w:val="20"/>
                <w:lang w:val="fr-CA"/>
              </w:rPr>
              <w:t>Cour suprême de Terre</w:t>
            </w:r>
            <w:r w:rsidRPr="00B150AF">
              <w:rPr>
                <w:rFonts w:eastAsia="Calibri"/>
                <w:sz w:val="20"/>
                <w:lang w:val="fr-CA"/>
              </w:rPr>
              <w:noBreakHyphen/>
              <w:t>Neuve</w:t>
            </w:r>
            <w:r w:rsidRPr="00B150AF">
              <w:rPr>
                <w:rFonts w:eastAsia="Calibri"/>
                <w:sz w:val="20"/>
                <w:lang w:val="fr-CA"/>
              </w:rPr>
              <w:noBreakHyphen/>
              <w:t>et</w:t>
            </w:r>
            <w:r w:rsidRPr="00B150AF">
              <w:rPr>
                <w:rFonts w:eastAsia="Calibri"/>
                <w:sz w:val="20"/>
                <w:lang w:val="fr-CA"/>
              </w:rPr>
              <w:noBreakHyphen/>
              <w:t>Labrador, Section de première instance</w:t>
            </w:r>
          </w:p>
          <w:p w:rsidR="00497CA8" w:rsidRPr="00B150AF" w:rsidRDefault="00497CA8" w:rsidP="00E767F8">
            <w:pPr>
              <w:jc w:val="both"/>
              <w:rPr>
                <w:rFonts w:eastAsia="Calibri"/>
                <w:sz w:val="20"/>
                <w:lang w:val="fr-CA"/>
              </w:rPr>
            </w:pPr>
            <w:r w:rsidRPr="00B150AF">
              <w:rPr>
                <w:rFonts w:eastAsia="Calibri"/>
                <w:sz w:val="20"/>
                <w:lang w:val="fr-CA"/>
              </w:rPr>
              <w:t>(Juge Dymond)</w:t>
            </w:r>
          </w:p>
          <w:p w:rsidR="00497CA8" w:rsidRPr="00B150AF" w:rsidRDefault="00497CA8" w:rsidP="00E767F8">
            <w:pPr>
              <w:jc w:val="both"/>
              <w:rPr>
                <w:rFonts w:eastAsia="Calibri"/>
                <w:sz w:val="20"/>
                <w:lang w:val="fr-CA"/>
              </w:rPr>
            </w:pPr>
            <w:r w:rsidRPr="00B150AF">
              <w:rPr>
                <w:rFonts w:eastAsia="Calibri"/>
                <w:sz w:val="20"/>
                <w:lang w:val="fr-CA"/>
              </w:rPr>
              <w:t>2010 NLTD(F)14</w:t>
            </w:r>
          </w:p>
          <w:p w:rsidR="00497CA8" w:rsidRPr="00B150AF" w:rsidRDefault="00497CA8" w:rsidP="00E767F8">
            <w:pPr>
              <w:jc w:val="both"/>
              <w:rPr>
                <w:rFonts w:eastAsia="Calibri"/>
                <w:sz w:val="20"/>
                <w:lang w:val="fr-CA"/>
              </w:rPr>
            </w:pPr>
          </w:p>
        </w:tc>
        <w:tc>
          <w:tcPr>
            <w:tcW w:w="243" w:type="pct"/>
          </w:tcPr>
          <w:p w:rsidR="00497CA8" w:rsidRPr="00B150AF" w:rsidRDefault="00497CA8" w:rsidP="00E767F8">
            <w:pPr>
              <w:jc w:val="both"/>
              <w:rPr>
                <w:rFonts w:eastAsia="Calibri"/>
                <w:sz w:val="20"/>
                <w:lang w:val="fr-CA"/>
              </w:rPr>
            </w:pPr>
          </w:p>
        </w:tc>
        <w:tc>
          <w:tcPr>
            <w:tcW w:w="2330" w:type="pct"/>
          </w:tcPr>
          <w:p w:rsidR="00497CA8" w:rsidRPr="00B150AF" w:rsidRDefault="00497CA8" w:rsidP="00E767F8">
            <w:pPr>
              <w:jc w:val="both"/>
              <w:rPr>
                <w:rFonts w:eastAsia="Calibri"/>
                <w:sz w:val="20"/>
                <w:lang w:val="fr-CA"/>
              </w:rPr>
            </w:pPr>
            <w:r w:rsidRPr="00B150AF">
              <w:rPr>
                <w:rFonts w:eastAsia="Calibri"/>
                <w:sz w:val="20"/>
                <w:lang w:val="fr-CA"/>
              </w:rPr>
              <w:t>Ordonnance de tutelle permanente des deux enfants cadets; la garde des trois enfants aînés est accordée à la mère, sous réserve d'une ordonnance de supervision</w:t>
            </w:r>
          </w:p>
          <w:p w:rsidR="00497CA8" w:rsidRPr="00B150AF" w:rsidRDefault="00497CA8" w:rsidP="00E767F8">
            <w:pPr>
              <w:jc w:val="both"/>
              <w:rPr>
                <w:rFonts w:eastAsia="Calibri"/>
                <w:sz w:val="20"/>
                <w:lang w:val="fr-CA"/>
              </w:rPr>
            </w:pPr>
          </w:p>
          <w:p w:rsidR="00497CA8" w:rsidRPr="00B150AF" w:rsidRDefault="00497CA8" w:rsidP="00E767F8">
            <w:pPr>
              <w:jc w:val="both"/>
              <w:rPr>
                <w:rFonts w:eastAsia="Calibri"/>
                <w:sz w:val="20"/>
                <w:lang w:val="fr-CA"/>
              </w:rPr>
            </w:pPr>
          </w:p>
        </w:tc>
      </w:tr>
      <w:tr w:rsidR="00497CA8" w:rsidRPr="00B150AF" w:rsidTr="00E767F8">
        <w:tc>
          <w:tcPr>
            <w:tcW w:w="2427" w:type="pct"/>
          </w:tcPr>
          <w:p w:rsidR="00497CA8" w:rsidRPr="00B150AF" w:rsidRDefault="00497CA8" w:rsidP="00E767F8">
            <w:pPr>
              <w:jc w:val="both"/>
              <w:rPr>
                <w:rFonts w:eastAsia="Calibri"/>
                <w:sz w:val="20"/>
                <w:lang w:val="fr-CA"/>
              </w:rPr>
            </w:pPr>
            <w:r w:rsidRPr="00B150AF">
              <w:rPr>
                <w:rFonts w:eastAsia="Calibri"/>
                <w:sz w:val="20"/>
                <w:lang w:val="fr-CA"/>
              </w:rPr>
              <w:t>21 septembre 2011</w:t>
            </w:r>
          </w:p>
          <w:p w:rsidR="00497CA8" w:rsidRPr="00B150AF" w:rsidRDefault="00497CA8" w:rsidP="00E767F8">
            <w:pPr>
              <w:jc w:val="both"/>
              <w:rPr>
                <w:rFonts w:eastAsia="Calibri"/>
                <w:sz w:val="20"/>
                <w:lang w:val="fr-CA"/>
              </w:rPr>
            </w:pPr>
            <w:r w:rsidRPr="00B150AF">
              <w:rPr>
                <w:rFonts w:eastAsia="Calibri"/>
                <w:sz w:val="20"/>
                <w:lang w:val="fr-CA"/>
              </w:rPr>
              <w:t>Cour suprême de Terre</w:t>
            </w:r>
            <w:r w:rsidRPr="00B150AF">
              <w:rPr>
                <w:rFonts w:eastAsia="Calibri"/>
                <w:sz w:val="20"/>
                <w:lang w:val="fr-CA"/>
              </w:rPr>
              <w:noBreakHyphen/>
              <w:t>Neuve</w:t>
            </w:r>
            <w:r w:rsidRPr="00B150AF">
              <w:rPr>
                <w:rFonts w:eastAsia="Calibri"/>
                <w:sz w:val="20"/>
                <w:lang w:val="fr-CA"/>
              </w:rPr>
              <w:noBreakHyphen/>
              <w:t>et</w:t>
            </w:r>
            <w:r w:rsidRPr="00B150AF">
              <w:rPr>
                <w:rFonts w:eastAsia="Calibri"/>
                <w:sz w:val="20"/>
                <w:lang w:val="fr-CA"/>
              </w:rPr>
              <w:noBreakHyphen/>
              <w:t xml:space="preserve">Labrador </w:t>
            </w:r>
            <w:r w:rsidRPr="00B150AF">
              <w:rPr>
                <w:rFonts w:eastAsia="Calibri"/>
                <w:sz w:val="20"/>
                <w:lang w:val="fr-CA"/>
              </w:rPr>
              <w:noBreakHyphen/>
              <w:t xml:space="preserve"> Cour d'appel</w:t>
            </w:r>
          </w:p>
          <w:p w:rsidR="00497CA8" w:rsidRPr="00B150AF" w:rsidRDefault="00497CA8" w:rsidP="00E767F8">
            <w:pPr>
              <w:jc w:val="both"/>
              <w:rPr>
                <w:rFonts w:eastAsia="Calibri"/>
                <w:sz w:val="20"/>
              </w:rPr>
            </w:pPr>
            <w:r w:rsidRPr="00B150AF">
              <w:rPr>
                <w:rFonts w:eastAsia="Calibri"/>
                <w:sz w:val="20"/>
              </w:rPr>
              <w:t>(Juges Welsh, White et Hoegg)</w:t>
            </w:r>
          </w:p>
          <w:p w:rsidR="00497CA8" w:rsidRPr="00B150AF" w:rsidRDefault="00497CA8" w:rsidP="00E767F8">
            <w:pPr>
              <w:jc w:val="both"/>
              <w:rPr>
                <w:rFonts w:eastAsia="Calibri"/>
                <w:sz w:val="20"/>
                <w:lang w:val="fr-CA"/>
              </w:rPr>
            </w:pPr>
            <w:r w:rsidRPr="00B150AF">
              <w:rPr>
                <w:rFonts w:eastAsia="Calibri"/>
                <w:sz w:val="20"/>
                <w:lang w:val="fr-CA"/>
              </w:rPr>
              <w:t>2011 NLCA 61</w:t>
            </w:r>
          </w:p>
          <w:p w:rsidR="00497CA8" w:rsidRPr="00B150AF" w:rsidRDefault="00497CA8" w:rsidP="00E767F8">
            <w:pPr>
              <w:jc w:val="both"/>
              <w:rPr>
                <w:rFonts w:eastAsia="Calibri"/>
                <w:sz w:val="20"/>
                <w:lang w:val="fr-CA"/>
              </w:rPr>
            </w:pPr>
          </w:p>
        </w:tc>
        <w:tc>
          <w:tcPr>
            <w:tcW w:w="243" w:type="pct"/>
          </w:tcPr>
          <w:p w:rsidR="00497CA8" w:rsidRPr="00B150AF" w:rsidRDefault="00497CA8" w:rsidP="00E767F8">
            <w:pPr>
              <w:jc w:val="both"/>
              <w:rPr>
                <w:rFonts w:eastAsia="Calibri"/>
                <w:sz w:val="20"/>
                <w:lang w:val="fr-CA"/>
              </w:rPr>
            </w:pPr>
          </w:p>
        </w:tc>
        <w:tc>
          <w:tcPr>
            <w:tcW w:w="2330" w:type="pct"/>
          </w:tcPr>
          <w:p w:rsidR="00497CA8" w:rsidRPr="00B150AF" w:rsidRDefault="00497CA8" w:rsidP="00E767F8">
            <w:pPr>
              <w:jc w:val="both"/>
              <w:rPr>
                <w:rFonts w:eastAsia="Calibri"/>
                <w:sz w:val="20"/>
                <w:lang w:val="fr-CA"/>
              </w:rPr>
            </w:pPr>
            <w:r w:rsidRPr="00B150AF">
              <w:rPr>
                <w:rFonts w:eastAsia="Calibri"/>
                <w:sz w:val="20"/>
                <w:lang w:val="fr-CA"/>
              </w:rPr>
              <w:t>Appel de la mère, rejeté</w:t>
            </w:r>
          </w:p>
          <w:p w:rsidR="00497CA8" w:rsidRPr="00B150AF" w:rsidRDefault="00497CA8" w:rsidP="00E767F8">
            <w:pPr>
              <w:jc w:val="both"/>
              <w:rPr>
                <w:rFonts w:eastAsia="Calibri"/>
                <w:sz w:val="20"/>
                <w:lang w:val="fr-CA"/>
              </w:rPr>
            </w:pPr>
          </w:p>
        </w:tc>
      </w:tr>
      <w:tr w:rsidR="00497CA8" w:rsidRPr="003626B6" w:rsidTr="00E767F8">
        <w:tc>
          <w:tcPr>
            <w:tcW w:w="2427" w:type="pct"/>
          </w:tcPr>
          <w:p w:rsidR="00497CA8" w:rsidRPr="00B150AF" w:rsidRDefault="00497CA8" w:rsidP="00E767F8">
            <w:pPr>
              <w:jc w:val="both"/>
              <w:rPr>
                <w:rFonts w:eastAsia="Calibri"/>
                <w:sz w:val="20"/>
                <w:lang w:val="fr-CA"/>
              </w:rPr>
            </w:pPr>
            <w:r w:rsidRPr="00B150AF">
              <w:rPr>
                <w:rFonts w:eastAsia="Calibri"/>
                <w:sz w:val="20"/>
                <w:lang w:val="fr-CA"/>
              </w:rPr>
              <w:t>24 mai 2012</w:t>
            </w:r>
          </w:p>
          <w:p w:rsidR="00497CA8" w:rsidRPr="00B150AF" w:rsidRDefault="00497CA8" w:rsidP="00E767F8">
            <w:pPr>
              <w:jc w:val="both"/>
              <w:rPr>
                <w:rFonts w:eastAsia="Calibri"/>
                <w:sz w:val="20"/>
                <w:lang w:val="fr-CA"/>
              </w:rPr>
            </w:pPr>
            <w:r w:rsidRPr="00B150AF">
              <w:rPr>
                <w:rFonts w:eastAsia="Calibri"/>
                <w:sz w:val="20"/>
                <w:lang w:val="fr-CA"/>
              </w:rPr>
              <w:t>Cour suprême du Canada</w:t>
            </w:r>
          </w:p>
          <w:p w:rsidR="00497CA8" w:rsidRPr="00B150AF" w:rsidRDefault="00497CA8" w:rsidP="00E767F8">
            <w:pPr>
              <w:jc w:val="both"/>
              <w:rPr>
                <w:rFonts w:eastAsia="Calibri"/>
                <w:sz w:val="20"/>
                <w:lang w:val="fr-CA"/>
              </w:rPr>
            </w:pPr>
          </w:p>
        </w:tc>
        <w:tc>
          <w:tcPr>
            <w:tcW w:w="243" w:type="pct"/>
          </w:tcPr>
          <w:p w:rsidR="00497CA8" w:rsidRPr="00B150AF" w:rsidRDefault="00497CA8" w:rsidP="00E767F8">
            <w:pPr>
              <w:jc w:val="both"/>
              <w:rPr>
                <w:rFonts w:eastAsia="Calibri"/>
                <w:sz w:val="20"/>
                <w:lang w:val="fr-CA"/>
              </w:rPr>
            </w:pPr>
          </w:p>
        </w:tc>
        <w:tc>
          <w:tcPr>
            <w:tcW w:w="2330" w:type="pct"/>
          </w:tcPr>
          <w:p w:rsidR="00497CA8" w:rsidRPr="00B150AF" w:rsidRDefault="00497CA8" w:rsidP="00E767F8">
            <w:pPr>
              <w:jc w:val="both"/>
              <w:rPr>
                <w:rFonts w:eastAsia="Calibri"/>
                <w:sz w:val="20"/>
                <w:lang w:val="fr-CA"/>
              </w:rPr>
            </w:pPr>
            <w:r w:rsidRPr="00B150AF">
              <w:rPr>
                <w:rFonts w:eastAsia="Calibri"/>
                <w:sz w:val="20"/>
                <w:lang w:val="fr-CA"/>
              </w:rPr>
              <w:t xml:space="preserve">Demande d'autorisation d'appel et requête en prorogation du délai de signification et de dépôt de la demande d'autorisation d'appel, déposées </w:t>
            </w:r>
          </w:p>
        </w:tc>
      </w:tr>
    </w:tbl>
    <w:p w:rsidR="006748AB" w:rsidRPr="00497CA8" w:rsidRDefault="006748AB" w:rsidP="006748AB">
      <w:pPr>
        <w:rPr>
          <w:sz w:val="20"/>
          <w:szCs w:val="20"/>
          <w:lang w:val="fr-CA"/>
        </w:rPr>
      </w:pPr>
    </w:p>
    <w:p w:rsidR="006748AB" w:rsidRDefault="007333FF" w:rsidP="006748AB">
      <w:pPr>
        <w:rPr>
          <w:sz w:val="20"/>
          <w:szCs w:val="20"/>
        </w:rPr>
      </w:pPr>
      <w:r w:rsidRPr="007333FF">
        <w:rPr>
          <w:sz w:val="20"/>
          <w:szCs w:val="20"/>
          <w:lang w:val="fr-CA"/>
        </w:rPr>
        <w:pict>
          <v:rect id="_x0000_i1061" style="width:2in;height:1pt" o:hrpct="0" o:hralign="center" o:hrstd="t" o:hrnoshade="t" o:hr="t" fillcolor="black [3213]" stroked="f"/>
        </w:pict>
      </w:r>
    </w:p>
    <w:p w:rsidR="006748AB" w:rsidRDefault="006748AB" w:rsidP="006748AB">
      <w:pPr>
        <w:rPr>
          <w:sz w:val="20"/>
          <w:szCs w:val="20"/>
        </w:rPr>
      </w:pPr>
    </w:p>
    <w:p w:rsidR="005737AF" w:rsidRDefault="005737AF">
      <w:pPr>
        <w:rPr>
          <w:b/>
          <w:sz w:val="20"/>
          <w:szCs w:val="20"/>
        </w:rPr>
      </w:pPr>
      <w:r>
        <w:rPr>
          <w:b/>
          <w:sz w:val="20"/>
          <w:szCs w:val="20"/>
        </w:rPr>
        <w:br w:type="page"/>
      </w:r>
    </w:p>
    <w:p w:rsidR="006B203C" w:rsidRPr="00C50A5C" w:rsidRDefault="006B203C" w:rsidP="006B203C">
      <w:pPr>
        <w:rPr>
          <w:b/>
          <w:sz w:val="20"/>
          <w:szCs w:val="20"/>
        </w:rPr>
      </w:pPr>
      <w:r w:rsidRPr="00C50A5C">
        <w:rPr>
          <w:b/>
          <w:sz w:val="20"/>
          <w:szCs w:val="20"/>
        </w:rPr>
        <w:lastRenderedPageBreak/>
        <w:t>A</w:t>
      </w:r>
      <w:r>
        <w:rPr>
          <w:b/>
          <w:sz w:val="20"/>
          <w:szCs w:val="20"/>
        </w:rPr>
        <w:t>UGUST 9</w:t>
      </w:r>
      <w:r w:rsidRPr="00C50A5C">
        <w:rPr>
          <w:b/>
          <w:sz w:val="20"/>
          <w:szCs w:val="20"/>
        </w:rPr>
        <w:t>, 201</w:t>
      </w:r>
      <w:r>
        <w:rPr>
          <w:b/>
          <w:sz w:val="20"/>
          <w:szCs w:val="20"/>
        </w:rPr>
        <w:t>2</w:t>
      </w:r>
      <w:r w:rsidRPr="00C50A5C">
        <w:rPr>
          <w:b/>
          <w:sz w:val="20"/>
          <w:szCs w:val="20"/>
        </w:rPr>
        <w:t xml:space="preserve"> / LE </w:t>
      </w:r>
      <w:r>
        <w:rPr>
          <w:b/>
          <w:sz w:val="20"/>
          <w:szCs w:val="20"/>
        </w:rPr>
        <w:t>9</w:t>
      </w:r>
      <w:r w:rsidRPr="00C50A5C">
        <w:rPr>
          <w:b/>
          <w:sz w:val="20"/>
          <w:szCs w:val="20"/>
        </w:rPr>
        <w:t xml:space="preserve"> A</w:t>
      </w:r>
      <w:r>
        <w:rPr>
          <w:b/>
          <w:sz w:val="20"/>
          <w:szCs w:val="20"/>
        </w:rPr>
        <w:t>OÛT</w:t>
      </w:r>
      <w:r w:rsidRPr="00C50A5C">
        <w:rPr>
          <w:b/>
          <w:sz w:val="20"/>
          <w:szCs w:val="20"/>
        </w:rPr>
        <w:t xml:space="preserve"> 201</w:t>
      </w:r>
      <w:r>
        <w:rPr>
          <w:b/>
          <w:sz w:val="20"/>
          <w:szCs w:val="20"/>
        </w:rPr>
        <w:t>2</w:t>
      </w:r>
    </w:p>
    <w:p w:rsidR="006B203C" w:rsidRDefault="006B203C" w:rsidP="006B203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40E20" w:rsidRPr="003626B6" w:rsidTr="001B2036">
        <w:trPr>
          <w:cantSplit/>
        </w:trPr>
        <w:tc>
          <w:tcPr>
            <w:tcW w:w="1458" w:type="dxa"/>
          </w:tcPr>
          <w:p w:rsidR="00F40E20" w:rsidRPr="00F40E20" w:rsidRDefault="00F40E20" w:rsidP="001B2036">
            <w:pPr>
              <w:rPr>
                <w:sz w:val="20"/>
                <w:szCs w:val="20"/>
              </w:rPr>
            </w:pPr>
            <w:r w:rsidRPr="00F40E20">
              <w:rPr>
                <w:rStyle w:val="SCCFileNumberChar"/>
                <w:sz w:val="20"/>
                <w:szCs w:val="20"/>
              </w:rPr>
              <w:t>34566</w:t>
            </w:r>
          </w:p>
          <w:p w:rsidR="00F40E20" w:rsidRPr="00F40E20" w:rsidRDefault="00F40E20" w:rsidP="001B2036">
            <w:pPr>
              <w:rPr>
                <w:b/>
                <w:sz w:val="20"/>
                <w:szCs w:val="20"/>
                <w:lang w:val="fr-CA"/>
              </w:rPr>
            </w:pPr>
          </w:p>
        </w:tc>
        <w:tc>
          <w:tcPr>
            <w:tcW w:w="8118" w:type="dxa"/>
          </w:tcPr>
          <w:p w:rsidR="00F40E20" w:rsidRPr="00F40E20" w:rsidRDefault="00F40E20" w:rsidP="001B2036">
            <w:pPr>
              <w:rPr>
                <w:sz w:val="20"/>
                <w:szCs w:val="20"/>
                <w:lang w:val="fr-CA"/>
              </w:rPr>
            </w:pPr>
            <w:r w:rsidRPr="00F40E20">
              <w:rPr>
                <w:rStyle w:val="SCCLsocChar"/>
                <w:sz w:val="20"/>
                <w:szCs w:val="20"/>
              </w:rPr>
              <w:t>Sa Majesté la Reine c. Yvan Paré</w:t>
            </w:r>
            <w:r w:rsidRPr="00F40E20">
              <w:rPr>
                <w:sz w:val="20"/>
                <w:szCs w:val="20"/>
                <w:lang w:val="fr-CA"/>
              </w:rPr>
              <w:t xml:space="preserve"> (Qc) (Criminelle) (Autorisation)</w:t>
            </w:r>
          </w:p>
          <w:p w:rsidR="00F40E20" w:rsidRPr="00F40E20" w:rsidRDefault="00F40E20" w:rsidP="001B2036">
            <w:pPr>
              <w:rPr>
                <w:sz w:val="20"/>
                <w:szCs w:val="20"/>
                <w:lang w:val="fr-CA"/>
              </w:rPr>
            </w:pPr>
          </w:p>
        </w:tc>
      </w:tr>
      <w:tr w:rsidR="00F40E20" w:rsidRPr="003626B6" w:rsidTr="001B2036">
        <w:trPr>
          <w:cantSplit/>
        </w:trPr>
        <w:tc>
          <w:tcPr>
            <w:tcW w:w="1458" w:type="dxa"/>
          </w:tcPr>
          <w:p w:rsidR="00F40E20" w:rsidRPr="00F40E20" w:rsidRDefault="00F40E20" w:rsidP="001B2036">
            <w:pPr>
              <w:rPr>
                <w:sz w:val="20"/>
                <w:szCs w:val="20"/>
              </w:rPr>
            </w:pPr>
            <w:r w:rsidRPr="00F40E20">
              <w:rPr>
                <w:sz w:val="20"/>
                <w:szCs w:val="20"/>
              </w:rPr>
              <w:t>Coram :</w:t>
            </w:r>
          </w:p>
        </w:tc>
        <w:tc>
          <w:tcPr>
            <w:tcW w:w="8118" w:type="dxa"/>
          </w:tcPr>
          <w:p w:rsidR="00F40E20" w:rsidRPr="00F40E20" w:rsidRDefault="00F40E20" w:rsidP="001B2036">
            <w:pPr>
              <w:rPr>
                <w:sz w:val="20"/>
                <w:szCs w:val="20"/>
                <w:lang w:val="fr-CA"/>
              </w:rPr>
            </w:pPr>
            <w:r w:rsidRPr="00F40E20">
              <w:rPr>
                <w:rStyle w:val="SCCCoramChar"/>
                <w:sz w:val="20"/>
                <w:szCs w:val="20"/>
              </w:rPr>
              <w:t>Les juges Deschamps, Fish et Karakatsanis</w:t>
            </w:r>
          </w:p>
          <w:p w:rsidR="00F40E20" w:rsidRPr="00F40E20" w:rsidRDefault="00F40E20" w:rsidP="001B2036">
            <w:pPr>
              <w:rPr>
                <w:sz w:val="20"/>
                <w:szCs w:val="20"/>
                <w:u w:val="single"/>
                <w:lang w:val="fr-CA"/>
              </w:rPr>
            </w:pPr>
          </w:p>
        </w:tc>
      </w:tr>
      <w:tr w:rsidR="00F40E20" w:rsidRPr="00F40E20" w:rsidTr="001B2036">
        <w:trPr>
          <w:cantSplit/>
        </w:trPr>
        <w:tc>
          <w:tcPr>
            <w:tcW w:w="9576" w:type="dxa"/>
            <w:gridSpan w:val="2"/>
          </w:tcPr>
          <w:p w:rsidR="00F40E20" w:rsidRPr="00F40E20" w:rsidRDefault="00F40E20" w:rsidP="001B2036">
            <w:pPr>
              <w:pStyle w:val="SCCShortJudgment"/>
              <w:rPr>
                <w:szCs w:val="20"/>
                <w:lang w:val="fr-CA"/>
              </w:rPr>
            </w:pPr>
            <w:r w:rsidRPr="00F40E20">
              <w:rPr>
                <w:szCs w:val="20"/>
                <w:lang w:val="fr-CA"/>
              </w:rPr>
              <w:t>La demande d’autorisation d’appel de l’arrêt de la Cour d’appel du Québec (Québec), numéro 200-10-002586-100, 2011 QCCA 2047, daté du 7 novembre 2011, est rejetée sans dépens.</w:t>
            </w:r>
          </w:p>
          <w:p w:rsidR="00F40E20" w:rsidRPr="00F40E20" w:rsidRDefault="00F40E20" w:rsidP="001B2036">
            <w:pPr>
              <w:pStyle w:val="SCCShortJudgment"/>
              <w:ind w:firstLine="0"/>
              <w:rPr>
                <w:szCs w:val="20"/>
                <w:lang w:val="fr-CA"/>
              </w:rPr>
            </w:pPr>
          </w:p>
          <w:p w:rsidR="00F40E20" w:rsidRPr="00F40E20" w:rsidRDefault="00F40E20" w:rsidP="001B2036">
            <w:pPr>
              <w:pStyle w:val="SCCShortJudgment"/>
              <w:rPr>
                <w:szCs w:val="20"/>
              </w:rPr>
            </w:pPr>
            <w:r w:rsidRPr="00F40E20">
              <w:rPr>
                <w:szCs w:val="20"/>
              </w:rPr>
              <w:t>The application for leave to appeal from the judgment of the Court of Appeal of Quebec (Québec), Number 200-10-002586-100, 2011 QCCA 2047, dated November 7, 2011, is dismissed without costs.</w:t>
            </w:r>
          </w:p>
        </w:tc>
      </w:tr>
    </w:tbl>
    <w:p w:rsidR="006748AB" w:rsidRDefault="006748AB" w:rsidP="00E767F8">
      <w:pPr>
        <w:rPr>
          <w:sz w:val="20"/>
          <w:szCs w:val="20"/>
        </w:rPr>
      </w:pPr>
    </w:p>
    <w:p w:rsidR="006748AB" w:rsidRPr="001B157C" w:rsidRDefault="006748AB" w:rsidP="006748AB">
      <w:pPr>
        <w:rPr>
          <w:sz w:val="20"/>
          <w:szCs w:val="20"/>
          <w:u w:val="single"/>
        </w:rPr>
      </w:pPr>
      <w:r w:rsidRPr="001B157C">
        <w:rPr>
          <w:sz w:val="20"/>
          <w:szCs w:val="20"/>
          <w:u w:val="single"/>
        </w:rPr>
        <w:t>CASE SUMMARY</w:t>
      </w:r>
    </w:p>
    <w:p w:rsidR="006748AB" w:rsidRDefault="006748AB" w:rsidP="006748A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B2036" w:rsidRPr="002C3704" w:rsidTr="001B2036">
        <w:tc>
          <w:tcPr>
            <w:tcW w:w="5000" w:type="pct"/>
            <w:gridSpan w:val="3"/>
          </w:tcPr>
          <w:p w:rsidR="001B2036" w:rsidRPr="002C3704" w:rsidRDefault="001B2036" w:rsidP="001B2036">
            <w:pPr>
              <w:jc w:val="both"/>
              <w:rPr>
                <w:rFonts w:eastAsia="Calibri"/>
                <w:sz w:val="20"/>
              </w:rPr>
            </w:pPr>
            <w:r w:rsidRPr="002C3704">
              <w:rPr>
                <w:rFonts w:eastAsia="Calibri"/>
                <w:sz w:val="20"/>
              </w:rPr>
              <w:t>Criminal law – Sentencing – Considerations – Impaired driving causing death – Dangerous driving causing death – Whether Court of Appeal erred in proposing new penological approach to crimes of impaired driving causing death and dangerous driving causing death that disregarded repeated legislative intervention to increase severity of sentences for those crimes and that departed from its own teachings and those of this Court – Whether Court of Appeal erred in holding that imposing severe punishment to take account of objectives of denunciation and general deterrence defeated principle of individualization in sentencing – Whether analysis of excessive weight attached to sentencing factor authorizes appeal court to substitute its own identification and balancing of factors for those of trial judge – Whether appeal court is authorized to consider additional grounds not submitted by parties and to rely on reports and studies without permitting parties to argue them first.</w:t>
            </w:r>
          </w:p>
        </w:tc>
      </w:tr>
      <w:tr w:rsidR="001B2036" w:rsidRPr="002C3704" w:rsidTr="001B2036">
        <w:tc>
          <w:tcPr>
            <w:tcW w:w="5000" w:type="pct"/>
            <w:gridSpan w:val="3"/>
          </w:tcPr>
          <w:p w:rsidR="001B2036" w:rsidRPr="002C3704" w:rsidRDefault="001B2036" w:rsidP="001B2036">
            <w:pPr>
              <w:jc w:val="both"/>
              <w:rPr>
                <w:rFonts w:eastAsia="Calibri"/>
                <w:sz w:val="20"/>
              </w:rPr>
            </w:pPr>
          </w:p>
        </w:tc>
      </w:tr>
      <w:tr w:rsidR="001B2036" w:rsidRPr="002C3704" w:rsidTr="001B2036">
        <w:tc>
          <w:tcPr>
            <w:tcW w:w="5000" w:type="pct"/>
            <w:gridSpan w:val="3"/>
          </w:tcPr>
          <w:p w:rsidR="001B2036" w:rsidRPr="002C3704" w:rsidRDefault="001B2036" w:rsidP="001B2036">
            <w:pPr>
              <w:jc w:val="both"/>
              <w:rPr>
                <w:rFonts w:eastAsia="Calibri"/>
                <w:sz w:val="20"/>
              </w:rPr>
            </w:pPr>
            <w:r w:rsidRPr="002C3704">
              <w:rPr>
                <w:rFonts w:eastAsia="Calibri"/>
                <w:sz w:val="20"/>
              </w:rPr>
              <w:t>In 2009, the respondent Yvan Paré pleaded guilty to impaired driving causing death and dangerous driving causing death.  The vehicle driven by Mr. Paré had come up behind the victim’s stopped vehicle at a very high speed and, without slowing down, had violently crashed into it.  Despite surgery, the victim had died.  The trial judge gave the respondent prison sentences of five years for impaired driving causing death and three years for dangerous driving causing death, to be served concurrently.  Those sentences were accompanied by orders prohibiting the respondent from driving for ten years on the count of impaired driving and eight years on the count of dangerous driving.  The Court of Appeal allowed the appeal and reduced the prison sentences to three years on the count of impaired driving causing death and thirty months on the count of dangerous driving causing death.</w:t>
            </w:r>
          </w:p>
          <w:p w:rsidR="001B2036" w:rsidRPr="002C3704" w:rsidRDefault="001B2036" w:rsidP="001B2036">
            <w:pPr>
              <w:jc w:val="both"/>
              <w:rPr>
                <w:rFonts w:eastAsia="Calibri"/>
                <w:sz w:val="20"/>
              </w:rPr>
            </w:pPr>
          </w:p>
        </w:tc>
      </w:tr>
      <w:tr w:rsidR="001B2036" w:rsidRPr="002C3704" w:rsidTr="001B2036">
        <w:tc>
          <w:tcPr>
            <w:tcW w:w="2427" w:type="pct"/>
          </w:tcPr>
          <w:p w:rsidR="001B2036" w:rsidRPr="002C3704" w:rsidRDefault="001B2036" w:rsidP="001B2036">
            <w:pPr>
              <w:jc w:val="both"/>
              <w:rPr>
                <w:rFonts w:eastAsia="Calibri"/>
                <w:sz w:val="20"/>
              </w:rPr>
            </w:pPr>
            <w:r w:rsidRPr="002C3704">
              <w:rPr>
                <w:rFonts w:eastAsia="Calibri"/>
                <w:sz w:val="20"/>
              </w:rPr>
              <w:t>October 29, 2010</w:t>
            </w:r>
          </w:p>
          <w:p w:rsidR="001B2036" w:rsidRPr="002C3704" w:rsidRDefault="001B2036" w:rsidP="001B2036">
            <w:pPr>
              <w:jc w:val="both"/>
              <w:rPr>
                <w:rFonts w:eastAsia="Calibri"/>
                <w:sz w:val="20"/>
              </w:rPr>
            </w:pPr>
            <w:r w:rsidRPr="002C3704">
              <w:rPr>
                <w:rFonts w:eastAsia="Calibri"/>
                <w:sz w:val="20"/>
              </w:rPr>
              <w:t>Court of Québec</w:t>
            </w:r>
          </w:p>
          <w:p w:rsidR="001B2036" w:rsidRPr="002C3704" w:rsidRDefault="001B2036" w:rsidP="001B2036">
            <w:pPr>
              <w:jc w:val="both"/>
              <w:rPr>
                <w:rFonts w:eastAsia="Calibri"/>
                <w:sz w:val="20"/>
              </w:rPr>
            </w:pPr>
            <w:r w:rsidRPr="002C3704">
              <w:rPr>
                <w:rFonts w:eastAsia="Calibri"/>
                <w:sz w:val="20"/>
              </w:rPr>
              <w:t>(Judge Plante)</w:t>
            </w:r>
          </w:p>
          <w:p w:rsidR="001B2036" w:rsidRPr="002C3704" w:rsidRDefault="001B2036" w:rsidP="001B2036">
            <w:pPr>
              <w:jc w:val="both"/>
              <w:rPr>
                <w:rFonts w:eastAsia="Calibri"/>
                <w:sz w:val="20"/>
              </w:rPr>
            </w:pPr>
            <w:r w:rsidRPr="002C3704">
              <w:rPr>
                <w:rFonts w:eastAsia="Calibri"/>
                <w:sz w:val="20"/>
              </w:rPr>
              <w:t>2010 QCCQ 9354</w:t>
            </w:r>
          </w:p>
          <w:p w:rsidR="001B2036" w:rsidRPr="002C3704" w:rsidRDefault="001B2036" w:rsidP="001B2036">
            <w:pPr>
              <w:jc w:val="both"/>
              <w:rPr>
                <w:rFonts w:eastAsia="Calibri"/>
                <w:sz w:val="20"/>
              </w:rPr>
            </w:pPr>
          </w:p>
        </w:tc>
        <w:tc>
          <w:tcPr>
            <w:tcW w:w="243" w:type="pct"/>
          </w:tcPr>
          <w:p w:rsidR="001B2036" w:rsidRPr="002C3704" w:rsidRDefault="001B2036" w:rsidP="001B2036">
            <w:pPr>
              <w:jc w:val="both"/>
              <w:rPr>
                <w:rFonts w:eastAsia="Calibri"/>
                <w:sz w:val="20"/>
              </w:rPr>
            </w:pPr>
          </w:p>
        </w:tc>
        <w:tc>
          <w:tcPr>
            <w:tcW w:w="2330" w:type="pct"/>
          </w:tcPr>
          <w:p w:rsidR="001B2036" w:rsidRPr="002C3704" w:rsidRDefault="001B2036" w:rsidP="001B2036">
            <w:pPr>
              <w:jc w:val="both"/>
              <w:rPr>
                <w:rFonts w:eastAsia="Calibri"/>
                <w:sz w:val="20"/>
              </w:rPr>
            </w:pPr>
            <w:r w:rsidRPr="002C3704">
              <w:rPr>
                <w:rFonts w:eastAsia="Calibri"/>
                <w:sz w:val="20"/>
              </w:rPr>
              <w:t>Respondent given prison sentences of five years for impaired driving causing death and three years for dangerous driving causing death, to be served concurrently; orders made prohibiting respondent from driving</w:t>
            </w:r>
          </w:p>
          <w:p w:rsidR="001B2036" w:rsidRPr="002C3704" w:rsidRDefault="001B2036" w:rsidP="001B2036">
            <w:pPr>
              <w:jc w:val="both"/>
              <w:rPr>
                <w:rFonts w:eastAsia="Calibri"/>
                <w:sz w:val="20"/>
              </w:rPr>
            </w:pPr>
          </w:p>
        </w:tc>
      </w:tr>
      <w:tr w:rsidR="001B2036" w:rsidRPr="002C3704" w:rsidTr="001B2036">
        <w:tc>
          <w:tcPr>
            <w:tcW w:w="2427" w:type="pct"/>
          </w:tcPr>
          <w:p w:rsidR="001B2036" w:rsidRPr="002C3704" w:rsidRDefault="001B2036" w:rsidP="001B2036">
            <w:pPr>
              <w:jc w:val="both"/>
              <w:rPr>
                <w:rFonts w:eastAsia="Calibri"/>
                <w:sz w:val="20"/>
              </w:rPr>
            </w:pPr>
            <w:r w:rsidRPr="002C3704">
              <w:rPr>
                <w:rFonts w:eastAsia="Calibri"/>
                <w:sz w:val="20"/>
              </w:rPr>
              <w:t>November 7, 2011</w:t>
            </w:r>
          </w:p>
          <w:p w:rsidR="001B2036" w:rsidRPr="002C3704" w:rsidRDefault="001B2036" w:rsidP="001B2036">
            <w:pPr>
              <w:jc w:val="both"/>
              <w:rPr>
                <w:rFonts w:eastAsia="Calibri"/>
                <w:sz w:val="20"/>
              </w:rPr>
            </w:pPr>
            <w:r w:rsidRPr="002C3704">
              <w:rPr>
                <w:rFonts w:eastAsia="Calibri"/>
                <w:sz w:val="20"/>
              </w:rPr>
              <w:t>Quebec Court of Appeal (Québec)</w:t>
            </w:r>
          </w:p>
          <w:p w:rsidR="001B2036" w:rsidRPr="002C3704" w:rsidRDefault="001B2036" w:rsidP="001B2036">
            <w:pPr>
              <w:jc w:val="both"/>
              <w:rPr>
                <w:rFonts w:eastAsia="Calibri"/>
                <w:sz w:val="20"/>
              </w:rPr>
            </w:pPr>
            <w:r w:rsidRPr="002C3704">
              <w:rPr>
                <w:rFonts w:eastAsia="Calibri"/>
                <w:sz w:val="20"/>
              </w:rPr>
              <w:t>(Brossard, Doyon and Kasirer JJ.A.)</w:t>
            </w:r>
          </w:p>
          <w:p w:rsidR="001B2036" w:rsidRPr="002C3704" w:rsidRDefault="001B2036" w:rsidP="001B2036">
            <w:pPr>
              <w:jc w:val="both"/>
              <w:rPr>
                <w:rFonts w:eastAsia="Calibri"/>
                <w:sz w:val="20"/>
              </w:rPr>
            </w:pPr>
            <w:r w:rsidRPr="002C3704">
              <w:rPr>
                <w:rFonts w:eastAsia="Calibri"/>
                <w:sz w:val="20"/>
              </w:rPr>
              <w:t>2011 QCCA 2047</w:t>
            </w:r>
          </w:p>
          <w:p w:rsidR="001B2036" w:rsidRPr="002C3704" w:rsidRDefault="001B2036" w:rsidP="001B2036">
            <w:pPr>
              <w:jc w:val="both"/>
              <w:rPr>
                <w:rFonts w:eastAsia="Calibri"/>
                <w:sz w:val="20"/>
              </w:rPr>
            </w:pPr>
          </w:p>
        </w:tc>
        <w:tc>
          <w:tcPr>
            <w:tcW w:w="243" w:type="pct"/>
          </w:tcPr>
          <w:p w:rsidR="001B2036" w:rsidRPr="002C3704" w:rsidRDefault="001B2036" w:rsidP="001B2036">
            <w:pPr>
              <w:jc w:val="both"/>
              <w:rPr>
                <w:rFonts w:eastAsia="Calibri"/>
                <w:sz w:val="20"/>
              </w:rPr>
            </w:pPr>
          </w:p>
        </w:tc>
        <w:tc>
          <w:tcPr>
            <w:tcW w:w="2330" w:type="pct"/>
          </w:tcPr>
          <w:p w:rsidR="001B2036" w:rsidRPr="002C3704" w:rsidRDefault="001B2036" w:rsidP="001B2036">
            <w:pPr>
              <w:jc w:val="both"/>
              <w:rPr>
                <w:rFonts w:eastAsia="Calibri"/>
                <w:sz w:val="20"/>
              </w:rPr>
            </w:pPr>
            <w:r w:rsidRPr="002C3704">
              <w:rPr>
                <w:rFonts w:eastAsia="Calibri"/>
                <w:sz w:val="20"/>
              </w:rPr>
              <w:t>Appeal allowed</w:t>
            </w:r>
          </w:p>
          <w:p w:rsidR="001B2036" w:rsidRPr="002C3704" w:rsidRDefault="001B2036" w:rsidP="001B2036">
            <w:pPr>
              <w:jc w:val="both"/>
              <w:rPr>
                <w:rFonts w:eastAsia="Calibri"/>
                <w:sz w:val="20"/>
              </w:rPr>
            </w:pPr>
          </w:p>
        </w:tc>
      </w:tr>
      <w:tr w:rsidR="001B2036" w:rsidRPr="002C3704" w:rsidTr="001B2036">
        <w:tc>
          <w:tcPr>
            <w:tcW w:w="2427" w:type="pct"/>
          </w:tcPr>
          <w:p w:rsidR="001B2036" w:rsidRPr="002C3704" w:rsidRDefault="001B2036" w:rsidP="001B2036">
            <w:pPr>
              <w:jc w:val="both"/>
              <w:rPr>
                <w:rFonts w:eastAsia="Calibri"/>
                <w:sz w:val="20"/>
              </w:rPr>
            </w:pPr>
            <w:r w:rsidRPr="002C3704">
              <w:rPr>
                <w:rFonts w:eastAsia="Calibri"/>
                <w:sz w:val="20"/>
              </w:rPr>
              <w:t>January 5, 2012</w:t>
            </w:r>
          </w:p>
          <w:p w:rsidR="001B2036" w:rsidRPr="002C3704" w:rsidRDefault="001B2036" w:rsidP="001B2036">
            <w:pPr>
              <w:jc w:val="both"/>
              <w:rPr>
                <w:rFonts w:eastAsia="Calibri"/>
                <w:sz w:val="20"/>
              </w:rPr>
            </w:pPr>
            <w:r w:rsidRPr="002C3704">
              <w:rPr>
                <w:rFonts w:eastAsia="Calibri"/>
                <w:sz w:val="20"/>
              </w:rPr>
              <w:t>Supreme Court of Canada</w:t>
            </w:r>
          </w:p>
        </w:tc>
        <w:tc>
          <w:tcPr>
            <w:tcW w:w="243" w:type="pct"/>
          </w:tcPr>
          <w:p w:rsidR="001B2036" w:rsidRPr="002C3704" w:rsidRDefault="001B2036" w:rsidP="001B2036">
            <w:pPr>
              <w:jc w:val="both"/>
              <w:rPr>
                <w:rFonts w:eastAsia="Calibri"/>
                <w:sz w:val="20"/>
              </w:rPr>
            </w:pPr>
          </w:p>
        </w:tc>
        <w:tc>
          <w:tcPr>
            <w:tcW w:w="2330" w:type="pct"/>
          </w:tcPr>
          <w:p w:rsidR="001B2036" w:rsidRPr="002C3704" w:rsidRDefault="001B2036" w:rsidP="001B2036">
            <w:pPr>
              <w:jc w:val="both"/>
              <w:rPr>
                <w:rFonts w:eastAsia="Calibri"/>
                <w:sz w:val="20"/>
              </w:rPr>
            </w:pPr>
            <w:r w:rsidRPr="002C3704">
              <w:rPr>
                <w:rFonts w:eastAsia="Calibri"/>
                <w:sz w:val="20"/>
              </w:rPr>
              <w:t>Application for leave to appeal filed</w:t>
            </w:r>
          </w:p>
        </w:tc>
      </w:tr>
    </w:tbl>
    <w:p w:rsidR="006748AB" w:rsidRDefault="006748AB" w:rsidP="006748AB">
      <w:pPr>
        <w:rPr>
          <w:sz w:val="20"/>
          <w:szCs w:val="20"/>
        </w:rPr>
      </w:pPr>
    </w:p>
    <w:p w:rsidR="006748AB" w:rsidRPr="00C50A5C" w:rsidRDefault="007333FF" w:rsidP="006748AB">
      <w:pPr>
        <w:rPr>
          <w:sz w:val="20"/>
          <w:szCs w:val="20"/>
        </w:rPr>
      </w:pPr>
      <w:r w:rsidRPr="007333FF">
        <w:rPr>
          <w:sz w:val="20"/>
          <w:szCs w:val="20"/>
          <w:lang w:val="fr-CA"/>
        </w:rPr>
        <w:pict>
          <v:rect id="_x0000_i1062" style="width:2in;height:1pt" o:hrpct="0" o:hralign="center" o:hrstd="t" o:hrnoshade="t" o:hr="t" fillcolor="black [3213]" stroked="f"/>
        </w:pict>
      </w:r>
    </w:p>
    <w:p w:rsidR="006748AB" w:rsidRDefault="006748AB" w:rsidP="006748AB">
      <w:pPr>
        <w:rPr>
          <w:sz w:val="20"/>
          <w:szCs w:val="20"/>
        </w:rPr>
      </w:pPr>
    </w:p>
    <w:p w:rsidR="005F6378" w:rsidRDefault="005F6378">
      <w:pPr>
        <w:rPr>
          <w:sz w:val="20"/>
          <w:szCs w:val="20"/>
          <w:u w:val="single"/>
          <w:lang w:val="fr-CA"/>
        </w:rPr>
      </w:pPr>
      <w:r>
        <w:rPr>
          <w:sz w:val="20"/>
          <w:szCs w:val="20"/>
          <w:u w:val="single"/>
          <w:lang w:val="fr-CA"/>
        </w:rPr>
        <w:br w:type="page"/>
      </w:r>
    </w:p>
    <w:p w:rsidR="006748AB" w:rsidRPr="001B157C" w:rsidRDefault="006748AB" w:rsidP="006748AB">
      <w:pPr>
        <w:rPr>
          <w:sz w:val="20"/>
          <w:szCs w:val="20"/>
          <w:u w:val="single"/>
          <w:lang w:val="fr-CA"/>
        </w:rPr>
      </w:pPr>
      <w:r w:rsidRPr="001B157C">
        <w:rPr>
          <w:sz w:val="20"/>
          <w:szCs w:val="20"/>
          <w:u w:val="single"/>
          <w:lang w:val="fr-CA"/>
        </w:rPr>
        <w:lastRenderedPageBreak/>
        <w:t>RÉSUMÉ DE L’AFFAIRE</w:t>
      </w:r>
    </w:p>
    <w:p w:rsidR="006748AB" w:rsidRDefault="006748AB" w:rsidP="006748A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C5C7E" w:rsidRPr="003626B6" w:rsidTr="005F6378">
        <w:tc>
          <w:tcPr>
            <w:tcW w:w="5000" w:type="pct"/>
            <w:gridSpan w:val="3"/>
          </w:tcPr>
          <w:p w:rsidR="00EC5C7E" w:rsidRPr="002C3704" w:rsidRDefault="00EC5C7E" w:rsidP="005F6378">
            <w:pPr>
              <w:jc w:val="both"/>
              <w:rPr>
                <w:rFonts w:eastAsia="Calibri"/>
                <w:sz w:val="20"/>
                <w:lang w:val="fr-CA"/>
              </w:rPr>
            </w:pPr>
            <w:r w:rsidRPr="002C3704">
              <w:rPr>
                <w:rFonts w:eastAsia="Calibri"/>
                <w:sz w:val="20"/>
                <w:lang w:val="fr-CA"/>
              </w:rPr>
              <w:t>Droit criminel – Détermination de la peine – Facteurs devant être pris en considération – Conduite avec facultés affaiblies causant la mort – Conduite dangereuse causant la mort – La Cour d’appel a-t-elle fait erreur en proposant une nouvelle approche pénologique envers les crimes de conduite avec facultés affaiblies causant la mort et de conduite dangereuse causant la mort qui fait fi des interventions répétées du législateur visant l’augmentation de la sévérité des peines en semblable matière et qui rompt avec ses propres enseignements et ceux de cette Cour? – La Cour d’appel a-t-elle fait erreur en statuant que l’imposition d’une peine sévère, pour tenir compte des objectifs de dénonciation et de dissuasion générale, fait échec au principe de l’individualisation de la peine? – L’analyse du poids excessif donné à un facteur de détermination de la peine autorise-t-elle une cour d’appel à substituer ses propres identification et pondération des facteurs à celles retenues par le juge de première instance? – Une cour d’appel est-elle autorisée à considérer des moyens additionnels non soumis par les parties et à s’appuyer sur des rapports et études sans avoir permis aux parties d’en débattre au préalable?</w:t>
            </w:r>
          </w:p>
        </w:tc>
      </w:tr>
      <w:tr w:rsidR="00EC5C7E" w:rsidRPr="003626B6" w:rsidTr="005F6378">
        <w:tc>
          <w:tcPr>
            <w:tcW w:w="5000" w:type="pct"/>
            <w:gridSpan w:val="3"/>
          </w:tcPr>
          <w:p w:rsidR="00EC5C7E" w:rsidRPr="002C3704" w:rsidRDefault="00EC5C7E" w:rsidP="005F6378">
            <w:pPr>
              <w:jc w:val="both"/>
              <w:rPr>
                <w:rFonts w:eastAsia="Calibri"/>
                <w:sz w:val="20"/>
                <w:lang w:val="fr-CA"/>
              </w:rPr>
            </w:pPr>
          </w:p>
        </w:tc>
      </w:tr>
      <w:tr w:rsidR="00EC5C7E" w:rsidRPr="003626B6" w:rsidTr="005F6378">
        <w:tc>
          <w:tcPr>
            <w:tcW w:w="5000" w:type="pct"/>
            <w:gridSpan w:val="3"/>
          </w:tcPr>
          <w:p w:rsidR="00EC5C7E" w:rsidRPr="002C3704" w:rsidRDefault="00EC5C7E" w:rsidP="005F6378">
            <w:pPr>
              <w:jc w:val="both"/>
              <w:rPr>
                <w:rFonts w:eastAsia="Calibri"/>
                <w:sz w:val="20"/>
                <w:lang w:val="fr-CA"/>
              </w:rPr>
            </w:pPr>
            <w:r w:rsidRPr="002C3704">
              <w:rPr>
                <w:rFonts w:eastAsia="Calibri"/>
                <w:sz w:val="20"/>
                <w:lang w:val="fr-CA"/>
              </w:rPr>
              <w:t>En 2009, l’intimé, Yvan Paré, plaide coupable aux chefs d’accusation de conduite avec facultés affaiblies causant la mort et conduite dangereuse causant la mort. Le véhicule conduit par M. Paré est arrivé à très haute vitesse derrière le véhicule immobilisé de la victime et, sans ralentir, l’a embouti violemment. Malgré une intervention chirurgicale, la victime est décédée. Le premier juge impose à l’intimé une peine d’emprisonnement de 5 ans pour conduite avec facultés affaiblies causant la mort et à une peine de trois ans d’emprisonnement pour conduite dangereuse causant la mort, à être purgées concurremment. Ces peines sont assorties d’ordonnances d’interdiction de conduire pendant 10 ans, sur le chef de facultés affaiblies, et de 8 ans, sur celui de conduite dangereuse. La Cour d’appel accueille l’appel et réduit les peines à trois ans d’emprisonnement pour le chef de conduite avec capacité affaiblie ayant causé la mort et à 30 mois pour celui de conduite dangereuse ayant causé la mort.</w:t>
            </w:r>
          </w:p>
          <w:p w:rsidR="00EC5C7E" w:rsidRPr="002C3704" w:rsidRDefault="00EC5C7E" w:rsidP="005F6378">
            <w:pPr>
              <w:jc w:val="both"/>
              <w:rPr>
                <w:rFonts w:eastAsia="Calibri"/>
                <w:sz w:val="20"/>
                <w:lang w:val="fr-CA"/>
              </w:rPr>
            </w:pPr>
          </w:p>
        </w:tc>
      </w:tr>
      <w:tr w:rsidR="00EC5C7E" w:rsidRPr="003626B6" w:rsidTr="005F6378">
        <w:tc>
          <w:tcPr>
            <w:tcW w:w="2427" w:type="pct"/>
          </w:tcPr>
          <w:p w:rsidR="00EC5C7E" w:rsidRPr="002C3704" w:rsidRDefault="00EC5C7E" w:rsidP="005F6378">
            <w:pPr>
              <w:jc w:val="both"/>
              <w:rPr>
                <w:rFonts w:eastAsia="Calibri"/>
                <w:sz w:val="20"/>
                <w:lang w:val="fr-CA"/>
              </w:rPr>
            </w:pPr>
            <w:r w:rsidRPr="002C3704">
              <w:rPr>
                <w:rFonts w:eastAsia="Calibri"/>
                <w:sz w:val="20"/>
                <w:lang w:val="fr-CA"/>
              </w:rPr>
              <w:t>Le 29 octobre 2010</w:t>
            </w:r>
          </w:p>
          <w:p w:rsidR="00EC5C7E" w:rsidRPr="002C3704" w:rsidRDefault="00EC5C7E" w:rsidP="005F6378">
            <w:pPr>
              <w:jc w:val="both"/>
              <w:rPr>
                <w:rFonts w:eastAsia="Calibri"/>
                <w:sz w:val="20"/>
                <w:lang w:val="fr-CA"/>
              </w:rPr>
            </w:pPr>
            <w:r w:rsidRPr="002C3704">
              <w:rPr>
                <w:rFonts w:eastAsia="Calibri"/>
                <w:sz w:val="20"/>
                <w:lang w:val="fr-CA"/>
              </w:rPr>
              <w:t>Cour du Québec</w:t>
            </w:r>
          </w:p>
          <w:p w:rsidR="00EC5C7E" w:rsidRPr="002C3704" w:rsidRDefault="00EC5C7E" w:rsidP="005F6378">
            <w:pPr>
              <w:jc w:val="both"/>
              <w:rPr>
                <w:rFonts w:eastAsia="Calibri"/>
                <w:sz w:val="20"/>
                <w:lang w:val="fr-CA"/>
              </w:rPr>
            </w:pPr>
            <w:r w:rsidRPr="002C3704">
              <w:rPr>
                <w:rFonts w:eastAsia="Calibri"/>
                <w:sz w:val="20"/>
                <w:lang w:val="fr-CA"/>
              </w:rPr>
              <w:t>(Le juge Plante)</w:t>
            </w:r>
          </w:p>
          <w:p w:rsidR="00EC5C7E" w:rsidRPr="002C3704" w:rsidRDefault="00EC5C7E" w:rsidP="005F6378">
            <w:pPr>
              <w:jc w:val="both"/>
              <w:rPr>
                <w:rFonts w:eastAsia="Calibri"/>
                <w:sz w:val="20"/>
                <w:lang w:val="fr-CA"/>
              </w:rPr>
            </w:pPr>
            <w:r w:rsidRPr="002C3704">
              <w:rPr>
                <w:rFonts w:eastAsia="Calibri"/>
                <w:sz w:val="20"/>
                <w:lang w:val="fr-CA"/>
              </w:rPr>
              <w:t>2010 QCCQ 9354</w:t>
            </w:r>
          </w:p>
          <w:p w:rsidR="00EC5C7E" w:rsidRPr="002C3704" w:rsidRDefault="00EC5C7E" w:rsidP="005F6378">
            <w:pPr>
              <w:jc w:val="both"/>
              <w:rPr>
                <w:rFonts w:eastAsia="Calibri"/>
                <w:sz w:val="20"/>
                <w:lang w:val="fr-CA"/>
              </w:rPr>
            </w:pPr>
          </w:p>
        </w:tc>
        <w:tc>
          <w:tcPr>
            <w:tcW w:w="243" w:type="pct"/>
          </w:tcPr>
          <w:p w:rsidR="00EC5C7E" w:rsidRPr="002C3704" w:rsidRDefault="00EC5C7E" w:rsidP="005F6378">
            <w:pPr>
              <w:jc w:val="both"/>
              <w:rPr>
                <w:rFonts w:eastAsia="Calibri"/>
                <w:sz w:val="20"/>
                <w:lang w:val="fr-CA"/>
              </w:rPr>
            </w:pPr>
          </w:p>
        </w:tc>
        <w:tc>
          <w:tcPr>
            <w:tcW w:w="2330" w:type="pct"/>
          </w:tcPr>
          <w:p w:rsidR="00EC5C7E" w:rsidRPr="002C3704" w:rsidRDefault="00EC5C7E" w:rsidP="005F6378">
            <w:pPr>
              <w:jc w:val="both"/>
              <w:rPr>
                <w:rFonts w:eastAsia="Calibri"/>
                <w:sz w:val="20"/>
                <w:lang w:val="fr-CA"/>
              </w:rPr>
            </w:pPr>
            <w:r w:rsidRPr="002C3704">
              <w:rPr>
                <w:rFonts w:eastAsia="Calibri"/>
                <w:sz w:val="20"/>
                <w:lang w:val="fr-CA"/>
              </w:rPr>
              <w:t>Intimé condamné à une peine d’emprisonnement de 5 ans pour conduite avec facultés affaiblies causant la mort et à une peine de trois ans d’emprisonnement pour conduite dangereuse causant la mort, à être purgées concurremment; ordonnances d’interdiction de conduire émises</w:t>
            </w:r>
          </w:p>
          <w:p w:rsidR="00EC5C7E" w:rsidRPr="002C3704" w:rsidRDefault="00EC5C7E" w:rsidP="005F6378">
            <w:pPr>
              <w:jc w:val="both"/>
              <w:rPr>
                <w:rFonts w:eastAsia="Calibri"/>
                <w:sz w:val="20"/>
                <w:lang w:val="fr-CA"/>
              </w:rPr>
            </w:pPr>
          </w:p>
        </w:tc>
      </w:tr>
      <w:tr w:rsidR="00EC5C7E" w:rsidRPr="002C3704" w:rsidTr="005F6378">
        <w:tc>
          <w:tcPr>
            <w:tcW w:w="2427" w:type="pct"/>
          </w:tcPr>
          <w:p w:rsidR="00EC5C7E" w:rsidRPr="002C3704" w:rsidRDefault="00EC5C7E" w:rsidP="005F6378">
            <w:pPr>
              <w:jc w:val="both"/>
              <w:rPr>
                <w:rFonts w:eastAsia="Calibri"/>
                <w:sz w:val="20"/>
                <w:lang w:val="fr-CA"/>
              </w:rPr>
            </w:pPr>
            <w:r w:rsidRPr="002C3704">
              <w:rPr>
                <w:rFonts w:eastAsia="Calibri"/>
                <w:sz w:val="20"/>
                <w:lang w:val="fr-CA"/>
              </w:rPr>
              <w:t>Le 7 novembre 2011</w:t>
            </w:r>
          </w:p>
          <w:p w:rsidR="00EC5C7E" w:rsidRPr="002C3704" w:rsidRDefault="00EC5C7E" w:rsidP="005F6378">
            <w:pPr>
              <w:jc w:val="both"/>
              <w:rPr>
                <w:rFonts w:eastAsia="Calibri"/>
                <w:sz w:val="20"/>
                <w:lang w:val="fr-CA"/>
              </w:rPr>
            </w:pPr>
            <w:r w:rsidRPr="002C3704">
              <w:rPr>
                <w:rFonts w:eastAsia="Calibri"/>
                <w:sz w:val="20"/>
                <w:lang w:val="fr-CA"/>
              </w:rPr>
              <w:t>Cour d’appel du Québec (Québec)</w:t>
            </w:r>
          </w:p>
          <w:p w:rsidR="00EC5C7E" w:rsidRPr="002C3704" w:rsidRDefault="00EC5C7E" w:rsidP="005F6378">
            <w:pPr>
              <w:jc w:val="both"/>
              <w:rPr>
                <w:rFonts w:eastAsia="Calibri"/>
                <w:sz w:val="20"/>
                <w:lang w:val="fr-CA"/>
              </w:rPr>
            </w:pPr>
            <w:r w:rsidRPr="002C3704">
              <w:rPr>
                <w:rFonts w:eastAsia="Calibri"/>
                <w:sz w:val="20"/>
                <w:lang w:val="fr-CA"/>
              </w:rPr>
              <w:t>(Les juges Brossard, Doyon et Kasirer)</w:t>
            </w:r>
          </w:p>
          <w:p w:rsidR="00EC5C7E" w:rsidRPr="002C3704" w:rsidRDefault="00EC5C7E" w:rsidP="005F6378">
            <w:pPr>
              <w:jc w:val="both"/>
              <w:rPr>
                <w:rFonts w:eastAsia="Calibri"/>
                <w:sz w:val="20"/>
                <w:lang w:val="fr-CA"/>
              </w:rPr>
            </w:pPr>
            <w:r w:rsidRPr="002C3704">
              <w:rPr>
                <w:rFonts w:eastAsia="Calibri"/>
                <w:sz w:val="20"/>
                <w:lang w:val="fr-CA"/>
              </w:rPr>
              <w:t>2011 QCCA 2047</w:t>
            </w:r>
          </w:p>
          <w:p w:rsidR="00EC5C7E" w:rsidRPr="002C3704" w:rsidRDefault="00EC5C7E" w:rsidP="005F6378">
            <w:pPr>
              <w:jc w:val="both"/>
              <w:rPr>
                <w:rFonts w:eastAsia="Calibri"/>
                <w:sz w:val="20"/>
                <w:lang w:val="fr-CA"/>
              </w:rPr>
            </w:pPr>
          </w:p>
        </w:tc>
        <w:tc>
          <w:tcPr>
            <w:tcW w:w="243" w:type="pct"/>
          </w:tcPr>
          <w:p w:rsidR="00EC5C7E" w:rsidRPr="002C3704" w:rsidRDefault="00EC5C7E" w:rsidP="005F6378">
            <w:pPr>
              <w:jc w:val="both"/>
              <w:rPr>
                <w:rFonts w:eastAsia="Calibri"/>
                <w:sz w:val="20"/>
                <w:lang w:val="fr-CA"/>
              </w:rPr>
            </w:pPr>
          </w:p>
        </w:tc>
        <w:tc>
          <w:tcPr>
            <w:tcW w:w="2330" w:type="pct"/>
          </w:tcPr>
          <w:p w:rsidR="00EC5C7E" w:rsidRPr="002C3704" w:rsidRDefault="00EC5C7E" w:rsidP="005F6378">
            <w:pPr>
              <w:jc w:val="both"/>
              <w:rPr>
                <w:rFonts w:eastAsia="Calibri"/>
                <w:sz w:val="20"/>
                <w:lang w:val="fr-CA"/>
              </w:rPr>
            </w:pPr>
            <w:r w:rsidRPr="002C3704">
              <w:rPr>
                <w:rFonts w:eastAsia="Calibri"/>
                <w:sz w:val="20"/>
                <w:lang w:val="fr-CA"/>
              </w:rPr>
              <w:t>Appel accueilli</w:t>
            </w:r>
          </w:p>
          <w:p w:rsidR="00EC5C7E" w:rsidRPr="002C3704" w:rsidRDefault="00EC5C7E" w:rsidP="005F6378">
            <w:pPr>
              <w:jc w:val="both"/>
              <w:rPr>
                <w:rFonts w:eastAsia="Calibri"/>
                <w:sz w:val="20"/>
                <w:lang w:val="fr-CA"/>
              </w:rPr>
            </w:pPr>
          </w:p>
        </w:tc>
      </w:tr>
      <w:tr w:rsidR="00EC5C7E" w:rsidRPr="002C3704" w:rsidTr="005F6378">
        <w:tc>
          <w:tcPr>
            <w:tcW w:w="2427" w:type="pct"/>
          </w:tcPr>
          <w:p w:rsidR="00EC5C7E" w:rsidRPr="002C3704" w:rsidRDefault="00EC5C7E" w:rsidP="005F6378">
            <w:pPr>
              <w:jc w:val="both"/>
              <w:rPr>
                <w:rFonts w:eastAsia="Calibri"/>
                <w:sz w:val="20"/>
                <w:lang w:val="fr-CA"/>
              </w:rPr>
            </w:pPr>
            <w:r w:rsidRPr="002C3704">
              <w:rPr>
                <w:rFonts w:eastAsia="Calibri"/>
                <w:sz w:val="20"/>
                <w:lang w:val="fr-CA"/>
              </w:rPr>
              <w:t>Le 5 janvier 2012</w:t>
            </w:r>
          </w:p>
          <w:p w:rsidR="00EC5C7E" w:rsidRPr="002C3704" w:rsidRDefault="00EC5C7E" w:rsidP="005F6378">
            <w:pPr>
              <w:jc w:val="both"/>
              <w:rPr>
                <w:rFonts w:eastAsia="Calibri"/>
                <w:sz w:val="20"/>
                <w:lang w:val="fr-CA"/>
              </w:rPr>
            </w:pPr>
            <w:r w:rsidRPr="002C3704">
              <w:rPr>
                <w:rFonts w:eastAsia="Calibri"/>
                <w:sz w:val="20"/>
                <w:lang w:val="fr-CA"/>
              </w:rPr>
              <w:t>Cour suprême du Canada</w:t>
            </w:r>
          </w:p>
        </w:tc>
        <w:tc>
          <w:tcPr>
            <w:tcW w:w="243" w:type="pct"/>
          </w:tcPr>
          <w:p w:rsidR="00EC5C7E" w:rsidRPr="002C3704" w:rsidRDefault="00EC5C7E" w:rsidP="005F6378">
            <w:pPr>
              <w:jc w:val="both"/>
              <w:rPr>
                <w:rFonts w:eastAsia="Calibri"/>
                <w:sz w:val="20"/>
                <w:lang w:val="fr-CA"/>
              </w:rPr>
            </w:pPr>
          </w:p>
        </w:tc>
        <w:tc>
          <w:tcPr>
            <w:tcW w:w="2330" w:type="pct"/>
          </w:tcPr>
          <w:p w:rsidR="00EC5C7E" w:rsidRPr="002C3704" w:rsidRDefault="00EC5C7E" w:rsidP="005F6378">
            <w:pPr>
              <w:jc w:val="both"/>
              <w:rPr>
                <w:rFonts w:eastAsia="Calibri"/>
                <w:sz w:val="20"/>
                <w:lang w:val="fr-CA"/>
              </w:rPr>
            </w:pPr>
            <w:r w:rsidRPr="002C3704">
              <w:rPr>
                <w:rFonts w:eastAsia="Calibri"/>
                <w:sz w:val="20"/>
                <w:lang w:val="fr-CA"/>
              </w:rPr>
              <w:t>Demande d'autorisation d'appel déposée</w:t>
            </w:r>
          </w:p>
        </w:tc>
      </w:tr>
    </w:tbl>
    <w:p w:rsidR="006748AB" w:rsidRDefault="006748AB" w:rsidP="006748AB">
      <w:pPr>
        <w:rPr>
          <w:sz w:val="20"/>
          <w:szCs w:val="20"/>
        </w:rPr>
      </w:pPr>
    </w:p>
    <w:p w:rsidR="006748AB" w:rsidRDefault="007333FF" w:rsidP="006748AB">
      <w:pPr>
        <w:rPr>
          <w:sz w:val="20"/>
          <w:szCs w:val="20"/>
        </w:rPr>
      </w:pPr>
      <w:r w:rsidRPr="007333FF">
        <w:rPr>
          <w:sz w:val="20"/>
          <w:szCs w:val="20"/>
          <w:lang w:val="fr-CA"/>
        </w:rPr>
        <w:pict>
          <v:rect id="_x0000_i1063" style="width:2in;height:1pt" o:hrpct="0" o:hralign="center" o:hrstd="t" o:hrnoshade="t" o:hr="t" fillcolor="black [3213]" stroked="f"/>
        </w:pict>
      </w:r>
    </w:p>
    <w:p w:rsidR="006748AB" w:rsidRDefault="006748AB" w:rsidP="006748A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40E20" w:rsidRPr="00FB1C1D" w:rsidTr="001B2036">
        <w:trPr>
          <w:cantSplit/>
        </w:trPr>
        <w:tc>
          <w:tcPr>
            <w:tcW w:w="1458" w:type="dxa"/>
          </w:tcPr>
          <w:p w:rsidR="00F40E20" w:rsidRPr="00FB1C1D" w:rsidRDefault="00F40E20" w:rsidP="001B2036">
            <w:pPr>
              <w:rPr>
                <w:sz w:val="20"/>
                <w:szCs w:val="20"/>
              </w:rPr>
            </w:pPr>
            <w:r w:rsidRPr="00FB1C1D">
              <w:rPr>
                <w:rStyle w:val="SCCFileNumberChar"/>
                <w:sz w:val="20"/>
                <w:szCs w:val="20"/>
              </w:rPr>
              <w:t>34657</w:t>
            </w:r>
          </w:p>
          <w:p w:rsidR="00F40E20" w:rsidRPr="00FB1C1D" w:rsidRDefault="00F40E20" w:rsidP="001B2036">
            <w:pPr>
              <w:rPr>
                <w:b/>
                <w:sz w:val="20"/>
                <w:szCs w:val="20"/>
                <w:lang w:val="fr-CA"/>
              </w:rPr>
            </w:pPr>
          </w:p>
        </w:tc>
        <w:tc>
          <w:tcPr>
            <w:tcW w:w="8118" w:type="dxa"/>
          </w:tcPr>
          <w:p w:rsidR="00F40E20" w:rsidRPr="00FB1C1D" w:rsidRDefault="00F40E20" w:rsidP="001B2036">
            <w:pPr>
              <w:jc w:val="both"/>
              <w:rPr>
                <w:sz w:val="20"/>
                <w:szCs w:val="20"/>
              </w:rPr>
            </w:pPr>
            <w:r w:rsidRPr="00F40E20">
              <w:rPr>
                <w:rStyle w:val="SCCLsocChar"/>
                <w:sz w:val="20"/>
                <w:szCs w:val="20"/>
                <w:lang w:val="en-CA"/>
              </w:rPr>
              <w:t>GRW Industries (1985) Limited (In Bankruptcy) and the Secured; Preferred and Unsecured Creditors v. Royal Bank of Canada</w:t>
            </w:r>
            <w:r w:rsidRPr="00FB1C1D">
              <w:rPr>
                <w:sz w:val="20"/>
                <w:szCs w:val="20"/>
              </w:rPr>
              <w:t xml:space="preserve"> (Ont.) (Civil) (By Leave)</w:t>
            </w:r>
          </w:p>
          <w:p w:rsidR="00F40E20" w:rsidRPr="00FB1C1D" w:rsidRDefault="00F40E20" w:rsidP="001B2036">
            <w:pPr>
              <w:rPr>
                <w:sz w:val="20"/>
                <w:szCs w:val="20"/>
              </w:rPr>
            </w:pPr>
          </w:p>
        </w:tc>
      </w:tr>
      <w:tr w:rsidR="00F40E20" w:rsidRPr="00FB1C1D" w:rsidTr="001B2036">
        <w:trPr>
          <w:cantSplit/>
        </w:trPr>
        <w:tc>
          <w:tcPr>
            <w:tcW w:w="1458" w:type="dxa"/>
          </w:tcPr>
          <w:p w:rsidR="00F40E20" w:rsidRPr="00FB1C1D" w:rsidRDefault="00F40E20" w:rsidP="001B2036">
            <w:pPr>
              <w:rPr>
                <w:sz w:val="20"/>
                <w:szCs w:val="20"/>
              </w:rPr>
            </w:pPr>
            <w:r w:rsidRPr="00FB1C1D">
              <w:rPr>
                <w:sz w:val="20"/>
                <w:szCs w:val="20"/>
              </w:rPr>
              <w:t>Coram :</w:t>
            </w:r>
          </w:p>
        </w:tc>
        <w:tc>
          <w:tcPr>
            <w:tcW w:w="8118" w:type="dxa"/>
          </w:tcPr>
          <w:p w:rsidR="00F40E20" w:rsidRPr="00FB1C1D" w:rsidRDefault="00F40E20" w:rsidP="001B2036">
            <w:pPr>
              <w:rPr>
                <w:sz w:val="20"/>
                <w:szCs w:val="20"/>
              </w:rPr>
            </w:pPr>
            <w:r w:rsidRPr="00F40E20">
              <w:rPr>
                <w:rStyle w:val="SCCCoramChar"/>
                <w:sz w:val="20"/>
                <w:szCs w:val="20"/>
                <w:lang w:val="en-CA"/>
              </w:rPr>
              <w:t>Deschamps, Fish and Karakatsanis JJ.</w:t>
            </w:r>
          </w:p>
          <w:p w:rsidR="00F40E20" w:rsidRPr="00FB1C1D" w:rsidRDefault="00F40E20" w:rsidP="001B2036">
            <w:pPr>
              <w:rPr>
                <w:sz w:val="20"/>
                <w:szCs w:val="20"/>
                <w:u w:val="single"/>
              </w:rPr>
            </w:pPr>
          </w:p>
        </w:tc>
      </w:tr>
      <w:tr w:rsidR="00F40E20" w:rsidRPr="003626B6" w:rsidTr="001B2036">
        <w:trPr>
          <w:cantSplit/>
        </w:trPr>
        <w:tc>
          <w:tcPr>
            <w:tcW w:w="9576" w:type="dxa"/>
            <w:gridSpan w:val="2"/>
          </w:tcPr>
          <w:p w:rsidR="00F40E20" w:rsidRPr="00FB1C1D" w:rsidRDefault="00F40E20" w:rsidP="001B2036">
            <w:pPr>
              <w:pStyle w:val="SCCShortJudgment"/>
              <w:rPr>
                <w:szCs w:val="20"/>
              </w:rPr>
            </w:pPr>
            <w:r w:rsidRPr="00FB1C1D">
              <w:rPr>
                <w:szCs w:val="20"/>
              </w:rPr>
              <w:lastRenderedPageBreak/>
              <w:t>The motion for an extension of time to serve and file the application for leave to appeal is granted. The application for leave to appeal from the judgment of the Court of Appeal for Ontario, Number C52411, 2011 ONCA 729, dated November 18, 2011, is dismissed with costs.</w:t>
            </w:r>
          </w:p>
          <w:p w:rsidR="00F40E20" w:rsidRPr="00FB1C1D" w:rsidRDefault="00F40E20" w:rsidP="001B2036">
            <w:pPr>
              <w:pStyle w:val="SCCShortJudgment"/>
              <w:ind w:firstLine="0"/>
              <w:rPr>
                <w:szCs w:val="20"/>
              </w:rPr>
            </w:pPr>
          </w:p>
          <w:p w:rsidR="00F40E20" w:rsidRPr="00FB1C1D" w:rsidRDefault="00F40E20" w:rsidP="001B2036">
            <w:pPr>
              <w:pStyle w:val="SCCShortJudgment"/>
              <w:rPr>
                <w:szCs w:val="20"/>
                <w:lang w:val="fr-CA"/>
              </w:rPr>
            </w:pPr>
            <w:r w:rsidRPr="00FB1C1D">
              <w:rPr>
                <w:szCs w:val="20"/>
                <w:lang w:val="fr-CA"/>
              </w:rPr>
              <w:t>La requête en prorogation du délai de signification et de dépôt de la demande d’autorisation d’appel est accueillie. La demande d’autorisation d’appel de l’arrêt de la Cour d’appel de l’Ontario, numéro C52411, 2011 ONCA 729, daté du 18 novembre 2011, est rejetée avec dépens.</w:t>
            </w:r>
          </w:p>
        </w:tc>
      </w:tr>
    </w:tbl>
    <w:p w:rsidR="005737AF" w:rsidRPr="00F40E20" w:rsidRDefault="005737AF" w:rsidP="006748AB">
      <w:pPr>
        <w:rPr>
          <w:sz w:val="20"/>
          <w:szCs w:val="20"/>
          <w:lang w:val="fr-CA"/>
        </w:rPr>
      </w:pPr>
    </w:p>
    <w:p w:rsidR="005737AF" w:rsidRPr="001B157C" w:rsidRDefault="005737AF" w:rsidP="005737AF">
      <w:pPr>
        <w:rPr>
          <w:sz w:val="20"/>
          <w:szCs w:val="20"/>
          <w:u w:val="single"/>
        </w:rPr>
      </w:pPr>
      <w:r w:rsidRPr="001B157C">
        <w:rPr>
          <w:sz w:val="20"/>
          <w:szCs w:val="20"/>
          <w:u w:val="single"/>
        </w:rPr>
        <w:t>CASE SUMMARY</w:t>
      </w:r>
    </w:p>
    <w:p w:rsidR="005737AF" w:rsidRDefault="005737AF" w:rsidP="005737A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C5C7E" w:rsidRPr="002C3704" w:rsidTr="005F6378">
        <w:tc>
          <w:tcPr>
            <w:tcW w:w="5000" w:type="pct"/>
            <w:gridSpan w:val="3"/>
          </w:tcPr>
          <w:p w:rsidR="00EC5C7E" w:rsidRPr="002C3704" w:rsidRDefault="00EC5C7E" w:rsidP="005F6378">
            <w:pPr>
              <w:jc w:val="both"/>
              <w:rPr>
                <w:rFonts w:eastAsia="Calibri"/>
                <w:sz w:val="20"/>
              </w:rPr>
            </w:pPr>
            <w:r w:rsidRPr="002C3704">
              <w:rPr>
                <w:rFonts w:eastAsia="Calibri"/>
                <w:sz w:val="20"/>
              </w:rPr>
              <w:t xml:space="preserve">Judgments and orders – Civil procedure – Appeals – </w:t>
            </w:r>
            <w:r w:rsidRPr="002C3704">
              <w:rPr>
                <w:rFonts w:eastAsia="Calibri"/>
                <w:i/>
                <w:sz w:val="20"/>
              </w:rPr>
              <w:t>Res judicata</w:t>
            </w:r>
            <w:r w:rsidRPr="002C3704">
              <w:rPr>
                <w:rFonts w:eastAsia="Calibri"/>
                <w:sz w:val="20"/>
              </w:rPr>
              <w:t xml:space="preserve"> – Applicant alleging fraudulent misrepresentation by respondent before courts - Whether the appellate court erred in dismissing an appeal from the motions judge’s dismissal of the applicant’s motion on the basis of </w:t>
            </w:r>
            <w:r w:rsidRPr="002C3704">
              <w:rPr>
                <w:rFonts w:eastAsia="Calibri"/>
                <w:i/>
                <w:sz w:val="20"/>
              </w:rPr>
              <w:t>res judicata</w:t>
            </w:r>
            <w:r w:rsidRPr="002C3704">
              <w:rPr>
                <w:rFonts w:eastAsia="Calibri"/>
                <w:sz w:val="20"/>
              </w:rPr>
              <w:t>.</w:t>
            </w:r>
          </w:p>
        </w:tc>
      </w:tr>
      <w:tr w:rsidR="00EC5C7E" w:rsidRPr="002C3704" w:rsidTr="005F6378">
        <w:tc>
          <w:tcPr>
            <w:tcW w:w="5000" w:type="pct"/>
            <w:gridSpan w:val="3"/>
          </w:tcPr>
          <w:p w:rsidR="00EC5C7E" w:rsidRPr="002C3704" w:rsidRDefault="00EC5C7E" w:rsidP="005F6378">
            <w:pPr>
              <w:jc w:val="both"/>
              <w:rPr>
                <w:rFonts w:eastAsia="Calibri"/>
                <w:sz w:val="20"/>
              </w:rPr>
            </w:pPr>
          </w:p>
        </w:tc>
      </w:tr>
      <w:tr w:rsidR="00EC5C7E" w:rsidRPr="002C3704" w:rsidTr="005F6378">
        <w:tc>
          <w:tcPr>
            <w:tcW w:w="5000" w:type="pct"/>
            <w:gridSpan w:val="3"/>
          </w:tcPr>
          <w:p w:rsidR="00EC5C7E" w:rsidRPr="002C3704" w:rsidRDefault="00EC5C7E" w:rsidP="005F6378">
            <w:pPr>
              <w:jc w:val="both"/>
              <w:rPr>
                <w:rFonts w:eastAsia="Calibri"/>
                <w:sz w:val="20"/>
              </w:rPr>
            </w:pPr>
            <w:r w:rsidRPr="002C3704">
              <w:rPr>
                <w:rFonts w:eastAsia="Calibri"/>
                <w:sz w:val="20"/>
              </w:rPr>
              <w:t>Grant Wilson, acting on behalf of the bankrupt company GRW Industries (1985) Limited (the “applicant”), brought a motion to introduce new evidence and seek new relief with respect to a claim that the respondent made fraudulent misrepresentations before the Ontario Superior Court of Justice and the Ontario Court of Appeal in the course of the applicant’s petitioning into bankruptcy.</w:t>
            </w:r>
          </w:p>
          <w:p w:rsidR="00EC5C7E" w:rsidRPr="002C3704" w:rsidRDefault="00EC5C7E" w:rsidP="005F6378">
            <w:pPr>
              <w:jc w:val="both"/>
              <w:rPr>
                <w:rFonts w:eastAsia="Calibri"/>
                <w:sz w:val="20"/>
              </w:rPr>
            </w:pPr>
          </w:p>
          <w:p w:rsidR="00EC5C7E" w:rsidRPr="002C3704" w:rsidRDefault="00EC5C7E" w:rsidP="005F6378">
            <w:pPr>
              <w:jc w:val="both"/>
              <w:rPr>
                <w:rFonts w:eastAsia="Calibri"/>
                <w:sz w:val="20"/>
              </w:rPr>
            </w:pPr>
            <w:r w:rsidRPr="002C3704">
              <w:rPr>
                <w:rFonts w:eastAsia="Calibri"/>
                <w:sz w:val="20"/>
              </w:rPr>
              <w:t xml:space="preserve">The applicant had commenced an action in 2007, alleging that the respondent had acted fraudulently and improperly in petitioning it into bankruptcy.  The action was dismissed, as were an appeal to the Court of Appeal for Ontario and an application for leave to appeal to the Supreme Court of Canada. The motions judge found that the applicant’s new motion was an attempt to re-litigate the issues dealt with in the earlier decisions. She dismissed the applicant’s motion on the basis of </w:t>
            </w:r>
            <w:r w:rsidRPr="002C3704">
              <w:rPr>
                <w:rFonts w:eastAsia="Calibri"/>
                <w:i/>
                <w:sz w:val="20"/>
              </w:rPr>
              <w:t>res judicata</w:t>
            </w:r>
            <w:r w:rsidRPr="002C3704">
              <w:rPr>
                <w:rFonts w:eastAsia="Calibri"/>
                <w:sz w:val="20"/>
              </w:rPr>
              <w:t>. The Court of Appeal for Ontario found no reason to interfere with that decision and dismissed the appeal.</w:t>
            </w:r>
          </w:p>
          <w:p w:rsidR="00EC5C7E" w:rsidRPr="002C3704" w:rsidRDefault="00EC5C7E" w:rsidP="005F6378">
            <w:pPr>
              <w:jc w:val="both"/>
              <w:rPr>
                <w:rFonts w:eastAsia="Calibri"/>
                <w:sz w:val="20"/>
              </w:rPr>
            </w:pPr>
          </w:p>
        </w:tc>
      </w:tr>
      <w:tr w:rsidR="00EC5C7E" w:rsidRPr="002C3704" w:rsidTr="005F6378">
        <w:tc>
          <w:tcPr>
            <w:tcW w:w="2427" w:type="pct"/>
          </w:tcPr>
          <w:p w:rsidR="00EC5C7E" w:rsidRPr="002C3704" w:rsidRDefault="00EC5C7E" w:rsidP="005F6378">
            <w:pPr>
              <w:jc w:val="both"/>
              <w:rPr>
                <w:rFonts w:eastAsia="Calibri"/>
                <w:sz w:val="20"/>
              </w:rPr>
            </w:pPr>
            <w:r w:rsidRPr="002C3704">
              <w:rPr>
                <w:rFonts w:eastAsia="Calibri"/>
                <w:sz w:val="20"/>
              </w:rPr>
              <w:t>June 8, 2010</w:t>
            </w:r>
          </w:p>
          <w:p w:rsidR="00EC5C7E" w:rsidRPr="002C3704" w:rsidRDefault="00EC5C7E" w:rsidP="005F6378">
            <w:pPr>
              <w:jc w:val="both"/>
              <w:rPr>
                <w:rFonts w:eastAsia="Calibri"/>
                <w:sz w:val="20"/>
              </w:rPr>
            </w:pPr>
            <w:r w:rsidRPr="002C3704">
              <w:rPr>
                <w:rFonts w:eastAsia="Calibri"/>
                <w:sz w:val="20"/>
              </w:rPr>
              <w:t>Ontario Superior Court of Justice</w:t>
            </w:r>
          </w:p>
          <w:p w:rsidR="00EC5C7E" w:rsidRPr="002C3704" w:rsidRDefault="00EC5C7E" w:rsidP="005F6378">
            <w:pPr>
              <w:jc w:val="both"/>
              <w:rPr>
                <w:rFonts w:eastAsia="Calibri"/>
                <w:sz w:val="20"/>
              </w:rPr>
            </w:pPr>
            <w:r w:rsidRPr="002C3704">
              <w:rPr>
                <w:rFonts w:eastAsia="Calibri"/>
                <w:sz w:val="20"/>
              </w:rPr>
              <w:t>(Morissette J.)</w:t>
            </w:r>
          </w:p>
          <w:p w:rsidR="00EC5C7E" w:rsidRPr="002C3704" w:rsidRDefault="00EC5C7E" w:rsidP="005F6378">
            <w:pPr>
              <w:jc w:val="both"/>
              <w:rPr>
                <w:rFonts w:eastAsia="Calibri"/>
                <w:sz w:val="20"/>
              </w:rPr>
            </w:pPr>
            <w:r w:rsidRPr="002C3704">
              <w:rPr>
                <w:rFonts w:eastAsia="Calibri"/>
                <w:sz w:val="20"/>
              </w:rPr>
              <w:t>2010 ONSC 3366</w:t>
            </w:r>
          </w:p>
          <w:p w:rsidR="00EC5C7E" w:rsidRPr="002C3704" w:rsidRDefault="00EC5C7E" w:rsidP="005F6378">
            <w:pPr>
              <w:jc w:val="both"/>
              <w:rPr>
                <w:rFonts w:eastAsia="Calibri"/>
                <w:sz w:val="20"/>
              </w:rPr>
            </w:pPr>
          </w:p>
        </w:tc>
        <w:tc>
          <w:tcPr>
            <w:tcW w:w="243" w:type="pct"/>
          </w:tcPr>
          <w:p w:rsidR="00EC5C7E" w:rsidRPr="002C3704" w:rsidRDefault="00EC5C7E" w:rsidP="005F6378">
            <w:pPr>
              <w:jc w:val="both"/>
              <w:rPr>
                <w:rFonts w:eastAsia="Calibri"/>
                <w:sz w:val="20"/>
              </w:rPr>
            </w:pPr>
          </w:p>
        </w:tc>
        <w:tc>
          <w:tcPr>
            <w:tcW w:w="2330" w:type="pct"/>
          </w:tcPr>
          <w:p w:rsidR="00EC5C7E" w:rsidRPr="002C3704" w:rsidRDefault="00EC5C7E" w:rsidP="005F6378">
            <w:pPr>
              <w:jc w:val="both"/>
              <w:rPr>
                <w:rFonts w:eastAsia="Calibri"/>
                <w:sz w:val="20"/>
              </w:rPr>
            </w:pPr>
            <w:r w:rsidRPr="002C3704">
              <w:rPr>
                <w:rFonts w:eastAsia="Calibri"/>
                <w:sz w:val="20"/>
              </w:rPr>
              <w:t>Applicant’s motion dismissed</w:t>
            </w:r>
          </w:p>
          <w:p w:rsidR="00EC5C7E" w:rsidRPr="002C3704" w:rsidRDefault="00EC5C7E" w:rsidP="005F6378">
            <w:pPr>
              <w:jc w:val="both"/>
              <w:rPr>
                <w:rFonts w:eastAsia="Calibri"/>
                <w:sz w:val="20"/>
              </w:rPr>
            </w:pPr>
          </w:p>
          <w:p w:rsidR="00EC5C7E" w:rsidRPr="002C3704" w:rsidRDefault="00EC5C7E" w:rsidP="005F6378">
            <w:pPr>
              <w:jc w:val="both"/>
              <w:rPr>
                <w:rFonts w:eastAsia="Calibri"/>
                <w:sz w:val="20"/>
              </w:rPr>
            </w:pPr>
          </w:p>
        </w:tc>
      </w:tr>
      <w:tr w:rsidR="00EC5C7E" w:rsidRPr="002C3704" w:rsidTr="005F6378">
        <w:tc>
          <w:tcPr>
            <w:tcW w:w="2427" w:type="pct"/>
          </w:tcPr>
          <w:p w:rsidR="00EC5C7E" w:rsidRPr="002C3704" w:rsidRDefault="00EC5C7E" w:rsidP="005F6378">
            <w:pPr>
              <w:jc w:val="both"/>
              <w:rPr>
                <w:rFonts w:eastAsia="Calibri"/>
                <w:sz w:val="20"/>
              </w:rPr>
            </w:pPr>
            <w:r w:rsidRPr="002C3704">
              <w:rPr>
                <w:rFonts w:eastAsia="Calibri"/>
                <w:sz w:val="20"/>
              </w:rPr>
              <w:t>November 18, 2011</w:t>
            </w:r>
          </w:p>
          <w:p w:rsidR="00EC5C7E" w:rsidRPr="002C3704" w:rsidRDefault="00EC5C7E" w:rsidP="005F6378">
            <w:pPr>
              <w:jc w:val="both"/>
              <w:rPr>
                <w:rFonts w:eastAsia="Calibri"/>
                <w:sz w:val="20"/>
              </w:rPr>
            </w:pPr>
            <w:r w:rsidRPr="002C3704">
              <w:rPr>
                <w:rFonts w:eastAsia="Calibri"/>
                <w:sz w:val="20"/>
              </w:rPr>
              <w:t>Court of Appeal for Ontario</w:t>
            </w:r>
          </w:p>
          <w:p w:rsidR="00EC5C7E" w:rsidRPr="002C3704" w:rsidRDefault="00EC5C7E" w:rsidP="005F6378">
            <w:pPr>
              <w:jc w:val="both"/>
              <w:rPr>
                <w:rFonts w:eastAsia="Calibri"/>
                <w:sz w:val="20"/>
              </w:rPr>
            </w:pPr>
            <w:r w:rsidRPr="002C3704">
              <w:rPr>
                <w:rFonts w:eastAsia="Calibri"/>
                <w:sz w:val="20"/>
              </w:rPr>
              <w:t>(MacPherson, LaForme and Hackland JJ.A.)</w:t>
            </w:r>
          </w:p>
          <w:p w:rsidR="00EC5C7E" w:rsidRPr="002C3704" w:rsidRDefault="00EC5C7E" w:rsidP="005F6378">
            <w:pPr>
              <w:jc w:val="both"/>
              <w:rPr>
                <w:rFonts w:eastAsia="Calibri"/>
                <w:sz w:val="20"/>
              </w:rPr>
            </w:pPr>
            <w:r w:rsidRPr="002C3704">
              <w:rPr>
                <w:rFonts w:eastAsia="Calibri"/>
                <w:sz w:val="20"/>
              </w:rPr>
              <w:t>2011 ONCA 729</w:t>
            </w:r>
          </w:p>
          <w:p w:rsidR="00EC5C7E" w:rsidRPr="002C3704" w:rsidRDefault="00EC5C7E" w:rsidP="005F6378">
            <w:pPr>
              <w:jc w:val="both"/>
              <w:rPr>
                <w:rFonts w:eastAsia="Calibri"/>
                <w:sz w:val="20"/>
              </w:rPr>
            </w:pPr>
          </w:p>
        </w:tc>
        <w:tc>
          <w:tcPr>
            <w:tcW w:w="243" w:type="pct"/>
          </w:tcPr>
          <w:p w:rsidR="00EC5C7E" w:rsidRPr="002C3704" w:rsidRDefault="00EC5C7E" w:rsidP="005F6378">
            <w:pPr>
              <w:jc w:val="both"/>
              <w:rPr>
                <w:rFonts w:eastAsia="Calibri"/>
                <w:sz w:val="20"/>
              </w:rPr>
            </w:pPr>
          </w:p>
        </w:tc>
        <w:tc>
          <w:tcPr>
            <w:tcW w:w="2330" w:type="pct"/>
          </w:tcPr>
          <w:p w:rsidR="00EC5C7E" w:rsidRPr="002C3704" w:rsidRDefault="00EC5C7E" w:rsidP="005F6378">
            <w:pPr>
              <w:jc w:val="both"/>
              <w:rPr>
                <w:rFonts w:eastAsia="Calibri"/>
                <w:sz w:val="20"/>
              </w:rPr>
            </w:pPr>
            <w:r w:rsidRPr="002C3704">
              <w:rPr>
                <w:rFonts w:eastAsia="Calibri"/>
                <w:sz w:val="20"/>
              </w:rPr>
              <w:t>Appeal dismissed</w:t>
            </w:r>
          </w:p>
          <w:p w:rsidR="00EC5C7E" w:rsidRPr="002C3704" w:rsidRDefault="00EC5C7E" w:rsidP="005F6378">
            <w:pPr>
              <w:jc w:val="both"/>
              <w:rPr>
                <w:rFonts w:eastAsia="Calibri"/>
                <w:sz w:val="20"/>
              </w:rPr>
            </w:pPr>
          </w:p>
          <w:p w:rsidR="00EC5C7E" w:rsidRPr="002C3704" w:rsidRDefault="00EC5C7E" w:rsidP="005F6378">
            <w:pPr>
              <w:jc w:val="both"/>
              <w:rPr>
                <w:rFonts w:eastAsia="Calibri"/>
                <w:sz w:val="20"/>
              </w:rPr>
            </w:pPr>
          </w:p>
        </w:tc>
      </w:tr>
      <w:tr w:rsidR="00EC5C7E" w:rsidRPr="002C3704" w:rsidTr="005F6378">
        <w:tc>
          <w:tcPr>
            <w:tcW w:w="2427" w:type="pct"/>
          </w:tcPr>
          <w:p w:rsidR="00EC5C7E" w:rsidRPr="002C3704" w:rsidRDefault="00EC5C7E" w:rsidP="005F6378">
            <w:pPr>
              <w:jc w:val="both"/>
              <w:rPr>
                <w:rFonts w:eastAsia="Calibri"/>
                <w:sz w:val="20"/>
              </w:rPr>
            </w:pPr>
            <w:r w:rsidRPr="002C3704">
              <w:rPr>
                <w:rFonts w:eastAsia="Calibri"/>
                <w:sz w:val="20"/>
              </w:rPr>
              <w:t>January 18, 2012</w:t>
            </w:r>
          </w:p>
          <w:p w:rsidR="00EC5C7E" w:rsidRPr="002C3704" w:rsidRDefault="00EC5C7E" w:rsidP="005F6378">
            <w:pPr>
              <w:jc w:val="both"/>
              <w:rPr>
                <w:rFonts w:eastAsia="Calibri"/>
                <w:sz w:val="20"/>
              </w:rPr>
            </w:pPr>
            <w:r w:rsidRPr="002C3704">
              <w:rPr>
                <w:rFonts w:eastAsia="Calibri"/>
                <w:sz w:val="20"/>
              </w:rPr>
              <w:t>Supreme Court of Canada</w:t>
            </w:r>
          </w:p>
        </w:tc>
        <w:tc>
          <w:tcPr>
            <w:tcW w:w="243" w:type="pct"/>
          </w:tcPr>
          <w:p w:rsidR="00EC5C7E" w:rsidRPr="002C3704" w:rsidRDefault="00EC5C7E" w:rsidP="005F6378">
            <w:pPr>
              <w:jc w:val="both"/>
              <w:rPr>
                <w:rFonts w:eastAsia="Calibri"/>
                <w:sz w:val="20"/>
              </w:rPr>
            </w:pPr>
          </w:p>
        </w:tc>
        <w:tc>
          <w:tcPr>
            <w:tcW w:w="2330" w:type="pct"/>
          </w:tcPr>
          <w:p w:rsidR="00EC5C7E" w:rsidRPr="002C3704" w:rsidRDefault="00EC5C7E" w:rsidP="005F6378">
            <w:pPr>
              <w:jc w:val="both"/>
              <w:rPr>
                <w:rFonts w:eastAsia="Calibri"/>
                <w:sz w:val="20"/>
              </w:rPr>
            </w:pPr>
            <w:r w:rsidRPr="002C3704">
              <w:rPr>
                <w:rFonts w:eastAsia="Calibri"/>
                <w:sz w:val="20"/>
              </w:rPr>
              <w:t>Application for leave to appeal and motion for an extension of time to serve and file application, filed</w:t>
            </w:r>
          </w:p>
        </w:tc>
      </w:tr>
    </w:tbl>
    <w:p w:rsidR="005737AF" w:rsidRDefault="005737AF" w:rsidP="005737AF">
      <w:pPr>
        <w:rPr>
          <w:sz w:val="20"/>
          <w:szCs w:val="20"/>
        </w:rPr>
      </w:pPr>
    </w:p>
    <w:p w:rsidR="005737AF" w:rsidRPr="00C50A5C" w:rsidRDefault="007333FF" w:rsidP="005737AF">
      <w:pPr>
        <w:rPr>
          <w:sz w:val="20"/>
          <w:szCs w:val="20"/>
        </w:rPr>
      </w:pPr>
      <w:r w:rsidRPr="007333FF">
        <w:rPr>
          <w:sz w:val="20"/>
          <w:szCs w:val="20"/>
          <w:lang w:val="fr-CA"/>
        </w:rPr>
        <w:pict>
          <v:rect id="_x0000_i1064" style="width:2in;height:1pt" o:hrpct="0" o:hralign="center" o:hrstd="t" o:hrnoshade="t" o:hr="t" fillcolor="black [3213]" stroked="f"/>
        </w:pict>
      </w:r>
    </w:p>
    <w:p w:rsidR="005737AF" w:rsidRDefault="005737AF" w:rsidP="005737AF">
      <w:pPr>
        <w:rPr>
          <w:sz w:val="20"/>
          <w:szCs w:val="20"/>
        </w:rPr>
      </w:pPr>
    </w:p>
    <w:p w:rsidR="005737AF" w:rsidRPr="001B157C" w:rsidRDefault="005737AF" w:rsidP="005737AF">
      <w:pPr>
        <w:rPr>
          <w:sz w:val="20"/>
          <w:szCs w:val="20"/>
          <w:u w:val="single"/>
          <w:lang w:val="fr-CA"/>
        </w:rPr>
      </w:pPr>
      <w:r w:rsidRPr="001B157C">
        <w:rPr>
          <w:sz w:val="20"/>
          <w:szCs w:val="20"/>
          <w:u w:val="single"/>
          <w:lang w:val="fr-CA"/>
        </w:rPr>
        <w:t>RÉSUMÉ DE L’AFFAIRE</w:t>
      </w:r>
    </w:p>
    <w:p w:rsidR="005737AF" w:rsidRDefault="005737AF" w:rsidP="005737A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C5C7E" w:rsidRPr="003626B6" w:rsidTr="005F6378">
        <w:tc>
          <w:tcPr>
            <w:tcW w:w="5000" w:type="pct"/>
            <w:gridSpan w:val="3"/>
          </w:tcPr>
          <w:p w:rsidR="00EC5C7E" w:rsidRPr="002C3704" w:rsidRDefault="00EC5C7E" w:rsidP="005F6378">
            <w:pPr>
              <w:jc w:val="both"/>
              <w:rPr>
                <w:rFonts w:eastAsia="Calibri"/>
                <w:sz w:val="20"/>
                <w:lang w:val="fr-CA"/>
              </w:rPr>
            </w:pPr>
            <w:r w:rsidRPr="002C3704">
              <w:rPr>
                <w:rFonts w:eastAsia="Calibri"/>
                <w:sz w:val="20"/>
                <w:lang w:val="fr-CA"/>
              </w:rPr>
              <w:t>Jugements et ordonnances – Procédure civile – Appels –</w:t>
            </w:r>
            <w:r w:rsidRPr="002C3704">
              <w:rPr>
                <w:rFonts w:eastAsia="Calibri"/>
                <w:i/>
                <w:sz w:val="20"/>
                <w:lang w:val="fr-CA"/>
              </w:rPr>
              <w:t xml:space="preserve"> </w:t>
            </w:r>
            <w:r w:rsidRPr="002C3704">
              <w:rPr>
                <w:rFonts w:eastAsia="Calibri"/>
                <w:sz w:val="20"/>
                <w:lang w:val="fr-CA"/>
              </w:rPr>
              <w:t>Chose jugée</w:t>
            </w:r>
            <w:r w:rsidRPr="002C3704">
              <w:rPr>
                <w:rFonts w:eastAsia="Calibri"/>
                <w:i/>
                <w:sz w:val="20"/>
                <w:lang w:val="fr-CA"/>
              </w:rPr>
              <w:t xml:space="preserve"> </w:t>
            </w:r>
            <w:r w:rsidRPr="002C3704">
              <w:rPr>
                <w:rFonts w:eastAsia="Calibri"/>
                <w:sz w:val="20"/>
                <w:lang w:val="fr-CA"/>
              </w:rPr>
              <w:t>– La demanderesse allègue que l'intimée aurait fait des assertions frauduleuses et inexactes devant les tribunaux – La Cour d’appel a-t-elle eu tort de rejeter l’appel de la décision de la juge de première instance de rejeter la motion de la demanderesse pour cause de chose jugée?</w:t>
            </w:r>
          </w:p>
        </w:tc>
      </w:tr>
      <w:tr w:rsidR="00EC5C7E" w:rsidRPr="003626B6" w:rsidTr="005F6378">
        <w:tc>
          <w:tcPr>
            <w:tcW w:w="5000" w:type="pct"/>
            <w:gridSpan w:val="3"/>
          </w:tcPr>
          <w:p w:rsidR="00EC5C7E" w:rsidRPr="002C3704" w:rsidRDefault="00EC5C7E" w:rsidP="005F6378">
            <w:pPr>
              <w:jc w:val="both"/>
              <w:rPr>
                <w:rFonts w:eastAsia="Calibri"/>
                <w:sz w:val="20"/>
                <w:lang w:val="fr-CA"/>
              </w:rPr>
            </w:pPr>
          </w:p>
        </w:tc>
      </w:tr>
      <w:tr w:rsidR="00EC5C7E" w:rsidRPr="003626B6" w:rsidTr="005F6378">
        <w:tc>
          <w:tcPr>
            <w:tcW w:w="5000" w:type="pct"/>
            <w:gridSpan w:val="3"/>
          </w:tcPr>
          <w:p w:rsidR="00EC5C7E" w:rsidRPr="002C3704" w:rsidRDefault="00EC5C7E" w:rsidP="005F6378">
            <w:pPr>
              <w:jc w:val="both"/>
              <w:rPr>
                <w:rFonts w:eastAsia="Calibri"/>
                <w:sz w:val="20"/>
                <w:lang w:val="fr-CA"/>
              </w:rPr>
            </w:pPr>
            <w:r w:rsidRPr="002C3704">
              <w:rPr>
                <w:rFonts w:eastAsia="Calibri"/>
                <w:sz w:val="20"/>
                <w:lang w:val="fr-CA"/>
              </w:rPr>
              <w:t xml:space="preserve">Grant Wilson, agissant au nom de la compagnie en faillite GRW Industries (1985) Limited (la demanderesse), a présenté une motion en vue de produire de nouveaux éléments de preuve et de demander une nouvelle réparation relativement à une allégation selon laquelle l'intimée aurait fait des assertions frauduleuses et inexactes à la Cour </w:t>
            </w:r>
            <w:r w:rsidRPr="002C3704">
              <w:rPr>
                <w:rFonts w:eastAsia="Calibri"/>
                <w:sz w:val="20"/>
                <w:lang w:val="fr-CA"/>
              </w:rPr>
              <w:lastRenderedPageBreak/>
              <w:t>supérieure de justice de l'Ontario et à la Cour d'appel de l'Ontario dans le cadre de la requête de mise en faillite de la demanderesse.</w:t>
            </w:r>
          </w:p>
          <w:p w:rsidR="00EC5C7E" w:rsidRPr="002C3704" w:rsidRDefault="00EC5C7E" w:rsidP="005F6378">
            <w:pPr>
              <w:jc w:val="both"/>
              <w:rPr>
                <w:rFonts w:eastAsia="Calibri"/>
                <w:sz w:val="20"/>
                <w:lang w:val="fr-CA"/>
              </w:rPr>
            </w:pPr>
          </w:p>
          <w:p w:rsidR="00EC5C7E" w:rsidRPr="002C3704" w:rsidRDefault="00EC5C7E" w:rsidP="005F6378">
            <w:pPr>
              <w:jc w:val="both"/>
              <w:rPr>
                <w:rFonts w:eastAsia="Calibri"/>
                <w:sz w:val="20"/>
                <w:lang w:val="fr-CA"/>
              </w:rPr>
            </w:pPr>
            <w:r w:rsidRPr="002C3704">
              <w:rPr>
                <w:rFonts w:eastAsia="Calibri"/>
                <w:sz w:val="20"/>
                <w:lang w:val="fr-CA"/>
              </w:rPr>
              <w:t>La demanderesse avait intenté une action en 2007, alléguant que l'intimée avait agi frauduleusement et fautivement en présentant une requête de mise en faillite à son égard. L'action a été rejetée, tout comme un appel à la Cour d'appel de l'Ontario et une demande d'autorisation d'appel à la Cour suprême du Canada. La juge de première instance a conclu que la nouvelle motion de la demanderesse constituait une tentative de remettre en litige les questions traitées dans les décisions antérieures. Elle a rejeté la motion de la demanderesse pour cause de chose jugée. La Cour d'appel de l'Ontario n'a trouvé aucun motif d'infirmer cette décision et a rejeté l'appel.</w:t>
            </w:r>
          </w:p>
          <w:p w:rsidR="00EC5C7E" w:rsidRPr="002C3704" w:rsidRDefault="00EC5C7E" w:rsidP="005F6378">
            <w:pPr>
              <w:jc w:val="both"/>
              <w:rPr>
                <w:rFonts w:eastAsia="Calibri"/>
                <w:sz w:val="20"/>
                <w:lang w:val="fr-CA"/>
              </w:rPr>
            </w:pPr>
          </w:p>
        </w:tc>
      </w:tr>
      <w:tr w:rsidR="00EC5C7E" w:rsidRPr="002C3704" w:rsidTr="005F6378">
        <w:tc>
          <w:tcPr>
            <w:tcW w:w="2427" w:type="pct"/>
          </w:tcPr>
          <w:p w:rsidR="00EC5C7E" w:rsidRPr="002C3704" w:rsidRDefault="00EC5C7E" w:rsidP="005F6378">
            <w:pPr>
              <w:jc w:val="both"/>
              <w:rPr>
                <w:rFonts w:eastAsia="Calibri"/>
                <w:sz w:val="20"/>
                <w:lang w:val="fr-CA"/>
              </w:rPr>
            </w:pPr>
            <w:r w:rsidRPr="002C3704">
              <w:rPr>
                <w:rFonts w:eastAsia="Calibri"/>
                <w:sz w:val="20"/>
                <w:lang w:val="fr-CA"/>
              </w:rPr>
              <w:lastRenderedPageBreak/>
              <w:t>8 juin 2010</w:t>
            </w:r>
          </w:p>
          <w:p w:rsidR="00EC5C7E" w:rsidRPr="002C3704" w:rsidRDefault="00EC5C7E" w:rsidP="005F6378">
            <w:pPr>
              <w:jc w:val="both"/>
              <w:rPr>
                <w:rFonts w:eastAsia="Calibri"/>
                <w:sz w:val="20"/>
                <w:lang w:val="fr-CA"/>
              </w:rPr>
            </w:pPr>
            <w:r w:rsidRPr="002C3704">
              <w:rPr>
                <w:rFonts w:eastAsia="Calibri"/>
                <w:sz w:val="20"/>
                <w:lang w:val="fr-CA"/>
              </w:rPr>
              <w:t xml:space="preserve">Cour supérieure de justice de l'Ontario </w:t>
            </w:r>
          </w:p>
          <w:p w:rsidR="00EC5C7E" w:rsidRPr="002C3704" w:rsidRDefault="00EC5C7E" w:rsidP="005F6378">
            <w:pPr>
              <w:jc w:val="both"/>
              <w:rPr>
                <w:rFonts w:eastAsia="Calibri"/>
                <w:sz w:val="20"/>
                <w:lang w:val="fr-CA"/>
              </w:rPr>
            </w:pPr>
            <w:r w:rsidRPr="002C3704">
              <w:rPr>
                <w:rFonts w:eastAsia="Calibri"/>
                <w:sz w:val="20"/>
                <w:lang w:val="fr-CA"/>
              </w:rPr>
              <w:t>(Juge Morissette)</w:t>
            </w:r>
          </w:p>
          <w:p w:rsidR="00EC5C7E" w:rsidRPr="002C3704" w:rsidRDefault="00EC5C7E" w:rsidP="005F6378">
            <w:pPr>
              <w:jc w:val="both"/>
              <w:rPr>
                <w:rFonts w:eastAsia="Calibri"/>
                <w:sz w:val="20"/>
                <w:lang w:val="fr-CA"/>
              </w:rPr>
            </w:pPr>
            <w:r w:rsidRPr="002C3704">
              <w:rPr>
                <w:rFonts w:eastAsia="Calibri"/>
                <w:sz w:val="20"/>
                <w:lang w:val="fr-CA"/>
              </w:rPr>
              <w:t>2010 ONSC 3366</w:t>
            </w:r>
          </w:p>
          <w:p w:rsidR="00EC5C7E" w:rsidRPr="002C3704" w:rsidRDefault="00EC5C7E" w:rsidP="005F6378">
            <w:pPr>
              <w:jc w:val="both"/>
              <w:rPr>
                <w:rFonts w:eastAsia="Calibri"/>
                <w:sz w:val="20"/>
                <w:lang w:val="fr-CA"/>
              </w:rPr>
            </w:pPr>
          </w:p>
        </w:tc>
        <w:tc>
          <w:tcPr>
            <w:tcW w:w="243" w:type="pct"/>
          </w:tcPr>
          <w:p w:rsidR="00EC5C7E" w:rsidRPr="002C3704" w:rsidRDefault="00EC5C7E" w:rsidP="005F6378">
            <w:pPr>
              <w:jc w:val="both"/>
              <w:rPr>
                <w:rFonts w:eastAsia="Calibri"/>
                <w:sz w:val="20"/>
                <w:lang w:val="fr-CA"/>
              </w:rPr>
            </w:pPr>
          </w:p>
        </w:tc>
        <w:tc>
          <w:tcPr>
            <w:tcW w:w="2330" w:type="pct"/>
          </w:tcPr>
          <w:p w:rsidR="00EC5C7E" w:rsidRPr="002C3704" w:rsidRDefault="00EC5C7E" w:rsidP="005F6378">
            <w:pPr>
              <w:jc w:val="both"/>
              <w:rPr>
                <w:rFonts w:eastAsia="Calibri"/>
                <w:sz w:val="20"/>
                <w:lang w:val="fr-CA"/>
              </w:rPr>
            </w:pPr>
            <w:r w:rsidRPr="002C3704">
              <w:rPr>
                <w:rFonts w:eastAsia="Calibri"/>
                <w:sz w:val="20"/>
                <w:lang w:val="fr-CA"/>
              </w:rPr>
              <w:t>Motion de la demanderesse, rejetée</w:t>
            </w:r>
          </w:p>
          <w:p w:rsidR="00EC5C7E" w:rsidRPr="002C3704" w:rsidRDefault="00EC5C7E" w:rsidP="005F6378">
            <w:pPr>
              <w:jc w:val="both"/>
              <w:rPr>
                <w:rFonts w:eastAsia="Calibri"/>
                <w:sz w:val="20"/>
                <w:lang w:val="fr-CA"/>
              </w:rPr>
            </w:pPr>
          </w:p>
        </w:tc>
      </w:tr>
      <w:tr w:rsidR="00EC5C7E" w:rsidRPr="002C3704" w:rsidTr="005F6378">
        <w:tc>
          <w:tcPr>
            <w:tcW w:w="2427" w:type="pct"/>
          </w:tcPr>
          <w:p w:rsidR="00EC5C7E" w:rsidRPr="002C3704" w:rsidRDefault="00EC5C7E" w:rsidP="005F6378">
            <w:pPr>
              <w:jc w:val="both"/>
              <w:rPr>
                <w:rFonts w:eastAsia="Calibri"/>
                <w:sz w:val="20"/>
                <w:lang w:val="fr-CA"/>
              </w:rPr>
            </w:pPr>
            <w:r w:rsidRPr="002C3704">
              <w:rPr>
                <w:rFonts w:eastAsia="Calibri"/>
                <w:sz w:val="20"/>
                <w:lang w:val="fr-CA"/>
              </w:rPr>
              <w:t>18 novembre 2011</w:t>
            </w:r>
          </w:p>
          <w:p w:rsidR="00EC5C7E" w:rsidRPr="002C3704" w:rsidRDefault="00EC5C7E" w:rsidP="005F6378">
            <w:pPr>
              <w:jc w:val="both"/>
              <w:rPr>
                <w:rFonts w:eastAsia="Calibri"/>
                <w:sz w:val="20"/>
                <w:lang w:val="fr-CA"/>
              </w:rPr>
            </w:pPr>
            <w:r w:rsidRPr="002C3704">
              <w:rPr>
                <w:rFonts w:eastAsia="Calibri"/>
                <w:sz w:val="20"/>
                <w:lang w:val="fr-CA"/>
              </w:rPr>
              <w:t xml:space="preserve">Cour d'appel de l'Ontario </w:t>
            </w:r>
          </w:p>
          <w:p w:rsidR="00EC5C7E" w:rsidRPr="002C3704" w:rsidRDefault="00EC5C7E" w:rsidP="005F6378">
            <w:pPr>
              <w:jc w:val="both"/>
              <w:rPr>
                <w:rFonts w:eastAsia="Calibri"/>
                <w:sz w:val="20"/>
                <w:lang w:val="fr-CA"/>
              </w:rPr>
            </w:pPr>
            <w:r w:rsidRPr="002C3704">
              <w:rPr>
                <w:rFonts w:eastAsia="Calibri"/>
                <w:sz w:val="20"/>
                <w:lang w:val="fr-CA"/>
              </w:rPr>
              <w:t>(Juges MacPherson, LaForme et Hackland)</w:t>
            </w:r>
          </w:p>
          <w:p w:rsidR="00EC5C7E" w:rsidRPr="002C3704" w:rsidRDefault="00EC5C7E" w:rsidP="005F6378">
            <w:pPr>
              <w:jc w:val="both"/>
              <w:rPr>
                <w:rFonts w:eastAsia="Calibri"/>
                <w:sz w:val="20"/>
                <w:lang w:val="fr-CA"/>
              </w:rPr>
            </w:pPr>
            <w:r w:rsidRPr="002C3704">
              <w:rPr>
                <w:rFonts w:eastAsia="Calibri"/>
                <w:sz w:val="20"/>
                <w:lang w:val="fr-CA"/>
              </w:rPr>
              <w:t>2011 ONCA 729</w:t>
            </w:r>
          </w:p>
          <w:p w:rsidR="00EC5C7E" w:rsidRPr="002C3704" w:rsidRDefault="00EC5C7E" w:rsidP="005F6378">
            <w:pPr>
              <w:jc w:val="both"/>
              <w:rPr>
                <w:rFonts w:eastAsia="Calibri"/>
                <w:sz w:val="20"/>
                <w:lang w:val="fr-CA"/>
              </w:rPr>
            </w:pPr>
          </w:p>
        </w:tc>
        <w:tc>
          <w:tcPr>
            <w:tcW w:w="243" w:type="pct"/>
          </w:tcPr>
          <w:p w:rsidR="00EC5C7E" w:rsidRPr="002C3704" w:rsidRDefault="00EC5C7E" w:rsidP="005F6378">
            <w:pPr>
              <w:jc w:val="both"/>
              <w:rPr>
                <w:rFonts w:eastAsia="Calibri"/>
                <w:sz w:val="20"/>
                <w:lang w:val="fr-CA"/>
              </w:rPr>
            </w:pPr>
          </w:p>
        </w:tc>
        <w:tc>
          <w:tcPr>
            <w:tcW w:w="2330" w:type="pct"/>
          </w:tcPr>
          <w:p w:rsidR="00EC5C7E" w:rsidRPr="002C3704" w:rsidRDefault="00EC5C7E" w:rsidP="005F6378">
            <w:pPr>
              <w:jc w:val="both"/>
              <w:rPr>
                <w:rFonts w:eastAsia="Calibri"/>
                <w:sz w:val="20"/>
                <w:lang w:val="fr-CA"/>
              </w:rPr>
            </w:pPr>
            <w:r w:rsidRPr="002C3704">
              <w:rPr>
                <w:rFonts w:eastAsia="Calibri"/>
                <w:sz w:val="20"/>
                <w:lang w:val="fr-CA"/>
              </w:rPr>
              <w:t>Appel rejeté</w:t>
            </w:r>
          </w:p>
          <w:p w:rsidR="00EC5C7E" w:rsidRPr="002C3704" w:rsidRDefault="00EC5C7E" w:rsidP="005F6378">
            <w:pPr>
              <w:jc w:val="both"/>
              <w:rPr>
                <w:rFonts w:eastAsia="Calibri"/>
                <w:sz w:val="20"/>
                <w:lang w:val="fr-CA"/>
              </w:rPr>
            </w:pPr>
          </w:p>
        </w:tc>
      </w:tr>
      <w:tr w:rsidR="00EC5C7E" w:rsidRPr="003626B6" w:rsidTr="005F6378">
        <w:tc>
          <w:tcPr>
            <w:tcW w:w="2427" w:type="pct"/>
          </w:tcPr>
          <w:p w:rsidR="00EC5C7E" w:rsidRPr="002C3704" w:rsidRDefault="00EC5C7E" w:rsidP="005F6378">
            <w:pPr>
              <w:jc w:val="both"/>
              <w:rPr>
                <w:rFonts w:eastAsia="Calibri"/>
                <w:sz w:val="20"/>
                <w:lang w:val="fr-CA"/>
              </w:rPr>
            </w:pPr>
            <w:r w:rsidRPr="002C3704">
              <w:rPr>
                <w:rFonts w:eastAsia="Calibri"/>
                <w:sz w:val="20"/>
                <w:lang w:val="fr-CA"/>
              </w:rPr>
              <w:t>18 janvier 2012</w:t>
            </w:r>
          </w:p>
          <w:p w:rsidR="00EC5C7E" w:rsidRPr="002C3704" w:rsidRDefault="00EC5C7E" w:rsidP="005F6378">
            <w:pPr>
              <w:jc w:val="both"/>
              <w:rPr>
                <w:rFonts w:eastAsia="Calibri"/>
                <w:sz w:val="20"/>
                <w:lang w:val="fr-CA"/>
              </w:rPr>
            </w:pPr>
            <w:r w:rsidRPr="002C3704">
              <w:rPr>
                <w:rFonts w:eastAsia="Calibri"/>
                <w:sz w:val="20"/>
                <w:lang w:val="fr-CA"/>
              </w:rPr>
              <w:t>Cour suprême du Canada</w:t>
            </w:r>
          </w:p>
          <w:p w:rsidR="00EC5C7E" w:rsidRPr="002C3704" w:rsidRDefault="00EC5C7E" w:rsidP="005F6378">
            <w:pPr>
              <w:jc w:val="both"/>
              <w:rPr>
                <w:rFonts w:eastAsia="Calibri"/>
                <w:sz w:val="20"/>
                <w:lang w:val="fr-CA"/>
              </w:rPr>
            </w:pPr>
          </w:p>
        </w:tc>
        <w:tc>
          <w:tcPr>
            <w:tcW w:w="243" w:type="pct"/>
          </w:tcPr>
          <w:p w:rsidR="00EC5C7E" w:rsidRPr="002C3704" w:rsidRDefault="00EC5C7E" w:rsidP="005F6378">
            <w:pPr>
              <w:jc w:val="both"/>
              <w:rPr>
                <w:rFonts w:eastAsia="Calibri"/>
                <w:sz w:val="20"/>
                <w:lang w:val="fr-CA"/>
              </w:rPr>
            </w:pPr>
          </w:p>
        </w:tc>
        <w:tc>
          <w:tcPr>
            <w:tcW w:w="2330" w:type="pct"/>
          </w:tcPr>
          <w:p w:rsidR="00EC5C7E" w:rsidRPr="002C3704" w:rsidRDefault="00EC5C7E" w:rsidP="005F6378">
            <w:pPr>
              <w:jc w:val="both"/>
              <w:rPr>
                <w:rFonts w:eastAsia="Calibri"/>
                <w:sz w:val="20"/>
                <w:lang w:val="fr-CA"/>
              </w:rPr>
            </w:pPr>
            <w:r w:rsidRPr="002C3704">
              <w:rPr>
                <w:rFonts w:eastAsia="Calibri"/>
                <w:sz w:val="20"/>
                <w:lang w:val="fr-CA"/>
              </w:rPr>
              <w:t>Demande d'autorisation d'appel et requête en prorogation du délai de signification et de dépôt de la demande, déposées</w:t>
            </w:r>
          </w:p>
        </w:tc>
      </w:tr>
    </w:tbl>
    <w:p w:rsidR="005737AF" w:rsidRPr="00EC5C7E" w:rsidRDefault="005737AF" w:rsidP="005737AF">
      <w:pPr>
        <w:rPr>
          <w:sz w:val="20"/>
          <w:szCs w:val="20"/>
          <w:lang w:val="fr-CA"/>
        </w:rPr>
      </w:pPr>
    </w:p>
    <w:p w:rsidR="005737AF" w:rsidRDefault="007333FF" w:rsidP="005737AF">
      <w:pPr>
        <w:rPr>
          <w:sz w:val="20"/>
          <w:szCs w:val="20"/>
        </w:rPr>
      </w:pPr>
      <w:r w:rsidRPr="007333FF">
        <w:rPr>
          <w:sz w:val="20"/>
          <w:szCs w:val="20"/>
          <w:lang w:val="fr-CA"/>
        </w:rPr>
        <w:pict>
          <v:rect id="_x0000_i1065" style="width:2in;height:1pt" o:hrpct="0" o:hralign="center" o:hrstd="t" o:hrnoshade="t" o:hr="t" fillcolor="black [3213]" stroked="f"/>
        </w:pict>
      </w:r>
    </w:p>
    <w:p w:rsidR="005737AF" w:rsidRDefault="005737AF" w:rsidP="005737A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40E20" w:rsidRPr="003626B6" w:rsidTr="001B2036">
        <w:trPr>
          <w:cantSplit/>
        </w:trPr>
        <w:tc>
          <w:tcPr>
            <w:tcW w:w="1458" w:type="dxa"/>
          </w:tcPr>
          <w:p w:rsidR="00F40E20" w:rsidRPr="00FB1C1D" w:rsidRDefault="00F40E20" w:rsidP="001B2036">
            <w:pPr>
              <w:rPr>
                <w:sz w:val="20"/>
                <w:szCs w:val="20"/>
              </w:rPr>
            </w:pPr>
            <w:r w:rsidRPr="00FB1C1D">
              <w:rPr>
                <w:rStyle w:val="SCCFileNumberChar"/>
                <w:sz w:val="20"/>
                <w:szCs w:val="20"/>
              </w:rPr>
              <w:t>34744</w:t>
            </w:r>
          </w:p>
          <w:p w:rsidR="00F40E20" w:rsidRPr="00FB1C1D" w:rsidRDefault="00F40E20" w:rsidP="001B2036">
            <w:pPr>
              <w:rPr>
                <w:b/>
                <w:sz w:val="20"/>
                <w:szCs w:val="20"/>
                <w:lang w:val="fr-CA"/>
              </w:rPr>
            </w:pPr>
          </w:p>
        </w:tc>
        <w:tc>
          <w:tcPr>
            <w:tcW w:w="8118" w:type="dxa"/>
          </w:tcPr>
          <w:p w:rsidR="00F40E20" w:rsidRPr="00FB1C1D" w:rsidRDefault="00F40E20" w:rsidP="001B2036">
            <w:pPr>
              <w:rPr>
                <w:sz w:val="20"/>
                <w:szCs w:val="20"/>
                <w:lang w:val="fr-CA"/>
              </w:rPr>
            </w:pPr>
            <w:r w:rsidRPr="00FB1C1D">
              <w:rPr>
                <w:rStyle w:val="SCCLsocChar"/>
                <w:sz w:val="20"/>
                <w:szCs w:val="20"/>
              </w:rPr>
              <w:t>Steve Bédard c. Sa Majesté la Reine</w:t>
            </w:r>
            <w:r w:rsidRPr="00FB1C1D">
              <w:rPr>
                <w:sz w:val="20"/>
                <w:szCs w:val="20"/>
                <w:lang w:val="fr-CA"/>
              </w:rPr>
              <w:t xml:space="preserve"> (Qc) (Criminelle) (Autorisation)</w:t>
            </w:r>
          </w:p>
          <w:p w:rsidR="00F40E20" w:rsidRPr="00FB1C1D" w:rsidRDefault="00F40E20" w:rsidP="001B2036">
            <w:pPr>
              <w:rPr>
                <w:sz w:val="20"/>
                <w:szCs w:val="20"/>
                <w:lang w:val="fr-CA"/>
              </w:rPr>
            </w:pPr>
          </w:p>
        </w:tc>
      </w:tr>
      <w:tr w:rsidR="00F40E20" w:rsidRPr="003626B6" w:rsidTr="001B2036">
        <w:trPr>
          <w:cantSplit/>
        </w:trPr>
        <w:tc>
          <w:tcPr>
            <w:tcW w:w="1458" w:type="dxa"/>
          </w:tcPr>
          <w:p w:rsidR="00F40E20" w:rsidRPr="00FB1C1D" w:rsidRDefault="00F40E20" w:rsidP="001B2036">
            <w:pPr>
              <w:rPr>
                <w:sz w:val="20"/>
                <w:szCs w:val="20"/>
              </w:rPr>
            </w:pPr>
            <w:r w:rsidRPr="00FB1C1D">
              <w:rPr>
                <w:sz w:val="20"/>
                <w:szCs w:val="20"/>
              </w:rPr>
              <w:t>Coram :</w:t>
            </w:r>
          </w:p>
        </w:tc>
        <w:tc>
          <w:tcPr>
            <w:tcW w:w="8118" w:type="dxa"/>
          </w:tcPr>
          <w:p w:rsidR="00F40E20" w:rsidRPr="00FB1C1D" w:rsidRDefault="00F40E20" w:rsidP="001B2036">
            <w:pPr>
              <w:rPr>
                <w:sz w:val="20"/>
                <w:szCs w:val="20"/>
                <w:lang w:val="fr-CA"/>
              </w:rPr>
            </w:pPr>
            <w:r w:rsidRPr="00FB1C1D">
              <w:rPr>
                <w:rStyle w:val="SCCCoramChar"/>
                <w:sz w:val="20"/>
                <w:szCs w:val="20"/>
              </w:rPr>
              <w:t>Les juges Deschamps, Fish et Karakatsanis</w:t>
            </w:r>
          </w:p>
          <w:p w:rsidR="00F40E20" w:rsidRPr="00FB1C1D" w:rsidRDefault="00F40E20" w:rsidP="001B2036">
            <w:pPr>
              <w:rPr>
                <w:sz w:val="20"/>
                <w:szCs w:val="20"/>
                <w:u w:val="single"/>
                <w:lang w:val="fr-CA"/>
              </w:rPr>
            </w:pPr>
          </w:p>
        </w:tc>
      </w:tr>
      <w:tr w:rsidR="00F40E20" w:rsidRPr="00FB1C1D" w:rsidTr="001B2036">
        <w:trPr>
          <w:cantSplit/>
        </w:trPr>
        <w:tc>
          <w:tcPr>
            <w:tcW w:w="9576" w:type="dxa"/>
            <w:gridSpan w:val="2"/>
          </w:tcPr>
          <w:p w:rsidR="00F40E20" w:rsidRPr="00FB1C1D" w:rsidRDefault="00F40E20" w:rsidP="001B2036">
            <w:pPr>
              <w:pStyle w:val="SCCShortJudgment"/>
              <w:rPr>
                <w:szCs w:val="20"/>
                <w:lang w:val="fr-CA"/>
              </w:rPr>
            </w:pPr>
            <w:r w:rsidRPr="00FB1C1D">
              <w:rPr>
                <w:szCs w:val="20"/>
                <w:lang w:val="fr-CA"/>
              </w:rPr>
              <w:t>La demande d’autorisation d’appel de l’arrêt de la Cour d’appel du Québec (Québec), numéro 200-10-002611-114, 2012 QCCA 199, daté du 31 janvier 2012, est rejetée sans dépens.</w:t>
            </w:r>
          </w:p>
          <w:p w:rsidR="00F40E20" w:rsidRPr="00FB1C1D" w:rsidRDefault="00F40E20" w:rsidP="001B2036">
            <w:pPr>
              <w:pStyle w:val="SCCShortJudgment"/>
              <w:ind w:firstLine="0"/>
              <w:rPr>
                <w:szCs w:val="20"/>
                <w:lang w:val="fr-CA"/>
              </w:rPr>
            </w:pPr>
          </w:p>
          <w:p w:rsidR="00F40E20" w:rsidRPr="00FB1C1D" w:rsidRDefault="00F40E20" w:rsidP="001B2036">
            <w:pPr>
              <w:pStyle w:val="SCCShortJudgment"/>
              <w:rPr>
                <w:szCs w:val="20"/>
              </w:rPr>
            </w:pPr>
            <w:r w:rsidRPr="00FB1C1D">
              <w:rPr>
                <w:szCs w:val="20"/>
              </w:rPr>
              <w:t>The application for leave to appeal from the judgment of the Court of Appeal of Quebec (Québec), Number 200-10-002611-114, 2012 QCCA 199, dated January 31, 2012, is dismissed without costs.</w:t>
            </w:r>
          </w:p>
        </w:tc>
      </w:tr>
    </w:tbl>
    <w:p w:rsidR="005737AF" w:rsidRDefault="005737AF" w:rsidP="005737AF">
      <w:pPr>
        <w:rPr>
          <w:sz w:val="20"/>
          <w:szCs w:val="20"/>
        </w:rPr>
      </w:pPr>
    </w:p>
    <w:p w:rsidR="005737AF" w:rsidRPr="001B157C" w:rsidRDefault="005737AF" w:rsidP="005737AF">
      <w:pPr>
        <w:rPr>
          <w:sz w:val="20"/>
          <w:szCs w:val="20"/>
          <w:u w:val="single"/>
        </w:rPr>
      </w:pPr>
      <w:r w:rsidRPr="001B157C">
        <w:rPr>
          <w:sz w:val="20"/>
          <w:szCs w:val="20"/>
          <w:u w:val="single"/>
        </w:rPr>
        <w:t>CASE SUMMARY</w:t>
      </w:r>
    </w:p>
    <w:p w:rsidR="005737AF" w:rsidRDefault="005737AF" w:rsidP="005737A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C5C7E" w:rsidRPr="002C3704" w:rsidTr="005F6378">
        <w:tc>
          <w:tcPr>
            <w:tcW w:w="5000" w:type="pct"/>
            <w:gridSpan w:val="3"/>
          </w:tcPr>
          <w:p w:rsidR="00EC5C7E" w:rsidRPr="002C3704" w:rsidRDefault="00EC5C7E" w:rsidP="005F6378">
            <w:pPr>
              <w:jc w:val="both"/>
              <w:rPr>
                <w:rFonts w:eastAsia="Calibri"/>
                <w:sz w:val="20"/>
              </w:rPr>
            </w:pPr>
            <w:r w:rsidRPr="002C3704">
              <w:rPr>
                <w:rFonts w:eastAsia="Calibri"/>
                <w:sz w:val="20"/>
              </w:rPr>
              <w:t>Criminal law – Evidence – Admissibility – New evidence – Whether Quebec Court of Appeal erred in law in choosing to affirm decision made during debate on admissibility of new evidence rather than conflicting written judgment on same point – Whether Quebec Court of Appeal erred in law in not ordering new trial even though it was apparent on face of Superior Court’s written judgment that it had authorized production of new evidence on appeal.</w:t>
            </w:r>
          </w:p>
          <w:p w:rsidR="00EC5C7E" w:rsidRPr="002C3704" w:rsidRDefault="00EC5C7E" w:rsidP="005F6378">
            <w:pPr>
              <w:jc w:val="both"/>
              <w:rPr>
                <w:rFonts w:eastAsia="Calibri"/>
                <w:sz w:val="20"/>
              </w:rPr>
            </w:pPr>
          </w:p>
        </w:tc>
      </w:tr>
      <w:tr w:rsidR="00EC5C7E" w:rsidRPr="002C3704" w:rsidTr="005F6378">
        <w:tc>
          <w:tcPr>
            <w:tcW w:w="5000" w:type="pct"/>
            <w:gridSpan w:val="3"/>
          </w:tcPr>
          <w:p w:rsidR="00EC5C7E" w:rsidRPr="002C3704" w:rsidRDefault="00EC5C7E" w:rsidP="005F6378">
            <w:pPr>
              <w:jc w:val="both"/>
              <w:rPr>
                <w:rFonts w:eastAsia="Calibri"/>
                <w:sz w:val="20"/>
              </w:rPr>
            </w:pPr>
            <w:r w:rsidRPr="002C3704">
              <w:rPr>
                <w:rFonts w:eastAsia="Calibri"/>
                <w:sz w:val="20"/>
              </w:rPr>
              <w:t xml:space="preserve">The applicant was convicted of offences committed on April 21, 2008 in Québec, namely dangerous operation of a motor vehicle and flight and failure to stop his vehicle.  The events of April 21, 2008 also resulted in the applicant being tried on June 11, 2010 on charges of driving a motorcycle west on autoroute 40 at a speed in excess of the speed limit, namely 141 km/hour in a 100 km/hour zone, and driving a motorcycle while holding a learner’s licence without being assisted by a person meeting the conditions set out in s. 100 of the </w:t>
            </w:r>
            <w:r w:rsidRPr="002C3704">
              <w:rPr>
                <w:rFonts w:eastAsia="Calibri"/>
                <w:i/>
                <w:sz w:val="20"/>
              </w:rPr>
              <w:t>Highway Safety Code</w:t>
            </w:r>
            <w:r w:rsidRPr="002C3704">
              <w:rPr>
                <w:rFonts w:eastAsia="Calibri"/>
                <w:color w:val="000000"/>
                <w:sz w:val="20"/>
              </w:rPr>
              <w:t xml:space="preserve">.  The applicant was acquitted of the speeding charge and convicted of the charge of not being accompanied by a person in accordance with the Code.  Arguing that there were contradictions in the police officer’s testimony at the two hearings, the applicant </w:t>
            </w:r>
            <w:r w:rsidRPr="002C3704">
              <w:rPr>
                <w:rFonts w:eastAsia="Calibri"/>
                <w:color w:val="000000"/>
                <w:sz w:val="20"/>
              </w:rPr>
              <w:lastRenderedPageBreak/>
              <w:t>filed a motion to produce new evidence.  The justice of the peace allowed the motion and authorized the introduction of new evidence, specifically the transcript of the hearing of June 11, 2010 and the judgment.</w:t>
            </w:r>
          </w:p>
          <w:p w:rsidR="00EC5C7E" w:rsidRPr="002C3704" w:rsidRDefault="00EC5C7E" w:rsidP="005F6378">
            <w:pPr>
              <w:jc w:val="both"/>
              <w:rPr>
                <w:rFonts w:eastAsia="Calibri"/>
                <w:sz w:val="20"/>
              </w:rPr>
            </w:pPr>
          </w:p>
        </w:tc>
      </w:tr>
      <w:tr w:rsidR="00EC5C7E" w:rsidRPr="002C3704" w:rsidTr="005F6378">
        <w:tc>
          <w:tcPr>
            <w:tcW w:w="2427" w:type="pct"/>
          </w:tcPr>
          <w:p w:rsidR="00EC5C7E" w:rsidRPr="002C3704" w:rsidRDefault="00EC5C7E" w:rsidP="005F6378">
            <w:pPr>
              <w:jc w:val="both"/>
              <w:rPr>
                <w:rFonts w:eastAsia="Calibri"/>
                <w:sz w:val="20"/>
              </w:rPr>
            </w:pPr>
            <w:r w:rsidRPr="002C3704">
              <w:rPr>
                <w:rFonts w:eastAsia="Calibri"/>
                <w:sz w:val="20"/>
              </w:rPr>
              <w:lastRenderedPageBreak/>
              <w:t>March 26, 2010</w:t>
            </w:r>
          </w:p>
          <w:p w:rsidR="00EC5C7E" w:rsidRPr="002C3704" w:rsidRDefault="00EC5C7E" w:rsidP="005F6378">
            <w:pPr>
              <w:jc w:val="both"/>
              <w:rPr>
                <w:rFonts w:eastAsia="Calibri"/>
                <w:sz w:val="20"/>
              </w:rPr>
            </w:pPr>
            <w:r w:rsidRPr="002C3704">
              <w:rPr>
                <w:rFonts w:eastAsia="Calibri"/>
                <w:sz w:val="20"/>
              </w:rPr>
              <w:t>Quebec Superior Court</w:t>
            </w:r>
          </w:p>
          <w:p w:rsidR="00EC5C7E" w:rsidRPr="002C3704" w:rsidRDefault="00EC5C7E" w:rsidP="005F6378">
            <w:pPr>
              <w:jc w:val="both"/>
              <w:rPr>
                <w:rFonts w:eastAsia="Calibri"/>
                <w:sz w:val="20"/>
              </w:rPr>
            </w:pPr>
            <w:r w:rsidRPr="002C3704">
              <w:rPr>
                <w:rFonts w:eastAsia="Calibri"/>
                <w:sz w:val="20"/>
              </w:rPr>
              <w:t>(Plante J.)</w:t>
            </w:r>
          </w:p>
        </w:tc>
        <w:tc>
          <w:tcPr>
            <w:tcW w:w="243" w:type="pct"/>
          </w:tcPr>
          <w:p w:rsidR="00EC5C7E" w:rsidRPr="002C3704" w:rsidRDefault="00EC5C7E" w:rsidP="005F6378">
            <w:pPr>
              <w:jc w:val="both"/>
              <w:rPr>
                <w:rFonts w:eastAsia="Calibri"/>
                <w:sz w:val="20"/>
              </w:rPr>
            </w:pPr>
          </w:p>
        </w:tc>
        <w:tc>
          <w:tcPr>
            <w:tcW w:w="2330" w:type="pct"/>
          </w:tcPr>
          <w:p w:rsidR="00EC5C7E" w:rsidRPr="002C3704" w:rsidRDefault="00EC5C7E" w:rsidP="005F6378">
            <w:pPr>
              <w:jc w:val="both"/>
              <w:rPr>
                <w:rFonts w:eastAsia="Calibri"/>
                <w:color w:val="000000"/>
                <w:sz w:val="20"/>
              </w:rPr>
            </w:pPr>
            <w:r w:rsidRPr="002C3704">
              <w:rPr>
                <w:rFonts w:eastAsia="Calibri"/>
                <w:sz w:val="20"/>
              </w:rPr>
              <w:t>Applicant convicted of two summary conviction offences: dangerous operation of motor vehicle and flight and failure to stop vehicle</w:t>
            </w:r>
          </w:p>
          <w:p w:rsidR="00EC5C7E" w:rsidRPr="002C3704" w:rsidRDefault="00EC5C7E" w:rsidP="005F6378">
            <w:pPr>
              <w:jc w:val="both"/>
              <w:rPr>
                <w:rFonts w:eastAsia="Calibri"/>
                <w:sz w:val="20"/>
              </w:rPr>
            </w:pPr>
          </w:p>
        </w:tc>
      </w:tr>
      <w:tr w:rsidR="00EC5C7E" w:rsidRPr="002C3704" w:rsidTr="005F6378">
        <w:tc>
          <w:tcPr>
            <w:tcW w:w="2427" w:type="pct"/>
          </w:tcPr>
          <w:p w:rsidR="00EC5C7E" w:rsidRPr="002C3704" w:rsidRDefault="00EC5C7E" w:rsidP="005F6378">
            <w:pPr>
              <w:jc w:val="both"/>
              <w:rPr>
                <w:rFonts w:eastAsia="Calibri"/>
                <w:sz w:val="20"/>
              </w:rPr>
            </w:pPr>
            <w:r w:rsidRPr="002C3704">
              <w:rPr>
                <w:rFonts w:eastAsia="Calibri"/>
                <w:sz w:val="20"/>
              </w:rPr>
              <w:t>December 9, 2010</w:t>
            </w:r>
          </w:p>
          <w:p w:rsidR="00EC5C7E" w:rsidRPr="002C3704" w:rsidRDefault="00EC5C7E" w:rsidP="005F6378">
            <w:pPr>
              <w:jc w:val="both"/>
              <w:rPr>
                <w:rFonts w:eastAsia="Calibri"/>
                <w:sz w:val="20"/>
              </w:rPr>
            </w:pPr>
            <w:r w:rsidRPr="002C3704">
              <w:rPr>
                <w:rFonts w:eastAsia="Calibri"/>
                <w:sz w:val="20"/>
              </w:rPr>
              <w:t>Quebec Superior Court</w:t>
            </w:r>
          </w:p>
          <w:p w:rsidR="00EC5C7E" w:rsidRPr="002C3704" w:rsidRDefault="00EC5C7E" w:rsidP="005F6378">
            <w:pPr>
              <w:jc w:val="both"/>
              <w:rPr>
                <w:rFonts w:eastAsia="Calibri"/>
                <w:sz w:val="20"/>
              </w:rPr>
            </w:pPr>
            <w:r w:rsidRPr="002C3704">
              <w:rPr>
                <w:rFonts w:eastAsia="Calibri"/>
                <w:sz w:val="20"/>
              </w:rPr>
              <w:t>(Francoeur  J.)</w:t>
            </w:r>
          </w:p>
          <w:p w:rsidR="00EC5C7E" w:rsidRPr="002C3704" w:rsidRDefault="00EC5C7E" w:rsidP="005F6378">
            <w:pPr>
              <w:jc w:val="both"/>
              <w:rPr>
                <w:rFonts w:eastAsia="Calibri"/>
                <w:sz w:val="20"/>
              </w:rPr>
            </w:pPr>
            <w:r w:rsidRPr="002C3704">
              <w:rPr>
                <w:rFonts w:eastAsia="Calibri"/>
                <w:sz w:val="20"/>
              </w:rPr>
              <w:t>2010 QCCS 6239</w:t>
            </w:r>
          </w:p>
          <w:p w:rsidR="00EC5C7E" w:rsidRPr="002C3704" w:rsidRDefault="00EC5C7E" w:rsidP="005F6378">
            <w:pPr>
              <w:jc w:val="both"/>
              <w:rPr>
                <w:rFonts w:eastAsia="Calibri"/>
                <w:sz w:val="20"/>
              </w:rPr>
            </w:pPr>
          </w:p>
        </w:tc>
        <w:tc>
          <w:tcPr>
            <w:tcW w:w="243" w:type="pct"/>
          </w:tcPr>
          <w:p w:rsidR="00EC5C7E" w:rsidRPr="002C3704" w:rsidRDefault="00EC5C7E" w:rsidP="005F6378">
            <w:pPr>
              <w:jc w:val="both"/>
              <w:rPr>
                <w:rFonts w:eastAsia="Calibri"/>
                <w:sz w:val="20"/>
              </w:rPr>
            </w:pPr>
          </w:p>
        </w:tc>
        <w:tc>
          <w:tcPr>
            <w:tcW w:w="2330" w:type="pct"/>
          </w:tcPr>
          <w:p w:rsidR="00EC5C7E" w:rsidRPr="002C3704" w:rsidRDefault="00EC5C7E" w:rsidP="005F6378">
            <w:pPr>
              <w:jc w:val="both"/>
              <w:rPr>
                <w:rFonts w:eastAsia="Calibri"/>
                <w:sz w:val="20"/>
              </w:rPr>
            </w:pPr>
            <w:r w:rsidRPr="002C3704">
              <w:rPr>
                <w:rFonts w:eastAsia="Calibri"/>
                <w:sz w:val="20"/>
              </w:rPr>
              <w:t>Appeal dismissed</w:t>
            </w:r>
          </w:p>
          <w:p w:rsidR="00EC5C7E" w:rsidRPr="002C3704" w:rsidRDefault="00EC5C7E" w:rsidP="005F6378">
            <w:pPr>
              <w:jc w:val="both"/>
              <w:rPr>
                <w:rFonts w:eastAsia="Calibri"/>
                <w:sz w:val="20"/>
              </w:rPr>
            </w:pPr>
          </w:p>
        </w:tc>
      </w:tr>
      <w:tr w:rsidR="00EC5C7E" w:rsidRPr="002C3704" w:rsidTr="005F6378">
        <w:tc>
          <w:tcPr>
            <w:tcW w:w="2427" w:type="pct"/>
          </w:tcPr>
          <w:p w:rsidR="00EC5C7E" w:rsidRPr="002C3704" w:rsidRDefault="00EC5C7E" w:rsidP="005F6378">
            <w:pPr>
              <w:jc w:val="both"/>
              <w:rPr>
                <w:rFonts w:eastAsia="Calibri"/>
                <w:sz w:val="20"/>
              </w:rPr>
            </w:pPr>
            <w:r w:rsidRPr="002C3704">
              <w:rPr>
                <w:rFonts w:eastAsia="Calibri"/>
                <w:sz w:val="20"/>
              </w:rPr>
              <w:t>January 31, 2012</w:t>
            </w:r>
          </w:p>
          <w:p w:rsidR="00EC5C7E" w:rsidRPr="002C3704" w:rsidRDefault="00EC5C7E" w:rsidP="005F6378">
            <w:pPr>
              <w:jc w:val="both"/>
              <w:rPr>
                <w:rFonts w:eastAsia="Calibri"/>
                <w:sz w:val="20"/>
              </w:rPr>
            </w:pPr>
            <w:r w:rsidRPr="002C3704">
              <w:rPr>
                <w:rFonts w:eastAsia="Calibri"/>
                <w:sz w:val="20"/>
              </w:rPr>
              <w:t>Quebec Court of Appeal (Québec)</w:t>
            </w:r>
          </w:p>
          <w:p w:rsidR="00EC5C7E" w:rsidRPr="002C3704" w:rsidRDefault="00EC5C7E" w:rsidP="005F6378">
            <w:pPr>
              <w:jc w:val="both"/>
              <w:rPr>
                <w:rFonts w:eastAsia="Calibri"/>
                <w:sz w:val="20"/>
                <w:lang w:val="fr-CA"/>
              </w:rPr>
            </w:pPr>
            <w:r w:rsidRPr="002C3704">
              <w:rPr>
                <w:rFonts w:eastAsia="Calibri"/>
                <w:sz w:val="20"/>
                <w:lang w:val="fr-CA"/>
              </w:rPr>
              <w:t>(Vézina, Léger and Gagnon JJ.A.)</w:t>
            </w:r>
          </w:p>
          <w:p w:rsidR="00EC5C7E" w:rsidRPr="002C3704" w:rsidRDefault="00EC5C7E" w:rsidP="005F6378">
            <w:pPr>
              <w:jc w:val="both"/>
              <w:rPr>
                <w:rFonts w:eastAsia="Calibri"/>
                <w:sz w:val="20"/>
              </w:rPr>
            </w:pPr>
            <w:r w:rsidRPr="002C3704">
              <w:rPr>
                <w:rFonts w:eastAsia="Calibri"/>
                <w:sz w:val="20"/>
              </w:rPr>
              <w:t>2012 QCCA 199</w:t>
            </w:r>
          </w:p>
          <w:p w:rsidR="00EC5C7E" w:rsidRPr="002C3704" w:rsidRDefault="00EC5C7E" w:rsidP="005F6378">
            <w:pPr>
              <w:jc w:val="both"/>
              <w:rPr>
                <w:rFonts w:eastAsia="Calibri"/>
                <w:sz w:val="20"/>
              </w:rPr>
            </w:pPr>
          </w:p>
        </w:tc>
        <w:tc>
          <w:tcPr>
            <w:tcW w:w="243" w:type="pct"/>
          </w:tcPr>
          <w:p w:rsidR="00EC5C7E" w:rsidRPr="002C3704" w:rsidRDefault="00EC5C7E" w:rsidP="005F6378">
            <w:pPr>
              <w:jc w:val="both"/>
              <w:rPr>
                <w:rFonts w:eastAsia="Calibri"/>
                <w:sz w:val="20"/>
              </w:rPr>
            </w:pPr>
          </w:p>
        </w:tc>
        <w:tc>
          <w:tcPr>
            <w:tcW w:w="2330" w:type="pct"/>
          </w:tcPr>
          <w:p w:rsidR="00EC5C7E" w:rsidRPr="002C3704" w:rsidRDefault="00EC5C7E" w:rsidP="005F6378">
            <w:pPr>
              <w:jc w:val="both"/>
              <w:rPr>
                <w:rFonts w:eastAsia="Calibri"/>
                <w:sz w:val="20"/>
              </w:rPr>
            </w:pPr>
            <w:r w:rsidRPr="002C3704">
              <w:rPr>
                <w:rFonts w:eastAsia="Calibri"/>
                <w:sz w:val="20"/>
              </w:rPr>
              <w:t>Appeal dismissed</w:t>
            </w:r>
          </w:p>
          <w:p w:rsidR="00EC5C7E" w:rsidRPr="002C3704" w:rsidRDefault="00EC5C7E" w:rsidP="005F6378">
            <w:pPr>
              <w:jc w:val="both"/>
              <w:rPr>
                <w:rFonts w:eastAsia="Calibri"/>
                <w:sz w:val="20"/>
              </w:rPr>
            </w:pPr>
          </w:p>
        </w:tc>
      </w:tr>
      <w:tr w:rsidR="00EC5C7E" w:rsidRPr="002C3704" w:rsidTr="005F6378">
        <w:tc>
          <w:tcPr>
            <w:tcW w:w="2427" w:type="pct"/>
          </w:tcPr>
          <w:p w:rsidR="00EC5C7E" w:rsidRPr="002C3704" w:rsidRDefault="00EC5C7E" w:rsidP="005F6378">
            <w:pPr>
              <w:jc w:val="both"/>
              <w:rPr>
                <w:rFonts w:eastAsia="Calibri"/>
                <w:sz w:val="20"/>
              </w:rPr>
            </w:pPr>
            <w:r w:rsidRPr="002C3704">
              <w:rPr>
                <w:rFonts w:eastAsia="Calibri"/>
                <w:sz w:val="20"/>
              </w:rPr>
              <w:t>March 30, 2012</w:t>
            </w:r>
          </w:p>
          <w:p w:rsidR="00EC5C7E" w:rsidRPr="002C3704" w:rsidRDefault="00EC5C7E" w:rsidP="005F6378">
            <w:pPr>
              <w:jc w:val="both"/>
              <w:rPr>
                <w:rFonts w:eastAsia="Calibri"/>
                <w:sz w:val="20"/>
              </w:rPr>
            </w:pPr>
            <w:r w:rsidRPr="002C3704">
              <w:rPr>
                <w:rFonts w:eastAsia="Calibri"/>
                <w:sz w:val="20"/>
              </w:rPr>
              <w:t>Supreme Court of Canada</w:t>
            </w:r>
          </w:p>
        </w:tc>
        <w:tc>
          <w:tcPr>
            <w:tcW w:w="243" w:type="pct"/>
          </w:tcPr>
          <w:p w:rsidR="00EC5C7E" w:rsidRPr="002C3704" w:rsidRDefault="00EC5C7E" w:rsidP="005F6378">
            <w:pPr>
              <w:jc w:val="both"/>
              <w:rPr>
                <w:rFonts w:eastAsia="Calibri"/>
                <w:sz w:val="20"/>
              </w:rPr>
            </w:pPr>
          </w:p>
        </w:tc>
        <w:tc>
          <w:tcPr>
            <w:tcW w:w="2330" w:type="pct"/>
          </w:tcPr>
          <w:p w:rsidR="00EC5C7E" w:rsidRPr="002C3704" w:rsidRDefault="00EC5C7E" w:rsidP="005F6378">
            <w:pPr>
              <w:jc w:val="both"/>
              <w:rPr>
                <w:rFonts w:eastAsia="Calibri"/>
                <w:sz w:val="20"/>
              </w:rPr>
            </w:pPr>
            <w:r w:rsidRPr="002C3704">
              <w:rPr>
                <w:rFonts w:eastAsia="Calibri"/>
                <w:sz w:val="20"/>
              </w:rPr>
              <w:t>Application for leave to appeal filed</w:t>
            </w:r>
          </w:p>
          <w:p w:rsidR="00EC5C7E" w:rsidRPr="002C3704" w:rsidRDefault="00EC5C7E" w:rsidP="005F6378">
            <w:pPr>
              <w:jc w:val="both"/>
              <w:rPr>
                <w:rFonts w:eastAsia="Calibri"/>
                <w:sz w:val="20"/>
              </w:rPr>
            </w:pPr>
          </w:p>
        </w:tc>
      </w:tr>
    </w:tbl>
    <w:p w:rsidR="005737AF" w:rsidRDefault="005737AF" w:rsidP="005737AF">
      <w:pPr>
        <w:rPr>
          <w:sz w:val="20"/>
          <w:szCs w:val="20"/>
        </w:rPr>
      </w:pPr>
    </w:p>
    <w:p w:rsidR="005737AF" w:rsidRPr="00C50A5C" w:rsidRDefault="007333FF" w:rsidP="005737AF">
      <w:pPr>
        <w:rPr>
          <w:sz w:val="20"/>
          <w:szCs w:val="20"/>
        </w:rPr>
      </w:pPr>
      <w:r w:rsidRPr="007333FF">
        <w:rPr>
          <w:sz w:val="20"/>
          <w:szCs w:val="20"/>
          <w:lang w:val="fr-CA"/>
        </w:rPr>
        <w:pict>
          <v:rect id="_x0000_i1066" style="width:2in;height:1pt" o:hrpct="0" o:hralign="center" o:hrstd="t" o:hrnoshade="t" o:hr="t" fillcolor="black [3213]" stroked="f"/>
        </w:pict>
      </w:r>
    </w:p>
    <w:p w:rsidR="005737AF" w:rsidRDefault="005737AF" w:rsidP="005737AF">
      <w:pPr>
        <w:rPr>
          <w:sz w:val="20"/>
          <w:szCs w:val="20"/>
        </w:rPr>
      </w:pPr>
    </w:p>
    <w:p w:rsidR="005737AF" w:rsidRPr="001B157C" w:rsidRDefault="005737AF" w:rsidP="005737AF">
      <w:pPr>
        <w:rPr>
          <w:sz w:val="20"/>
          <w:szCs w:val="20"/>
          <w:u w:val="single"/>
          <w:lang w:val="fr-CA"/>
        </w:rPr>
      </w:pPr>
      <w:r w:rsidRPr="001B157C">
        <w:rPr>
          <w:sz w:val="20"/>
          <w:szCs w:val="20"/>
          <w:u w:val="single"/>
          <w:lang w:val="fr-CA"/>
        </w:rPr>
        <w:t>RÉSUMÉ DE L’AFFAIRE</w:t>
      </w:r>
    </w:p>
    <w:p w:rsidR="005737AF" w:rsidRDefault="005737AF" w:rsidP="005737A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C5C7E" w:rsidRPr="003626B6" w:rsidTr="005F6378">
        <w:tc>
          <w:tcPr>
            <w:tcW w:w="5000" w:type="pct"/>
            <w:gridSpan w:val="3"/>
          </w:tcPr>
          <w:p w:rsidR="00EC5C7E" w:rsidRPr="002C3704" w:rsidRDefault="00EC5C7E" w:rsidP="005F6378">
            <w:pPr>
              <w:jc w:val="both"/>
              <w:rPr>
                <w:rFonts w:eastAsia="Calibri"/>
                <w:sz w:val="20"/>
                <w:lang w:val="fr-CA"/>
              </w:rPr>
            </w:pPr>
            <w:r w:rsidRPr="002C3704">
              <w:rPr>
                <w:rFonts w:eastAsia="Calibri"/>
                <w:sz w:val="20"/>
                <w:lang w:val="fr-CA"/>
              </w:rPr>
              <w:t>Droit criminel – Preuve – Admissibilité – Nouvelle preuve - La Cour d’appel du Québec a-t-elle commis une erreur en droit en choisissant de confirmer une décision prononcée lors d’un débat portant sur l’admissibilité d’une preuve nouvelle plutôt que le jugement écrit, mais contradictoire sur le même sujet? - La Cour d’appel du Québec a-t-elle commis une erreur de droit en s’abstenant d’ordonner un nouveau procès alors que l’on constate à la lecture même du jugement écrit de la Cour supérieure, que celui-ci avait autorisé et permis la production d’éléments de preuve nouveaux en appel?</w:t>
            </w:r>
          </w:p>
          <w:p w:rsidR="00EC5C7E" w:rsidRPr="002C3704" w:rsidRDefault="00EC5C7E" w:rsidP="005F6378">
            <w:pPr>
              <w:jc w:val="both"/>
              <w:rPr>
                <w:rFonts w:eastAsia="Calibri"/>
                <w:sz w:val="20"/>
                <w:lang w:val="fr-CA"/>
              </w:rPr>
            </w:pPr>
          </w:p>
        </w:tc>
      </w:tr>
      <w:tr w:rsidR="00EC5C7E" w:rsidRPr="003626B6" w:rsidTr="005F6378">
        <w:tc>
          <w:tcPr>
            <w:tcW w:w="5000" w:type="pct"/>
            <w:gridSpan w:val="3"/>
          </w:tcPr>
          <w:p w:rsidR="00EC5C7E" w:rsidRPr="002C3704" w:rsidRDefault="00EC5C7E" w:rsidP="005F6378">
            <w:pPr>
              <w:jc w:val="both"/>
              <w:rPr>
                <w:rFonts w:eastAsia="Calibri"/>
                <w:sz w:val="20"/>
                <w:lang w:val="fr-CA"/>
              </w:rPr>
            </w:pPr>
            <w:r w:rsidRPr="002C3704">
              <w:rPr>
                <w:rFonts w:eastAsia="Calibri"/>
                <w:sz w:val="20"/>
                <w:lang w:val="fr-CA"/>
              </w:rPr>
              <w:t>Le demandeur est déclaré coupable</w:t>
            </w:r>
            <w:r w:rsidRPr="002C3704">
              <w:rPr>
                <w:rFonts w:eastAsia="Calibri"/>
                <w:color w:val="000000"/>
                <w:sz w:val="20"/>
                <w:lang w:val="fr-CA"/>
              </w:rPr>
              <w:t xml:space="preserve"> d'avoir, le 21 avril 2008, à Québec, d’avoir conduit un véhicule à moteur de façon dangereuse et d'avoir fui et omis d'arrêter son véhicule. Le 11 juin 2010, il subit un autre procès, toujours pour les évènements du 21 avril 2008, mais pour des accusations d’avoir circulé sur l’autoroute 40, direction ouest, en moto à une vitesse supérieure à celle permise, soit 141km/heure dans une zone de 100km/heure et en étant titulaire d’un permis apprenti-conducteur, avoir conduit une moto sans être assisté d’une personne remplissant les conditions prévues à l’article 100 du </w:t>
            </w:r>
            <w:r w:rsidRPr="002C3704">
              <w:rPr>
                <w:rFonts w:eastAsia="Calibri"/>
                <w:i/>
                <w:color w:val="000000"/>
                <w:sz w:val="20"/>
                <w:lang w:val="fr-CA"/>
              </w:rPr>
              <w:t>Code de sécurité routière</w:t>
            </w:r>
            <w:r w:rsidRPr="002C3704">
              <w:rPr>
                <w:rFonts w:eastAsia="Calibri"/>
                <w:color w:val="000000"/>
                <w:sz w:val="20"/>
                <w:lang w:val="fr-CA"/>
              </w:rPr>
              <w:t xml:space="preserve">. Il est acquitté de l’accusation de conduite avec vitesse excessive et condamné sur celle de ne pas avoir été accompagné d’une personne selon le </w:t>
            </w:r>
            <w:r w:rsidRPr="002C3704">
              <w:rPr>
                <w:rFonts w:eastAsia="Calibri"/>
                <w:i/>
                <w:color w:val="000000"/>
                <w:sz w:val="20"/>
                <w:lang w:val="fr-CA"/>
              </w:rPr>
              <w:t>Code</w:t>
            </w:r>
            <w:r w:rsidRPr="002C3704">
              <w:rPr>
                <w:rFonts w:eastAsia="Calibri"/>
                <w:color w:val="000000"/>
                <w:sz w:val="20"/>
                <w:lang w:val="fr-CA"/>
              </w:rPr>
              <w:t>.  Soutenant que des contradictions existent dans les témoignages du policier lors des deux auditions, le demandeur présente une requête pour production d’une nouvelle preuve. Le juge de paix a autorisé cette requête et permis d’introduire comme preuve nouvelle particulièrement les notes sténographiques de l’audience du 11 juin 2010 ainsi que le jugement</w:t>
            </w:r>
          </w:p>
          <w:p w:rsidR="00EC5C7E" w:rsidRPr="002C3704" w:rsidRDefault="00EC5C7E" w:rsidP="005F6378">
            <w:pPr>
              <w:jc w:val="both"/>
              <w:rPr>
                <w:rFonts w:eastAsia="Calibri"/>
                <w:sz w:val="20"/>
                <w:lang w:val="fr-CA"/>
              </w:rPr>
            </w:pPr>
          </w:p>
        </w:tc>
      </w:tr>
      <w:tr w:rsidR="00EC5C7E" w:rsidRPr="003626B6" w:rsidTr="005F6378">
        <w:tc>
          <w:tcPr>
            <w:tcW w:w="2427" w:type="pct"/>
          </w:tcPr>
          <w:p w:rsidR="00EC5C7E" w:rsidRPr="002C3704" w:rsidRDefault="00EC5C7E" w:rsidP="005F6378">
            <w:pPr>
              <w:jc w:val="both"/>
              <w:rPr>
                <w:rFonts w:eastAsia="Calibri"/>
                <w:sz w:val="20"/>
                <w:lang w:val="fr-CA"/>
              </w:rPr>
            </w:pPr>
            <w:r w:rsidRPr="002C3704">
              <w:rPr>
                <w:rFonts w:eastAsia="Calibri"/>
                <w:sz w:val="20"/>
                <w:lang w:val="fr-CA"/>
              </w:rPr>
              <w:t>Le 26 mars 2010</w:t>
            </w:r>
          </w:p>
          <w:p w:rsidR="00EC5C7E" w:rsidRPr="002C3704" w:rsidRDefault="00EC5C7E" w:rsidP="005F6378">
            <w:pPr>
              <w:jc w:val="both"/>
              <w:rPr>
                <w:rFonts w:eastAsia="Calibri"/>
                <w:sz w:val="20"/>
                <w:lang w:val="fr-CA"/>
              </w:rPr>
            </w:pPr>
            <w:r w:rsidRPr="002C3704">
              <w:rPr>
                <w:rFonts w:eastAsia="Calibri"/>
                <w:sz w:val="20"/>
                <w:lang w:val="fr-CA"/>
              </w:rPr>
              <w:t>Cour supérieure du Québec</w:t>
            </w:r>
          </w:p>
          <w:p w:rsidR="00EC5C7E" w:rsidRPr="002C3704" w:rsidRDefault="00EC5C7E" w:rsidP="005F6378">
            <w:pPr>
              <w:jc w:val="both"/>
              <w:rPr>
                <w:rFonts w:eastAsia="Calibri"/>
                <w:sz w:val="20"/>
                <w:lang w:val="fr-CA"/>
              </w:rPr>
            </w:pPr>
            <w:r w:rsidRPr="002C3704">
              <w:rPr>
                <w:rFonts w:eastAsia="Calibri"/>
                <w:sz w:val="20"/>
                <w:lang w:val="fr-CA"/>
              </w:rPr>
              <w:t>(Le juge Plante)</w:t>
            </w:r>
          </w:p>
        </w:tc>
        <w:tc>
          <w:tcPr>
            <w:tcW w:w="243" w:type="pct"/>
          </w:tcPr>
          <w:p w:rsidR="00EC5C7E" w:rsidRPr="002C3704" w:rsidRDefault="00EC5C7E" w:rsidP="005F6378">
            <w:pPr>
              <w:jc w:val="both"/>
              <w:rPr>
                <w:rFonts w:eastAsia="Calibri"/>
                <w:sz w:val="20"/>
              </w:rPr>
            </w:pPr>
          </w:p>
        </w:tc>
        <w:tc>
          <w:tcPr>
            <w:tcW w:w="2330" w:type="pct"/>
          </w:tcPr>
          <w:p w:rsidR="00EC5C7E" w:rsidRPr="002C3704" w:rsidRDefault="00EC5C7E" w:rsidP="005F6378">
            <w:pPr>
              <w:jc w:val="both"/>
              <w:rPr>
                <w:rFonts w:eastAsia="Calibri"/>
                <w:color w:val="000000"/>
                <w:sz w:val="20"/>
                <w:lang w:val="fr-CA"/>
              </w:rPr>
            </w:pPr>
            <w:r w:rsidRPr="002C3704">
              <w:rPr>
                <w:rFonts w:eastAsia="Calibri"/>
                <w:sz w:val="20"/>
                <w:lang w:val="fr-CA"/>
              </w:rPr>
              <w:t xml:space="preserve">Déclaration de culpabilité : </w:t>
            </w:r>
            <w:r w:rsidRPr="002C3704">
              <w:rPr>
                <w:rFonts w:eastAsia="Calibri"/>
                <w:color w:val="000000"/>
                <w:sz w:val="20"/>
                <w:lang w:val="fr-CA"/>
              </w:rPr>
              <w:t>deux infractions punissables sur déclaration de culpabilité par procédure sommaire, soit d'avoir conduit un véhicule à moteur de façon dangereuse et d'avoir fui et omis d'arrêter son véhicule.</w:t>
            </w:r>
          </w:p>
          <w:p w:rsidR="00EC5C7E" w:rsidRPr="002C3704" w:rsidRDefault="00EC5C7E" w:rsidP="005F6378">
            <w:pPr>
              <w:jc w:val="both"/>
              <w:rPr>
                <w:rFonts w:eastAsia="Calibri"/>
                <w:sz w:val="20"/>
                <w:lang w:val="fr-CA"/>
              </w:rPr>
            </w:pPr>
          </w:p>
        </w:tc>
      </w:tr>
      <w:tr w:rsidR="00EC5C7E" w:rsidRPr="002C3704" w:rsidTr="005F6378">
        <w:trPr>
          <w:cantSplit/>
        </w:trPr>
        <w:tc>
          <w:tcPr>
            <w:tcW w:w="2427" w:type="pct"/>
          </w:tcPr>
          <w:p w:rsidR="00EC5C7E" w:rsidRPr="002C3704" w:rsidRDefault="00EC5C7E" w:rsidP="005F6378">
            <w:pPr>
              <w:jc w:val="both"/>
              <w:rPr>
                <w:rFonts w:eastAsia="Calibri"/>
                <w:sz w:val="20"/>
                <w:lang w:val="fr-CA"/>
              </w:rPr>
            </w:pPr>
            <w:r w:rsidRPr="002C3704">
              <w:rPr>
                <w:rFonts w:eastAsia="Calibri"/>
                <w:sz w:val="20"/>
                <w:lang w:val="fr-CA"/>
              </w:rPr>
              <w:lastRenderedPageBreak/>
              <w:t>Le 9 décembre 2010</w:t>
            </w:r>
          </w:p>
          <w:p w:rsidR="00EC5C7E" w:rsidRPr="002C3704" w:rsidRDefault="00EC5C7E" w:rsidP="005F6378">
            <w:pPr>
              <w:jc w:val="both"/>
              <w:rPr>
                <w:rFonts w:eastAsia="Calibri"/>
                <w:sz w:val="20"/>
                <w:lang w:val="fr-CA"/>
              </w:rPr>
            </w:pPr>
            <w:r w:rsidRPr="002C3704">
              <w:rPr>
                <w:rFonts w:eastAsia="Calibri"/>
                <w:sz w:val="20"/>
                <w:lang w:val="fr-CA"/>
              </w:rPr>
              <w:t>Cour supérieure du Québec</w:t>
            </w:r>
          </w:p>
          <w:p w:rsidR="00EC5C7E" w:rsidRPr="002C3704" w:rsidRDefault="00EC5C7E" w:rsidP="005F6378">
            <w:pPr>
              <w:jc w:val="both"/>
              <w:rPr>
                <w:rFonts w:eastAsia="Calibri"/>
                <w:sz w:val="20"/>
                <w:lang w:val="fr-CA"/>
              </w:rPr>
            </w:pPr>
            <w:r w:rsidRPr="002C3704">
              <w:rPr>
                <w:rFonts w:eastAsia="Calibri"/>
                <w:sz w:val="20"/>
                <w:lang w:val="fr-CA"/>
              </w:rPr>
              <w:t>(Le juge Francoeur )</w:t>
            </w:r>
          </w:p>
          <w:p w:rsidR="00EC5C7E" w:rsidRPr="002C3704" w:rsidRDefault="00EC5C7E" w:rsidP="005F6378">
            <w:pPr>
              <w:jc w:val="both"/>
              <w:rPr>
                <w:rFonts w:eastAsia="Calibri"/>
                <w:sz w:val="20"/>
              </w:rPr>
            </w:pPr>
            <w:r w:rsidRPr="002C3704">
              <w:rPr>
                <w:rFonts w:eastAsia="Calibri"/>
                <w:sz w:val="20"/>
              </w:rPr>
              <w:t>2010 QCCS 6239</w:t>
            </w:r>
          </w:p>
          <w:p w:rsidR="00EC5C7E" w:rsidRPr="002C3704" w:rsidRDefault="00EC5C7E" w:rsidP="005F6378">
            <w:pPr>
              <w:jc w:val="both"/>
              <w:rPr>
                <w:rFonts w:eastAsia="Calibri"/>
                <w:sz w:val="20"/>
              </w:rPr>
            </w:pPr>
          </w:p>
        </w:tc>
        <w:tc>
          <w:tcPr>
            <w:tcW w:w="243" w:type="pct"/>
          </w:tcPr>
          <w:p w:rsidR="00EC5C7E" w:rsidRPr="002C3704" w:rsidRDefault="00EC5C7E" w:rsidP="005F6378">
            <w:pPr>
              <w:jc w:val="both"/>
              <w:rPr>
                <w:rFonts w:eastAsia="Calibri"/>
                <w:sz w:val="20"/>
              </w:rPr>
            </w:pPr>
          </w:p>
        </w:tc>
        <w:tc>
          <w:tcPr>
            <w:tcW w:w="2330" w:type="pct"/>
          </w:tcPr>
          <w:p w:rsidR="00EC5C7E" w:rsidRPr="002C3704" w:rsidRDefault="00EC5C7E" w:rsidP="005F6378">
            <w:pPr>
              <w:jc w:val="both"/>
              <w:rPr>
                <w:rFonts w:eastAsia="Calibri"/>
                <w:sz w:val="20"/>
                <w:lang w:val="fr-CA"/>
              </w:rPr>
            </w:pPr>
            <w:r w:rsidRPr="002C3704">
              <w:rPr>
                <w:rFonts w:eastAsia="Calibri"/>
                <w:sz w:val="20"/>
                <w:lang w:val="fr-CA"/>
              </w:rPr>
              <w:t>Appel rejeté</w:t>
            </w:r>
          </w:p>
          <w:p w:rsidR="00EC5C7E" w:rsidRPr="002C3704" w:rsidRDefault="00EC5C7E" w:rsidP="005F6378">
            <w:pPr>
              <w:jc w:val="both"/>
              <w:rPr>
                <w:rFonts w:eastAsia="Calibri"/>
                <w:sz w:val="20"/>
                <w:lang w:val="fr-CA"/>
              </w:rPr>
            </w:pPr>
          </w:p>
        </w:tc>
      </w:tr>
      <w:tr w:rsidR="00EC5C7E" w:rsidRPr="002C3704" w:rsidTr="005F6378">
        <w:trPr>
          <w:cantSplit/>
        </w:trPr>
        <w:tc>
          <w:tcPr>
            <w:tcW w:w="2427" w:type="pct"/>
          </w:tcPr>
          <w:p w:rsidR="00EC5C7E" w:rsidRPr="002C3704" w:rsidRDefault="00EC5C7E" w:rsidP="005F6378">
            <w:pPr>
              <w:jc w:val="both"/>
              <w:rPr>
                <w:rFonts w:eastAsia="Calibri"/>
                <w:sz w:val="20"/>
                <w:lang w:val="fr-CA"/>
              </w:rPr>
            </w:pPr>
            <w:r w:rsidRPr="002C3704">
              <w:rPr>
                <w:rFonts w:eastAsia="Calibri"/>
                <w:sz w:val="20"/>
                <w:lang w:val="fr-CA"/>
              </w:rPr>
              <w:t>Le 31 janvier 2012</w:t>
            </w:r>
          </w:p>
          <w:p w:rsidR="00EC5C7E" w:rsidRPr="002C3704" w:rsidRDefault="00EC5C7E" w:rsidP="005F6378">
            <w:pPr>
              <w:jc w:val="both"/>
              <w:rPr>
                <w:rFonts w:eastAsia="Calibri"/>
                <w:sz w:val="20"/>
                <w:lang w:val="fr-CA"/>
              </w:rPr>
            </w:pPr>
            <w:r w:rsidRPr="002C3704">
              <w:rPr>
                <w:rFonts w:eastAsia="Calibri"/>
                <w:sz w:val="20"/>
                <w:lang w:val="fr-CA"/>
              </w:rPr>
              <w:t>Cour d’appel du Québec (Québec)</w:t>
            </w:r>
          </w:p>
          <w:p w:rsidR="00EC5C7E" w:rsidRPr="002C3704" w:rsidRDefault="00EC5C7E" w:rsidP="005F6378">
            <w:pPr>
              <w:jc w:val="both"/>
              <w:rPr>
                <w:rFonts w:eastAsia="Calibri"/>
                <w:sz w:val="20"/>
                <w:lang w:val="fr-CA"/>
              </w:rPr>
            </w:pPr>
            <w:r w:rsidRPr="002C3704">
              <w:rPr>
                <w:rFonts w:eastAsia="Calibri"/>
                <w:sz w:val="20"/>
                <w:lang w:val="fr-CA"/>
              </w:rPr>
              <w:t>(Les juges Vézina, Léger et Gagnon)</w:t>
            </w:r>
          </w:p>
          <w:p w:rsidR="00EC5C7E" w:rsidRPr="002C3704" w:rsidRDefault="00EC5C7E" w:rsidP="005F6378">
            <w:pPr>
              <w:jc w:val="both"/>
              <w:rPr>
                <w:rFonts w:eastAsia="Calibri"/>
                <w:sz w:val="20"/>
                <w:lang w:val="fr-FR"/>
              </w:rPr>
            </w:pPr>
            <w:r w:rsidRPr="002C3704">
              <w:rPr>
                <w:rFonts w:eastAsia="Calibri"/>
                <w:sz w:val="20"/>
                <w:lang w:val="fr-FR"/>
              </w:rPr>
              <w:t>2012 QCCA 199</w:t>
            </w:r>
          </w:p>
          <w:p w:rsidR="00EC5C7E" w:rsidRPr="002C3704" w:rsidRDefault="00EC5C7E" w:rsidP="005F6378">
            <w:pPr>
              <w:jc w:val="both"/>
              <w:rPr>
                <w:rFonts w:eastAsia="Calibri"/>
                <w:sz w:val="20"/>
                <w:lang w:val="fr-FR"/>
              </w:rPr>
            </w:pPr>
          </w:p>
        </w:tc>
        <w:tc>
          <w:tcPr>
            <w:tcW w:w="243" w:type="pct"/>
          </w:tcPr>
          <w:p w:rsidR="00EC5C7E" w:rsidRPr="002C3704" w:rsidRDefault="00EC5C7E" w:rsidP="005F6378">
            <w:pPr>
              <w:jc w:val="both"/>
              <w:rPr>
                <w:rFonts w:eastAsia="Calibri"/>
                <w:sz w:val="20"/>
                <w:lang w:val="fr-FR"/>
              </w:rPr>
            </w:pPr>
          </w:p>
        </w:tc>
        <w:tc>
          <w:tcPr>
            <w:tcW w:w="2330" w:type="pct"/>
          </w:tcPr>
          <w:p w:rsidR="00EC5C7E" w:rsidRPr="002C3704" w:rsidRDefault="00EC5C7E" w:rsidP="005F6378">
            <w:pPr>
              <w:jc w:val="both"/>
              <w:rPr>
                <w:rFonts w:eastAsia="Calibri"/>
                <w:sz w:val="20"/>
                <w:lang w:val="fr-CA"/>
              </w:rPr>
            </w:pPr>
            <w:r w:rsidRPr="002C3704">
              <w:rPr>
                <w:rFonts w:eastAsia="Calibri"/>
                <w:sz w:val="20"/>
                <w:lang w:val="fr-CA"/>
              </w:rPr>
              <w:t>Appel rejeté</w:t>
            </w:r>
          </w:p>
          <w:p w:rsidR="00EC5C7E" w:rsidRPr="002C3704" w:rsidRDefault="00EC5C7E" w:rsidP="005F6378">
            <w:pPr>
              <w:jc w:val="both"/>
              <w:rPr>
                <w:rFonts w:eastAsia="Calibri"/>
                <w:sz w:val="20"/>
                <w:lang w:val="fr-CA"/>
              </w:rPr>
            </w:pPr>
          </w:p>
        </w:tc>
      </w:tr>
      <w:tr w:rsidR="00EC5C7E" w:rsidRPr="002C3704" w:rsidTr="005F6378">
        <w:trPr>
          <w:cantSplit/>
        </w:trPr>
        <w:tc>
          <w:tcPr>
            <w:tcW w:w="2427" w:type="pct"/>
          </w:tcPr>
          <w:p w:rsidR="00EC5C7E" w:rsidRPr="002C3704" w:rsidRDefault="00EC5C7E" w:rsidP="005F6378">
            <w:pPr>
              <w:jc w:val="both"/>
              <w:rPr>
                <w:rFonts w:eastAsia="Calibri"/>
                <w:sz w:val="20"/>
                <w:lang w:val="fr-CA"/>
              </w:rPr>
            </w:pPr>
            <w:r w:rsidRPr="002C3704">
              <w:rPr>
                <w:rFonts w:eastAsia="Calibri"/>
                <w:sz w:val="20"/>
                <w:lang w:val="fr-CA"/>
              </w:rPr>
              <w:t>Le 30 mars 2012</w:t>
            </w:r>
          </w:p>
          <w:p w:rsidR="00EC5C7E" w:rsidRPr="002C3704" w:rsidRDefault="00EC5C7E" w:rsidP="005F6378">
            <w:pPr>
              <w:jc w:val="both"/>
              <w:rPr>
                <w:rFonts w:eastAsia="Calibri"/>
                <w:sz w:val="20"/>
                <w:lang w:val="fr-FR"/>
              </w:rPr>
            </w:pPr>
            <w:r w:rsidRPr="002C3704">
              <w:rPr>
                <w:rFonts w:eastAsia="Calibri"/>
                <w:sz w:val="20"/>
                <w:lang w:val="fr-CA"/>
              </w:rPr>
              <w:t>Cour suprême du Canada</w:t>
            </w:r>
          </w:p>
        </w:tc>
        <w:tc>
          <w:tcPr>
            <w:tcW w:w="243" w:type="pct"/>
          </w:tcPr>
          <w:p w:rsidR="00EC5C7E" w:rsidRPr="002C3704" w:rsidRDefault="00EC5C7E" w:rsidP="005F6378">
            <w:pPr>
              <w:jc w:val="both"/>
              <w:rPr>
                <w:rFonts w:eastAsia="Calibri"/>
                <w:sz w:val="20"/>
                <w:lang w:val="fr-FR"/>
              </w:rPr>
            </w:pPr>
          </w:p>
        </w:tc>
        <w:tc>
          <w:tcPr>
            <w:tcW w:w="2330" w:type="pct"/>
          </w:tcPr>
          <w:p w:rsidR="00EC5C7E" w:rsidRPr="002C3704" w:rsidRDefault="00EC5C7E" w:rsidP="005F6378">
            <w:pPr>
              <w:jc w:val="both"/>
              <w:rPr>
                <w:rFonts w:eastAsia="Calibri"/>
                <w:sz w:val="20"/>
                <w:lang w:val="fr-CA"/>
              </w:rPr>
            </w:pPr>
            <w:r w:rsidRPr="002C3704">
              <w:rPr>
                <w:rFonts w:eastAsia="Calibri"/>
                <w:sz w:val="20"/>
                <w:lang w:val="fr-CA"/>
              </w:rPr>
              <w:t>Demande d'autorisation d'appel déposée</w:t>
            </w:r>
          </w:p>
          <w:p w:rsidR="00EC5C7E" w:rsidRPr="002C3704" w:rsidRDefault="00EC5C7E" w:rsidP="005F6378">
            <w:pPr>
              <w:jc w:val="both"/>
              <w:rPr>
                <w:rFonts w:eastAsia="Calibri"/>
                <w:sz w:val="20"/>
                <w:lang w:val="fr-CA"/>
              </w:rPr>
            </w:pPr>
          </w:p>
        </w:tc>
      </w:tr>
    </w:tbl>
    <w:p w:rsidR="005737AF" w:rsidRDefault="005737AF" w:rsidP="005737AF">
      <w:pPr>
        <w:rPr>
          <w:sz w:val="20"/>
          <w:szCs w:val="20"/>
        </w:rPr>
      </w:pPr>
    </w:p>
    <w:p w:rsidR="005737AF" w:rsidRDefault="007333FF" w:rsidP="005737AF">
      <w:pPr>
        <w:rPr>
          <w:sz w:val="20"/>
          <w:szCs w:val="20"/>
        </w:rPr>
      </w:pPr>
      <w:r w:rsidRPr="007333FF">
        <w:rPr>
          <w:sz w:val="20"/>
          <w:szCs w:val="20"/>
          <w:lang w:val="fr-CA"/>
        </w:rPr>
        <w:pict>
          <v:rect id="_x0000_i1067" style="width:2in;height:1pt" o:hrpct="0" o:hralign="center" o:hrstd="t" o:hrnoshade="t" o:hr="t" fillcolor="black [3213]" stroked="f"/>
        </w:pict>
      </w:r>
    </w:p>
    <w:p w:rsidR="005737AF" w:rsidRDefault="005737AF" w:rsidP="005737A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40E20" w:rsidRPr="00FB1C1D" w:rsidTr="001B2036">
        <w:trPr>
          <w:cantSplit/>
        </w:trPr>
        <w:tc>
          <w:tcPr>
            <w:tcW w:w="1458" w:type="dxa"/>
          </w:tcPr>
          <w:p w:rsidR="00F40E20" w:rsidRPr="00FB1C1D" w:rsidRDefault="00F40E20" w:rsidP="001B2036">
            <w:pPr>
              <w:rPr>
                <w:sz w:val="20"/>
                <w:szCs w:val="20"/>
              </w:rPr>
            </w:pPr>
            <w:r w:rsidRPr="00FB1C1D">
              <w:rPr>
                <w:rStyle w:val="SCCFileNumberChar"/>
                <w:sz w:val="20"/>
                <w:szCs w:val="20"/>
              </w:rPr>
              <w:t>34745</w:t>
            </w:r>
          </w:p>
          <w:p w:rsidR="00F40E20" w:rsidRPr="00FB1C1D" w:rsidRDefault="00F40E20" w:rsidP="001B2036">
            <w:pPr>
              <w:rPr>
                <w:b/>
                <w:sz w:val="20"/>
                <w:szCs w:val="20"/>
                <w:lang w:val="fr-CA"/>
              </w:rPr>
            </w:pPr>
          </w:p>
        </w:tc>
        <w:tc>
          <w:tcPr>
            <w:tcW w:w="8118" w:type="dxa"/>
          </w:tcPr>
          <w:p w:rsidR="00F40E20" w:rsidRPr="00FB1C1D" w:rsidRDefault="00F40E20" w:rsidP="001B2036">
            <w:pPr>
              <w:rPr>
                <w:sz w:val="20"/>
                <w:szCs w:val="20"/>
              </w:rPr>
            </w:pPr>
            <w:r w:rsidRPr="00F40E20">
              <w:rPr>
                <w:rStyle w:val="SCCLsocChar"/>
                <w:sz w:val="20"/>
                <w:szCs w:val="20"/>
                <w:lang w:val="en-CA"/>
              </w:rPr>
              <w:t>Daniele Campoli v. Her Majesty the Queen</w:t>
            </w:r>
            <w:r w:rsidRPr="00FB1C1D">
              <w:rPr>
                <w:sz w:val="20"/>
                <w:szCs w:val="20"/>
              </w:rPr>
              <w:t xml:space="preserve"> (Ont.) (Criminal) (By Leave)</w:t>
            </w:r>
          </w:p>
          <w:p w:rsidR="00F40E20" w:rsidRPr="00FB1C1D" w:rsidRDefault="00F40E20" w:rsidP="001B2036">
            <w:pPr>
              <w:rPr>
                <w:sz w:val="20"/>
                <w:szCs w:val="20"/>
              </w:rPr>
            </w:pPr>
          </w:p>
        </w:tc>
      </w:tr>
      <w:tr w:rsidR="00F40E20" w:rsidRPr="00FB1C1D" w:rsidTr="001B2036">
        <w:trPr>
          <w:cantSplit/>
        </w:trPr>
        <w:tc>
          <w:tcPr>
            <w:tcW w:w="1458" w:type="dxa"/>
          </w:tcPr>
          <w:p w:rsidR="00F40E20" w:rsidRPr="00FB1C1D" w:rsidRDefault="00F40E20" w:rsidP="001B2036">
            <w:pPr>
              <w:rPr>
                <w:sz w:val="20"/>
                <w:szCs w:val="20"/>
              </w:rPr>
            </w:pPr>
            <w:r w:rsidRPr="00FB1C1D">
              <w:rPr>
                <w:sz w:val="20"/>
                <w:szCs w:val="20"/>
              </w:rPr>
              <w:t>Coram :</w:t>
            </w:r>
          </w:p>
        </w:tc>
        <w:tc>
          <w:tcPr>
            <w:tcW w:w="8118" w:type="dxa"/>
          </w:tcPr>
          <w:p w:rsidR="00F40E20" w:rsidRPr="00FB1C1D" w:rsidRDefault="00F40E20" w:rsidP="001B2036">
            <w:pPr>
              <w:rPr>
                <w:sz w:val="20"/>
                <w:szCs w:val="20"/>
              </w:rPr>
            </w:pPr>
            <w:r w:rsidRPr="00F40E20">
              <w:rPr>
                <w:rStyle w:val="SCCCoramChar"/>
                <w:sz w:val="20"/>
                <w:szCs w:val="20"/>
                <w:lang w:val="en-CA"/>
              </w:rPr>
              <w:t>Deschamps, Fish and Karakatsanis JJ.</w:t>
            </w:r>
          </w:p>
          <w:p w:rsidR="00F40E20" w:rsidRPr="00FB1C1D" w:rsidRDefault="00F40E20" w:rsidP="001B2036">
            <w:pPr>
              <w:rPr>
                <w:sz w:val="20"/>
                <w:szCs w:val="20"/>
                <w:u w:val="single"/>
              </w:rPr>
            </w:pPr>
          </w:p>
        </w:tc>
      </w:tr>
      <w:tr w:rsidR="00F40E20" w:rsidRPr="003626B6" w:rsidTr="001B2036">
        <w:trPr>
          <w:cantSplit/>
        </w:trPr>
        <w:tc>
          <w:tcPr>
            <w:tcW w:w="9576" w:type="dxa"/>
            <w:gridSpan w:val="2"/>
          </w:tcPr>
          <w:p w:rsidR="00F40E20" w:rsidRPr="00FB1C1D" w:rsidRDefault="00F40E20" w:rsidP="001B2036">
            <w:pPr>
              <w:pStyle w:val="SCCShortJudgment"/>
              <w:rPr>
                <w:szCs w:val="20"/>
              </w:rPr>
            </w:pPr>
            <w:r w:rsidRPr="00FB1C1D">
              <w:rPr>
                <w:szCs w:val="20"/>
              </w:rPr>
              <w:t>The application for leave to appeal from the judgment of the Court of Appeal for Ontario, Number C53459, 2012 ONCA 89, dated February 3, 2012, is dismissed without costs.</w:t>
            </w:r>
          </w:p>
          <w:p w:rsidR="00F40E20" w:rsidRPr="00FB1C1D" w:rsidRDefault="00F40E20" w:rsidP="001B2036">
            <w:pPr>
              <w:pStyle w:val="SCCShortJudgment"/>
              <w:ind w:firstLine="0"/>
              <w:rPr>
                <w:szCs w:val="20"/>
              </w:rPr>
            </w:pPr>
          </w:p>
          <w:p w:rsidR="00F40E20" w:rsidRPr="00FB1C1D" w:rsidRDefault="00F40E20" w:rsidP="001B2036">
            <w:pPr>
              <w:pStyle w:val="SCCShortJudgment"/>
              <w:rPr>
                <w:szCs w:val="20"/>
                <w:lang w:val="fr-CA"/>
              </w:rPr>
            </w:pPr>
            <w:r w:rsidRPr="00FB1C1D">
              <w:rPr>
                <w:szCs w:val="20"/>
                <w:lang w:val="fr-CA"/>
              </w:rPr>
              <w:t>La demande d’autorisation d’appel de l’arrêt de la Cour d’appel de l’Ontario, numéro C53459, 2012 ONCA 89, daté du 3 février 2012, est rejetée sans dépens.</w:t>
            </w:r>
          </w:p>
        </w:tc>
      </w:tr>
    </w:tbl>
    <w:p w:rsidR="005737AF" w:rsidRPr="00F40E20" w:rsidRDefault="005737AF" w:rsidP="005737AF">
      <w:pPr>
        <w:rPr>
          <w:sz w:val="20"/>
          <w:szCs w:val="20"/>
          <w:lang w:val="fr-CA"/>
        </w:rPr>
      </w:pPr>
    </w:p>
    <w:p w:rsidR="005737AF" w:rsidRPr="001B157C" w:rsidRDefault="005737AF" w:rsidP="005737AF">
      <w:pPr>
        <w:rPr>
          <w:sz w:val="20"/>
          <w:szCs w:val="20"/>
          <w:u w:val="single"/>
        </w:rPr>
      </w:pPr>
      <w:r w:rsidRPr="001B157C">
        <w:rPr>
          <w:sz w:val="20"/>
          <w:szCs w:val="20"/>
          <w:u w:val="single"/>
        </w:rPr>
        <w:t>CASE SUMMARY</w:t>
      </w:r>
    </w:p>
    <w:p w:rsidR="005737AF" w:rsidRDefault="005737AF" w:rsidP="005737A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B2036" w:rsidRPr="002C3704" w:rsidTr="001B2036">
        <w:tc>
          <w:tcPr>
            <w:tcW w:w="5000" w:type="pct"/>
            <w:gridSpan w:val="3"/>
          </w:tcPr>
          <w:p w:rsidR="001B2036" w:rsidRPr="002C3704" w:rsidRDefault="001B2036" w:rsidP="001B2036">
            <w:pPr>
              <w:jc w:val="both"/>
              <w:rPr>
                <w:rFonts w:eastAsia="Calibri"/>
                <w:sz w:val="20"/>
              </w:rPr>
            </w:pPr>
            <w:r w:rsidRPr="002C3704">
              <w:rPr>
                <w:rFonts w:eastAsia="Calibri"/>
                <w:sz w:val="20"/>
              </w:rPr>
              <w:t>Criminal law – Evidence – Hearsay – Admissibility – Admissibility of video-taped statement – Whether admissible – Whether the complaint’s video-taped statement establishes the reliability and necessity required for admission under the principled approach to the hearsay rule – Whether there are issues of public importance raised.</w:t>
            </w:r>
          </w:p>
        </w:tc>
      </w:tr>
      <w:tr w:rsidR="001B2036" w:rsidRPr="002C3704" w:rsidTr="001B2036">
        <w:tc>
          <w:tcPr>
            <w:tcW w:w="5000" w:type="pct"/>
            <w:gridSpan w:val="3"/>
          </w:tcPr>
          <w:p w:rsidR="001B2036" w:rsidRPr="002C3704" w:rsidRDefault="001B2036" w:rsidP="001B2036">
            <w:pPr>
              <w:jc w:val="both"/>
              <w:rPr>
                <w:rFonts w:eastAsia="Calibri"/>
                <w:sz w:val="20"/>
              </w:rPr>
            </w:pPr>
          </w:p>
        </w:tc>
      </w:tr>
      <w:tr w:rsidR="001B2036" w:rsidRPr="002C3704" w:rsidTr="001B2036">
        <w:tc>
          <w:tcPr>
            <w:tcW w:w="5000" w:type="pct"/>
            <w:gridSpan w:val="3"/>
          </w:tcPr>
          <w:p w:rsidR="001B2036" w:rsidRPr="002C3704" w:rsidRDefault="001B2036" w:rsidP="001B2036">
            <w:pPr>
              <w:jc w:val="both"/>
              <w:rPr>
                <w:rFonts w:eastAsia="Calibri"/>
                <w:sz w:val="20"/>
              </w:rPr>
            </w:pPr>
            <w:r w:rsidRPr="002C3704">
              <w:rPr>
                <w:rFonts w:eastAsia="Calibri"/>
                <w:sz w:val="20"/>
              </w:rPr>
              <w:t xml:space="preserve">The applicant, Mr. Campoli is charged with assault. The applicant was a personal support worker caring for the 97 year old Ms. Gorsline, a resident of a senior citizens retirement residence. Ms. Gorsline provided a sworn video-taped statement to the police. The applicant was arrested on February 18, 2008. Ms. Gorsline died on April 19, 2008. The Crown commenced an application, pursuant to </w:t>
            </w:r>
            <w:r w:rsidRPr="002C3704">
              <w:rPr>
                <w:rFonts w:eastAsia="Calibri"/>
                <w:i/>
                <w:sz w:val="20"/>
              </w:rPr>
              <w:t>R. v. Kehlawon</w:t>
            </w:r>
            <w:r w:rsidRPr="002C3704">
              <w:rPr>
                <w:rFonts w:eastAsia="Calibri"/>
                <w:sz w:val="20"/>
              </w:rPr>
              <w:t>, [2006] 2 S.C.R. 787, for the admission of Mr. Gorsline’s video-taped statement for the truth of its contents. The Crown’s application to admit Ms. Gorsline’s video-taped statement for the truth of its contents was dismissed. An acquittal was entered.  The summary conviction appeal was granted, the acquittal was set aside; and a new trial was ordered.  The Court of Appeal dismissed the appeal.</w:t>
            </w:r>
          </w:p>
          <w:p w:rsidR="001B2036" w:rsidRPr="002C3704" w:rsidRDefault="001B2036" w:rsidP="001B2036">
            <w:pPr>
              <w:jc w:val="both"/>
              <w:rPr>
                <w:rFonts w:eastAsia="Calibri"/>
                <w:sz w:val="20"/>
              </w:rPr>
            </w:pPr>
          </w:p>
        </w:tc>
      </w:tr>
      <w:tr w:rsidR="001B2036" w:rsidRPr="002C3704" w:rsidTr="001B2036">
        <w:tc>
          <w:tcPr>
            <w:tcW w:w="2427" w:type="pct"/>
          </w:tcPr>
          <w:p w:rsidR="001B2036" w:rsidRPr="002C3704" w:rsidRDefault="001B2036" w:rsidP="001B2036">
            <w:pPr>
              <w:jc w:val="both"/>
              <w:rPr>
                <w:rFonts w:eastAsia="Calibri"/>
                <w:sz w:val="20"/>
              </w:rPr>
            </w:pPr>
            <w:r w:rsidRPr="002C3704">
              <w:rPr>
                <w:rFonts w:eastAsia="Calibri"/>
                <w:sz w:val="20"/>
              </w:rPr>
              <w:t>February 20, 2009</w:t>
            </w:r>
          </w:p>
          <w:p w:rsidR="001B2036" w:rsidRPr="002C3704" w:rsidRDefault="001B2036" w:rsidP="001B2036">
            <w:pPr>
              <w:jc w:val="both"/>
              <w:rPr>
                <w:rFonts w:eastAsia="Calibri"/>
                <w:sz w:val="20"/>
              </w:rPr>
            </w:pPr>
            <w:r w:rsidRPr="002C3704">
              <w:rPr>
                <w:rFonts w:eastAsia="Calibri"/>
                <w:sz w:val="20"/>
              </w:rPr>
              <w:t>Ontario Court (Provincial Division)</w:t>
            </w:r>
          </w:p>
          <w:p w:rsidR="001B2036" w:rsidRPr="002C3704" w:rsidRDefault="001B2036" w:rsidP="001B2036">
            <w:pPr>
              <w:jc w:val="both"/>
              <w:rPr>
                <w:rFonts w:eastAsia="Calibri"/>
                <w:sz w:val="20"/>
              </w:rPr>
            </w:pPr>
            <w:r w:rsidRPr="002C3704">
              <w:rPr>
                <w:rFonts w:eastAsia="Calibri"/>
                <w:sz w:val="20"/>
              </w:rPr>
              <w:t>(Barnes Prov. Ct. J.)</w:t>
            </w:r>
          </w:p>
          <w:p w:rsidR="001B2036" w:rsidRPr="002C3704" w:rsidRDefault="001B2036" w:rsidP="001B2036">
            <w:pPr>
              <w:jc w:val="both"/>
              <w:rPr>
                <w:rFonts w:eastAsia="Calibri"/>
                <w:sz w:val="20"/>
              </w:rPr>
            </w:pPr>
          </w:p>
        </w:tc>
        <w:tc>
          <w:tcPr>
            <w:tcW w:w="243" w:type="pct"/>
          </w:tcPr>
          <w:p w:rsidR="001B2036" w:rsidRPr="002C3704" w:rsidRDefault="001B2036" w:rsidP="001B2036">
            <w:pPr>
              <w:jc w:val="both"/>
              <w:rPr>
                <w:rFonts w:eastAsia="Calibri"/>
                <w:sz w:val="20"/>
              </w:rPr>
            </w:pPr>
          </w:p>
        </w:tc>
        <w:tc>
          <w:tcPr>
            <w:tcW w:w="2330" w:type="pct"/>
          </w:tcPr>
          <w:p w:rsidR="001B2036" w:rsidRPr="002C3704" w:rsidRDefault="001B2036" w:rsidP="001B2036">
            <w:pPr>
              <w:jc w:val="both"/>
              <w:rPr>
                <w:rFonts w:eastAsia="Calibri"/>
                <w:sz w:val="20"/>
              </w:rPr>
            </w:pPr>
            <w:r w:rsidRPr="002C3704">
              <w:rPr>
                <w:rFonts w:eastAsia="Calibri"/>
                <w:i/>
                <w:sz w:val="20"/>
              </w:rPr>
              <w:t>Voir dire</w:t>
            </w:r>
            <w:r w:rsidRPr="002C3704">
              <w:rPr>
                <w:rFonts w:eastAsia="Calibri"/>
                <w:sz w:val="20"/>
              </w:rPr>
              <w:t>: Crown’s application to admit Ms. Gosling’s video-taped statement for the truth of its contents dismissed</w:t>
            </w:r>
          </w:p>
          <w:p w:rsidR="001B2036" w:rsidRPr="002C3704" w:rsidRDefault="001B2036" w:rsidP="001B2036">
            <w:pPr>
              <w:jc w:val="both"/>
              <w:rPr>
                <w:rFonts w:eastAsia="Calibri"/>
                <w:sz w:val="20"/>
              </w:rPr>
            </w:pPr>
          </w:p>
        </w:tc>
      </w:tr>
      <w:tr w:rsidR="001B2036" w:rsidRPr="002C3704" w:rsidTr="001B2036">
        <w:tc>
          <w:tcPr>
            <w:tcW w:w="2427" w:type="pct"/>
          </w:tcPr>
          <w:p w:rsidR="001B2036" w:rsidRPr="002C3704" w:rsidRDefault="001B2036" w:rsidP="001B2036">
            <w:pPr>
              <w:jc w:val="both"/>
              <w:rPr>
                <w:rFonts w:eastAsia="Calibri"/>
                <w:sz w:val="20"/>
              </w:rPr>
            </w:pPr>
            <w:r w:rsidRPr="002C3704">
              <w:rPr>
                <w:rFonts w:eastAsia="Calibri"/>
                <w:sz w:val="20"/>
              </w:rPr>
              <w:t>February 23, 2011</w:t>
            </w:r>
          </w:p>
          <w:p w:rsidR="001B2036" w:rsidRPr="002C3704" w:rsidRDefault="001B2036" w:rsidP="001B2036">
            <w:pPr>
              <w:jc w:val="both"/>
              <w:rPr>
                <w:rFonts w:eastAsia="Calibri"/>
                <w:sz w:val="20"/>
              </w:rPr>
            </w:pPr>
            <w:r w:rsidRPr="002C3704">
              <w:rPr>
                <w:rFonts w:eastAsia="Calibri"/>
                <w:sz w:val="20"/>
              </w:rPr>
              <w:t>Ontario Superior Court of Justice</w:t>
            </w:r>
          </w:p>
          <w:p w:rsidR="001B2036" w:rsidRPr="002C3704" w:rsidRDefault="001B2036" w:rsidP="001B2036">
            <w:pPr>
              <w:jc w:val="both"/>
              <w:rPr>
                <w:rFonts w:eastAsia="Calibri"/>
                <w:sz w:val="20"/>
              </w:rPr>
            </w:pPr>
            <w:r w:rsidRPr="002C3704">
              <w:rPr>
                <w:rFonts w:eastAsia="Calibri"/>
                <w:sz w:val="20"/>
              </w:rPr>
              <w:t>(Lack J.)</w:t>
            </w:r>
          </w:p>
          <w:p w:rsidR="001B2036" w:rsidRPr="002C3704" w:rsidRDefault="001B2036" w:rsidP="001B2036">
            <w:pPr>
              <w:jc w:val="both"/>
              <w:rPr>
                <w:rFonts w:eastAsia="Calibri"/>
                <w:sz w:val="20"/>
              </w:rPr>
            </w:pPr>
            <w:r w:rsidRPr="002C3704">
              <w:rPr>
                <w:rFonts w:eastAsia="Calibri"/>
                <w:sz w:val="20"/>
              </w:rPr>
              <w:t>2011 ONSC 1226</w:t>
            </w:r>
          </w:p>
          <w:p w:rsidR="001B2036" w:rsidRPr="002C3704" w:rsidRDefault="001B2036" w:rsidP="001B2036">
            <w:pPr>
              <w:jc w:val="both"/>
              <w:rPr>
                <w:rFonts w:eastAsia="Calibri"/>
                <w:sz w:val="20"/>
              </w:rPr>
            </w:pPr>
          </w:p>
        </w:tc>
        <w:tc>
          <w:tcPr>
            <w:tcW w:w="243" w:type="pct"/>
          </w:tcPr>
          <w:p w:rsidR="001B2036" w:rsidRPr="002C3704" w:rsidRDefault="001B2036" w:rsidP="001B2036">
            <w:pPr>
              <w:jc w:val="both"/>
              <w:rPr>
                <w:rFonts w:eastAsia="Calibri"/>
                <w:sz w:val="20"/>
              </w:rPr>
            </w:pPr>
          </w:p>
        </w:tc>
        <w:tc>
          <w:tcPr>
            <w:tcW w:w="2330" w:type="pct"/>
          </w:tcPr>
          <w:p w:rsidR="001B2036" w:rsidRPr="002C3704" w:rsidRDefault="001B2036" w:rsidP="001B2036">
            <w:pPr>
              <w:jc w:val="both"/>
              <w:rPr>
                <w:rFonts w:eastAsia="Calibri"/>
                <w:sz w:val="20"/>
              </w:rPr>
            </w:pPr>
            <w:r w:rsidRPr="002C3704">
              <w:rPr>
                <w:rFonts w:eastAsia="Calibri"/>
                <w:sz w:val="20"/>
              </w:rPr>
              <w:t>Summary conviction appeal: appeal granted, acquittal set aside; new trial ordered</w:t>
            </w:r>
          </w:p>
          <w:p w:rsidR="001B2036" w:rsidRPr="002C3704" w:rsidRDefault="001B2036" w:rsidP="001B2036">
            <w:pPr>
              <w:jc w:val="both"/>
              <w:rPr>
                <w:rFonts w:eastAsia="Calibri"/>
                <w:sz w:val="20"/>
              </w:rPr>
            </w:pPr>
          </w:p>
          <w:p w:rsidR="001B2036" w:rsidRPr="002C3704" w:rsidRDefault="001B2036" w:rsidP="001B2036">
            <w:pPr>
              <w:jc w:val="both"/>
              <w:rPr>
                <w:rFonts w:eastAsia="Calibri"/>
                <w:sz w:val="20"/>
              </w:rPr>
            </w:pPr>
          </w:p>
        </w:tc>
      </w:tr>
      <w:tr w:rsidR="001B2036" w:rsidRPr="002C3704" w:rsidTr="005F6378">
        <w:trPr>
          <w:cantSplit/>
        </w:trPr>
        <w:tc>
          <w:tcPr>
            <w:tcW w:w="2427" w:type="pct"/>
          </w:tcPr>
          <w:p w:rsidR="001B2036" w:rsidRPr="002C3704" w:rsidRDefault="001B2036" w:rsidP="001B2036">
            <w:pPr>
              <w:jc w:val="both"/>
              <w:rPr>
                <w:rFonts w:eastAsia="Calibri"/>
                <w:sz w:val="20"/>
              </w:rPr>
            </w:pPr>
            <w:r w:rsidRPr="002C3704">
              <w:rPr>
                <w:rFonts w:eastAsia="Calibri"/>
                <w:sz w:val="20"/>
              </w:rPr>
              <w:lastRenderedPageBreak/>
              <w:t>February 3, 2012</w:t>
            </w:r>
          </w:p>
          <w:p w:rsidR="001B2036" w:rsidRPr="002C3704" w:rsidRDefault="001B2036" w:rsidP="001B2036">
            <w:pPr>
              <w:jc w:val="both"/>
              <w:rPr>
                <w:rFonts w:eastAsia="Calibri"/>
                <w:sz w:val="20"/>
              </w:rPr>
            </w:pPr>
            <w:r w:rsidRPr="002C3704">
              <w:rPr>
                <w:rFonts w:eastAsia="Calibri"/>
                <w:sz w:val="20"/>
              </w:rPr>
              <w:t>Court of Appeal for Ontario</w:t>
            </w:r>
          </w:p>
          <w:p w:rsidR="001B2036" w:rsidRPr="002C3704" w:rsidRDefault="001B2036" w:rsidP="001B2036">
            <w:pPr>
              <w:jc w:val="both"/>
              <w:rPr>
                <w:rFonts w:eastAsia="Calibri"/>
                <w:sz w:val="20"/>
                <w:lang w:val="fr-CA"/>
              </w:rPr>
            </w:pPr>
            <w:r w:rsidRPr="002C3704">
              <w:rPr>
                <w:rFonts w:eastAsia="Calibri"/>
                <w:sz w:val="20"/>
                <w:lang w:val="fr-CA"/>
              </w:rPr>
              <w:t>(Rosenberg, Juriansz, Rouleau JJ.A.)</w:t>
            </w:r>
          </w:p>
          <w:p w:rsidR="001B2036" w:rsidRPr="002C3704" w:rsidRDefault="001B2036" w:rsidP="001B2036">
            <w:pPr>
              <w:jc w:val="both"/>
              <w:rPr>
                <w:rFonts w:eastAsia="Calibri"/>
                <w:sz w:val="20"/>
              </w:rPr>
            </w:pPr>
            <w:r w:rsidRPr="002C3704">
              <w:rPr>
                <w:rFonts w:eastAsia="Calibri"/>
                <w:sz w:val="20"/>
              </w:rPr>
              <w:t>2012 ONCA 89</w:t>
            </w:r>
          </w:p>
          <w:p w:rsidR="001B2036" w:rsidRPr="002C3704" w:rsidRDefault="001B2036" w:rsidP="001B2036">
            <w:pPr>
              <w:jc w:val="both"/>
              <w:rPr>
                <w:rFonts w:eastAsia="Calibri"/>
                <w:sz w:val="20"/>
                <w:lang w:val="fr-CA"/>
              </w:rPr>
            </w:pPr>
          </w:p>
        </w:tc>
        <w:tc>
          <w:tcPr>
            <w:tcW w:w="243" w:type="pct"/>
          </w:tcPr>
          <w:p w:rsidR="001B2036" w:rsidRPr="002C3704" w:rsidRDefault="001B2036" w:rsidP="001B2036">
            <w:pPr>
              <w:jc w:val="both"/>
              <w:rPr>
                <w:rFonts w:eastAsia="Calibri"/>
                <w:sz w:val="20"/>
                <w:lang w:val="fr-CA"/>
              </w:rPr>
            </w:pPr>
          </w:p>
        </w:tc>
        <w:tc>
          <w:tcPr>
            <w:tcW w:w="2330" w:type="pct"/>
          </w:tcPr>
          <w:p w:rsidR="001B2036" w:rsidRPr="002C3704" w:rsidRDefault="001B2036" w:rsidP="001B2036">
            <w:pPr>
              <w:jc w:val="both"/>
              <w:rPr>
                <w:rFonts w:eastAsia="Calibri"/>
                <w:sz w:val="20"/>
              </w:rPr>
            </w:pPr>
            <w:r w:rsidRPr="002C3704">
              <w:rPr>
                <w:rFonts w:eastAsia="Calibri"/>
                <w:sz w:val="20"/>
              </w:rPr>
              <w:t>Appeal dismissed</w:t>
            </w:r>
          </w:p>
          <w:p w:rsidR="001B2036" w:rsidRPr="002C3704" w:rsidRDefault="001B2036" w:rsidP="001B2036">
            <w:pPr>
              <w:jc w:val="both"/>
              <w:rPr>
                <w:rFonts w:eastAsia="Calibri"/>
                <w:sz w:val="20"/>
              </w:rPr>
            </w:pPr>
          </w:p>
        </w:tc>
      </w:tr>
      <w:tr w:rsidR="001B2036" w:rsidRPr="002C3704" w:rsidTr="005F6378">
        <w:trPr>
          <w:cantSplit/>
        </w:trPr>
        <w:tc>
          <w:tcPr>
            <w:tcW w:w="2427" w:type="pct"/>
          </w:tcPr>
          <w:p w:rsidR="001B2036" w:rsidRPr="002C3704" w:rsidRDefault="001B2036" w:rsidP="001B2036">
            <w:pPr>
              <w:jc w:val="both"/>
              <w:rPr>
                <w:rFonts w:eastAsia="Calibri"/>
                <w:sz w:val="20"/>
              </w:rPr>
            </w:pPr>
            <w:r w:rsidRPr="002C3704">
              <w:rPr>
                <w:rFonts w:eastAsia="Calibri"/>
                <w:sz w:val="20"/>
              </w:rPr>
              <w:t>April 2, 2012</w:t>
            </w:r>
          </w:p>
          <w:p w:rsidR="001B2036" w:rsidRPr="002C3704" w:rsidRDefault="001B2036" w:rsidP="001B2036">
            <w:pPr>
              <w:jc w:val="both"/>
              <w:rPr>
                <w:rFonts w:eastAsia="Calibri"/>
                <w:sz w:val="20"/>
              </w:rPr>
            </w:pPr>
            <w:r w:rsidRPr="002C3704">
              <w:rPr>
                <w:rFonts w:eastAsia="Calibri"/>
                <w:sz w:val="20"/>
              </w:rPr>
              <w:t>Supreme Court of Canada</w:t>
            </w:r>
          </w:p>
        </w:tc>
        <w:tc>
          <w:tcPr>
            <w:tcW w:w="243" w:type="pct"/>
          </w:tcPr>
          <w:p w:rsidR="001B2036" w:rsidRPr="002C3704" w:rsidRDefault="001B2036" w:rsidP="001B2036">
            <w:pPr>
              <w:jc w:val="both"/>
              <w:rPr>
                <w:rFonts w:eastAsia="Calibri"/>
                <w:sz w:val="20"/>
              </w:rPr>
            </w:pPr>
          </w:p>
        </w:tc>
        <w:tc>
          <w:tcPr>
            <w:tcW w:w="2330" w:type="pct"/>
          </w:tcPr>
          <w:p w:rsidR="001B2036" w:rsidRPr="002C3704" w:rsidRDefault="001B2036" w:rsidP="001B2036">
            <w:pPr>
              <w:jc w:val="both"/>
              <w:rPr>
                <w:rFonts w:eastAsia="Calibri"/>
                <w:sz w:val="20"/>
              </w:rPr>
            </w:pPr>
            <w:r w:rsidRPr="002C3704">
              <w:rPr>
                <w:rFonts w:eastAsia="Calibri"/>
                <w:sz w:val="20"/>
              </w:rPr>
              <w:t>Application for leave to appeal filed</w:t>
            </w:r>
          </w:p>
          <w:p w:rsidR="001B2036" w:rsidRPr="002C3704" w:rsidRDefault="001B2036" w:rsidP="001B2036">
            <w:pPr>
              <w:jc w:val="both"/>
              <w:rPr>
                <w:rFonts w:eastAsia="Calibri"/>
                <w:sz w:val="20"/>
              </w:rPr>
            </w:pPr>
          </w:p>
        </w:tc>
      </w:tr>
    </w:tbl>
    <w:p w:rsidR="005737AF" w:rsidRDefault="005737AF" w:rsidP="005737AF">
      <w:pPr>
        <w:rPr>
          <w:sz w:val="20"/>
          <w:szCs w:val="20"/>
        </w:rPr>
      </w:pPr>
    </w:p>
    <w:p w:rsidR="005737AF" w:rsidRPr="00C50A5C" w:rsidRDefault="007333FF" w:rsidP="005737AF">
      <w:pPr>
        <w:rPr>
          <w:sz w:val="20"/>
          <w:szCs w:val="20"/>
        </w:rPr>
      </w:pPr>
      <w:r w:rsidRPr="007333FF">
        <w:rPr>
          <w:sz w:val="20"/>
          <w:szCs w:val="20"/>
          <w:lang w:val="fr-CA"/>
        </w:rPr>
        <w:pict>
          <v:rect id="_x0000_i1068" style="width:2in;height:1pt" o:hrpct="0" o:hralign="center" o:hrstd="t" o:hrnoshade="t" o:hr="t" fillcolor="black [3213]" stroked="f"/>
        </w:pict>
      </w:r>
    </w:p>
    <w:p w:rsidR="005737AF" w:rsidRDefault="005737AF" w:rsidP="005737AF">
      <w:pPr>
        <w:rPr>
          <w:sz w:val="20"/>
          <w:szCs w:val="20"/>
        </w:rPr>
      </w:pPr>
    </w:p>
    <w:p w:rsidR="005737AF" w:rsidRPr="001B157C" w:rsidRDefault="005737AF" w:rsidP="005737AF">
      <w:pPr>
        <w:rPr>
          <w:sz w:val="20"/>
          <w:szCs w:val="20"/>
          <w:u w:val="single"/>
          <w:lang w:val="fr-CA"/>
        </w:rPr>
      </w:pPr>
      <w:r w:rsidRPr="001B157C">
        <w:rPr>
          <w:sz w:val="20"/>
          <w:szCs w:val="20"/>
          <w:u w:val="single"/>
          <w:lang w:val="fr-CA"/>
        </w:rPr>
        <w:t>RÉSUMÉ DE L’AFFAIRE</w:t>
      </w:r>
    </w:p>
    <w:p w:rsidR="005737AF" w:rsidRDefault="005737AF" w:rsidP="005737A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1B2036" w:rsidRPr="003626B6" w:rsidTr="001B2036">
        <w:tc>
          <w:tcPr>
            <w:tcW w:w="5000" w:type="pct"/>
            <w:gridSpan w:val="3"/>
          </w:tcPr>
          <w:p w:rsidR="001B2036" w:rsidRPr="002C3704" w:rsidRDefault="001B2036" w:rsidP="001B2036">
            <w:pPr>
              <w:jc w:val="both"/>
              <w:rPr>
                <w:rFonts w:eastAsia="Calibri"/>
                <w:sz w:val="20"/>
                <w:lang w:val="fr-CA"/>
              </w:rPr>
            </w:pPr>
            <w:r w:rsidRPr="002C3704">
              <w:rPr>
                <w:rFonts w:eastAsia="Calibri"/>
                <w:sz w:val="20"/>
                <w:lang w:val="fr-CA"/>
              </w:rPr>
              <w:t>Droit criminel – Preuve – Ouï-dire – Admissibilité – Admissibilité d'une déclaration enregistrée sur bande vidéo – La déclaration est-elle admissible? – La déclaration de la plaignante enregistrée sur bande vidéo permet-elle d'établir la fiabilité et la nécessité exigées pour qu'elle soit admise en vertu de l'exception raisonnée à la règle du ouï-dire? – L'affaire soulève-t-elle des questions d'importance pour le public?</w:t>
            </w:r>
          </w:p>
        </w:tc>
      </w:tr>
      <w:tr w:rsidR="001B2036" w:rsidRPr="003626B6" w:rsidTr="001B2036">
        <w:tc>
          <w:tcPr>
            <w:tcW w:w="5000" w:type="pct"/>
            <w:gridSpan w:val="3"/>
          </w:tcPr>
          <w:p w:rsidR="001B2036" w:rsidRPr="002C3704" w:rsidRDefault="001B2036" w:rsidP="001B2036">
            <w:pPr>
              <w:jc w:val="both"/>
              <w:rPr>
                <w:rFonts w:eastAsia="Calibri"/>
                <w:sz w:val="20"/>
                <w:lang w:val="fr-CA"/>
              </w:rPr>
            </w:pPr>
          </w:p>
        </w:tc>
      </w:tr>
      <w:tr w:rsidR="001B2036" w:rsidRPr="002C3704" w:rsidTr="001B2036">
        <w:tc>
          <w:tcPr>
            <w:tcW w:w="5000" w:type="pct"/>
            <w:gridSpan w:val="3"/>
          </w:tcPr>
          <w:p w:rsidR="001B2036" w:rsidRPr="002C3704" w:rsidRDefault="001B2036" w:rsidP="001B2036">
            <w:pPr>
              <w:jc w:val="both"/>
              <w:rPr>
                <w:rFonts w:eastAsia="Calibri"/>
                <w:sz w:val="20"/>
                <w:lang w:val="fr-CA"/>
              </w:rPr>
            </w:pPr>
            <w:r w:rsidRPr="002C3704">
              <w:rPr>
                <w:rFonts w:eastAsia="Calibri"/>
                <w:sz w:val="20"/>
                <w:lang w:val="fr-CA"/>
              </w:rPr>
              <w:t xml:space="preserve">Le demandeur, M. Campoli est accusé de voies de fait. Il était préposé au service de soutien à la personne de Mme Gorsline, âgée de 97 ans, qui était pensionnaire d'une résidence de retraite pour personnes âgées. Madame Gorsline a fait à la police une déclaration sous serment enregistrée sur bande vidéo. Le demandeur a été arrêté le 18 février 2008. Madame Gorsline est décédée le 19 avril 2008. Le ministère public a introduit une demande fondée sur l'arrêt </w:t>
            </w:r>
            <w:r w:rsidRPr="002C3704">
              <w:rPr>
                <w:rFonts w:eastAsia="Calibri"/>
                <w:i/>
                <w:sz w:val="20"/>
                <w:lang w:val="fr-CA"/>
              </w:rPr>
              <w:t>R. c. Kehlawon</w:t>
            </w:r>
            <w:r w:rsidRPr="002C3704">
              <w:rPr>
                <w:rFonts w:eastAsia="Calibri"/>
                <w:sz w:val="20"/>
                <w:lang w:val="fr-CA"/>
              </w:rPr>
              <w:t>, [2006] 2 R.C.S. 787, pour faire admettre en preuve la déclaration de Mme Gorsline sur bande vidéo pour établir la véracité de son contenu. Cette demande a été rejetée. Un verdict d'acquittement a été inscrit. L'appel en matière de poursuite sommaire a été accueilli, l’acquittement a été annulé et un nouveau procès a été ordonné. La Cour d'appel a rejeté l'appel.</w:t>
            </w:r>
          </w:p>
          <w:p w:rsidR="001B2036" w:rsidRPr="002C3704" w:rsidRDefault="001B2036" w:rsidP="001B2036">
            <w:pPr>
              <w:jc w:val="both"/>
              <w:rPr>
                <w:rFonts w:eastAsia="Calibri"/>
                <w:sz w:val="20"/>
                <w:lang w:val="fr-CA"/>
              </w:rPr>
            </w:pPr>
          </w:p>
        </w:tc>
      </w:tr>
      <w:tr w:rsidR="001B2036" w:rsidRPr="003626B6" w:rsidTr="001B2036">
        <w:tc>
          <w:tcPr>
            <w:tcW w:w="2427" w:type="pct"/>
          </w:tcPr>
          <w:p w:rsidR="001B2036" w:rsidRPr="002C3704" w:rsidRDefault="001B2036" w:rsidP="001B2036">
            <w:pPr>
              <w:jc w:val="both"/>
              <w:rPr>
                <w:rFonts w:eastAsia="Calibri"/>
                <w:sz w:val="20"/>
                <w:lang w:val="fr-CA"/>
              </w:rPr>
            </w:pPr>
            <w:r w:rsidRPr="002C3704">
              <w:rPr>
                <w:rFonts w:eastAsia="Calibri"/>
                <w:sz w:val="20"/>
                <w:lang w:val="fr-CA"/>
              </w:rPr>
              <w:t>20 février 2009</w:t>
            </w:r>
          </w:p>
          <w:p w:rsidR="001B2036" w:rsidRPr="002C3704" w:rsidRDefault="001B2036" w:rsidP="001B2036">
            <w:pPr>
              <w:jc w:val="both"/>
              <w:rPr>
                <w:rFonts w:eastAsia="Calibri"/>
                <w:sz w:val="20"/>
                <w:lang w:val="fr-CA"/>
              </w:rPr>
            </w:pPr>
            <w:r w:rsidRPr="002C3704">
              <w:rPr>
                <w:rFonts w:eastAsia="Calibri"/>
                <w:sz w:val="20"/>
                <w:lang w:val="fr-CA"/>
              </w:rPr>
              <w:t>Cour de l'Ontario (Division provinciale)</w:t>
            </w:r>
          </w:p>
          <w:p w:rsidR="001B2036" w:rsidRPr="002C3704" w:rsidRDefault="001B2036" w:rsidP="001B2036">
            <w:pPr>
              <w:jc w:val="both"/>
              <w:rPr>
                <w:rFonts w:eastAsia="Calibri"/>
                <w:sz w:val="20"/>
                <w:lang w:val="fr-CA"/>
              </w:rPr>
            </w:pPr>
            <w:r w:rsidRPr="002C3704">
              <w:rPr>
                <w:rFonts w:eastAsia="Calibri"/>
                <w:sz w:val="20"/>
                <w:lang w:val="fr-CA"/>
              </w:rPr>
              <w:t>(Juge Barnes)</w:t>
            </w:r>
          </w:p>
          <w:p w:rsidR="001B2036" w:rsidRPr="002C3704" w:rsidRDefault="001B2036" w:rsidP="001B2036">
            <w:pPr>
              <w:jc w:val="both"/>
              <w:rPr>
                <w:rFonts w:eastAsia="Calibri"/>
                <w:sz w:val="20"/>
                <w:lang w:val="fr-CA"/>
              </w:rPr>
            </w:pPr>
          </w:p>
        </w:tc>
        <w:tc>
          <w:tcPr>
            <w:tcW w:w="243" w:type="pct"/>
          </w:tcPr>
          <w:p w:rsidR="001B2036" w:rsidRPr="002C3704" w:rsidRDefault="001B2036" w:rsidP="001B2036">
            <w:pPr>
              <w:jc w:val="both"/>
              <w:rPr>
                <w:rFonts w:eastAsia="Calibri"/>
                <w:sz w:val="20"/>
                <w:lang w:val="fr-CA"/>
              </w:rPr>
            </w:pPr>
          </w:p>
        </w:tc>
        <w:tc>
          <w:tcPr>
            <w:tcW w:w="2330" w:type="pct"/>
          </w:tcPr>
          <w:p w:rsidR="001B2036" w:rsidRPr="002C3704" w:rsidRDefault="001B2036" w:rsidP="001B2036">
            <w:pPr>
              <w:jc w:val="both"/>
              <w:rPr>
                <w:rFonts w:eastAsia="Calibri"/>
                <w:sz w:val="20"/>
                <w:lang w:val="fr-CA"/>
              </w:rPr>
            </w:pPr>
            <w:r w:rsidRPr="002C3704">
              <w:rPr>
                <w:rFonts w:eastAsia="Calibri"/>
                <w:sz w:val="20"/>
                <w:lang w:val="fr-CA"/>
              </w:rPr>
              <w:t>Voir-dire : demande du ministère public pour faire admettre en preuve la déclaration de Mme Gorsline sur bande vidéo pour établir la véracité de son contenu, rejetée</w:t>
            </w:r>
          </w:p>
          <w:p w:rsidR="001B2036" w:rsidRPr="002C3704" w:rsidRDefault="001B2036" w:rsidP="001B2036">
            <w:pPr>
              <w:jc w:val="both"/>
              <w:rPr>
                <w:rFonts w:eastAsia="Calibri"/>
                <w:sz w:val="20"/>
                <w:lang w:val="fr-CA"/>
              </w:rPr>
            </w:pPr>
          </w:p>
        </w:tc>
      </w:tr>
      <w:tr w:rsidR="001B2036" w:rsidRPr="003626B6" w:rsidTr="001B2036">
        <w:tc>
          <w:tcPr>
            <w:tcW w:w="2427" w:type="pct"/>
          </w:tcPr>
          <w:p w:rsidR="001B2036" w:rsidRPr="002C3704" w:rsidRDefault="001B2036" w:rsidP="001B2036">
            <w:pPr>
              <w:jc w:val="both"/>
              <w:rPr>
                <w:rFonts w:eastAsia="Calibri"/>
                <w:sz w:val="20"/>
                <w:lang w:val="fr-CA"/>
              </w:rPr>
            </w:pPr>
            <w:r w:rsidRPr="002C3704">
              <w:rPr>
                <w:rFonts w:eastAsia="Calibri"/>
                <w:sz w:val="20"/>
                <w:lang w:val="fr-CA"/>
              </w:rPr>
              <w:t>23 février 2011</w:t>
            </w:r>
          </w:p>
          <w:p w:rsidR="001B2036" w:rsidRPr="002C3704" w:rsidRDefault="001B2036" w:rsidP="001B2036">
            <w:pPr>
              <w:jc w:val="both"/>
              <w:rPr>
                <w:rFonts w:eastAsia="Calibri"/>
                <w:sz w:val="20"/>
                <w:lang w:val="fr-CA"/>
              </w:rPr>
            </w:pPr>
            <w:r w:rsidRPr="002C3704">
              <w:rPr>
                <w:rFonts w:eastAsia="Calibri"/>
                <w:sz w:val="20"/>
                <w:lang w:val="fr-CA"/>
              </w:rPr>
              <w:t xml:space="preserve">Cour supérieure de justice de l'Ontario </w:t>
            </w:r>
          </w:p>
          <w:p w:rsidR="001B2036" w:rsidRPr="002C3704" w:rsidRDefault="001B2036" w:rsidP="001B2036">
            <w:pPr>
              <w:jc w:val="both"/>
              <w:rPr>
                <w:rFonts w:eastAsia="Calibri"/>
                <w:sz w:val="20"/>
                <w:lang w:val="fr-CA"/>
              </w:rPr>
            </w:pPr>
            <w:r w:rsidRPr="002C3704">
              <w:rPr>
                <w:rFonts w:eastAsia="Calibri"/>
                <w:sz w:val="20"/>
                <w:lang w:val="fr-CA"/>
              </w:rPr>
              <w:t>(Juge Lack)</w:t>
            </w:r>
          </w:p>
          <w:p w:rsidR="001B2036" w:rsidRPr="002C3704" w:rsidRDefault="001B2036" w:rsidP="001B2036">
            <w:pPr>
              <w:jc w:val="both"/>
              <w:rPr>
                <w:rFonts w:eastAsia="Calibri"/>
                <w:sz w:val="20"/>
                <w:lang w:val="fr-CA"/>
              </w:rPr>
            </w:pPr>
            <w:r w:rsidRPr="002C3704">
              <w:rPr>
                <w:rFonts w:eastAsia="Calibri"/>
                <w:sz w:val="20"/>
                <w:lang w:val="fr-CA"/>
              </w:rPr>
              <w:t>2011 ONSC 1226</w:t>
            </w:r>
          </w:p>
          <w:p w:rsidR="001B2036" w:rsidRPr="002C3704" w:rsidRDefault="001B2036" w:rsidP="001B2036">
            <w:pPr>
              <w:jc w:val="both"/>
              <w:rPr>
                <w:rFonts w:eastAsia="Calibri"/>
                <w:sz w:val="20"/>
                <w:lang w:val="fr-CA"/>
              </w:rPr>
            </w:pPr>
          </w:p>
        </w:tc>
        <w:tc>
          <w:tcPr>
            <w:tcW w:w="243" w:type="pct"/>
          </w:tcPr>
          <w:p w:rsidR="001B2036" w:rsidRPr="002C3704" w:rsidRDefault="001B2036" w:rsidP="001B2036">
            <w:pPr>
              <w:jc w:val="both"/>
              <w:rPr>
                <w:rFonts w:eastAsia="Calibri"/>
                <w:sz w:val="20"/>
                <w:lang w:val="fr-CA"/>
              </w:rPr>
            </w:pPr>
          </w:p>
        </w:tc>
        <w:tc>
          <w:tcPr>
            <w:tcW w:w="2330" w:type="pct"/>
          </w:tcPr>
          <w:p w:rsidR="001B2036" w:rsidRPr="002C3704" w:rsidRDefault="001B2036" w:rsidP="001B2036">
            <w:pPr>
              <w:jc w:val="both"/>
              <w:rPr>
                <w:rFonts w:eastAsia="Calibri"/>
                <w:sz w:val="20"/>
                <w:lang w:val="fr-CA"/>
              </w:rPr>
            </w:pPr>
            <w:r w:rsidRPr="002C3704">
              <w:rPr>
                <w:rFonts w:eastAsia="Calibri"/>
                <w:sz w:val="20"/>
                <w:lang w:val="fr-CA"/>
              </w:rPr>
              <w:t>Appel en matière de poursuite sommaire : appel accueilli, acquittement annulé, nouveau procès ordonné</w:t>
            </w:r>
          </w:p>
          <w:p w:rsidR="001B2036" w:rsidRPr="002C3704" w:rsidRDefault="001B2036" w:rsidP="001B2036">
            <w:pPr>
              <w:jc w:val="both"/>
              <w:rPr>
                <w:rFonts w:eastAsia="Calibri"/>
                <w:sz w:val="20"/>
                <w:lang w:val="fr-CA"/>
              </w:rPr>
            </w:pPr>
          </w:p>
        </w:tc>
      </w:tr>
      <w:tr w:rsidR="001B2036" w:rsidRPr="002C3704" w:rsidTr="001B2036">
        <w:tc>
          <w:tcPr>
            <w:tcW w:w="2427" w:type="pct"/>
          </w:tcPr>
          <w:p w:rsidR="001B2036" w:rsidRPr="002C3704" w:rsidRDefault="001B2036" w:rsidP="001B2036">
            <w:pPr>
              <w:jc w:val="both"/>
              <w:rPr>
                <w:rFonts w:eastAsia="Calibri"/>
                <w:sz w:val="20"/>
                <w:lang w:val="fr-CA"/>
              </w:rPr>
            </w:pPr>
            <w:r w:rsidRPr="002C3704">
              <w:rPr>
                <w:rFonts w:eastAsia="Calibri"/>
                <w:sz w:val="20"/>
                <w:lang w:val="fr-CA"/>
              </w:rPr>
              <w:t>3 février 2012</w:t>
            </w:r>
          </w:p>
          <w:p w:rsidR="001B2036" w:rsidRPr="002C3704" w:rsidRDefault="001B2036" w:rsidP="001B2036">
            <w:pPr>
              <w:jc w:val="both"/>
              <w:rPr>
                <w:rFonts w:eastAsia="Calibri"/>
                <w:sz w:val="20"/>
                <w:lang w:val="fr-CA"/>
              </w:rPr>
            </w:pPr>
            <w:r w:rsidRPr="002C3704">
              <w:rPr>
                <w:rFonts w:eastAsia="Calibri"/>
                <w:sz w:val="20"/>
                <w:lang w:val="fr-CA"/>
              </w:rPr>
              <w:t xml:space="preserve">Cour d'appel de l'Ontario </w:t>
            </w:r>
          </w:p>
          <w:p w:rsidR="001B2036" w:rsidRPr="002C3704" w:rsidRDefault="001B2036" w:rsidP="001B2036">
            <w:pPr>
              <w:jc w:val="both"/>
              <w:rPr>
                <w:rFonts w:eastAsia="Calibri"/>
                <w:sz w:val="20"/>
                <w:lang w:val="fr-CA"/>
              </w:rPr>
            </w:pPr>
            <w:r w:rsidRPr="002C3704">
              <w:rPr>
                <w:rFonts w:eastAsia="Calibri"/>
                <w:sz w:val="20"/>
                <w:lang w:val="fr-CA"/>
              </w:rPr>
              <w:t>(Juges Rosenberg, Juriansz et Rouleau)</w:t>
            </w:r>
          </w:p>
          <w:p w:rsidR="001B2036" w:rsidRPr="002C3704" w:rsidRDefault="001B2036" w:rsidP="001B2036">
            <w:pPr>
              <w:jc w:val="both"/>
              <w:rPr>
                <w:rFonts w:eastAsia="Calibri"/>
                <w:sz w:val="20"/>
                <w:lang w:val="fr-CA"/>
              </w:rPr>
            </w:pPr>
            <w:r w:rsidRPr="002C3704">
              <w:rPr>
                <w:rFonts w:eastAsia="Calibri"/>
                <w:sz w:val="20"/>
                <w:lang w:val="fr-CA"/>
              </w:rPr>
              <w:t>2012 ONCA 89</w:t>
            </w:r>
          </w:p>
          <w:p w:rsidR="001B2036" w:rsidRPr="002C3704" w:rsidRDefault="001B2036" w:rsidP="001B2036">
            <w:pPr>
              <w:jc w:val="both"/>
              <w:rPr>
                <w:rFonts w:eastAsia="Calibri"/>
                <w:sz w:val="20"/>
                <w:lang w:val="fr-CA"/>
              </w:rPr>
            </w:pPr>
          </w:p>
        </w:tc>
        <w:tc>
          <w:tcPr>
            <w:tcW w:w="243" w:type="pct"/>
          </w:tcPr>
          <w:p w:rsidR="001B2036" w:rsidRPr="002C3704" w:rsidRDefault="001B2036" w:rsidP="001B2036">
            <w:pPr>
              <w:jc w:val="both"/>
              <w:rPr>
                <w:rFonts w:eastAsia="Calibri"/>
                <w:sz w:val="20"/>
                <w:lang w:val="fr-CA"/>
              </w:rPr>
            </w:pPr>
          </w:p>
        </w:tc>
        <w:tc>
          <w:tcPr>
            <w:tcW w:w="2330" w:type="pct"/>
          </w:tcPr>
          <w:p w:rsidR="001B2036" w:rsidRPr="002C3704" w:rsidRDefault="001B2036" w:rsidP="001B2036">
            <w:pPr>
              <w:jc w:val="both"/>
              <w:rPr>
                <w:rFonts w:eastAsia="Calibri"/>
                <w:sz w:val="20"/>
                <w:lang w:val="fr-CA"/>
              </w:rPr>
            </w:pPr>
            <w:r w:rsidRPr="002C3704">
              <w:rPr>
                <w:rFonts w:eastAsia="Calibri"/>
                <w:sz w:val="20"/>
                <w:lang w:val="fr-CA"/>
              </w:rPr>
              <w:t>Appel rejeté</w:t>
            </w:r>
          </w:p>
          <w:p w:rsidR="001B2036" w:rsidRPr="002C3704" w:rsidRDefault="001B2036" w:rsidP="001B2036">
            <w:pPr>
              <w:jc w:val="both"/>
              <w:rPr>
                <w:rFonts w:eastAsia="Calibri"/>
                <w:sz w:val="20"/>
                <w:lang w:val="fr-CA"/>
              </w:rPr>
            </w:pPr>
          </w:p>
        </w:tc>
      </w:tr>
      <w:tr w:rsidR="001B2036" w:rsidRPr="002C3704" w:rsidTr="001B2036">
        <w:tc>
          <w:tcPr>
            <w:tcW w:w="2427" w:type="pct"/>
          </w:tcPr>
          <w:p w:rsidR="001B2036" w:rsidRPr="002C3704" w:rsidRDefault="001B2036" w:rsidP="001B2036">
            <w:pPr>
              <w:jc w:val="both"/>
              <w:rPr>
                <w:rFonts w:eastAsia="Calibri"/>
                <w:sz w:val="20"/>
                <w:lang w:val="fr-CA"/>
              </w:rPr>
            </w:pPr>
            <w:r w:rsidRPr="002C3704">
              <w:rPr>
                <w:rFonts w:eastAsia="Calibri"/>
                <w:sz w:val="20"/>
                <w:lang w:val="fr-CA"/>
              </w:rPr>
              <w:t>2 avril 2012</w:t>
            </w:r>
          </w:p>
          <w:p w:rsidR="001B2036" w:rsidRPr="002C3704" w:rsidRDefault="001B2036" w:rsidP="001B2036">
            <w:pPr>
              <w:jc w:val="both"/>
              <w:rPr>
                <w:rFonts w:eastAsia="Calibri"/>
                <w:sz w:val="20"/>
                <w:lang w:val="fr-CA"/>
              </w:rPr>
            </w:pPr>
            <w:r w:rsidRPr="002C3704">
              <w:rPr>
                <w:rFonts w:eastAsia="Calibri"/>
                <w:sz w:val="20"/>
                <w:lang w:val="fr-CA"/>
              </w:rPr>
              <w:t>Cour suprême du Canada</w:t>
            </w:r>
          </w:p>
        </w:tc>
        <w:tc>
          <w:tcPr>
            <w:tcW w:w="243" w:type="pct"/>
          </w:tcPr>
          <w:p w:rsidR="001B2036" w:rsidRPr="002C3704" w:rsidRDefault="001B2036" w:rsidP="001B2036">
            <w:pPr>
              <w:jc w:val="both"/>
              <w:rPr>
                <w:rFonts w:eastAsia="Calibri"/>
                <w:sz w:val="20"/>
                <w:lang w:val="fr-CA"/>
              </w:rPr>
            </w:pPr>
          </w:p>
        </w:tc>
        <w:tc>
          <w:tcPr>
            <w:tcW w:w="2330" w:type="pct"/>
          </w:tcPr>
          <w:p w:rsidR="001B2036" w:rsidRPr="002C3704" w:rsidRDefault="001B2036" w:rsidP="001B2036">
            <w:pPr>
              <w:jc w:val="both"/>
              <w:rPr>
                <w:rFonts w:eastAsia="Calibri"/>
                <w:sz w:val="20"/>
                <w:lang w:val="fr-CA"/>
              </w:rPr>
            </w:pPr>
            <w:r w:rsidRPr="002C3704">
              <w:rPr>
                <w:rFonts w:eastAsia="Calibri"/>
                <w:sz w:val="20"/>
                <w:lang w:val="fr-CA"/>
              </w:rPr>
              <w:t>Demande d'autorisation d'appel, déposée</w:t>
            </w:r>
          </w:p>
          <w:p w:rsidR="001B2036" w:rsidRPr="002C3704" w:rsidRDefault="001B2036" w:rsidP="001B2036">
            <w:pPr>
              <w:jc w:val="both"/>
              <w:rPr>
                <w:rFonts w:eastAsia="Calibri"/>
                <w:sz w:val="20"/>
                <w:lang w:val="fr-CA"/>
              </w:rPr>
            </w:pPr>
          </w:p>
        </w:tc>
      </w:tr>
    </w:tbl>
    <w:p w:rsidR="005737AF" w:rsidRDefault="005737AF" w:rsidP="005737AF">
      <w:pPr>
        <w:rPr>
          <w:sz w:val="20"/>
          <w:szCs w:val="20"/>
        </w:rPr>
      </w:pPr>
    </w:p>
    <w:p w:rsidR="005737AF" w:rsidRDefault="007333FF" w:rsidP="005737AF">
      <w:pPr>
        <w:rPr>
          <w:sz w:val="20"/>
          <w:szCs w:val="20"/>
        </w:rPr>
      </w:pPr>
      <w:r w:rsidRPr="007333FF">
        <w:rPr>
          <w:sz w:val="20"/>
          <w:szCs w:val="20"/>
          <w:lang w:val="fr-CA"/>
        </w:rPr>
        <w:pict>
          <v:rect id="_x0000_i1069" style="width:2in;height:1pt" o:hrpct="0" o:hralign="center" o:hrstd="t" o:hrnoshade="t" o:hr="t" fillcolor="black [3213]" stroked="f"/>
        </w:pict>
      </w:r>
    </w:p>
    <w:p w:rsidR="005F6378" w:rsidRDefault="005F6378">
      <w:pPr>
        <w:rPr>
          <w:sz w:val="20"/>
          <w:szCs w:val="20"/>
        </w:rPr>
      </w:pPr>
    </w:p>
    <w:p w:rsidR="005F6378" w:rsidRDefault="005F6378">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40E20" w:rsidRPr="00FB1C1D" w:rsidTr="001B2036">
        <w:trPr>
          <w:cantSplit/>
        </w:trPr>
        <w:tc>
          <w:tcPr>
            <w:tcW w:w="1458" w:type="dxa"/>
          </w:tcPr>
          <w:p w:rsidR="00F40E20" w:rsidRPr="00FB1C1D" w:rsidRDefault="00F40E20" w:rsidP="001B2036">
            <w:pPr>
              <w:rPr>
                <w:sz w:val="20"/>
                <w:szCs w:val="20"/>
              </w:rPr>
            </w:pPr>
            <w:r w:rsidRPr="00FB1C1D">
              <w:rPr>
                <w:rStyle w:val="SCCFileNumberChar"/>
                <w:sz w:val="20"/>
                <w:szCs w:val="20"/>
              </w:rPr>
              <w:lastRenderedPageBreak/>
              <w:t>34761</w:t>
            </w:r>
          </w:p>
          <w:p w:rsidR="00F40E20" w:rsidRPr="00FB1C1D" w:rsidRDefault="00F40E20" w:rsidP="001B2036">
            <w:pPr>
              <w:rPr>
                <w:b/>
                <w:sz w:val="20"/>
                <w:szCs w:val="20"/>
                <w:lang w:val="fr-CA"/>
              </w:rPr>
            </w:pPr>
          </w:p>
        </w:tc>
        <w:tc>
          <w:tcPr>
            <w:tcW w:w="8118" w:type="dxa"/>
          </w:tcPr>
          <w:p w:rsidR="00F40E20" w:rsidRPr="00FB1C1D" w:rsidRDefault="00F40E20" w:rsidP="001B2036">
            <w:pPr>
              <w:rPr>
                <w:sz w:val="20"/>
                <w:szCs w:val="20"/>
              </w:rPr>
            </w:pPr>
            <w:r w:rsidRPr="00F40E20">
              <w:rPr>
                <w:rStyle w:val="SCCLsocChar"/>
                <w:sz w:val="20"/>
                <w:szCs w:val="20"/>
                <w:lang w:val="en-CA"/>
              </w:rPr>
              <w:t>Zabia Chamberlain v. Attorney General of Canada</w:t>
            </w:r>
            <w:r w:rsidRPr="00FB1C1D">
              <w:rPr>
                <w:sz w:val="20"/>
                <w:szCs w:val="20"/>
              </w:rPr>
              <w:t xml:space="preserve"> (F.C.) (Civil) (By Leave)</w:t>
            </w:r>
          </w:p>
          <w:p w:rsidR="00F40E20" w:rsidRPr="00FB1C1D" w:rsidRDefault="00F40E20" w:rsidP="001B2036">
            <w:pPr>
              <w:rPr>
                <w:sz w:val="20"/>
                <w:szCs w:val="20"/>
              </w:rPr>
            </w:pPr>
          </w:p>
        </w:tc>
      </w:tr>
      <w:tr w:rsidR="00F40E20" w:rsidRPr="00FB1C1D" w:rsidTr="001B2036">
        <w:trPr>
          <w:cantSplit/>
        </w:trPr>
        <w:tc>
          <w:tcPr>
            <w:tcW w:w="1458" w:type="dxa"/>
          </w:tcPr>
          <w:p w:rsidR="00F40E20" w:rsidRPr="00FB1C1D" w:rsidRDefault="00F40E20" w:rsidP="001B2036">
            <w:pPr>
              <w:rPr>
                <w:sz w:val="20"/>
                <w:szCs w:val="20"/>
              </w:rPr>
            </w:pPr>
            <w:r w:rsidRPr="00FB1C1D">
              <w:rPr>
                <w:sz w:val="20"/>
                <w:szCs w:val="20"/>
              </w:rPr>
              <w:t>Coram :</w:t>
            </w:r>
          </w:p>
        </w:tc>
        <w:tc>
          <w:tcPr>
            <w:tcW w:w="8118" w:type="dxa"/>
          </w:tcPr>
          <w:p w:rsidR="00F40E20" w:rsidRPr="00FB1C1D" w:rsidRDefault="00F40E20" w:rsidP="001B2036">
            <w:pPr>
              <w:rPr>
                <w:sz w:val="20"/>
                <w:szCs w:val="20"/>
              </w:rPr>
            </w:pPr>
            <w:r w:rsidRPr="00F40E20">
              <w:rPr>
                <w:rStyle w:val="SCCCoramChar"/>
                <w:sz w:val="20"/>
                <w:szCs w:val="20"/>
                <w:lang w:val="en-CA"/>
              </w:rPr>
              <w:t>Deschamps, Fish and Karakatsanis JJ.</w:t>
            </w:r>
          </w:p>
          <w:p w:rsidR="00F40E20" w:rsidRPr="00FB1C1D" w:rsidRDefault="00F40E20" w:rsidP="001B2036">
            <w:pPr>
              <w:rPr>
                <w:sz w:val="20"/>
                <w:szCs w:val="20"/>
                <w:u w:val="single"/>
              </w:rPr>
            </w:pPr>
          </w:p>
        </w:tc>
      </w:tr>
      <w:tr w:rsidR="00F40E20" w:rsidRPr="003626B6" w:rsidTr="001B2036">
        <w:trPr>
          <w:cantSplit/>
        </w:trPr>
        <w:tc>
          <w:tcPr>
            <w:tcW w:w="9576" w:type="dxa"/>
            <w:gridSpan w:val="2"/>
          </w:tcPr>
          <w:p w:rsidR="00F40E20" w:rsidRPr="00FB1C1D" w:rsidRDefault="00F40E20" w:rsidP="001B2036">
            <w:pPr>
              <w:pStyle w:val="SCCShortJudgment"/>
              <w:rPr>
                <w:szCs w:val="20"/>
              </w:rPr>
            </w:pPr>
            <w:r w:rsidRPr="00FB1C1D">
              <w:rPr>
                <w:szCs w:val="20"/>
              </w:rPr>
              <w:t>The application for leave to appeal from the judgment of the Federal Court of Appeal, Number A-23-11, 2012 FCA 44, dated February 8, 2012, is dismissed with costs.</w:t>
            </w:r>
          </w:p>
          <w:p w:rsidR="00F40E20" w:rsidRPr="00FB1C1D" w:rsidRDefault="00F40E20" w:rsidP="001B2036">
            <w:pPr>
              <w:pStyle w:val="SCCShortJudgment"/>
              <w:ind w:firstLine="0"/>
              <w:rPr>
                <w:szCs w:val="20"/>
              </w:rPr>
            </w:pPr>
          </w:p>
          <w:p w:rsidR="00F40E20" w:rsidRPr="00FB1C1D" w:rsidRDefault="00F40E20" w:rsidP="001B2036">
            <w:pPr>
              <w:pStyle w:val="SCCShortJudgment"/>
              <w:rPr>
                <w:szCs w:val="20"/>
                <w:lang w:val="fr-CA"/>
              </w:rPr>
            </w:pPr>
            <w:r w:rsidRPr="00FB1C1D">
              <w:rPr>
                <w:szCs w:val="20"/>
                <w:lang w:val="fr-CA"/>
              </w:rPr>
              <w:t>La demande d’autorisation d’appel de l’arrêt de la Cour d’appel fédérale, numéro A-23-11, 2012 CAF 44, daté du 8 février 2012, est rejetée avec dépens.</w:t>
            </w:r>
          </w:p>
        </w:tc>
      </w:tr>
    </w:tbl>
    <w:p w:rsidR="005737AF" w:rsidRPr="00F40E20" w:rsidRDefault="005737AF" w:rsidP="005737AF">
      <w:pPr>
        <w:rPr>
          <w:sz w:val="20"/>
          <w:szCs w:val="20"/>
          <w:lang w:val="fr-CA"/>
        </w:rPr>
      </w:pPr>
    </w:p>
    <w:p w:rsidR="005737AF" w:rsidRPr="001B157C" w:rsidRDefault="005737AF" w:rsidP="005737AF">
      <w:pPr>
        <w:rPr>
          <w:sz w:val="20"/>
          <w:szCs w:val="20"/>
          <w:u w:val="single"/>
        </w:rPr>
      </w:pPr>
      <w:r w:rsidRPr="001B157C">
        <w:rPr>
          <w:sz w:val="20"/>
          <w:szCs w:val="20"/>
          <w:u w:val="single"/>
        </w:rPr>
        <w:t>CASE SUMMARY</w:t>
      </w:r>
    </w:p>
    <w:p w:rsidR="005737AF" w:rsidRDefault="005737AF" w:rsidP="005737AF">
      <w:pPr>
        <w:rPr>
          <w:sz w:val="20"/>
          <w:szCs w:val="20"/>
        </w:rPr>
      </w:pPr>
    </w:p>
    <w:tbl>
      <w:tblPr>
        <w:tblW w:w="4952" w:type="pct"/>
        <w:tblLayout w:type="fixed"/>
        <w:tblCellMar>
          <w:left w:w="0" w:type="dxa"/>
          <w:bottom w:w="99" w:type="dxa"/>
          <w:right w:w="0" w:type="dxa"/>
        </w:tblCellMar>
        <w:tblLook w:val="04A0"/>
      </w:tblPr>
      <w:tblGrid>
        <w:gridCol w:w="4530"/>
        <w:gridCol w:w="453"/>
        <w:gridCol w:w="4544"/>
      </w:tblGrid>
      <w:tr w:rsidR="00EC5C7E" w:rsidRPr="002C3704" w:rsidTr="005F6378">
        <w:tc>
          <w:tcPr>
            <w:tcW w:w="5000" w:type="pct"/>
            <w:gridSpan w:val="3"/>
          </w:tcPr>
          <w:p w:rsidR="00EC5C7E" w:rsidRPr="002C3704" w:rsidRDefault="00EC5C7E" w:rsidP="005F6378">
            <w:pPr>
              <w:jc w:val="both"/>
              <w:rPr>
                <w:rFonts w:eastAsia="Calibri"/>
                <w:sz w:val="20"/>
              </w:rPr>
            </w:pPr>
            <w:r w:rsidRPr="002C3704">
              <w:rPr>
                <w:rFonts w:eastAsia="Calibri"/>
                <w:sz w:val="20"/>
              </w:rPr>
              <w:t>Labour relations – Grievance – Whether the Board erred in law by failing to recognize the employer’s violation of its legal duties to protect, accommodate and not impose penalty and discipline on the Applicant – Whether the Board erred in law in ignoring relevant evidence in ruling no discipline or financial penalty suffered – Whether the Federal Court of Appeal erred in law and breached natural justice by furthering the Board’s errors and letting those errors stand</w:t>
            </w:r>
          </w:p>
        </w:tc>
      </w:tr>
      <w:tr w:rsidR="00EC5C7E" w:rsidRPr="002C3704" w:rsidTr="005F6378">
        <w:tc>
          <w:tcPr>
            <w:tcW w:w="5000" w:type="pct"/>
            <w:gridSpan w:val="3"/>
          </w:tcPr>
          <w:p w:rsidR="00EC5C7E" w:rsidRPr="002C3704" w:rsidRDefault="00EC5C7E" w:rsidP="005F6378">
            <w:pPr>
              <w:jc w:val="both"/>
              <w:rPr>
                <w:rFonts w:eastAsia="Calibri"/>
                <w:sz w:val="20"/>
              </w:rPr>
            </w:pPr>
          </w:p>
        </w:tc>
      </w:tr>
      <w:tr w:rsidR="00EC5C7E" w:rsidRPr="002C3704" w:rsidTr="005F6378">
        <w:tc>
          <w:tcPr>
            <w:tcW w:w="5000" w:type="pct"/>
            <w:gridSpan w:val="3"/>
          </w:tcPr>
          <w:p w:rsidR="00EC5C7E" w:rsidRPr="002C3704" w:rsidRDefault="00EC5C7E" w:rsidP="005F6378">
            <w:pPr>
              <w:jc w:val="both"/>
              <w:rPr>
                <w:rFonts w:eastAsia="Calibri"/>
                <w:sz w:val="20"/>
              </w:rPr>
            </w:pPr>
            <w:r w:rsidRPr="002C3704">
              <w:rPr>
                <w:rFonts w:eastAsia="Calibri"/>
                <w:sz w:val="20"/>
              </w:rPr>
              <w:t xml:space="preserve">Chamberlain filed a grievance under the </w:t>
            </w:r>
            <w:r w:rsidRPr="002C3704">
              <w:rPr>
                <w:rFonts w:eastAsia="Calibri"/>
                <w:i/>
                <w:sz w:val="20"/>
              </w:rPr>
              <w:t>Public Service Labour Relations Act</w:t>
            </w:r>
            <w:r w:rsidRPr="002C3704">
              <w:rPr>
                <w:rFonts w:eastAsia="Calibri"/>
                <w:sz w:val="20"/>
              </w:rPr>
              <w:t xml:space="preserve"> and four complaints under the </w:t>
            </w:r>
            <w:r w:rsidRPr="002C3704">
              <w:rPr>
                <w:rFonts w:eastAsia="Calibri"/>
                <w:i/>
                <w:sz w:val="20"/>
              </w:rPr>
              <w:t>Canada Labour Code</w:t>
            </w:r>
            <w:r w:rsidRPr="002C3704">
              <w:rPr>
                <w:rFonts w:eastAsia="Calibri"/>
                <w:sz w:val="20"/>
              </w:rPr>
              <w:t xml:space="preserve">.  She alleged that her employer, the Attorney General of Canada had not sufficiently dealt with the harassment that her supervisor had inflicted on her.  She refused to go back to work until the employer provided the necessary working conditions.  The employer had conducted an investigation into the harassment complaint and had concluded that there had been harassment.  The employer offered some corrective measures to Chamberlain.  The employer raised a preliminary objection arguing that the adjudicator was without jurisdiction to hear the grievance or complaints.  The employer submitted that the grievance was not in response to a disciplinary action and did not fall within the parameters of s. 209(1)(b) of the </w:t>
            </w:r>
            <w:r w:rsidRPr="002C3704">
              <w:rPr>
                <w:rFonts w:eastAsia="Calibri"/>
                <w:i/>
                <w:sz w:val="20"/>
              </w:rPr>
              <w:t>Public Service Labour Relations Act</w:t>
            </w:r>
            <w:r w:rsidRPr="002C3704">
              <w:rPr>
                <w:rFonts w:eastAsia="Calibri"/>
                <w:sz w:val="20"/>
              </w:rPr>
              <w:t xml:space="preserve">.  The employer further submitted that since no evidence was adduced of a reprisal, in the form of a dismissal, suspension, lay off or demotion as envisioned by s. 147 of the </w:t>
            </w:r>
            <w:r w:rsidRPr="002C3704">
              <w:rPr>
                <w:rFonts w:eastAsia="Calibri"/>
                <w:i/>
                <w:sz w:val="20"/>
              </w:rPr>
              <w:t>Canada Labour Code</w:t>
            </w:r>
            <w:r w:rsidRPr="002C3704">
              <w:rPr>
                <w:rFonts w:eastAsia="Calibri"/>
                <w:sz w:val="20"/>
              </w:rPr>
              <w:t>, the adjudicator was without jurisdiction to hear the complaints.</w:t>
            </w:r>
          </w:p>
          <w:p w:rsidR="00EC5C7E" w:rsidRPr="002C3704" w:rsidRDefault="00EC5C7E" w:rsidP="005F6378">
            <w:pPr>
              <w:jc w:val="both"/>
              <w:rPr>
                <w:rFonts w:eastAsia="Calibri"/>
                <w:sz w:val="20"/>
              </w:rPr>
            </w:pPr>
          </w:p>
          <w:p w:rsidR="00EC5C7E" w:rsidRPr="002C3704" w:rsidRDefault="00EC5C7E" w:rsidP="005F6378">
            <w:pPr>
              <w:jc w:val="both"/>
              <w:rPr>
                <w:rFonts w:eastAsia="Calibri"/>
                <w:sz w:val="20"/>
              </w:rPr>
            </w:pPr>
            <w:r w:rsidRPr="002C3704">
              <w:rPr>
                <w:rFonts w:eastAsia="Calibri"/>
                <w:sz w:val="20"/>
              </w:rPr>
              <w:t xml:space="preserve">The Board dismissed the grievance but the complaints were to continue.  It was concluded that the Board did not have jurisdiction over the grievance as the grievance referred to adjudication that did not allege a disciplinary action or a financial penalty.  The Board has limited jurisdiction to hear the complaints and could only entertain the complaints as they related to allegations of reprisals to Chamberlain’s exercise of her rights under the </w:t>
            </w:r>
            <w:r w:rsidRPr="002C3704">
              <w:rPr>
                <w:rFonts w:eastAsia="Calibri"/>
                <w:i/>
                <w:sz w:val="20"/>
              </w:rPr>
              <w:t>Canada Labour Code</w:t>
            </w:r>
            <w:r w:rsidRPr="002C3704">
              <w:rPr>
                <w:rFonts w:eastAsia="Calibri"/>
                <w:sz w:val="20"/>
              </w:rPr>
              <w:t xml:space="preserve"> that took place in the 90 days before the first complaint was filed.  The hearing was to continue on the allegations of reprisal that occurred less than 90 days before the filing of the first complaint on April 23, 2009.</w:t>
            </w:r>
          </w:p>
          <w:p w:rsidR="00EC5C7E" w:rsidRPr="002C3704" w:rsidRDefault="00EC5C7E" w:rsidP="005F6378">
            <w:pPr>
              <w:jc w:val="both"/>
              <w:rPr>
                <w:rFonts w:eastAsia="Calibri"/>
                <w:sz w:val="20"/>
              </w:rPr>
            </w:pPr>
          </w:p>
          <w:p w:rsidR="00EC5C7E" w:rsidRPr="002C3704" w:rsidRDefault="00EC5C7E" w:rsidP="005F6378">
            <w:pPr>
              <w:jc w:val="both"/>
              <w:rPr>
                <w:rFonts w:eastAsia="Calibri"/>
                <w:sz w:val="20"/>
              </w:rPr>
            </w:pPr>
            <w:r w:rsidRPr="002C3704">
              <w:rPr>
                <w:rFonts w:eastAsia="Calibri"/>
                <w:sz w:val="20"/>
              </w:rPr>
              <w:t>The Federal Court of Appeal dismissed Chamberlain’s application for judicial review.</w:t>
            </w:r>
          </w:p>
          <w:p w:rsidR="00EC5C7E" w:rsidRPr="002C3704" w:rsidRDefault="00EC5C7E" w:rsidP="005F6378">
            <w:pPr>
              <w:jc w:val="both"/>
              <w:rPr>
                <w:rFonts w:eastAsia="Calibri"/>
                <w:sz w:val="20"/>
              </w:rPr>
            </w:pPr>
          </w:p>
        </w:tc>
      </w:tr>
      <w:tr w:rsidR="00EC5C7E" w:rsidRPr="002C3704" w:rsidTr="005F6378">
        <w:tc>
          <w:tcPr>
            <w:tcW w:w="2377" w:type="pct"/>
          </w:tcPr>
          <w:p w:rsidR="00EC5C7E" w:rsidRPr="002C3704" w:rsidRDefault="00EC5C7E" w:rsidP="005F6378">
            <w:pPr>
              <w:jc w:val="both"/>
              <w:rPr>
                <w:rFonts w:eastAsia="Calibri"/>
                <w:sz w:val="20"/>
              </w:rPr>
            </w:pPr>
            <w:r w:rsidRPr="002C3704">
              <w:rPr>
                <w:rFonts w:eastAsia="Calibri"/>
                <w:sz w:val="20"/>
              </w:rPr>
              <w:t>December 13, 2010</w:t>
            </w:r>
          </w:p>
          <w:p w:rsidR="00EC5C7E" w:rsidRPr="002C3704" w:rsidRDefault="00EC5C7E" w:rsidP="005F6378">
            <w:pPr>
              <w:jc w:val="both"/>
              <w:rPr>
                <w:rFonts w:eastAsia="Calibri"/>
                <w:sz w:val="20"/>
              </w:rPr>
            </w:pPr>
            <w:r w:rsidRPr="002C3704">
              <w:rPr>
                <w:rFonts w:eastAsia="Calibri"/>
                <w:sz w:val="20"/>
              </w:rPr>
              <w:t>Public Service Labour Relations Board</w:t>
            </w:r>
          </w:p>
          <w:p w:rsidR="00EC5C7E" w:rsidRPr="002C3704" w:rsidRDefault="00EC5C7E" w:rsidP="005F6378">
            <w:pPr>
              <w:jc w:val="both"/>
              <w:rPr>
                <w:rFonts w:eastAsia="Calibri"/>
                <w:sz w:val="20"/>
              </w:rPr>
            </w:pPr>
            <w:r w:rsidRPr="002C3704">
              <w:rPr>
                <w:rFonts w:eastAsia="Calibri"/>
                <w:sz w:val="20"/>
              </w:rPr>
              <w:t>(Filliter, adjudicator)</w:t>
            </w:r>
          </w:p>
          <w:p w:rsidR="00EC5C7E" w:rsidRPr="002C3704" w:rsidRDefault="00EC5C7E" w:rsidP="005F6378">
            <w:pPr>
              <w:jc w:val="both"/>
              <w:rPr>
                <w:rFonts w:eastAsia="Calibri"/>
                <w:sz w:val="20"/>
              </w:rPr>
            </w:pPr>
            <w:r w:rsidRPr="002C3704">
              <w:rPr>
                <w:rFonts w:eastAsia="Calibri"/>
                <w:sz w:val="20"/>
              </w:rPr>
              <w:t>2010 PSLRB 130</w:t>
            </w:r>
          </w:p>
          <w:p w:rsidR="00EC5C7E" w:rsidRPr="002C3704" w:rsidRDefault="00EC5C7E" w:rsidP="005F6378">
            <w:pPr>
              <w:jc w:val="both"/>
              <w:rPr>
                <w:rFonts w:eastAsia="Calibri"/>
                <w:sz w:val="20"/>
              </w:rPr>
            </w:pPr>
          </w:p>
        </w:tc>
        <w:tc>
          <w:tcPr>
            <w:tcW w:w="238" w:type="pct"/>
          </w:tcPr>
          <w:p w:rsidR="00EC5C7E" w:rsidRPr="002C3704" w:rsidRDefault="00EC5C7E" w:rsidP="005F6378">
            <w:pPr>
              <w:jc w:val="both"/>
              <w:rPr>
                <w:rFonts w:eastAsia="Calibri"/>
                <w:sz w:val="20"/>
              </w:rPr>
            </w:pPr>
          </w:p>
        </w:tc>
        <w:tc>
          <w:tcPr>
            <w:tcW w:w="2385" w:type="pct"/>
          </w:tcPr>
          <w:p w:rsidR="00EC5C7E" w:rsidRPr="002C3704" w:rsidRDefault="00EC5C7E" w:rsidP="005F6378">
            <w:pPr>
              <w:jc w:val="both"/>
              <w:rPr>
                <w:rFonts w:eastAsia="Calibri"/>
                <w:sz w:val="20"/>
              </w:rPr>
            </w:pPr>
            <w:r w:rsidRPr="002C3704">
              <w:rPr>
                <w:rFonts w:eastAsia="Calibri"/>
                <w:sz w:val="20"/>
              </w:rPr>
              <w:t>Grievance dismissed for want of jurisdiction; complaints referring to allegations of actions of reprisal taken on or after January 23, 2009 to continue</w:t>
            </w:r>
          </w:p>
          <w:p w:rsidR="00EC5C7E" w:rsidRPr="002C3704" w:rsidRDefault="00EC5C7E" w:rsidP="005F6378">
            <w:pPr>
              <w:jc w:val="both"/>
              <w:rPr>
                <w:rFonts w:eastAsia="Calibri"/>
                <w:sz w:val="20"/>
              </w:rPr>
            </w:pPr>
          </w:p>
        </w:tc>
      </w:tr>
      <w:tr w:rsidR="00EC5C7E" w:rsidRPr="002C3704" w:rsidTr="005F6378">
        <w:tc>
          <w:tcPr>
            <w:tcW w:w="2377" w:type="pct"/>
          </w:tcPr>
          <w:p w:rsidR="00EC5C7E" w:rsidRPr="002C3704" w:rsidRDefault="00EC5C7E" w:rsidP="005F6378">
            <w:pPr>
              <w:jc w:val="both"/>
              <w:rPr>
                <w:rFonts w:eastAsia="Calibri"/>
                <w:sz w:val="20"/>
              </w:rPr>
            </w:pPr>
            <w:r w:rsidRPr="002C3704">
              <w:rPr>
                <w:rFonts w:eastAsia="Calibri"/>
                <w:sz w:val="20"/>
              </w:rPr>
              <w:t>February 8, 2012</w:t>
            </w:r>
          </w:p>
          <w:p w:rsidR="00EC5C7E" w:rsidRPr="002C3704" w:rsidRDefault="00EC5C7E" w:rsidP="005F6378">
            <w:pPr>
              <w:jc w:val="both"/>
              <w:rPr>
                <w:rFonts w:eastAsia="Calibri"/>
                <w:sz w:val="20"/>
              </w:rPr>
            </w:pPr>
            <w:r w:rsidRPr="002C3704">
              <w:rPr>
                <w:rFonts w:eastAsia="Calibri"/>
                <w:sz w:val="20"/>
              </w:rPr>
              <w:t>Federal Court of Appeal</w:t>
            </w:r>
          </w:p>
          <w:p w:rsidR="00EC5C7E" w:rsidRPr="002C3704" w:rsidRDefault="00EC5C7E" w:rsidP="005F6378">
            <w:pPr>
              <w:jc w:val="both"/>
              <w:rPr>
                <w:rFonts w:eastAsia="Calibri"/>
                <w:sz w:val="20"/>
              </w:rPr>
            </w:pPr>
            <w:r w:rsidRPr="002C3704">
              <w:rPr>
                <w:rFonts w:eastAsia="Calibri"/>
                <w:sz w:val="20"/>
              </w:rPr>
              <w:t>(Evans, Trudel and Stratas JJ.A.)</w:t>
            </w:r>
          </w:p>
          <w:p w:rsidR="00EC5C7E" w:rsidRPr="002C3704" w:rsidRDefault="00EC5C7E" w:rsidP="005F6378">
            <w:pPr>
              <w:jc w:val="both"/>
              <w:rPr>
                <w:rFonts w:eastAsia="Calibri"/>
                <w:sz w:val="20"/>
              </w:rPr>
            </w:pPr>
            <w:r w:rsidRPr="002C3704">
              <w:rPr>
                <w:rFonts w:eastAsia="Calibri"/>
                <w:sz w:val="20"/>
              </w:rPr>
              <w:t>2012 FCA 44; A-23-11</w:t>
            </w:r>
          </w:p>
        </w:tc>
        <w:tc>
          <w:tcPr>
            <w:tcW w:w="238" w:type="pct"/>
          </w:tcPr>
          <w:p w:rsidR="00EC5C7E" w:rsidRPr="002C3704" w:rsidRDefault="00EC5C7E" w:rsidP="005F6378">
            <w:pPr>
              <w:jc w:val="both"/>
              <w:rPr>
                <w:rFonts w:eastAsia="Calibri"/>
                <w:sz w:val="20"/>
              </w:rPr>
            </w:pPr>
          </w:p>
        </w:tc>
        <w:tc>
          <w:tcPr>
            <w:tcW w:w="2385" w:type="pct"/>
          </w:tcPr>
          <w:p w:rsidR="00EC5C7E" w:rsidRPr="002C3704" w:rsidRDefault="00EC5C7E" w:rsidP="005F6378">
            <w:pPr>
              <w:jc w:val="both"/>
              <w:rPr>
                <w:rFonts w:eastAsia="Calibri"/>
                <w:sz w:val="20"/>
              </w:rPr>
            </w:pPr>
            <w:r w:rsidRPr="002C3704">
              <w:rPr>
                <w:rFonts w:eastAsia="Calibri"/>
                <w:sz w:val="20"/>
              </w:rPr>
              <w:t>Application for judicial review dismissed</w:t>
            </w:r>
          </w:p>
          <w:p w:rsidR="00EC5C7E" w:rsidRPr="002C3704" w:rsidRDefault="00EC5C7E" w:rsidP="005F6378">
            <w:pPr>
              <w:jc w:val="both"/>
              <w:rPr>
                <w:rFonts w:eastAsia="Calibri"/>
                <w:sz w:val="20"/>
              </w:rPr>
            </w:pPr>
          </w:p>
        </w:tc>
      </w:tr>
    </w:tbl>
    <w:p w:rsidR="005F6378" w:rsidRDefault="005F6378"/>
    <w:p w:rsidR="005F6378" w:rsidRDefault="005F6378">
      <w:r>
        <w:br w:type="page"/>
      </w:r>
    </w:p>
    <w:tbl>
      <w:tblPr>
        <w:tblW w:w="4952" w:type="pct"/>
        <w:tblLayout w:type="fixed"/>
        <w:tblCellMar>
          <w:left w:w="0" w:type="dxa"/>
          <w:bottom w:w="99" w:type="dxa"/>
          <w:right w:w="0" w:type="dxa"/>
        </w:tblCellMar>
        <w:tblLook w:val="04A0"/>
      </w:tblPr>
      <w:tblGrid>
        <w:gridCol w:w="4530"/>
        <w:gridCol w:w="453"/>
        <w:gridCol w:w="4544"/>
      </w:tblGrid>
      <w:tr w:rsidR="00EC5C7E" w:rsidRPr="002C3704" w:rsidTr="005F6378">
        <w:trPr>
          <w:cantSplit/>
        </w:trPr>
        <w:tc>
          <w:tcPr>
            <w:tcW w:w="2377" w:type="pct"/>
          </w:tcPr>
          <w:p w:rsidR="00EC5C7E" w:rsidRPr="002C3704" w:rsidRDefault="00EC5C7E" w:rsidP="005F6378">
            <w:pPr>
              <w:jc w:val="both"/>
              <w:rPr>
                <w:rFonts w:eastAsia="Calibri"/>
                <w:sz w:val="20"/>
              </w:rPr>
            </w:pPr>
            <w:r w:rsidRPr="002C3704">
              <w:rPr>
                <w:rFonts w:eastAsia="Calibri"/>
                <w:sz w:val="20"/>
              </w:rPr>
              <w:lastRenderedPageBreak/>
              <w:t>April 10, 2012</w:t>
            </w:r>
          </w:p>
          <w:p w:rsidR="00EC5C7E" w:rsidRPr="002C3704" w:rsidRDefault="00EC5C7E" w:rsidP="005F6378">
            <w:pPr>
              <w:jc w:val="both"/>
              <w:rPr>
                <w:rFonts w:eastAsia="Calibri"/>
                <w:sz w:val="20"/>
              </w:rPr>
            </w:pPr>
            <w:r w:rsidRPr="002C3704">
              <w:rPr>
                <w:rFonts w:eastAsia="Calibri"/>
                <w:sz w:val="20"/>
              </w:rPr>
              <w:t>Supreme Court of Canada</w:t>
            </w:r>
          </w:p>
        </w:tc>
        <w:tc>
          <w:tcPr>
            <w:tcW w:w="238" w:type="pct"/>
          </w:tcPr>
          <w:p w:rsidR="00EC5C7E" w:rsidRPr="002C3704" w:rsidRDefault="00EC5C7E" w:rsidP="005F6378">
            <w:pPr>
              <w:jc w:val="both"/>
              <w:rPr>
                <w:rFonts w:eastAsia="Calibri"/>
                <w:sz w:val="20"/>
              </w:rPr>
            </w:pPr>
          </w:p>
        </w:tc>
        <w:tc>
          <w:tcPr>
            <w:tcW w:w="2385" w:type="pct"/>
          </w:tcPr>
          <w:p w:rsidR="00EC5C7E" w:rsidRPr="002C3704" w:rsidRDefault="00EC5C7E" w:rsidP="005F6378">
            <w:pPr>
              <w:jc w:val="both"/>
              <w:rPr>
                <w:rFonts w:eastAsia="Calibri"/>
                <w:sz w:val="20"/>
              </w:rPr>
            </w:pPr>
            <w:r w:rsidRPr="002C3704">
              <w:rPr>
                <w:rFonts w:eastAsia="Calibri"/>
                <w:sz w:val="20"/>
              </w:rPr>
              <w:t>Application for leave to appeal filed</w:t>
            </w:r>
          </w:p>
          <w:p w:rsidR="00EC5C7E" w:rsidRPr="002C3704" w:rsidRDefault="00EC5C7E" w:rsidP="005F6378">
            <w:pPr>
              <w:jc w:val="both"/>
              <w:rPr>
                <w:rFonts w:eastAsia="Calibri"/>
                <w:sz w:val="20"/>
              </w:rPr>
            </w:pPr>
          </w:p>
        </w:tc>
      </w:tr>
    </w:tbl>
    <w:p w:rsidR="005F6378" w:rsidRPr="00426786" w:rsidRDefault="005F6378" w:rsidP="005737AF">
      <w:pPr>
        <w:rPr>
          <w:sz w:val="20"/>
          <w:szCs w:val="20"/>
        </w:rPr>
      </w:pPr>
    </w:p>
    <w:p w:rsidR="005737AF" w:rsidRPr="00C50A5C" w:rsidRDefault="007333FF" w:rsidP="005737AF">
      <w:pPr>
        <w:rPr>
          <w:sz w:val="20"/>
          <w:szCs w:val="20"/>
        </w:rPr>
      </w:pPr>
      <w:r w:rsidRPr="007333FF">
        <w:rPr>
          <w:sz w:val="20"/>
          <w:szCs w:val="20"/>
          <w:lang w:val="fr-CA"/>
        </w:rPr>
        <w:pict>
          <v:rect id="_x0000_i1070" style="width:2in;height:1pt" o:hrpct="0" o:hralign="center" o:hrstd="t" o:hrnoshade="t" o:hr="t" fillcolor="black [3213]" stroked="f"/>
        </w:pict>
      </w:r>
    </w:p>
    <w:p w:rsidR="005737AF" w:rsidRDefault="005737AF" w:rsidP="005737AF">
      <w:pPr>
        <w:rPr>
          <w:sz w:val="20"/>
          <w:szCs w:val="20"/>
        </w:rPr>
      </w:pPr>
    </w:p>
    <w:p w:rsidR="005737AF" w:rsidRPr="001B157C" w:rsidRDefault="005737AF" w:rsidP="005737AF">
      <w:pPr>
        <w:rPr>
          <w:sz w:val="20"/>
          <w:szCs w:val="20"/>
          <w:u w:val="single"/>
          <w:lang w:val="fr-CA"/>
        </w:rPr>
      </w:pPr>
      <w:r w:rsidRPr="001B157C">
        <w:rPr>
          <w:sz w:val="20"/>
          <w:szCs w:val="20"/>
          <w:u w:val="single"/>
          <w:lang w:val="fr-CA"/>
        </w:rPr>
        <w:t>RÉSUMÉ DE L’AFFAIRE</w:t>
      </w:r>
    </w:p>
    <w:p w:rsidR="005737AF" w:rsidRDefault="005737AF" w:rsidP="005737AF">
      <w:pPr>
        <w:rPr>
          <w:sz w:val="20"/>
          <w:szCs w:val="20"/>
        </w:rPr>
      </w:pPr>
    </w:p>
    <w:tbl>
      <w:tblPr>
        <w:tblW w:w="4952" w:type="pct"/>
        <w:tblLayout w:type="fixed"/>
        <w:tblCellMar>
          <w:left w:w="0" w:type="dxa"/>
          <w:bottom w:w="99" w:type="dxa"/>
          <w:right w:w="0" w:type="dxa"/>
        </w:tblCellMar>
        <w:tblLook w:val="00A0"/>
      </w:tblPr>
      <w:tblGrid>
        <w:gridCol w:w="4530"/>
        <w:gridCol w:w="453"/>
        <w:gridCol w:w="4544"/>
      </w:tblGrid>
      <w:tr w:rsidR="00EC5C7E" w:rsidRPr="003626B6" w:rsidTr="005F6378">
        <w:tc>
          <w:tcPr>
            <w:tcW w:w="5000" w:type="pct"/>
            <w:gridSpan w:val="3"/>
          </w:tcPr>
          <w:p w:rsidR="00EC5C7E" w:rsidRPr="002C3704" w:rsidRDefault="00EC5C7E" w:rsidP="005F6378">
            <w:pPr>
              <w:jc w:val="both"/>
              <w:rPr>
                <w:rFonts w:eastAsia="Calibri"/>
                <w:sz w:val="20"/>
                <w:lang w:val="fr-CA"/>
              </w:rPr>
            </w:pPr>
            <w:r w:rsidRPr="002C3704">
              <w:rPr>
                <w:rFonts w:eastAsia="Calibri"/>
                <w:sz w:val="20"/>
                <w:lang w:val="fr-CA"/>
              </w:rPr>
              <w:t>Relations du travail – Grief – La Commission a-t-elle commis une erreur de droit en ne reconnaissant pas que l'employeur avait violé ses obligations légales de protéger la demanderesse, de prendre des mesures d’adaptation à son égard et de ne pas lui imposer de pénalité pécuniaire ou de mesures disciplinaires? – La Commission a-t-elle commis une erreur de droit en n'ayant pas pris en compte une preuve pertinente en statuant qu'aucune mesure disciplinaire ou pénalité pécuniaire n’avait été subie? – La Cour d'appel fédérale a-t-elle commis une erreur de droit et manqué à la justice naturelle en ne corrigeant pas les erreurs de la Commission?</w:t>
            </w:r>
          </w:p>
        </w:tc>
      </w:tr>
      <w:tr w:rsidR="00EC5C7E" w:rsidRPr="003626B6" w:rsidTr="005F6378">
        <w:tc>
          <w:tcPr>
            <w:tcW w:w="5000" w:type="pct"/>
            <w:gridSpan w:val="3"/>
          </w:tcPr>
          <w:p w:rsidR="00EC5C7E" w:rsidRPr="002C3704" w:rsidRDefault="00EC5C7E" w:rsidP="005F6378">
            <w:pPr>
              <w:jc w:val="both"/>
              <w:rPr>
                <w:rFonts w:eastAsia="Calibri"/>
                <w:sz w:val="20"/>
                <w:lang w:val="fr-CA"/>
              </w:rPr>
            </w:pPr>
          </w:p>
        </w:tc>
      </w:tr>
      <w:tr w:rsidR="00EC5C7E" w:rsidRPr="003626B6" w:rsidTr="005F6378">
        <w:tc>
          <w:tcPr>
            <w:tcW w:w="5000" w:type="pct"/>
            <w:gridSpan w:val="3"/>
          </w:tcPr>
          <w:p w:rsidR="00EC5C7E" w:rsidRPr="002C3704" w:rsidRDefault="00EC5C7E" w:rsidP="005F6378">
            <w:pPr>
              <w:jc w:val="both"/>
              <w:rPr>
                <w:rFonts w:eastAsia="Calibri"/>
                <w:sz w:val="20"/>
                <w:lang w:val="fr-CA"/>
              </w:rPr>
            </w:pPr>
            <w:r w:rsidRPr="002C3704">
              <w:rPr>
                <w:rFonts w:eastAsia="Calibri"/>
                <w:sz w:val="20"/>
                <w:lang w:val="fr-CA"/>
              </w:rPr>
              <w:t>Madame Chamberlain a déposé un grief en vertu de la</w:t>
            </w:r>
            <w:r w:rsidRPr="002C3704">
              <w:rPr>
                <w:rFonts w:eastAsia="Calibri"/>
                <w:i/>
                <w:sz w:val="20"/>
                <w:lang w:val="fr-CA"/>
              </w:rPr>
              <w:t xml:space="preserve"> Loi sur les relations de travail dans la fonction publique</w:t>
            </w:r>
            <w:r w:rsidRPr="002C3704">
              <w:rPr>
                <w:rFonts w:eastAsia="Calibri"/>
                <w:sz w:val="20"/>
                <w:lang w:val="fr-CA"/>
              </w:rPr>
              <w:t xml:space="preserve"> et quatre plaintes en vertu du</w:t>
            </w:r>
            <w:r w:rsidRPr="002C3704">
              <w:rPr>
                <w:rFonts w:eastAsia="Calibri"/>
                <w:i/>
                <w:sz w:val="20"/>
                <w:lang w:val="fr-CA"/>
              </w:rPr>
              <w:t xml:space="preserve"> Code canadien du travail</w:t>
            </w:r>
            <w:r w:rsidRPr="002C3704">
              <w:rPr>
                <w:rFonts w:eastAsia="Calibri"/>
                <w:sz w:val="20"/>
                <w:lang w:val="fr-CA"/>
              </w:rPr>
              <w:t>. Elle alléguait que son employeur, le procureur général du Canada, n'avait pas pris de mesures suffisantes relativement au harcèlement que son superviseur lui avait infligé. Elle a refusé de rentrer au travail tant que l'employeur ne lui fournissait pas les conditions de travail nécessaires. L'employeur avait mené une enquête sur la plainte de harcèlement et avait conclu qu'il y en avait effectivement eu. L'employeur a offert certaines mesures de correction à Mme Chamberlain. L'employeur a soulevé une objection préliminaire, plaidant que l'arbitre n'avait pas compétence pour instruire le grief ou les plaintes. L'employeur a fait valoir que le grief n'avait pas été déposé à la suite d'une mesure disciplinaire et qu'il ne répondait pas aux conditions de l'al. 209(1)</w:t>
            </w:r>
            <w:r w:rsidRPr="002C3704">
              <w:rPr>
                <w:rFonts w:eastAsia="Calibri"/>
                <w:i/>
                <w:sz w:val="20"/>
                <w:lang w:val="fr-CA"/>
              </w:rPr>
              <w:t>b</w:t>
            </w:r>
            <w:r w:rsidRPr="002C3704">
              <w:rPr>
                <w:rFonts w:eastAsia="Calibri"/>
                <w:sz w:val="20"/>
                <w:lang w:val="fr-CA"/>
              </w:rPr>
              <w:t>) de la</w:t>
            </w:r>
            <w:r w:rsidRPr="002C3704">
              <w:rPr>
                <w:rFonts w:eastAsia="Calibri"/>
                <w:i/>
                <w:sz w:val="20"/>
                <w:lang w:val="fr-CA"/>
              </w:rPr>
              <w:t xml:space="preserve"> Loi sur les relations de travail dans la fonction publique</w:t>
            </w:r>
            <w:r w:rsidRPr="002C3704">
              <w:rPr>
                <w:rFonts w:eastAsia="Calibri"/>
                <w:sz w:val="20"/>
                <w:lang w:val="fr-CA"/>
              </w:rPr>
              <w:t>. En outre, l'employeur a fait valoir qu'en l’absence d’une preuve de représailles, sous forme de congédiement, suspension, mise à pied ou rétrogradation comme il est prévu à l’article 147 du </w:t>
            </w:r>
            <w:r w:rsidRPr="002C3704">
              <w:rPr>
                <w:rFonts w:eastAsia="Calibri"/>
                <w:i/>
                <w:iCs/>
                <w:sz w:val="20"/>
                <w:lang w:val="fr-CA"/>
              </w:rPr>
              <w:t>Code canadien du travail</w:t>
            </w:r>
            <w:r w:rsidRPr="002C3704">
              <w:rPr>
                <w:rFonts w:eastAsia="Calibri"/>
                <w:sz w:val="20"/>
                <w:lang w:val="fr-CA"/>
              </w:rPr>
              <w:t>, l'arbitre n'avait pas compétence pour examiner les plaintes.</w:t>
            </w:r>
          </w:p>
          <w:p w:rsidR="00EC5C7E" w:rsidRPr="002C3704" w:rsidRDefault="00EC5C7E" w:rsidP="005F6378">
            <w:pPr>
              <w:jc w:val="both"/>
              <w:rPr>
                <w:rFonts w:eastAsia="Calibri"/>
                <w:sz w:val="20"/>
                <w:lang w:val="fr-CA"/>
              </w:rPr>
            </w:pPr>
          </w:p>
          <w:p w:rsidR="00EC5C7E" w:rsidRPr="002C3704" w:rsidRDefault="00EC5C7E" w:rsidP="005F6378">
            <w:pPr>
              <w:jc w:val="both"/>
              <w:rPr>
                <w:rFonts w:eastAsia="Calibri"/>
                <w:sz w:val="20"/>
                <w:lang w:val="fr-CA"/>
              </w:rPr>
            </w:pPr>
            <w:r w:rsidRPr="002C3704">
              <w:rPr>
                <w:rFonts w:eastAsia="Calibri"/>
                <w:sz w:val="20"/>
                <w:lang w:val="fr-CA"/>
              </w:rPr>
              <w:t>La Commission a rejeté le grief, mais les plaintes devaient suivre leur cours. La Commission a conclu qu'elle n'avait pas compétence à l'égard du grief, puisque celui-ci renvoyait à une décision qui ne portait pas sur des allégations de mesures disciplinaires ou de pénalités pécuniaires. La Commission avait une compétence fort limitée pour entendre les plaintes et elle ne pouvait les entendre que dans le cadre d’allégations de représailles pour l'exercice, par Mme Chamberlain, de ses droits aux termes du </w:t>
            </w:r>
            <w:r w:rsidRPr="002C3704">
              <w:rPr>
                <w:rFonts w:eastAsia="Calibri"/>
                <w:i/>
                <w:iCs/>
                <w:sz w:val="20"/>
                <w:lang w:val="fr-CA"/>
              </w:rPr>
              <w:t>Code canadien du travail</w:t>
            </w:r>
            <w:r w:rsidRPr="002C3704">
              <w:rPr>
                <w:rFonts w:eastAsia="Calibri"/>
                <w:sz w:val="20"/>
                <w:lang w:val="fr-CA"/>
              </w:rPr>
              <w:t> avancées 90 jours précédant le dépôt de la première plainte. L'audience devait se poursuivre relativement aux allégations de représailles qui auraient eu lieu moins de 90 jours avant le dépôt de la première plainte, le 23 avril 2009.</w:t>
            </w:r>
          </w:p>
          <w:p w:rsidR="00EC5C7E" w:rsidRPr="002C3704" w:rsidRDefault="00EC5C7E" w:rsidP="005F6378">
            <w:pPr>
              <w:jc w:val="both"/>
              <w:rPr>
                <w:rFonts w:eastAsia="Calibri"/>
                <w:sz w:val="20"/>
                <w:lang w:val="fr-CA"/>
              </w:rPr>
            </w:pPr>
          </w:p>
          <w:p w:rsidR="00EC5C7E" w:rsidRPr="002C3704" w:rsidRDefault="00EC5C7E" w:rsidP="005F6378">
            <w:pPr>
              <w:jc w:val="both"/>
              <w:rPr>
                <w:rFonts w:eastAsia="Calibri"/>
                <w:sz w:val="20"/>
                <w:lang w:val="fr-CA"/>
              </w:rPr>
            </w:pPr>
            <w:r w:rsidRPr="002C3704">
              <w:rPr>
                <w:rFonts w:eastAsia="Calibri"/>
                <w:sz w:val="20"/>
                <w:lang w:val="fr-CA"/>
              </w:rPr>
              <w:t>La Cour d'appel fédérale a rejeté la demande de contrôle judiciaire de Mme Chamberlain.</w:t>
            </w:r>
          </w:p>
          <w:p w:rsidR="00EC5C7E" w:rsidRPr="002C3704" w:rsidRDefault="00EC5C7E" w:rsidP="005F6378">
            <w:pPr>
              <w:jc w:val="both"/>
              <w:rPr>
                <w:rFonts w:eastAsia="Calibri"/>
                <w:sz w:val="20"/>
                <w:lang w:val="fr-CA"/>
              </w:rPr>
            </w:pPr>
          </w:p>
        </w:tc>
      </w:tr>
      <w:tr w:rsidR="00EC5C7E" w:rsidRPr="003626B6" w:rsidTr="005F6378">
        <w:tc>
          <w:tcPr>
            <w:tcW w:w="2377" w:type="pct"/>
          </w:tcPr>
          <w:p w:rsidR="00EC5C7E" w:rsidRPr="002C3704" w:rsidRDefault="00EC5C7E" w:rsidP="005F6378">
            <w:pPr>
              <w:jc w:val="both"/>
              <w:rPr>
                <w:rFonts w:eastAsia="Calibri"/>
                <w:sz w:val="20"/>
                <w:lang w:val="fr-CA"/>
              </w:rPr>
            </w:pPr>
            <w:r w:rsidRPr="002C3704">
              <w:rPr>
                <w:rFonts w:eastAsia="Calibri"/>
                <w:sz w:val="20"/>
                <w:lang w:val="fr-CA"/>
              </w:rPr>
              <w:t>13 décembre 2010</w:t>
            </w:r>
          </w:p>
          <w:p w:rsidR="00EC5C7E" w:rsidRPr="002C3704" w:rsidRDefault="00EC5C7E" w:rsidP="005F6378">
            <w:pPr>
              <w:jc w:val="both"/>
              <w:rPr>
                <w:rFonts w:eastAsia="Calibri"/>
                <w:sz w:val="20"/>
                <w:lang w:val="fr-CA"/>
              </w:rPr>
            </w:pPr>
            <w:r w:rsidRPr="002C3704">
              <w:rPr>
                <w:rFonts w:eastAsia="Calibri"/>
                <w:sz w:val="20"/>
                <w:lang w:val="fr-CA"/>
              </w:rPr>
              <w:t xml:space="preserve">Commission des relations de travail dans la fonction publique </w:t>
            </w:r>
          </w:p>
          <w:p w:rsidR="00EC5C7E" w:rsidRPr="002C3704" w:rsidRDefault="00EC5C7E" w:rsidP="005F6378">
            <w:pPr>
              <w:jc w:val="both"/>
              <w:rPr>
                <w:rFonts w:eastAsia="Calibri"/>
                <w:sz w:val="20"/>
                <w:lang w:val="fr-CA"/>
              </w:rPr>
            </w:pPr>
            <w:r w:rsidRPr="002C3704">
              <w:rPr>
                <w:rFonts w:eastAsia="Calibri"/>
                <w:sz w:val="20"/>
                <w:lang w:val="fr-CA"/>
              </w:rPr>
              <w:t>(Arbitre Filliter)</w:t>
            </w:r>
          </w:p>
          <w:p w:rsidR="00EC5C7E" w:rsidRPr="002C3704" w:rsidRDefault="00EC5C7E" w:rsidP="005F6378">
            <w:pPr>
              <w:jc w:val="both"/>
              <w:rPr>
                <w:rFonts w:eastAsia="Calibri"/>
                <w:sz w:val="20"/>
                <w:lang w:val="fr-CA"/>
              </w:rPr>
            </w:pPr>
            <w:r w:rsidRPr="002C3704">
              <w:rPr>
                <w:rFonts w:eastAsia="Calibri"/>
                <w:sz w:val="20"/>
                <w:lang w:val="fr-CA"/>
              </w:rPr>
              <w:t>2010 PSLRB 130</w:t>
            </w:r>
          </w:p>
          <w:p w:rsidR="00EC5C7E" w:rsidRPr="002C3704" w:rsidRDefault="00EC5C7E" w:rsidP="005F6378">
            <w:pPr>
              <w:jc w:val="both"/>
              <w:rPr>
                <w:rFonts w:eastAsia="Calibri"/>
                <w:sz w:val="20"/>
                <w:lang w:val="fr-CA"/>
              </w:rPr>
            </w:pPr>
          </w:p>
        </w:tc>
        <w:tc>
          <w:tcPr>
            <w:tcW w:w="238" w:type="pct"/>
          </w:tcPr>
          <w:p w:rsidR="00EC5C7E" w:rsidRPr="002C3704" w:rsidRDefault="00EC5C7E" w:rsidP="005F6378">
            <w:pPr>
              <w:jc w:val="both"/>
              <w:rPr>
                <w:rFonts w:eastAsia="Calibri"/>
                <w:sz w:val="20"/>
                <w:lang w:val="fr-CA"/>
              </w:rPr>
            </w:pPr>
          </w:p>
        </w:tc>
        <w:tc>
          <w:tcPr>
            <w:tcW w:w="2385" w:type="pct"/>
          </w:tcPr>
          <w:p w:rsidR="00EC5C7E" w:rsidRPr="002C3704" w:rsidRDefault="00EC5C7E" w:rsidP="005F6378">
            <w:pPr>
              <w:jc w:val="both"/>
              <w:rPr>
                <w:rFonts w:eastAsia="Calibri"/>
                <w:sz w:val="20"/>
                <w:lang w:val="fr-CA"/>
              </w:rPr>
            </w:pPr>
            <w:r w:rsidRPr="002C3704">
              <w:rPr>
                <w:rFonts w:eastAsia="Calibri"/>
                <w:sz w:val="20"/>
                <w:lang w:val="fr-CA"/>
              </w:rPr>
              <w:t>Grief rejeté pour absence de compétence; les plaintes qui renvoient à des allégations de mesures de représailles prises à partir du 23 janvier 2009 doivent suivre leur cours</w:t>
            </w:r>
          </w:p>
          <w:p w:rsidR="00EC5C7E" w:rsidRPr="002C3704" w:rsidRDefault="00EC5C7E" w:rsidP="005F6378">
            <w:pPr>
              <w:jc w:val="both"/>
              <w:rPr>
                <w:rFonts w:eastAsia="Calibri"/>
                <w:sz w:val="20"/>
                <w:lang w:val="fr-CA"/>
              </w:rPr>
            </w:pPr>
          </w:p>
        </w:tc>
      </w:tr>
      <w:tr w:rsidR="00EC5C7E" w:rsidRPr="002C3704" w:rsidTr="005F6378">
        <w:tc>
          <w:tcPr>
            <w:tcW w:w="2377" w:type="pct"/>
          </w:tcPr>
          <w:p w:rsidR="00EC5C7E" w:rsidRPr="002C3704" w:rsidRDefault="00EC5C7E" w:rsidP="005F6378">
            <w:pPr>
              <w:jc w:val="both"/>
              <w:rPr>
                <w:rFonts w:eastAsia="Calibri"/>
                <w:sz w:val="20"/>
                <w:lang w:val="fr-CA"/>
              </w:rPr>
            </w:pPr>
            <w:r w:rsidRPr="002C3704">
              <w:rPr>
                <w:rFonts w:eastAsia="Calibri"/>
                <w:sz w:val="20"/>
                <w:lang w:val="fr-CA"/>
              </w:rPr>
              <w:t>8 février 2012</w:t>
            </w:r>
          </w:p>
          <w:p w:rsidR="00EC5C7E" w:rsidRPr="002C3704" w:rsidRDefault="00EC5C7E" w:rsidP="005F6378">
            <w:pPr>
              <w:jc w:val="both"/>
              <w:rPr>
                <w:rFonts w:eastAsia="Calibri"/>
                <w:sz w:val="20"/>
                <w:lang w:val="fr-CA"/>
              </w:rPr>
            </w:pPr>
            <w:r w:rsidRPr="002C3704">
              <w:rPr>
                <w:rFonts w:eastAsia="Calibri"/>
                <w:sz w:val="20"/>
                <w:lang w:val="fr-CA"/>
              </w:rPr>
              <w:t xml:space="preserve">Cour d'appel fédérale </w:t>
            </w:r>
          </w:p>
          <w:p w:rsidR="00EC5C7E" w:rsidRPr="002C3704" w:rsidRDefault="00EC5C7E" w:rsidP="005F6378">
            <w:pPr>
              <w:jc w:val="both"/>
              <w:rPr>
                <w:rFonts w:eastAsia="Calibri"/>
                <w:sz w:val="20"/>
                <w:lang w:val="fr-CA"/>
              </w:rPr>
            </w:pPr>
            <w:r w:rsidRPr="002C3704">
              <w:rPr>
                <w:rFonts w:eastAsia="Calibri"/>
                <w:sz w:val="20"/>
                <w:lang w:val="fr-CA"/>
              </w:rPr>
              <w:t>(Juges Evans, Trudel et Stratas)</w:t>
            </w:r>
          </w:p>
          <w:p w:rsidR="00EC5C7E" w:rsidRPr="002C3704" w:rsidRDefault="00EC5C7E" w:rsidP="005F6378">
            <w:pPr>
              <w:jc w:val="both"/>
              <w:rPr>
                <w:rFonts w:eastAsia="Calibri"/>
                <w:sz w:val="20"/>
                <w:lang w:val="fr-CA"/>
              </w:rPr>
            </w:pPr>
            <w:r w:rsidRPr="002C3704">
              <w:rPr>
                <w:rFonts w:eastAsia="Calibri"/>
                <w:sz w:val="20"/>
                <w:lang w:val="fr-CA"/>
              </w:rPr>
              <w:t>2012 FCA 44; A-23-11</w:t>
            </w:r>
          </w:p>
          <w:p w:rsidR="00EC5C7E" w:rsidRPr="002C3704" w:rsidRDefault="00EC5C7E" w:rsidP="005F6378">
            <w:pPr>
              <w:jc w:val="both"/>
              <w:rPr>
                <w:rFonts w:eastAsia="Calibri"/>
                <w:sz w:val="20"/>
                <w:lang w:val="fr-CA"/>
              </w:rPr>
            </w:pPr>
          </w:p>
        </w:tc>
        <w:tc>
          <w:tcPr>
            <w:tcW w:w="238" w:type="pct"/>
          </w:tcPr>
          <w:p w:rsidR="00EC5C7E" w:rsidRPr="002C3704" w:rsidRDefault="00EC5C7E" w:rsidP="005F6378">
            <w:pPr>
              <w:jc w:val="both"/>
              <w:rPr>
                <w:rFonts w:eastAsia="Calibri"/>
                <w:sz w:val="20"/>
                <w:lang w:val="fr-CA"/>
              </w:rPr>
            </w:pPr>
          </w:p>
        </w:tc>
        <w:tc>
          <w:tcPr>
            <w:tcW w:w="2385" w:type="pct"/>
          </w:tcPr>
          <w:p w:rsidR="00EC5C7E" w:rsidRPr="002C3704" w:rsidRDefault="00EC5C7E" w:rsidP="005F6378">
            <w:pPr>
              <w:jc w:val="both"/>
              <w:rPr>
                <w:rFonts w:eastAsia="Calibri"/>
                <w:sz w:val="20"/>
                <w:lang w:val="fr-CA"/>
              </w:rPr>
            </w:pPr>
            <w:r w:rsidRPr="002C3704">
              <w:rPr>
                <w:rFonts w:eastAsia="Calibri"/>
                <w:sz w:val="20"/>
                <w:lang w:val="fr-CA"/>
              </w:rPr>
              <w:t>Demande de contrôle judiciaire, rejetée</w:t>
            </w:r>
          </w:p>
          <w:p w:rsidR="00EC5C7E" w:rsidRPr="002C3704" w:rsidRDefault="00EC5C7E" w:rsidP="005F6378">
            <w:pPr>
              <w:jc w:val="both"/>
              <w:rPr>
                <w:rFonts w:eastAsia="Calibri"/>
                <w:sz w:val="20"/>
                <w:lang w:val="fr-CA"/>
              </w:rPr>
            </w:pPr>
          </w:p>
        </w:tc>
      </w:tr>
      <w:tr w:rsidR="00EC5C7E" w:rsidRPr="002C3704" w:rsidTr="005F6378">
        <w:tc>
          <w:tcPr>
            <w:tcW w:w="2377" w:type="pct"/>
          </w:tcPr>
          <w:p w:rsidR="00EC5C7E" w:rsidRPr="002C3704" w:rsidRDefault="00EC5C7E" w:rsidP="005F6378">
            <w:pPr>
              <w:jc w:val="both"/>
              <w:rPr>
                <w:rFonts w:eastAsia="Calibri"/>
                <w:sz w:val="20"/>
                <w:lang w:val="fr-CA"/>
              </w:rPr>
            </w:pPr>
            <w:r w:rsidRPr="002C3704">
              <w:rPr>
                <w:rFonts w:eastAsia="Calibri"/>
                <w:sz w:val="20"/>
                <w:lang w:val="fr-CA"/>
              </w:rPr>
              <w:t>10 avril 2012</w:t>
            </w:r>
          </w:p>
          <w:p w:rsidR="00EC5C7E" w:rsidRPr="002C3704" w:rsidRDefault="00EC5C7E" w:rsidP="005F6378">
            <w:pPr>
              <w:jc w:val="both"/>
              <w:rPr>
                <w:rFonts w:eastAsia="Calibri"/>
                <w:sz w:val="20"/>
                <w:lang w:val="fr-CA"/>
              </w:rPr>
            </w:pPr>
            <w:r w:rsidRPr="002C3704">
              <w:rPr>
                <w:rFonts w:eastAsia="Calibri"/>
                <w:sz w:val="20"/>
                <w:lang w:val="fr-CA"/>
              </w:rPr>
              <w:t>Cour suprême du Canada</w:t>
            </w:r>
          </w:p>
        </w:tc>
        <w:tc>
          <w:tcPr>
            <w:tcW w:w="238" w:type="pct"/>
          </w:tcPr>
          <w:p w:rsidR="00EC5C7E" w:rsidRPr="002C3704" w:rsidRDefault="00EC5C7E" w:rsidP="005F6378">
            <w:pPr>
              <w:jc w:val="both"/>
              <w:rPr>
                <w:rFonts w:eastAsia="Calibri"/>
                <w:sz w:val="20"/>
                <w:lang w:val="fr-CA"/>
              </w:rPr>
            </w:pPr>
          </w:p>
        </w:tc>
        <w:tc>
          <w:tcPr>
            <w:tcW w:w="2385" w:type="pct"/>
          </w:tcPr>
          <w:p w:rsidR="00EC5C7E" w:rsidRPr="002C3704" w:rsidRDefault="00EC5C7E" w:rsidP="005F6378">
            <w:pPr>
              <w:jc w:val="both"/>
              <w:rPr>
                <w:rFonts w:eastAsia="Calibri"/>
                <w:sz w:val="20"/>
                <w:lang w:val="fr-CA"/>
              </w:rPr>
            </w:pPr>
            <w:r w:rsidRPr="002C3704">
              <w:rPr>
                <w:rFonts w:eastAsia="Calibri"/>
                <w:sz w:val="20"/>
                <w:lang w:val="fr-CA"/>
              </w:rPr>
              <w:t>Demande d'autorisation d'appel, déposée</w:t>
            </w:r>
          </w:p>
          <w:p w:rsidR="00EC5C7E" w:rsidRPr="002C3704" w:rsidRDefault="00EC5C7E" w:rsidP="005F6378">
            <w:pPr>
              <w:jc w:val="both"/>
              <w:rPr>
                <w:rFonts w:eastAsia="Calibri"/>
                <w:sz w:val="20"/>
                <w:lang w:val="fr-CA"/>
              </w:rPr>
            </w:pPr>
          </w:p>
        </w:tc>
      </w:tr>
    </w:tbl>
    <w:p w:rsidR="005737AF" w:rsidRDefault="005737AF" w:rsidP="005737AF">
      <w:pPr>
        <w:rPr>
          <w:sz w:val="20"/>
          <w:szCs w:val="20"/>
        </w:rPr>
      </w:pPr>
    </w:p>
    <w:p w:rsidR="005737AF" w:rsidRDefault="007333FF" w:rsidP="005737AF">
      <w:pPr>
        <w:rPr>
          <w:sz w:val="20"/>
          <w:szCs w:val="20"/>
        </w:rPr>
      </w:pPr>
      <w:r w:rsidRPr="007333FF">
        <w:rPr>
          <w:sz w:val="20"/>
          <w:szCs w:val="20"/>
          <w:lang w:val="fr-CA"/>
        </w:rPr>
        <w:pict>
          <v:rect id="_x0000_i1071" style="width:2in;height:1pt" o:hrpct="0" o:hralign="center" o:hrstd="t" o:hrnoshade="t" o:hr="t" fillcolor="black [3213]" stroked="f"/>
        </w:pict>
      </w:r>
    </w:p>
    <w:p w:rsidR="005737AF" w:rsidRDefault="005737AF" w:rsidP="005737A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40E20" w:rsidRPr="00FB1C1D" w:rsidTr="001B2036">
        <w:trPr>
          <w:cantSplit/>
        </w:trPr>
        <w:tc>
          <w:tcPr>
            <w:tcW w:w="1458" w:type="dxa"/>
          </w:tcPr>
          <w:p w:rsidR="00F40E20" w:rsidRPr="00FB1C1D" w:rsidRDefault="00F40E20" w:rsidP="001B2036">
            <w:pPr>
              <w:rPr>
                <w:sz w:val="20"/>
                <w:szCs w:val="20"/>
              </w:rPr>
            </w:pPr>
            <w:r w:rsidRPr="00FB1C1D">
              <w:rPr>
                <w:rStyle w:val="SCCFileNumberChar"/>
                <w:sz w:val="20"/>
                <w:szCs w:val="20"/>
              </w:rPr>
              <w:t>34771</w:t>
            </w:r>
          </w:p>
          <w:p w:rsidR="00F40E20" w:rsidRPr="00FB1C1D" w:rsidRDefault="00F40E20" w:rsidP="001B2036">
            <w:pPr>
              <w:rPr>
                <w:b/>
                <w:sz w:val="20"/>
                <w:szCs w:val="20"/>
                <w:lang w:val="fr-CA"/>
              </w:rPr>
            </w:pPr>
          </w:p>
        </w:tc>
        <w:tc>
          <w:tcPr>
            <w:tcW w:w="8118" w:type="dxa"/>
          </w:tcPr>
          <w:p w:rsidR="00F40E20" w:rsidRPr="00FB1C1D" w:rsidRDefault="00F40E20" w:rsidP="001B2036">
            <w:pPr>
              <w:rPr>
                <w:sz w:val="20"/>
                <w:szCs w:val="20"/>
              </w:rPr>
            </w:pPr>
            <w:r w:rsidRPr="00F40E20">
              <w:rPr>
                <w:rStyle w:val="SCCLsocChar"/>
                <w:sz w:val="20"/>
                <w:szCs w:val="20"/>
                <w:lang w:val="en-CA"/>
              </w:rPr>
              <w:t>Martin Tan Lee v. Minister of Citizenship and Immigration</w:t>
            </w:r>
            <w:r w:rsidRPr="00FB1C1D">
              <w:rPr>
                <w:sz w:val="20"/>
                <w:szCs w:val="20"/>
              </w:rPr>
              <w:t xml:space="preserve"> (F.C.) (Civil) (By Leave)</w:t>
            </w:r>
          </w:p>
          <w:p w:rsidR="00F40E20" w:rsidRPr="00FB1C1D" w:rsidRDefault="00F40E20" w:rsidP="001B2036">
            <w:pPr>
              <w:rPr>
                <w:sz w:val="20"/>
                <w:szCs w:val="20"/>
              </w:rPr>
            </w:pPr>
          </w:p>
        </w:tc>
      </w:tr>
      <w:tr w:rsidR="00F40E20" w:rsidRPr="00FB1C1D" w:rsidTr="001B2036">
        <w:trPr>
          <w:cantSplit/>
        </w:trPr>
        <w:tc>
          <w:tcPr>
            <w:tcW w:w="1458" w:type="dxa"/>
          </w:tcPr>
          <w:p w:rsidR="00F40E20" w:rsidRPr="00FB1C1D" w:rsidRDefault="00F40E20" w:rsidP="001B2036">
            <w:pPr>
              <w:rPr>
                <w:sz w:val="20"/>
                <w:szCs w:val="20"/>
              </w:rPr>
            </w:pPr>
            <w:r w:rsidRPr="00FB1C1D">
              <w:rPr>
                <w:sz w:val="20"/>
                <w:szCs w:val="20"/>
              </w:rPr>
              <w:t>Coram :</w:t>
            </w:r>
          </w:p>
        </w:tc>
        <w:tc>
          <w:tcPr>
            <w:tcW w:w="8118" w:type="dxa"/>
          </w:tcPr>
          <w:p w:rsidR="00F40E20" w:rsidRPr="00FB1C1D" w:rsidRDefault="00F40E20" w:rsidP="001B2036">
            <w:pPr>
              <w:rPr>
                <w:sz w:val="20"/>
                <w:szCs w:val="20"/>
              </w:rPr>
            </w:pPr>
            <w:r w:rsidRPr="00F40E20">
              <w:rPr>
                <w:rStyle w:val="SCCCoramChar"/>
                <w:sz w:val="20"/>
                <w:szCs w:val="20"/>
                <w:lang w:val="en-CA"/>
              </w:rPr>
              <w:t>Deschamps, Fish and Karakatsanis JJ.</w:t>
            </w:r>
          </w:p>
          <w:p w:rsidR="00F40E20" w:rsidRPr="00FB1C1D" w:rsidRDefault="00F40E20" w:rsidP="001B2036">
            <w:pPr>
              <w:rPr>
                <w:sz w:val="20"/>
                <w:szCs w:val="20"/>
                <w:u w:val="single"/>
              </w:rPr>
            </w:pPr>
          </w:p>
        </w:tc>
      </w:tr>
      <w:tr w:rsidR="00F40E20" w:rsidRPr="003626B6" w:rsidTr="001B2036">
        <w:trPr>
          <w:cantSplit/>
        </w:trPr>
        <w:tc>
          <w:tcPr>
            <w:tcW w:w="9576" w:type="dxa"/>
            <w:gridSpan w:val="2"/>
          </w:tcPr>
          <w:p w:rsidR="00F40E20" w:rsidRPr="00FB1C1D" w:rsidRDefault="00F40E20" w:rsidP="001B2036">
            <w:pPr>
              <w:pStyle w:val="SCCShortJudgment"/>
              <w:rPr>
                <w:szCs w:val="20"/>
              </w:rPr>
            </w:pPr>
            <w:r w:rsidRPr="00FB1C1D">
              <w:rPr>
                <w:szCs w:val="20"/>
              </w:rPr>
              <w:t>The application for leave to appeal from the judgment of the Federal Court of Appeal, Number A-213-11, 2012 FCA 54, dated February 15, 2012, is dismissed with costs.</w:t>
            </w:r>
          </w:p>
          <w:p w:rsidR="00F40E20" w:rsidRPr="00FB1C1D" w:rsidRDefault="00F40E20" w:rsidP="001B2036">
            <w:pPr>
              <w:pStyle w:val="SCCShortJudgment"/>
              <w:ind w:firstLine="0"/>
              <w:rPr>
                <w:szCs w:val="20"/>
              </w:rPr>
            </w:pPr>
          </w:p>
          <w:p w:rsidR="00F40E20" w:rsidRPr="00FB1C1D" w:rsidRDefault="00F40E20" w:rsidP="001B2036">
            <w:pPr>
              <w:pStyle w:val="SCCShortJudgment"/>
              <w:rPr>
                <w:szCs w:val="20"/>
                <w:lang w:val="fr-CA"/>
              </w:rPr>
            </w:pPr>
            <w:r w:rsidRPr="00FB1C1D">
              <w:rPr>
                <w:szCs w:val="20"/>
                <w:lang w:val="fr-CA"/>
              </w:rPr>
              <w:t>La demande d’autorisation d’appel de l’arrêt de la Cour d’appel fédérale, numéro A-213-11, 2012 CAF 54, daté du 15 février 2012, est rejetée avec dépens.</w:t>
            </w:r>
          </w:p>
        </w:tc>
      </w:tr>
    </w:tbl>
    <w:p w:rsidR="005737AF" w:rsidRPr="00F40E20" w:rsidRDefault="005737AF" w:rsidP="005737AF">
      <w:pPr>
        <w:rPr>
          <w:sz w:val="20"/>
          <w:szCs w:val="20"/>
          <w:lang w:val="fr-CA"/>
        </w:rPr>
      </w:pPr>
    </w:p>
    <w:p w:rsidR="005737AF" w:rsidRPr="001B157C" w:rsidRDefault="005737AF" w:rsidP="005737AF">
      <w:pPr>
        <w:rPr>
          <w:sz w:val="20"/>
          <w:szCs w:val="20"/>
          <w:u w:val="single"/>
        </w:rPr>
      </w:pPr>
      <w:r w:rsidRPr="001B157C">
        <w:rPr>
          <w:sz w:val="20"/>
          <w:szCs w:val="20"/>
          <w:u w:val="single"/>
        </w:rPr>
        <w:t>CASE SUMMARY</w:t>
      </w:r>
    </w:p>
    <w:p w:rsidR="005737AF" w:rsidRDefault="005737AF" w:rsidP="005737A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C5C7E" w:rsidRPr="002C3704" w:rsidTr="005F6378">
        <w:tc>
          <w:tcPr>
            <w:tcW w:w="5000" w:type="pct"/>
            <w:gridSpan w:val="3"/>
          </w:tcPr>
          <w:p w:rsidR="00EC5C7E" w:rsidRPr="002C3704" w:rsidRDefault="00EC5C7E" w:rsidP="005F6378">
            <w:pPr>
              <w:jc w:val="both"/>
              <w:rPr>
                <w:rFonts w:eastAsia="Calibri"/>
                <w:sz w:val="20"/>
              </w:rPr>
            </w:pPr>
            <w:r w:rsidRPr="002C3704">
              <w:rPr>
                <w:rFonts w:eastAsia="Calibri"/>
                <w:sz w:val="20"/>
              </w:rPr>
              <w:t>Immigration Law – Judicial Review – Applicant applied for permanent resident visa under the “federal skilled worker class” – Applicant’s application rejected – Failure to earn minimum number of points to qualify for the visa –  Awarding points for education - Interpretation of the phrase “years of study” – Whether Federal Court of Appeal  erred in its analysis – Awarding points for language – Whether Federal Court of Appeal erred – Duty on visa officers regarding assessment – Timing of lock-in date – Whether there are issues of public importance raised in the applicant’s grounds for leave to appeal.</w:t>
            </w:r>
          </w:p>
        </w:tc>
      </w:tr>
      <w:tr w:rsidR="00EC5C7E" w:rsidRPr="002C3704" w:rsidTr="005F6378">
        <w:tc>
          <w:tcPr>
            <w:tcW w:w="5000" w:type="pct"/>
            <w:gridSpan w:val="3"/>
          </w:tcPr>
          <w:p w:rsidR="00EC5C7E" w:rsidRPr="002C3704" w:rsidRDefault="00EC5C7E" w:rsidP="005F6378">
            <w:pPr>
              <w:jc w:val="both"/>
              <w:rPr>
                <w:rFonts w:eastAsia="Calibri"/>
                <w:sz w:val="20"/>
              </w:rPr>
            </w:pPr>
          </w:p>
        </w:tc>
      </w:tr>
      <w:tr w:rsidR="00EC5C7E" w:rsidRPr="002C3704" w:rsidTr="005F6378">
        <w:tc>
          <w:tcPr>
            <w:tcW w:w="5000" w:type="pct"/>
            <w:gridSpan w:val="3"/>
          </w:tcPr>
          <w:p w:rsidR="00EC5C7E" w:rsidRPr="002C3704" w:rsidRDefault="00EC5C7E" w:rsidP="005F6378">
            <w:pPr>
              <w:jc w:val="both"/>
              <w:rPr>
                <w:rFonts w:eastAsia="Calibri"/>
                <w:sz w:val="20"/>
              </w:rPr>
            </w:pPr>
            <w:r w:rsidRPr="002C3704">
              <w:rPr>
                <w:rFonts w:eastAsia="Calibri"/>
                <w:sz w:val="20"/>
              </w:rPr>
              <w:t xml:space="preserve">The applicant, Mr. Martin Tan Lee, is a citizen of the Philippines who wishes to immigrate to Canada. On October 25, 2004, he applied for a permanent resident visa under the “federal skilled worker class” as described in the </w:t>
            </w:r>
            <w:r w:rsidRPr="002C3704">
              <w:rPr>
                <w:rFonts w:eastAsia="Calibri"/>
                <w:i/>
                <w:sz w:val="20"/>
              </w:rPr>
              <w:t>Immigration and Refugee Protection Regulations</w:t>
            </w:r>
            <w:r w:rsidRPr="002C3704">
              <w:rPr>
                <w:rFonts w:eastAsia="Calibri"/>
                <w:sz w:val="20"/>
              </w:rPr>
              <w:t xml:space="preserve">, SOR/2202-227 (the </w:t>
            </w:r>
            <w:r w:rsidRPr="002C3704">
              <w:rPr>
                <w:rFonts w:eastAsia="Calibri"/>
                <w:i/>
                <w:sz w:val="20"/>
              </w:rPr>
              <w:t>Regulations</w:t>
            </w:r>
            <w:r w:rsidRPr="002C3704">
              <w:rPr>
                <w:rFonts w:eastAsia="Calibri"/>
                <w:sz w:val="20"/>
              </w:rPr>
              <w:t xml:space="preserve">). The applicant applied on the basis that he could become economically established in Canada as someone who meets the criteria of the National Occupational Classification (NOC) category NOC 0013 (Senior Managers – Financial, Communications and Other Business Services). The applicant was assessed 65 points out of a possible 100 points. In a decision dated September 1, 2010, the visa officer refused the applicant’s application because he failed to meet the minimum 67 points necessary to qualify for a permanent resident visa as a skilled worker. In addition, the visa officer concluded that she would not use her discretion to substitute a positive evaluation for the applicant, as permitted under s. 76(3) of the </w:t>
            </w:r>
            <w:r w:rsidRPr="002C3704">
              <w:rPr>
                <w:rFonts w:eastAsia="Calibri"/>
                <w:i/>
                <w:sz w:val="20"/>
              </w:rPr>
              <w:t>Regulations</w:t>
            </w:r>
            <w:r w:rsidRPr="002C3704">
              <w:rPr>
                <w:rFonts w:eastAsia="Calibri"/>
                <w:sz w:val="20"/>
              </w:rPr>
              <w:t>. The application for judicial review was dismissed. The appeal was dismissed.</w:t>
            </w:r>
          </w:p>
          <w:p w:rsidR="00EC5C7E" w:rsidRPr="002C3704" w:rsidRDefault="00EC5C7E" w:rsidP="005F6378">
            <w:pPr>
              <w:jc w:val="both"/>
              <w:rPr>
                <w:rFonts w:eastAsia="Calibri"/>
                <w:sz w:val="20"/>
              </w:rPr>
            </w:pPr>
          </w:p>
        </w:tc>
      </w:tr>
      <w:tr w:rsidR="00EC5C7E" w:rsidRPr="002C3704" w:rsidTr="005F6378">
        <w:tc>
          <w:tcPr>
            <w:tcW w:w="2427" w:type="pct"/>
          </w:tcPr>
          <w:p w:rsidR="00EC5C7E" w:rsidRPr="002C3704" w:rsidRDefault="00EC5C7E" w:rsidP="005F6378">
            <w:pPr>
              <w:jc w:val="both"/>
              <w:rPr>
                <w:rFonts w:eastAsia="Calibri"/>
                <w:sz w:val="20"/>
              </w:rPr>
            </w:pPr>
            <w:r w:rsidRPr="002C3704">
              <w:rPr>
                <w:rFonts w:eastAsia="Calibri"/>
                <w:sz w:val="20"/>
              </w:rPr>
              <w:t>May 26, 2011</w:t>
            </w:r>
          </w:p>
          <w:p w:rsidR="00EC5C7E" w:rsidRPr="002C3704" w:rsidRDefault="00EC5C7E" w:rsidP="005F6378">
            <w:pPr>
              <w:jc w:val="both"/>
              <w:rPr>
                <w:rFonts w:eastAsia="Calibri"/>
                <w:sz w:val="20"/>
              </w:rPr>
            </w:pPr>
            <w:r w:rsidRPr="002C3704">
              <w:rPr>
                <w:rFonts w:eastAsia="Calibri"/>
                <w:sz w:val="20"/>
              </w:rPr>
              <w:t>Federal Court</w:t>
            </w:r>
          </w:p>
          <w:p w:rsidR="00EC5C7E" w:rsidRPr="002C3704" w:rsidRDefault="00EC5C7E" w:rsidP="005F6378">
            <w:pPr>
              <w:jc w:val="both"/>
              <w:rPr>
                <w:rFonts w:eastAsia="Calibri"/>
                <w:sz w:val="20"/>
              </w:rPr>
            </w:pPr>
            <w:r w:rsidRPr="002C3704">
              <w:rPr>
                <w:rFonts w:eastAsia="Calibri"/>
                <w:sz w:val="20"/>
              </w:rPr>
              <w:t>(Snider J.)</w:t>
            </w:r>
          </w:p>
          <w:p w:rsidR="00EC5C7E" w:rsidRPr="002C3704" w:rsidRDefault="00EC5C7E" w:rsidP="005F6378">
            <w:pPr>
              <w:jc w:val="both"/>
              <w:rPr>
                <w:rFonts w:eastAsia="Calibri"/>
                <w:sz w:val="20"/>
              </w:rPr>
            </w:pPr>
            <w:r w:rsidRPr="002C3704">
              <w:rPr>
                <w:rFonts w:eastAsia="Calibri"/>
                <w:sz w:val="20"/>
              </w:rPr>
              <w:t>2011 FC 617</w:t>
            </w:r>
          </w:p>
          <w:p w:rsidR="00EC5C7E" w:rsidRPr="002C3704" w:rsidRDefault="00EC5C7E" w:rsidP="005F6378">
            <w:pPr>
              <w:jc w:val="both"/>
              <w:rPr>
                <w:rFonts w:eastAsia="Calibri"/>
                <w:sz w:val="20"/>
              </w:rPr>
            </w:pPr>
          </w:p>
        </w:tc>
        <w:tc>
          <w:tcPr>
            <w:tcW w:w="243" w:type="pct"/>
          </w:tcPr>
          <w:p w:rsidR="00EC5C7E" w:rsidRPr="002C3704" w:rsidRDefault="00EC5C7E" w:rsidP="005F6378">
            <w:pPr>
              <w:jc w:val="both"/>
              <w:rPr>
                <w:rFonts w:eastAsia="Calibri"/>
                <w:sz w:val="20"/>
              </w:rPr>
            </w:pPr>
          </w:p>
        </w:tc>
        <w:tc>
          <w:tcPr>
            <w:tcW w:w="2330" w:type="pct"/>
          </w:tcPr>
          <w:p w:rsidR="00EC5C7E" w:rsidRPr="002C3704" w:rsidRDefault="00EC5C7E" w:rsidP="005F6378">
            <w:pPr>
              <w:jc w:val="both"/>
              <w:rPr>
                <w:rFonts w:eastAsia="Calibri"/>
                <w:sz w:val="20"/>
              </w:rPr>
            </w:pPr>
            <w:r w:rsidRPr="002C3704">
              <w:rPr>
                <w:rFonts w:eastAsia="Calibri"/>
                <w:sz w:val="20"/>
              </w:rPr>
              <w:t>Application for judicial review dismissed</w:t>
            </w:r>
          </w:p>
          <w:p w:rsidR="00EC5C7E" w:rsidRPr="002C3704" w:rsidRDefault="00EC5C7E" w:rsidP="005F6378">
            <w:pPr>
              <w:jc w:val="both"/>
              <w:rPr>
                <w:rFonts w:eastAsia="Calibri"/>
                <w:sz w:val="20"/>
              </w:rPr>
            </w:pPr>
          </w:p>
          <w:p w:rsidR="00EC5C7E" w:rsidRPr="002C3704" w:rsidRDefault="00EC5C7E" w:rsidP="005F6378">
            <w:pPr>
              <w:jc w:val="both"/>
              <w:rPr>
                <w:rFonts w:eastAsia="Calibri"/>
                <w:sz w:val="20"/>
              </w:rPr>
            </w:pPr>
          </w:p>
        </w:tc>
      </w:tr>
      <w:tr w:rsidR="00EC5C7E" w:rsidRPr="002C3704" w:rsidTr="005F6378">
        <w:tc>
          <w:tcPr>
            <w:tcW w:w="2427" w:type="pct"/>
          </w:tcPr>
          <w:p w:rsidR="00EC5C7E" w:rsidRPr="002C3704" w:rsidRDefault="00EC5C7E" w:rsidP="005F6378">
            <w:pPr>
              <w:jc w:val="both"/>
              <w:rPr>
                <w:rFonts w:eastAsia="Calibri"/>
                <w:sz w:val="20"/>
              </w:rPr>
            </w:pPr>
            <w:r w:rsidRPr="002C3704">
              <w:rPr>
                <w:rFonts w:eastAsia="Calibri"/>
                <w:sz w:val="20"/>
              </w:rPr>
              <w:t>February 15, 2012</w:t>
            </w:r>
          </w:p>
          <w:p w:rsidR="00EC5C7E" w:rsidRPr="002C3704" w:rsidRDefault="00EC5C7E" w:rsidP="005F6378">
            <w:pPr>
              <w:jc w:val="both"/>
              <w:rPr>
                <w:rFonts w:eastAsia="Calibri"/>
                <w:sz w:val="20"/>
              </w:rPr>
            </w:pPr>
            <w:r w:rsidRPr="002C3704">
              <w:rPr>
                <w:rFonts w:eastAsia="Calibri"/>
                <w:sz w:val="20"/>
              </w:rPr>
              <w:t>Federal Court of Appeal</w:t>
            </w:r>
          </w:p>
          <w:p w:rsidR="00EC5C7E" w:rsidRPr="002C3704" w:rsidRDefault="00EC5C7E" w:rsidP="005F6378">
            <w:pPr>
              <w:jc w:val="both"/>
              <w:rPr>
                <w:rFonts w:eastAsia="Calibri"/>
                <w:sz w:val="20"/>
              </w:rPr>
            </w:pPr>
            <w:r w:rsidRPr="002C3704">
              <w:rPr>
                <w:rFonts w:eastAsia="Calibri"/>
                <w:sz w:val="20"/>
              </w:rPr>
              <w:t>(Layden-Stevenson, Gauthier, Stratas JJ.A.)</w:t>
            </w:r>
          </w:p>
          <w:p w:rsidR="00EC5C7E" w:rsidRPr="002C3704" w:rsidRDefault="00EC5C7E" w:rsidP="005F6378">
            <w:pPr>
              <w:jc w:val="both"/>
              <w:rPr>
                <w:rFonts w:eastAsia="Calibri"/>
                <w:sz w:val="20"/>
              </w:rPr>
            </w:pPr>
            <w:r w:rsidRPr="002C3704">
              <w:rPr>
                <w:rFonts w:eastAsia="Calibri"/>
                <w:sz w:val="20"/>
              </w:rPr>
              <w:t>2012 FCA 54</w:t>
            </w:r>
          </w:p>
          <w:p w:rsidR="00EC5C7E" w:rsidRPr="002C3704" w:rsidRDefault="00EC5C7E" w:rsidP="005F6378">
            <w:pPr>
              <w:jc w:val="both"/>
              <w:rPr>
                <w:rFonts w:eastAsia="Calibri"/>
                <w:sz w:val="20"/>
              </w:rPr>
            </w:pPr>
          </w:p>
        </w:tc>
        <w:tc>
          <w:tcPr>
            <w:tcW w:w="243" w:type="pct"/>
          </w:tcPr>
          <w:p w:rsidR="00EC5C7E" w:rsidRPr="002C3704" w:rsidRDefault="00EC5C7E" w:rsidP="005F6378">
            <w:pPr>
              <w:jc w:val="both"/>
              <w:rPr>
                <w:rFonts w:eastAsia="Calibri"/>
                <w:sz w:val="20"/>
              </w:rPr>
            </w:pPr>
          </w:p>
        </w:tc>
        <w:tc>
          <w:tcPr>
            <w:tcW w:w="2330" w:type="pct"/>
          </w:tcPr>
          <w:p w:rsidR="00EC5C7E" w:rsidRPr="002C3704" w:rsidRDefault="00EC5C7E" w:rsidP="005F6378">
            <w:pPr>
              <w:jc w:val="both"/>
              <w:rPr>
                <w:rFonts w:eastAsia="Calibri"/>
                <w:sz w:val="20"/>
              </w:rPr>
            </w:pPr>
            <w:r w:rsidRPr="002C3704">
              <w:rPr>
                <w:rFonts w:eastAsia="Calibri"/>
                <w:sz w:val="20"/>
              </w:rPr>
              <w:t>Appeal dismissed</w:t>
            </w:r>
          </w:p>
        </w:tc>
      </w:tr>
      <w:tr w:rsidR="00EC5C7E" w:rsidRPr="002C3704" w:rsidTr="005F6378">
        <w:tc>
          <w:tcPr>
            <w:tcW w:w="2427" w:type="pct"/>
          </w:tcPr>
          <w:p w:rsidR="00EC5C7E" w:rsidRPr="002C3704" w:rsidRDefault="00EC5C7E" w:rsidP="005F6378">
            <w:pPr>
              <w:jc w:val="both"/>
              <w:rPr>
                <w:rFonts w:eastAsia="Calibri"/>
                <w:sz w:val="20"/>
              </w:rPr>
            </w:pPr>
            <w:r w:rsidRPr="002C3704">
              <w:rPr>
                <w:rFonts w:eastAsia="Calibri"/>
                <w:sz w:val="20"/>
              </w:rPr>
              <w:t>April 16, 2012</w:t>
            </w:r>
          </w:p>
          <w:p w:rsidR="00EC5C7E" w:rsidRPr="002C3704" w:rsidRDefault="00EC5C7E" w:rsidP="005F6378">
            <w:pPr>
              <w:jc w:val="both"/>
              <w:rPr>
                <w:rFonts w:eastAsia="Calibri"/>
                <w:sz w:val="20"/>
              </w:rPr>
            </w:pPr>
            <w:r w:rsidRPr="002C3704">
              <w:rPr>
                <w:rFonts w:eastAsia="Calibri"/>
                <w:sz w:val="20"/>
              </w:rPr>
              <w:t>Supreme Court of Canada</w:t>
            </w:r>
          </w:p>
        </w:tc>
        <w:tc>
          <w:tcPr>
            <w:tcW w:w="243" w:type="pct"/>
          </w:tcPr>
          <w:p w:rsidR="00EC5C7E" w:rsidRPr="002C3704" w:rsidRDefault="00EC5C7E" w:rsidP="005F6378">
            <w:pPr>
              <w:jc w:val="both"/>
              <w:rPr>
                <w:rFonts w:eastAsia="Calibri"/>
                <w:sz w:val="20"/>
              </w:rPr>
            </w:pPr>
          </w:p>
        </w:tc>
        <w:tc>
          <w:tcPr>
            <w:tcW w:w="2330" w:type="pct"/>
          </w:tcPr>
          <w:p w:rsidR="00EC5C7E" w:rsidRPr="002C3704" w:rsidRDefault="00EC5C7E" w:rsidP="005F6378">
            <w:pPr>
              <w:jc w:val="both"/>
              <w:rPr>
                <w:rFonts w:eastAsia="Calibri"/>
                <w:sz w:val="20"/>
              </w:rPr>
            </w:pPr>
            <w:r w:rsidRPr="002C3704">
              <w:rPr>
                <w:rFonts w:eastAsia="Calibri"/>
                <w:sz w:val="20"/>
              </w:rPr>
              <w:t>Application for leave to appeal filed</w:t>
            </w:r>
          </w:p>
          <w:p w:rsidR="00EC5C7E" w:rsidRPr="002C3704" w:rsidRDefault="00EC5C7E" w:rsidP="005F6378">
            <w:pPr>
              <w:jc w:val="both"/>
              <w:rPr>
                <w:rFonts w:eastAsia="Calibri"/>
                <w:sz w:val="20"/>
              </w:rPr>
            </w:pPr>
          </w:p>
        </w:tc>
      </w:tr>
    </w:tbl>
    <w:p w:rsidR="005737AF" w:rsidRDefault="005737AF" w:rsidP="005737AF">
      <w:pPr>
        <w:rPr>
          <w:sz w:val="20"/>
          <w:szCs w:val="20"/>
        </w:rPr>
      </w:pPr>
    </w:p>
    <w:p w:rsidR="005737AF" w:rsidRPr="00C50A5C" w:rsidRDefault="007333FF" w:rsidP="005737AF">
      <w:pPr>
        <w:rPr>
          <w:sz w:val="20"/>
          <w:szCs w:val="20"/>
        </w:rPr>
      </w:pPr>
      <w:r w:rsidRPr="007333FF">
        <w:rPr>
          <w:sz w:val="20"/>
          <w:szCs w:val="20"/>
          <w:lang w:val="fr-CA"/>
        </w:rPr>
        <w:pict>
          <v:rect id="_x0000_i1072" style="width:2in;height:1pt" o:hrpct="0" o:hralign="center" o:hrstd="t" o:hrnoshade="t" o:hr="t" fillcolor="black [3213]" stroked="f"/>
        </w:pict>
      </w:r>
    </w:p>
    <w:p w:rsidR="005737AF" w:rsidRDefault="005737AF" w:rsidP="005737AF">
      <w:pPr>
        <w:rPr>
          <w:sz w:val="20"/>
          <w:szCs w:val="20"/>
        </w:rPr>
      </w:pPr>
    </w:p>
    <w:p w:rsidR="005737AF" w:rsidRPr="001B157C" w:rsidRDefault="005737AF" w:rsidP="005737AF">
      <w:pPr>
        <w:rPr>
          <w:sz w:val="20"/>
          <w:szCs w:val="20"/>
          <w:u w:val="single"/>
          <w:lang w:val="fr-CA"/>
        </w:rPr>
      </w:pPr>
      <w:r w:rsidRPr="001B157C">
        <w:rPr>
          <w:sz w:val="20"/>
          <w:szCs w:val="20"/>
          <w:u w:val="single"/>
          <w:lang w:val="fr-CA"/>
        </w:rPr>
        <w:t>RÉSUMÉ DE L’AFFAIRE</w:t>
      </w:r>
    </w:p>
    <w:p w:rsidR="005737AF" w:rsidRDefault="005737AF" w:rsidP="005737A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C5C7E" w:rsidRPr="003626B6" w:rsidTr="005F6378">
        <w:tc>
          <w:tcPr>
            <w:tcW w:w="5000" w:type="pct"/>
            <w:gridSpan w:val="3"/>
          </w:tcPr>
          <w:p w:rsidR="00EC5C7E" w:rsidRPr="002C3704" w:rsidRDefault="00EC5C7E" w:rsidP="005F6378">
            <w:pPr>
              <w:jc w:val="both"/>
              <w:rPr>
                <w:rFonts w:eastAsia="Calibri"/>
                <w:sz w:val="20"/>
                <w:lang w:val="fr-CA"/>
              </w:rPr>
            </w:pPr>
            <w:r w:rsidRPr="002C3704">
              <w:rPr>
                <w:rFonts w:eastAsia="Calibri"/>
                <w:sz w:val="20"/>
                <w:lang w:val="fr-CA"/>
              </w:rPr>
              <w:t xml:space="preserve">Droit de l’immigration – Contrôle judiciaire – Le demandeur a présenté une demande de visa de résident permanent dans la « catégorie des travailleurs qualifiés (fédéral) » – La demande a été rejetée – Le demandeur n’a pas obtenu le </w:t>
            </w:r>
            <w:r w:rsidRPr="002C3704">
              <w:rPr>
                <w:rFonts w:eastAsia="Calibri"/>
                <w:sz w:val="20"/>
                <w:lang w:val="fr-CA"/>
              </w:rPr>
              <w:lastRenderedPageBreak/>
              <w:t xml:space="preserve">nombre minimal de points pour se qualifier pour un visa – Attribution de points pour les études </w:t>
            </w:r>
            <w:r w:rsidRPr="002C3704">
              <w:rPr>
                <w:rFonts w:eastAsia="Calibri"/>
                <w:sz w:val="20"/>
                <w:lang w:val="fr-CA"/>
              </w:rPr>
              <w:noBreakHyphen/>
              <w:t xml:space="preserve"> Interprétation de l’expression « années d’études » – La Cour d’appel fédérale s’est</w:t>
            </w:r>
            <w:r w:rsidRPr="002C3704">
              <w:rPr>
                <w:rFonts w:eastAsia="Calibri"/>
                <w:sz w:val="20"/>
                <w:lang w:val="fr-CA"/>
              </w:rPr>
              <w:noBreakHyphen/>
              <w:t>elle trompée dans son analyse? – Attribution de points pour la langue – La Cour d’appel fédérale s’est</w:t>
            </w:r>
            <w:r w:rsidRPr="002C3704">
              <w:rPr>
                <w:rFonts w:eastAsia="Calibri"/>
                <w:sz w:val="20"/>
                <w:lang w:val="fr-CA"/>
              </w:rPr>
              <w:noBreakHyphen/>
              <w:t>elle trompée? – Obligation des agents de visas relativement à l’évaluation – Date déterminante – Les motifs invoqués par le demandeur au soutien de sa demande d’autorisation d’appel soulèvent</w:t>
            </w:r>
            <w:r w:rsidRPr="002C3704">
              <w:rPr>
                <w:rFonts w:eastAsia="Calibri"/>
                <w:sz w:val="20"/>
                <w:lang w:val="fr-CA"/>
              </w:rPr>
              <w:noBreakHyphen/>
              <w:t>ils des questions d’importance pour le public?</w:t>
            </w:r>
          </w:p>
        </w:tc>
      </w:tr>
      <w:tr w:rsidR="00EC5C7E" w:rsidRPr="003626B6" w:rsidTr="005F6378">
        <w:tc>
          <w:tcPr>
            <w:tcW w:w="5000" w:type="pct"/>
            <w:gridSpan w:val="3"/>
          </w:tcPr>
          <w:p w:rsidR="00EC5C7E" w:rsidRPr="002C3704" w:rsidRDefault="00EC5C7E" w:rsidP="005F6378">
            <w:pPr>
              <w:jc w:val="both"/>
              <w:rPr>
                <w:rFonts w:eastAsia="Calibri"/>
                <w:sz w:val="20"/>
                <w:lang w:val="fr-CA"/>
              </w:rPr>
            </w:pPr>
          </w:p>
        </w:tc>
      </w:tr>
      <w:tr w:rsidR="00EC5C7E" w:rsidRPr="003626B6" w:rsidTr="005F6378">
        <w:tc>
          <w:tcPr>
            <w:tcW w:w="5000" w:type="pct"/>
            <w:gridSpan w:val="3"/>
          </w:tcPr>
          <w:p w:rsidR="00EC5C7E" w:rsidRPr="002C3704" w:rsidRDefault="00EC5C7E" w:rsidP="005F6378">
            <w:pPr>
              <w:jc w:val="both"/>
              <w:rPr>
                <w:rFonts w:eastAsia="Calibri"/>
                <w:sz w:val="20"/>
                <w:lang w:val="fr-CA"/>
              </w:rPr>
            </w:pPr>
            <w:r w:rsidRPr="002C3704">
              <w:rPr>
                <w:rFonts w:eastAsia="Calibri"/>
                <w:sz w:val="20"/>
                <w:lang w:val="fr-CA"/>
              </w:rPr>
              <w:t>Le demandeur, M. Martin Tan Lee, est un citoyen des Philippines qui souhaite immigrer au Canada. Le 25 octobre 2004, il a présenté une demande de visa de résident permanent dans la « catégorie des travailleurs qualifiés (fédéral) », décrite dans le </w:t>
            </w:r>
            <w:r w:rsidRPr="002C3704">
              <w:rPr>
                <w:rFonts w:eastAsia="Calibri"/>
                <w:i/>
                <w:iCs/>
                <w:sz w:val="20"/>
                <w:lang w:val="fr-CA"/>
              </w:rPr>
              <w:t>Règlement sur l’immigration et la protection des réfugiés</w:t>
            </w:r>
            <w:r w:rsidRPr="002C3704">
              <w:rPr>
                <w:rFonts w:eastAsia="Calibri"/>
                <w:sz w:val="20"/>
                <w:lang w:val="fr-CA"/>
              </w:rPr>
              <w:t>, DORS /2002</w:t>
            </w:r>
            <w:r w:rsidRPr="002C3704">
              <w:rPr>
                <w:rFonts w:eastAsia="Calibri"/>
                <w:sz w:val="20"/>
                <w:lang w:val="fr-CA"/>
              </w:rPr>
              <w:noBreakHyphen/>
              <w:t>227 (le Règlement). Le demandeur soutenait dans sa demande qu’il pouvait réussir son établissement économique au Canada, puisqu’il satisfaisait aux critères de la catégorie 0013 (Cadres supérieurs/cadres supérieures – services financiers, communications et autres services aux entreprises) de la Classification nationale des professions (CNP). La demande a été évaluée et le demandeur a obtenu 65 points sur une possibilité de 100. Dans une décision datée du 1</w:t>
            </w:r>
            <w:r w:rsidRPr="002C3704">
              <w:rPr>
                <w:rFonts w:eastAsia="Calibri"/>
                <w:sz w:val="20"/>
                <w:vertAlign w:val="superscript"/>
                <w:lang w:val="fr-CA"/>
              </w:rPr>
              <w:t>er</w:t>
            </w:r>
            <w:r w:rsidRPr="002C3704">
              <w:rPr>
                <w:rFonts w:eastAsia="Calibri"/>
                <w:sz w:val="20"/>
                <w:lang w:val="fr-CA"/>
              </w:rPr>
              <w:t> septembre 2010, l’agente des visas a rejeté la demande du demandeur parce qu’il n’avait pas obtenu les 67 points minimaux requis pour l’octroi du visa de résident permanent à titre de travailleur qualifié. De plus, elle a refusé d’exercer le pouvoir discrétionnaire que lui confère le paragraphe 76(3) du Règlement pour substituer à cette évaluation une appréciation positive à l’égard du demandeur. La demande de contrôle judiciaire a été rejetée. L’appel a été rejeté.</w:t>
            </w:r>
          </w:p>
          <w:p w:rsidR="00EC5C7E" w:rsidRPr="002C3704" w:rsidRDefault="00EC5C7E" w:rsidP="005F6378">
            <w:pPr>
              <w:jc w:val="both"/>
              <w:rPr>
                <w:rFonts w:eastAsia="Calibri"/>
                <w:sz w:val="20"/>
                <w:lang w:val="fr-CA"/>
              </w:rPr>
            </w:pPr>
          </w:p>
        </w:tc>
      </w:tr>
      <w:tr w:rsidR="00EC5C7E" w:rsidRPr="002C3704" w:rsidTr="005F6378">
        <w:tc>
          <w:tcPr>
            <w:tcW w:w="2427" w:type="pct"/>
          </w:tcPr>
          <w:p w:rsidR="00EC5C7E" w:rsidRPr="002C3704" w:rsidRDefault="00EC5C7E" w:rsidP="005F6378">
            <w:pPr>
              <w:jc w:val="both"/>
              <w:rPr>
                <w:rFonts w:eastAsia="Calibri"/>
                <w:sz w:val="20"/>
                <w:lang w:val="fr-CA"/>
              </w:rPr>
            </w:pPr>
            <w:r w:rsidRPr="002C3704">
              <w:rPr>
                <w:rFonts w:eastAsia="Calibri"/>
                <w:sz w:val="20"/>
                <w:lang w:val="fr-CA"/>
              </w:rPr>
              <w:t>26 mai 2011</w:t>
            </w:r>
          </w:p>
          <w:p w:rsidR="00EC5C7E" w:rsidRPr="002C3704" w:rsidRDefault="00EC5C7E" w:rsidP="005F6378">
            <w:pPr>
              <w:jc w:val="both"/>
              <w:rPr>
                <w:rFonts w:eastAsia="Calibri"/>
                <w:sz w:val="20"/>
                <w:lang w:val="fr-CA"/>
              </w:rPr>
            </w:pPr>
            <w:r w:rsidRPr="002C3704">
              <w:rPr>
                <w:rFonts w:eastAsia="Calibri"/>
                <w:sz w:val="20"/>
                <w:lang w:val="fr-CA"/>
              </w:rPr>
              <w:t>Cour fédérale</w:t>
            </w:r>
          </w:p>
          <w:p w:rsidR="00EC5C7E" w:rsidRPr="002C3704" w:rsidRDefault="00EC5C7E" w:rsidP="005F6378">
            <w:pPr>
              <w:jc w:val="both"/>
              <w:rPr>
                <w:rFonts w:eastAsia="Calibri"/>
                <w:sz w:val="20"/>
                <w:lang w:val="fr-CA"/>
              </w:rPr>
            </w:pPr>
            <w:r w:rsidRPr="002C3704">
              <w:rPr>
                <w:rFonts w:eastAsia="Calibri"/>
                <w:sz w:val="20"/>
                <w:lang w:val="fr-CA"/>
              </w:rPr>
              <w:t>(Juge Snider)</w:t>
            </w:r>
          </w:p>
          <w:p w:rsidR="00EC5C7E" w:rsidRPr="002C3704" w:rsidRDefault="00EC5C7E" w:rsidP="005F6378">
            <w:pPr>
              <w:jc w:val="both"/>
              <w:rPr>
                <w:rFonts w:eastAsia="Calibri"/>
                <w:sz w:val="20"/>
                <w:lang w:val="fr-CA"/>
              </w:rPr>
            </w:pPr>
            <w:r w:rsidRPr="002C3704">
              <w:rPr>
                <w:rFonts w:eastAsia="Calibri"/>
                <w:sz w:val="20"/>
                <w:lang w:val="fr-CA"/>
              </w:rPr>
              <w:t>2011 FC 617</w:t>
            </w:r>
          </w:p>
          <w:p w:rsidR="00EC5C7E" w:rsidRPr="002C3704" w:rsidRDefault="00EC5C7E" w:rsidP="005F6378">
            <w:pPr>
              <w:jc w:val="both"/>
              <w:rPr>
                <w:rFonts w:eastAsia="Calibri"/>
                <w:sz w:val="20"/>
                <w:lang w:val="fr-CA"/>
              </w:rPr>
            </w:pPr>
          </w:p>
        </w:tc>
        <w:tc>
          <w:tcPr>
            <w:tcW w:w="243" w:type="pct"/>
          </w:tcPr>
          <w:p w:rsidR="00EC5C7E" w:rsidRPr="002C3704" w:rsidRDefault="00EC5C7E" w:rsidP="005F6378">
            <w:pPr>
              <w:jc w:val="both"/>
              <w:rPr>
                <w:rFonts w:eastAsia="Calibri"/>
                <w:sz w:val="20"/>
                <w:lang w:val="fr-CA"/>
              </w:rPr>
            </w:pPr>
          </w:p>
        </w:tc>
        <w:tc>
          <w:tcPr>
            <w:tcW w:w="2330" w:type="pct"/>
          </w:tcPr>
          <w:p w:rsidR="00EC5C7E" w:rsidRPr="002C3704" w:rsidRDefault="00EC5C7E" w:rsidP="005F6378">
            <w:pPr>
              <w:jc w:val="both"/>
              <w:rPr>
                <w:rFonts w:eastAsia="Calibri"/>
                <w:sz w:val="20"/>
                <w:lang w:val="fr-CA"/>
              </w:rPr>
            </w:pPr>
            <w:r w:rsidRPr="002C3704">
              <w:rPr>
                <w:rFonts w:eastAsia="Calibri"/>
                <w:sz w:val="20"/>
                <w:lang w:val="fr-CA"/>
              </w:rPr>
              <w:t>Demande de contrôle judiciaire rejetée</w:t>
            </w:r>
          </w:p>
          <w:p w:rsidR="00EC5C7E" w:rsidRPr="002C3704" w:rsidRDefault="00EC5C7E" w:rsidP="005F6378">
            <w:pPr>
              <w:jc w:val="both"/>
              <w:rPr>
                <w:rFonts w:eastAsia="Calibri"/>
                <w:sz w:val="20"/>
                <w:lang w:val="fr-CA"/>
              </w:rPr>
            </w:pPr>
          </w:p>
        </w:tc>
      </w:tr>
      <w:tr w:rsidR="00EC5C7E" w:rsidRPr="002C3704" w:rsidTr="005F6378">
        <w:tc>
          <w:tcPr>
            <w:tcW w:w="2427" w:type="pct"/>
          </w:tcPr>
          <w:p w:rsidR="00EC5C7E" w:rsidRPr="002C3704" w:rsidRDefault="00EC5C7E" w:rsidP="005F6378">
            <w:pPr>
              <w:jc w:val="both"/>
              <w:rPr>
                <w:rFonts w:eastAsia="Calibri"/>
                <w:sz w:val="20"/>
                <w:lang w:val="fr-CA"/>
              </w:rPr>
            </w:pPr>
            <w:r w:rsidRPr="002C3704">
              <w:rPr>
                <w:rFonts w:eastAsia="Calibri"/>
                <w:sz w:val="20"/>
                <w:lang w:val="fr-CA"/>
              </w:rPr>
              <w:t>15 février 2012</w:t>
            </w:r>
          </w:p>
          <w:p w:rsidR="00EC5C7E" w:rsidRPr="002C3704" w:rsidRDefault="00EC5C7E" w:rsidP="005F6378">
            <w:pPr>
              <w:jc w:val="both"/>
              <w:rPr>
                <w:rFonts w:eastAsia="Calibri"/>
                <w:sz w:val="20"/>
                <w:lang w:val="fr-CA"/>
              </w:rPr>
            </w:pPr>
            <w:r w:rsidRPr="002C3704">
              <w:rPr>
                <w:rFonts w:eastAsia="Calibri"/>
                <w:sz w:val="20"/>
                <w:lang w:val="fr-CA"/>
              </w:rPr>
              <w:t>Cour d’appel fédérale</w:t>
            </w:r>
          </w:p>
          <w:p w:rsidR="00EC5C7E" w:rsidRPr="002C3704" w:rsidRDefault="00EC5C7E" w:rsidP="005F6378">
            <w:pPr>
              <w:jc w:val="both"/>
              <w:rPr>
                <w:rFonts w:eastAsia="Calibri"/>
                <w:sz w:val="20"/>
                <w:lang w:val="fr-CA"/>
              </w:rPr>
            </w:pPr>
            <w:r w:rsidRPr="002C3704">
              <w:rPr>
                <w:rFonts w:eastAsia="Calibri"/>
                <w:sz w:val="20"/>
                <w:lang w:val="fr-CA"/>
              </w:rPr>
              <w:t>(Juges Layden</w:t>
            </w:r>
            <w:r w:rsidRPr="002C3704">
              <w:rPr>
                <w:rFonts w:eastAsia="Calibri"/>
                <w:sz w:val="20"/>
                <w:lang w:val="fr-CA"/>
              </w:rPr>
              <w:noBreakHyphen/>
              <w:t>Stevenson, Gauthier et Stratas)</w:t>
            </w:r>
          </w:p>
          <w:p w:rsidR="00EC5C7E" w:rsidRPr="002C3704" w:rsidRDefault="00EC5C7E" w:rsidP="005F6378">
            <w:pPr>
              <w:jc w:val="both"/>
              <w:rPr>
                <w:rFonts w:eastAsia="Calibri"/>
                <w:sz w:val="20"/>
                <w:lang w:val="fr-CA"/>
              </w:rPr>
            </w:pPr>
            <w:r w:rsidRPr="002C3704">
              <w:rPr>
                <w:rFonts w:eastAsia="Calibri"/>
                <w:sz w:val="20"/>
                <w:lang w:val="fr-CA"/>
              </w:rPr>
              <w:t>2012 FCA 54</w:t>
            </w:r>
          </w:p>
          <w:p w:rsidR="00EC5C7E" w:rsidRPr="002C3704" w:rsidRDefault="00EC5C7E" w:rsidP="005F6378">
            <w:pPr>
              <w:jc w:val="both"/>
              <w:rPr>
                <w:rFonts w:eastAsia="Calibri"/>
                <w:sz w:val="20"/>
                <w:lang w:val="fr-CA"/>
              </w:rPr>
            </w:pPr>
          </w:p>
        </w:tc>
        <w:tc>
          <w:tcPr>
            <w:tcW w:w="243" w:type="pct"/>
          </w:tcPr>
          <w:p w:rsidR="00EC5C7E" w:rsidRPr="002C3704" w:rsidRDefault="00EC5C7E" w:rsidP="005F6378">
            <w:pPr>
              <w:jc w:val="both"/>
              <w:rPr>
                <w:rFonts w:eastAsia="Calibri"/>
                <w:sz w:val="20"/>
                <w:lang w:val="fr-CA"/>
              </w:rPr>
            </w:pPr>
          </w:p>
        </w:tc>
        <w:tc>
          <w:tcPr>
            <w:tcW w:w="2330" w:type="pct"/>
          </w:tcPr>
          <w:p w:rsidR="00EC5C7E" w:rsidRPr="002C3704" w:rsidRDefault="00EC5C7E" w:rsidP="005F6378">
            <w:pPr>
              <w:jc w:val="both"/>
              <w:rPr>
                <w:rFonts w:eastAsia="Calibri"/>
                <w:sz w:val="20"/>
                <w:lang w:val="fr-CA"/>
              </w:rPr>
            </w:pPr>
            <w:r w:rsidRPr="002C3704">
              <w:rPr>
                <w:rFonts w:eastAsia="Calibri"/>
                <w:sz w:val="20"/>
                <w:lang w:val="fr-CA"/>
              </w:rPr>
              <w:t>Appel rejeté</w:t>
            </w:r>
          </w:p>
        </w:tc>
      </w:tr>
      <w:tr w:rsidR="00EC5C7E" w:rsidRPr="002C3704" w:rsidTr="005F6378">
        <w:tc>
          <w:tcPr>
            <w:tcW w:w="2427" w:type="pct"/>
          </w:tcPr>
          <w:p w:rsidR="00EC5C7E" w:rsidRPr="002C3704" w:rsidRDefault="00EC5C7E" w:rsidP="005F6378">
            <w:pPr>
              <w:jc w:val="both"/>
              <w:rPr>
                <w:rFonts w:eastAsia="Calibri"/>
                <w:sz w:val="20"/>
                <w:lang w:val="fr-CA"/>
              </w:rPr>
            </w:pPr>
            <w:r w:rsidRPr="002C3704">
              <w:rPr>
                <w:rFonts w:eastAsia="Calibri"/>
                <w:sz w:val="20"/>
                <w:lang w:val="fr-CA"/>
              </w:rPr>
              <w:t>16 avril 2012</w:t>
            </w:r>
          </w:p>
          <w:p w:rsidR="00EC5C7E" w:rsidRPr="002C3704" w:rsidRDefault="00EC5C7E" w:rsidP="005F6378">
            <w:pPr>
              <w:jc w:val="both"/>
              <w:rPr>
                <w:rFonts w:eastAsia="Calibri"/>
                <w:sz w:val="20"/>
                <w:lang w:val="fr-CA"/>
              </w:rPr>
            </w:pPr>
            <w:r w:rsidRPr="002C3704">
              <w:rPr>
                <w:rFonts w:eastAsia="Calibri"/>
                <w:sz w:val="20"/>
                <w:lang w:val="fr-CA"/>
              </w:rPr>
              <w:t>Cour suprême du Canada</w:t>
            </w:r>
          </w:p>
        </w:tc>
        <w:tc>
          <w:tcPr>
            <w:tcW w:w="243" w:type="pct"/>
          </w:tcPr>
          <w:p w:rsidR="00EC5C7E" w:rsidRPr="002C3704" w:rsidRDefault="00EC5C7E" w:rsidP="005F6378">
            <w:pPr>
              <w:jc w:val="both"/>
              <w:rPr>
                <w:rFonts w:eastAsia="Calibri"/>
                <w:sz w:val="20"/>
                <w:lang w:val="fr-CA"/>
              </w:rPr>
            </w:pPr>
          </w:p>
        </w:tc>
        <w:tc>
          <w:tcPr>
            <w:tcW w:w="2330" w:type="pct"/>
          </w:tcPr>
          <w:p w:rsidR="00EC5C7E" w:rsidRPr="002C3704" w:rsidRDefault="00EC5C7E" w:rsidP="005F6378">
            <w:pPr>
              <w:jc w:val="both"/>
              <w:rPr>
                <w:rFonts w:eastAsia="Calibri"/>
                <w:sz w:val="20"/>
                <w:lang w:val="fr-CA"/>
              </w:rPr>
            </w:pPr>
            <w:r w:rsidRPr="002C3704">
              <w:rPr>
                <w:rFonts w:eastAsia="Calibri"/>
                <w:sz w:val="20"/>
                <w:lang w:val="fr-CA"/>
              </w:rPr>
              <w:t>Demande d’autorisation d’appel, déposée</w:t>
            </w:r>
          </w:p>
          <w:p w:rsidR="00EC5C7E" w:rsidRPr="002C3704" w:rsidRDefault="00EC5C7E" w:rsidP="005F6378">
            <w:pPr>
              <w:jc w:val="both"/>
              <w:rPr>
                <w:rFonts w:eastAsia="Calibri"/>
                <w:sz w:val="20"/>
                <w:lang w:val="fr-CA"/>
              </w:rPr>
            </w:pPr>
          </w:p>
        </w:tc>
      </w:tr>
    </w:tbl>
    <w:p w:rsidR="005737AF" w:rsidRDefault="005737AF" w:rsidP="005737AF">
      <w:pPr>
        <w:rPr>
          <w:sz w:val="20"/>
          <w:szCs w:val="20"/>
        </w:rPr>
      </w:pPr>
    </w:p>
    <w:p w:rsidR="005737AF" w:rsidRDefault="007333FF" w:rsidP="005737AF">
      <w:pPr>
        <w:rPr>
          <w:sz w:val="20"/>
          <w:szCs w:val="20"/>
        </w:rPr>
      </w:pPr>
      <w:r w:rsidRPr="007333FF">
        <w:rPr>
          <w:sz w:val="20"/>
          <w:szCs w:val="20"/>
          <w:lang w:val="fr-CA"/>
        </w:rPr>
        <w:pict>
          <v:rect id="_x0000_i1073" style="width:2in;height:1pt" o:hrpct="0" o:hralign="center" o:hrstd="t" o:hrnoshade="t" o:hr="t" fillcolor="black [3213]" stroked="f"/>
        </w:pict>
      </w:r>
    </w:p>
    <w:p w:rsidR="005737AF" w:rsidRDefault="005737AF" w:rsidP="005737A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40E20" w:rsidRPr="003626B6" w:rsidTr="001B2036">
        <w:trPr>
          <w:cantSplit/>
        </w:trPr>
        <w:tc>
          <w:tcPr>
            <w:tcW w:w="1458" w:type="dxa"/>
          </w:tcPr>
          <w:p w:rsidR="00F40E20" w:rsidRPr="00FB1C1D" w:rsidRDefault="00F40E20" w:rsidP="001B2036">
            <w:pPr>
              <w:rPr>
                <w:sz w:val="20"/>
                <w:szCs w:val="20"/>
              </w:rPr>
            </w:pPr>
            <w:r w:rsidRPr="00FB1C1D">
              <w:rPr>
                <w:rStyle w:val="SCCFileNumberChar"/>
                <w:sz w:val="20"/>
                <w:szCs w:val="20"/>
              </w:rPr>
              <w:t>34800</w:t>
            </w:r>
          </w:p>
          <w:p w:rsidR="00F40E20" w:rsidRPr="00FB1C1D" w:rsidRDefault="00F40E20" w:rsidP="001B2036">
            <w:pPr>
              <w:rPr>
                <w:b/>
                <w:sz w:val="20"/>
                <w:szCs w:val="20"/>
                <w:lang w:val="fr-CA"/>
              </w:rPr>
            </w:pPr>
          </w:p>
        </w:tc>
        <w:tc>
          <w:tcPr>
            <w:tcW w:w="8118" w:type="dxa"/>
          </w:tcPr>
          <w:p w:rsidR="00F40E20" w:rsidRPr="00FB1C1D" w:rsidRDefault="00F40E20" w:rsidP="001B2036">
            <w:pPr>
              <w:rPr>
                <w:sz w:val="20"/>
                <w:szCs w:val="20"/>
                <w:lang w:val="fr-CA"/>
              </w:rPr>
            </w:pPr>
            <w:r w:rsidRPr="00FB1C1D">
              <w:rPr>
                <w:rStyle w:val="SCCLsocChar"/>
                <w:sz w:val="20"/>
                <w:szCs w:val="20"/>
              </w:rPr>
              <w:t>Vivendi Canada Inc. c. Michel Dell'Aniello</w:t>
            </w:r>
            <w:r w:rsidRPr="00FB1C1D">
              <w:rPr>
                <w:sz w:val="20"/>
                <w:szCs w:val="20"/>
                <w:lang w:val="fr-CA"/>
              </w:rPr>
              <w:t xml:space="preserve"> (Qc) (Civile) (Autorisation)</w:t>
            </w:r>
          </w:p>
          <w:p w:rsidR="00F40E20" w:rsidRPr="00FB1C1D" w:rsidRDefault="00F40E20" w:rsidP="001B2036">
            <w:pPr>
              <w:rPr>
                <w:sz w:val="20"/>
                <w:szCs w:val="20"/>
                <w:lang w:val="fr-CA"/>
              </w:rPr>
            </w:pPr>
          </w:p>
        </w:tc>
      </w:tr>
      <w:tr w:rsidR="00F40E20" w:rsidRPr="003626B6" w:rsidTr="001B2036">
        <w:trPr>
          <w:cantSplit/>
        </w:trPr>
        <w:tc>
          <w:tcPr>
            <w:tcW w:w="1458" w:type="dxa"/>
          </w:tcPr>
          <w:p w:rsidR="00F40E20" w:rsidRPr="00FB1C1D" w:rsidRDefault="00F40E20" w:rsidP="001B2036">
            <w:pPr>
              <w:rPr>
                <w:sz w:val="20"/>
                <w:szCs w:val="20"/>
              </w:rPr>
            </w:pPr>
            <w:r w:rsidRPr="00FB1C1D">
              <w:rPr>
                <w:sz w:val="20"/>
                <w:szCs w:val="20"/>
              </w:rPr>
              <w:t>Coram :</w:t>
            </w:r>
          </w:p>
        </w:tc>
        <w:tc>
          <w:tcPr>
            <w:tcW w:w="8118" w:type="dxa"/>
          </w:tcPr>
          <w:p w:rsidR="00F40E20" w:rsidRPr="00FB1C1D" w:rsidRDefault="00F40E20" w:rsidP="001B2036">
            <w:pPr>
              <w:rPr>
                <w:sz w:val="20"/>
                <w:szCs w:val="20"/>
                <w:lang w:val="fr-CA"/>
              </w:rPr>
            </w:pPr>
            <w:r w:rsidRPr="00FB1C1D">
              <w:rPr>
                <w:rStyle w:val="SCCCoramChar"/>
                <w:sz w:val="20"/>
                <w:szCs w:val="20"/>
              </w:rPr>
              <w:t>Les juges Deschamps, Fish et Karakatsanis</w:t>
            </w:r>
          </w:p>
          <w:p w:rsidR="00F40E20" w:rsidRPr="00FB1C1D" w:rsidRDefault="00F40E20" w:rsidP="001B2036">
            <w:pPr>
              <w:rPr>
                <w:sz w:val="20"/>
                <w:szCs w:val="20"/>
                <w:u w:val="single"/>
                <w:lang w:val="fr-CA"/>
              </w:rPr>
            </w:pPr>
          </w:p>
        </w:tc>
      </w:tr>
      <w:tr w:rsidR="00F40E20" w:rsidRPr="00FB1C1D" w:rsidTr="001B2036">
        <w:trPr>
          <w:cantSplit/>
        </w:trPr>
        <w:tc>
          <w:tcPr>
            <w:tcW w:w="9576" w:type="dxa"/>
            <w:gridSpan w:val="2"/>
          </w:tcPr>
          <w:p w:rsidR="00F40E20" w:rsidRPr="00FB1C1D" w:rsidRDefault="00F40E20" w:rsidP="001B2036">
            <w:pPr>
              <w:pStyle w:val="SCCShortJudgment"/>
              <w:rPr>
                <w:szCs w:val="20"/>
                <w:lang w:val="fr-CA"/>
              </w:rPr>
            </w:pPr>
            <w:r w:rsidRPr="00FB1C1D">
              <w:rPr>
                <w:szCs w:val="20"/>
                <w:lang w:val="fr-CA"/>
              </w:rPr>
              <w:t>La demande d’autorisation d’appel de l’arrêt de la Cour d’appel du Québec (Montréal), numéro 500-09-020995-106, 2012 QCCA 384, daté du 29 février 2012, est accueillie avec dépens selon l’issue de la cause.</w:t>
            </w:r>
          </w:p>
          <w:p w:rsidR="00F40E20" w:rsidRPr="00FB1C1D" w:rsidRDefault="00F40E20" w:rsidP="001B2036">
            <w:pPr>
              <w:pStyle w:val="SCCShortJudgment"/>
              <w:ind w:firstLine="0"/>
              <w:rPr>
                <w:szCs w:val="20"/>
                <w:lang w:val="fr-CA"/>
              </w:rPr>
            </w:pPr>
          </w:p>
          <w:p w:rsidR="00F40E20" w:rsidRPr="00FB1C1D" w:rsidRDefault="00F40E20" w:rsidP="001B2036">
            <w:pPr>
              <w:pStyle w:val="SCCShortJudgment"/>
              <w:rPr>
                <w:szCs w:val="20"/>
              </w:rPr>
            </w:pPr>
            <w:r w:rsidRPr="00FB1C1D">
              <w:rPr>
                <w:szCs w:val="20"/>
              </w:rPr>
              <w:t>The application for leave to appeal from the judgment of the Court of Appeal of Quebec (Montréal), Number 500-09-020995-106, 2012 QCCA 384, dated February 29, 2012, is granted with costs in the cause.</w:t>
            </w:r>
          </w:p>
        </w:tc>
      </w:tr>
    </w:tbl>
    <w:p w:rsidR="005737AF" w:rsidRDefault="005737AF" w:rsidP="005737AF">
      <w:pPr>
        <w:rPr>
          <w:sz w:val="20"/>
          <w:szCs w:val="20"/>
        </w:rPr>
      </w:pPr>
    </w:p>
    <w:p w:rsidR="005737AF" w:rsidRPr="001B157C" w:rsidRDefault="005737AF" w:rsidP="005737AF">
      <w:pPr>
        <w:rPr>
          <w:sz w:val="20"/>
          <w:szCs w:val="20"/>
          <w:u w:val="single"/>
        </w:rPr>
      </w:pPr>
      <w:r w:rsidRPr="001B157C">
        <w:rPr>
          <w:sz w:val="20"/>
          <w:szCs w:val="20"/>
          <w:u w:val="single"/>
        </w:rPr>
        <w:t>CASE SUMMARY</w:t>
      </w:r>
    </w:p>
    <w:p w:rsidR="005737AF" w:rsidRDefault="005737AF" w:rsidP="005737A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C5C7E" w:rsidRPr="002C3704" w:rsidTr="005F6378">
        <w:tc>
          <w:tcPr>
            <w:tcW w:w="5000" w:type="pct"/>
            <w:gridSpan w:val="3"/>
          </w:tcPr>
          <w:p w:rsidR="00EC5C7E" w:rsidRPr="002C3704" w:rsidRDefault="00EC5C7E" w:rsidP="005F6378">
            <w:pPr>
              <w:jc w:val="both"/>
              <w:rPr>
                <w:rFonts w:eastAsia="Calibri"/>
                <w:sz w:val="20"/>
              </w:rPr>
            </w:pPr>
            <w:r w:rsidRPr="002C3704">
              <w:rPr>
                <w:rFonts w:eastAsia="Calibri"/>
                <w:sz w:val="20"/>
              </w:rPr>
              <w:t>Civil procedure – Class actions – Conditions for instituting class action – Members of proposed group – Post</w:t>
            </w:r>
            <w:r w:rsidRPr="002C3704">
              <w:rPr>
                <w:rFonts w:eastAsia="Calibri"/>
                <w:sz w:val="20"/>
              </w:rPr>
              <w:noBreakHyphen/>
              <w:t>retirement insurance benefits – Whether question can be found “identical, similar or related” within meaning of art. 1003(</w:t>
            </w:r>
            <w:r w:rsidRPr="002C3704">
              <w:rPr>
                <w:rFonts w:eastAsia="Calibri"/>
                <w:i/>
                <w:sz w:val="20"/>
              </w:rPr>
              <w:t>a</w:t>
            </w:r>
            <w:r w:rsidRPr="002C3704">
              <w:rPr>
                <w:rFonts w:eastAsia="Calibri"/>
                <w:sz w:val="20"/>
              </w:rPr>
              <w:t xml:space="preserve">) C.C.P. if it appears from record that answer to question will likely be different from one subgroup to another – Where judge at authorization stage cannot conclude </w:t>
            </w:r>
            <w:r w:rsidRPr="002C3704">
              <w:rPr>
                <w:rFonts w:eastAsia="Calibri"/>
                <w:i/>
                <w:sz w:val="20"/>
              </w:rPr>
              <w:t xml:space="preserve">prima facie </w:t>
            </w:r>
            <w:r w:rsidRPr="002C3704">
              <w:rPr>
                <w:rFonts w:eastAsia="Calibri"/>
                <w:sz w:val="20"/>
              </w:rPr>
              <w:t xml:space="preserve">that answer to question will be same for all </w:t>
            </w:r>
            <w:r w:rsidRPr="002C3704">
              <w:rPr>
                <w:rFonts w:eastAsia="Calibri"/>
                <w:sz w:val="20"/>
              </w:rPr>
              <w:lastRenderedPageBreak/>
              <w:t xml:space="preserve">members of proposed group, whether judge can dismiss action or must allow trial judge to determine whether answer actually different from one subgroup to another – Degree of deference to be shown by Court of Appeal on appeal from decision determining that question not “identical, similar or related” – Test laid down in </w:t>
            </w:r>
            <w:r w:rsidRPr="002C3704">
              <w:rPr>
                <w:rFonts w:eastAsia="Calibri"/>
                <w:i/>
                <w:sz w:val="20"/>
              </w:rPr>
              <w:t>Western Canadian Shopping Centres Inc. v. Dutton</w:t>
            </w:r>
            <w:r w:rsidRPr="002C3704">
              <w:rPr>
                <w:rFonts w:eastAsia="Calibri"/>
                <w:sz w:val="20"/>
              </w:rPr>
              <w:t xml:space="preserve">, [2001] 2 S.C.R. 534 – </w:t>
            </w:r>
            <w:r w:rsidRPr="002C3704">
              <w:rPr>
                <w:rFonts w:eastAsia="Calibri"/>
                <w:i/>
                <w:sz w:val="20"/>
              </w:rPr>
              <w:t>Code of Civil Procedure</w:t>
            </w:r>
            <w:r w:rsidRPr="002C3704">
              <w:rPr>
                <w:rFonts w:eastAsia="Calibri"/>
                <w:sz w:val="20"/>
              </w:rPr>
              <w:t>, R.S.Q. c. C</w:t>
            </w:r>
            <w:r w:rsidRPr="002C3704">
              <w:rPr>
                <w:rFonts w:eastAsia="Calibri"/>
                <w:sz w:val="20"/>
              </w:rPr>
              <w:noBreakHyphen/>
              <w:t>25, art. 1003(</w:t>
            </w:r>
            <w:r w:rsidRPr="002C3704">
              <w:rPr>
                <w:rFonts w:eastAsia="Calibri"/>
                <w:i/>
                <w:sz w:val="20"/>
              </w:rPr>
              <w:t>a</w:t>
            </w:r>
            <w:r w:rsidRPr="002C3704">
              <w:rPr>
                <w:rFonts w:eastAsia="Calibri"/>
                <w:sz w:val="20"/>
              </w:rPr>
              <w:t>).</w:t>
            </w:r>
          </w:p>
        </w:tc>
      </w:tr>
      <w:tr w:rsidR="00EC5C7E" w:rsidRPr="002C3704" w:rsidTr="005F6378">
        <w:tc>
          <w:tcPr>
            <w:tcW w:w="5000" w:type="pct"/>
            <w:gridSpan w:val="3"/>
          </w:tcPr>
          <w:p w:rsidR="00EC5C7E" w:rsidRPr="002C3704" w:rsidRDefault="00EC5C7E" w:rsidP="005F6378">
            <w:pPr>
              <w:jc w:val="both"/>
              <w:rPr>
                <w:rFonts w:eastAsia="Calibri"/>
                <w:sz w:val="20"/>
              </w:rPr>
            </w:pPr>
          </w:p>
        </w:tc>
      </w:tr>
      <w:tr w:rsidR="00EC5C7E" w:rsidRPr="002C3704" w:rsidTr="005F6378">
        <w:tc>
          <w:tcPr>
            <w:tcW w:w="5000" w:type="pct"/>
            <w:gridSpan w:val="3"/>
          </w:tcPr>
          <w:p w:rsidR="00EC5C7E" w:rsidRPr="002C3704" w:rsidRDefault="00EC5C7E" w:rsidP="005F6378">
            <w:pPr>
              <w:jc w:val="both"/>
              <w:rPr>
                <w:rFonts w:eastAsia="Calibri"/>
                <w:sz w:val="20"/>
              </w:rPr>
            </w:pPr>
            <w:r w:rsidRPr="002C3704">
              <w:rPr>
                <w:rFonts w:eastAsia="Calibri"/>
                <w:sz w:val="20"/>
              </w:rPr>
              <w:t>The respondent, Michel Dell’Aniello, is a former employee of the Seagram Company Limited (“Seagram”) and the vice</w:t>
            </w:r>
            <w:r w:rsidRPr="002C3704">
              <w:rPr>
                <w:rFonts w:eastAsia="Calibri"/>
                <w:sz w:val="20"/>
              </w:rPr>
              <w:noBreakHyphen/>
              <w:t>president of a Seagram subsidiary.  In December 2000, Vivendi S.A. acquired Seagram, which at the time was a leading producer of wine and spirits in Canada.  In December 2001, Seagram’s assets related to the production and distribution of wine and spirits were sold.  Seagram then became Vivendi Universal Canada Inc., which in turn became Vivendi Canada Inc.  The employment contract of Seagram’s officers and employees had various components, including the supplementary health insurance plan, the predecessor of the current insurance coverage plan (“plan”), which covered them and their dependents both during their working lives and for the full length of their retirement, as shown by a 1977 document describing the plan.  Seagram’s plan covered employees not only during their working lives but also for the full length of their retirement.  On July 15, 1985, the plan was revised and its name changed to Supplementary (Extended) Health Insurance.  The company added the following footnote, which had not been in the 1977 document: “While Seagram expects to continue this Supplementary Health Insurance Plan indefinitely, future conditions cannot be foreseen, thus it necessarily reserves the right to modify or suspend the Plan at any time, or to increase the portion of the cost you pay, whether you are active or retired.”  On September 5, 2008, Vivendi wrote to all retirees and surviving spouses to inform them that it was unilaterally reducing the plan’s benefits starting on January 1, 2009.  Only retirees were still in the plan, since Vivendi no longer had any operations in Canada related to the production and distribution of wine and spirits.</w:t>
            </w:r>
          </w:p>
          <w:p w:rsidR="00EC5C7E" w:rsidRPr="002C3704" w:rsidRDefault="00EC5C7E" w:rsidP="005F6378">
            <w:pPr>
              <w:jc w:val="both"/>
              <w:rPr>
                <w:rFonts w:eastAsia="Calibri"/>
                <w:sz w:val="20"/>
              </w:rPr>
            </w:pPr>
          </w:p>
        </w:tc>
      </w:tr>
      <w:tr w:rsidR="00EC5C7E" w:rsidRPr="002C3704" w:rsidTr="005F6378">
        <w:tc>
          <w:tcPr>
            <w:tcW w:w="2427" w:type="pct"/>
          </w:tcPr>
          <w:p w:rsidR="00EC5C7E" w:rsidRPr="002C3704" w:rsidRDefault="00EC5C7E" w:rsidP="005F6378">
            <w:pPr>
              <w:jc w:val="both"/>
              <w:rPr>
                <w:rFonts w:eastAsia="Calibri"/>
                <w:sz w:val="20"/>
              </w:rPr>
            </w:pPr>
            <w:r w:rsidRPr="002C3704">
              <w:rPr>
                <w:rFonts w:eastAsia="Calibri"/>
                <w:sz w:val="20"/>
              </w:rPr>
              <w:t>August 3, 2010</w:t>
            </w:r>
          </w:p>
          <w:p w:rsidR="00EC5C7E" w:rsidRPr="002C3704" w:rsidRDefault="00EC5C7E" w:rsidP="005F6378">
            <w:pPr>
              <w:jc w:val="both"/>
              <w:rPr>
                <w:rFonts w:eastAsia="Calibri"/>
                <w:sz w:val="20"/>
              </w:rPr>
            </w:pPr>
            <w:r w:rsidRPr="002C3704">
              <w:rPr>
                <w:rFonts w:eastAsia="Calibri"/>
                <w:sz w:val="20"/>
              </w:rPr>
              <w:t>Quebec Superior Court</w:t>
            </w:r>
          </w:p>
          <w:p w:rsidR="00EC5C7E" w:rsidRPr="002C3704" w:rsidRDefault="00EC5C7E" w:rsidP="005F6378">
            <w:pPr>
              <w:jc w:val="both"/>
              <w:rPr>
                <w:rFonts w:eastAsia="Calibri"/>
                <w:sz w:val="20"/>
              </w:rPr>
            </w:pPr>
            <w:r w:rsidRPr="002C3704">
              <w:rPr>
                <w:rFonts w:eastAsia="Calibri"/>
                <w:sz w:val="20"/>
              </w:rPr>
              <w:t>(Mayer J.)</w:t>
            </w:r>
          </w:p>
          <w:p w:rsidR="00EC5C7E" w:rsidRPr="002C3704" w:rsidRDefault="00EC5C7E" w:rsidP="005F6378">
            <w:pPr>
              <w:jc w:val="both"/>
              <w:rPr>
                <w:rFonts w:eastAsia="Calibri"/>
                <w:sz w:val="20"/>
              </w:rPr>
            </w:pPr>
            <w:r w:rsidRPr="002C3704">
              <w:rPr>
                <w:rFonts w:eastAsia="Calibri"/>
                <w:sz w:val="20"/>
              </w:rPr>
              <w:t>2010 QCCS 3416</w:t>
            </w:r>
          </w:p>
          <w:p w:rsidR="00EC5C7E" w:rsidRPr="002C3704" w:rsidRDefault="00EC5C7E" w:rsidP="005F6378">
            <w:pPr>
              <w:jc w:val="both"/>
              <w:rPr>
                <w:rFonts w:eastAsia="Calibri"/>
                <w:sz w:val="20"/>
              </w:rPr>
            </w:pPr>
          </w:p>
        </w:tc>
        <w:tc>
          <w:tcPr>
            <w:tcW w:w="243" w:type="pct"/>
          </w:tcPr>
          <w:p w:rsidR="00EC5C7E" w:rsidRPr="002C3704" w:rsidRDefault="00EC5C7E" w:rsidP="005F6378">
            <w:pPr>
              <w:jc w:val="both"/>
              <w:rPr>
                <w:rFonts w:eastAsia="Calibri"/>
                <w:sz w:val="20"/>
              </w:rPr>
            </w:pPr>
          </w:p>
        </w:tc>
        <w:tc>
          <w:tcPr>
            <w:tcW w:w="2330" w:type="pct"/>
          </w:tcPr>
          <w:p w:rsidR="00EC5C7E" w:rsidRPr="002C3704" w:rsidRDefault="00EC5C7E" w:rsidP="005F6378">
            <w:pPr>
              <w:jc w:val="both"/>
              <w:rPr>
                <w:rFonts w:eastAsia="Calibri"/>
                <w:sz w:val="20"/>
              </w:rPr>
            </w:pPr>
            <w:r w:rsidRPr="002C3704">
              <w:rPr>
                <w:rFonts w:eastAsia="Calibri"/>
                <w:sz w:val="20"/>
              </w:rPr>
              <w:t>Motion to authorize class action against Vivendi dismissed</w:t>
            </w:r>
          </w:p>
          <w:p w:rsidR="00EC5C7E" w:rsidRPr="002C3704" w:rsidRDefault="00EC5C7E" w:rsidP="005F6378">
            <w:pPr>
              <w:jc w:val="both"/>
              <w:rPr>
                <w:rFonts w:eastAsia="Calibri"/>
                <w:sz w:val="20"/>
              </w:rPr>
            </w:pPr>
          </w:p>
        </w:tc>
      </w:tr>
      <w:tr w:rsidR="00EC5C7E" w:rsidRPr="002C3704" w:rsidTr="005F6378">
        <w:tc>
          <w:tcPr>
            <w:tcW w:w="2427" w:type="pct"/>
          </w:tcPr>
          <w:p w:rsidR="00EC5C7E" w:rsidRPr="002C3704" w:rsidRDefault="00EC5C7E" w:rsidP="005F6378">
            <w:pPr>
              <w:jc w:val="both"/>
              <w:rPr>
                <w:rFonts w:eastAsia="Calibri"/>
                <w:sz w:val="20"/>
              </w:rPr>
            </w:pPr>
            <w:r w:rsidRPr="002C3704">
              <w:rPr>
                <w:rFonts w:eastAsia="Calibri"/>
                <w:sz w:val="20"/>
              </w:rPr>
              <w:t>February 29, 2012</w:t>
            </w:r>
          </w:p>
          <w:p w:rsidR="00EC5C7E" w:rsidRPr="002C3704" w:rsidRDefault="00EC5C7E" w:rsidP="005F6378">
            <w:pPr>
              <w:jc w:val="both"/>
              <w:rPr>
                <w:rFonts w:eastAsia="Calibri"/>
                <w:sz w:val="20"/>
              </w:rPr>
            </w:pPr>
            <w:r w:rsidRPr="002C3704">
              <w:rPr>
                <w:rFonts w:eastAsia="Calibri"/>
                <w:sz w:val="20"/>
              </w:rPr>
              <w:t>Quebec Court of Appeal (Montréal)</w:t>
            </w:r>
          </w:p>
          <w:p w:rsidR="00EC5C7E" w:rsidRPr="002C3704" w:rsidRDefault="00EC5C7E" w:rsidP="005F6378">
            <w:pPr>
              <w:jc w:val="both"/>
              <w:rPr>
                <w:rFonts w:eastAsia="Calibri"/>
                <w:sz w:val="20"/>
              </w:rPr>
            </w:pPr>
            <w:r w:rsidRPr="002C3704">
              <w:rPr>
                <w:rFonts w:eastAsia="Calibri"/>
                <w:sz w:val="20"/>
              </w:rPr>
              <w:t>(Chamberland, Rochon and Léger JJ.A.)</w:t>
            </w:r>
          </w:p>
          <w:p w:rsidR="00EC5C7E" w:rsidRPr="002C3704" w:rsidRDefault="00EC5C7E" w:rsidP="005F6378">
            <w:pPr>
              <w:jc w:val="both"/>
              <w:rPr>
                <w:rFonts w:eastAsia="Calibri"/>
                <w:sz w:val="20"/>
              </w:rPr>
            </w:pPr>
            <w:r w:rsidRPr="002C3704">
              <w:rPr>
                <w:rFonts w:eastAsia="Calibri"/>
                <w:sz w:val="20"/>
              </w:rPr>
              <w:t>2012 QCCA 384</w:t>
            </w:r>
          </w:p>
          <w:p w:rsidR="00EC5C7E" w:rsidRPr="002C3704" w:rsidRDefault="00EC5C7E" w:rsidP="005F6378">
            <w:pPr>
              <w:jc w:val="both"/>
              <w:rPr>
                <w:rFonts w:eastAsia="Calibri"/>
                <w:sz w:val="20"/>
              </w:rPr>
            </w:pPr>
          </w:p>
        </w:tc>
        <w:tc>
          <w:tcPr>
            <w:tcW w:w="243" w:type="pct"/>
          </w:tcPr>
          <w:p w:rsidR="00EC5C7E" w:rsidRPr="002C3704" w:rsidRDefault="00EC5C7E" w:rsidP="005F6378">
            <w:pPr>
              <w:jc w:val="both"/>
              <w:rPr>
                <w:rFonts w:eastAsia="Calibri"/>
                <w:sz w:val="20"/>
              </w:rPr>
            </w:pPr>
          </w:p>
        </w:tc>
        <w:tc>
          <w:tcPr>
            <w:tcW w:w="2330" w:type="pct"/>
          </w:tcPr>
          <w:p w:rsidR="00EC5C7E" w:rsidRPr="002C3704" w:rsidRDefault="00EC5C7E" w:rsidP="005F6378">
            <w:pPr>
              <w:jc w:val="both"/>
              <w:rPr>
                <w:rFonts w:eastAsia="Calibri"/>
                <w:sz w:val="20"/>
              </w:rPr>
            </w:pPr>
            <w:r w:rsidRPr="002C3704">
              <w:rPr>
                <w:rFonts w:eastAsia="Calibri"/>
                <w:sz w:val="20"/>
              </w:rPr>
              <w:t>Appeal allowed</w:t>
            </w:r>
          </w:p>
          <w:p w:rsidR="00EC5C7E" w:rsidRPr="002C3704" w:rsidRDefault="00EC5C7E" w:rsidP="005F6378">
            <w:pPr>
              <w:jc w:val="both"/>
              <w:rPr>
                <w:rFonts w:eastAsia="Calibri"/>
                <w:sz w:val="20"/>
              </w:rPr>
            </w:pPr>
          </w:p>
        </w:tc>
      </w:tr>
      <w:tr w:rsidR="00EC5C7E" w:rsidRPr="002C3704" w:rsidTr="005F6378">
        <w:tc>
          <w:tcPr>
            <w:tcW w:w="2427" w:type="pct"/>
          </w:tcPr>
          <w:p w:rsidR="00EC5C7E" w:rsidRPr="002C3704" w:rsidRDefault="00EC5C7E" w:rsidP="005F6378">
            <w:pPr>
              <w:jc w:val="both"/>
              <w:rPr>
                <w:rFonts w:eastAsia="Calibri"/>
                <w:sz w:val="20"/>
              </w:rPr>
            </w:pPr>
            <w:r w:rsidRPr="002C3704">
              <w:rPr>
                <w:rFonts w:eastAsia="Calibri"/>
                <w:sz w:val="20"/>
              </w:rPr>
              <w:t>April 30, 2012</w:t>
            </w:r>
          </w:p>
          <w:p w:rsidR="00EC5C7E" w:rsidRPr="002C3704" w:rsidRDefault="00EC5C7E" w:rsidP="005F6378">
            <w:pPr>
              <w:jc w:val="both"/>
              <w:rPr>
                <w:rFonts w:eastAsia="Calibri"/>
                <w:sz w:val="20"/>
              </w:rPr>
            </w:pPr>
            <w:r w:rsidRPr="002C3704">
              <w:rPr>
                <w:rFonts w:eastAsia="Calibri"/>
                <w:sz w:val="20"/>
              </w:rPr>
              <w:t>Supreme Court of Canada</w:t>
            </w:r>
          </w:p>
        </w:tc>
        <w:tc>
          <w:tcPr>
            <w:tcW w:w="243" w:type="pct"/>
          </w:tcPr>
          <w:p w:rsidR="00EC5C7E" w:rsidRPr="002C3704" w:rsidRDefault="00EC5C7E" w:rsidP="005F6378">
            <w:pPr>
              <w:jc w:val="both"/>
              <w:rPr>
                <w:rFonts w:eastAsia="Calibri"/>
                <w:sz w:val="20"/>
              </w:rPr>
            </w:pPr>
          </w:p>
        </w:tc>
        <w:tc>
          <w:tcPr>
            <w:tcW w:w="2330" w:type="pct"/>
          </w:tcPr>
          <w:p w:rsidR="00EC5C7E" w:rsidRPr="002C3704" w:rsidRDefault="00EC5C7E" w:rsidP="005F6378">
            <w:pPr>
              <w:jc w:val="both"/>
              <w:rPr>
                <w:rFonts w:eastAsia="Calibri"/>
                <w:sz w:val="20"/>
              </w:rPr>
            </w:pPr>
            <w:r w:rsidRPr="002C3704">
              <w:rPr>
                <w:rFonts w:eastAsia="Calibri"/>
                <w:sz w:val="20"/>
              </w:rPr>
              <w:t>Application for leave to appeal filed</w:t>
            </w:r>
          </w:p>
          <w:p w:rsidR="00EC5C7E" w:rsidRPr="002C3704" w:rsidRDefault="00EC5C7E" w:rsidP="005F6378">
            <w:pPr>
              <w:jc w:val="both"/>
              <w:rPr>
                <w:rFonts w:eastAsia="Calibri"/>
                <w:sz w:val="20"/>
              </w:rPr>
            </w:pPr>
          </w:p>
        </w:tc>
      </w:tr>
    </w:tbl>
    <w:p w:rsidR="005737AF" w:rsidRDefault="005737AF" w:rsidP="005737AF">
      <w:pPr>
        <w:rPr>
          <w:sz w:val="20"/>
          <w:szCs w:val="20"/>
        </w:rPr>
      </w:pPr>
    </w:p>
    <w:p w:rsidR="005737AF" w:rsidRPr="00C50A5C" w:rsidRDefault="007333FF" w:rsidP="005737AF">
      <w:pPr>
        <w:rPr>
          <w:sz w:val="20"/>
          <w:szCs w:val="20"/>
        </w:rPr>
      </w:pPr>
      <w:r w:rsidRPr="007333FF">
        <w:rPr>
          <w:sz w:val="20"/>
          <w:szCs w:val="20"/>
          <w:lang w:val="fr-CA"/>
        </w:rPr>
        <w:pict>
          <v:rect id="_x0000_i1074" style="width:2in;height:1pt" o:hrpct="0" o:hralign="center" o:hrstd="t" o:hrnoshade="t" o:hr="t" fillcolor="black [3213]" stroked="f"/>
        </w:pict>
      </w:r>
    </w:p>
    <w:p w:rsidR="005737AF" w:rsidRDefault="005737AF" w:rsidP="005737AF">
      <w:pPr>
        <w:rPr>
          <w:sz w:val="20"/>
          <w:szCs w:val="20"/>
        </w:rPr>
      </w:pPr>
    </w:p>
    <w:p w:rsidR="005737AF" w:rsidRPr="001B157C" w:rsidRDefault="005737AF" w:rsidP="005737AF">
      <w:pPr>
        <w:rPr>
          <w:sz w:val="20"/>
          <w:szCs w:val="20"/>
          <w:u w:val="single"/>
          <w:lang w:val="fr-CA"/>
        </w:rPr>
      </w:pPr>
      <w:r w:rsidRPr="001B157C">
        <w:rPr>
          <w:sz w:val="20"/>
          <w:szCs w:val="20"/>
          <w:u w:val="single"/>
          <w:lang w:val="fr-CA"/>
        </w:rPr>
        <w:t>RÉSUMÉ DE L’AFFAIRE</w:t>
      </w:r>
    </w:p>
    <w:p w:rsidR="005737AF" w:rsidRDefault="005737AF" w:rsidP="005737A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C5C7E" w:rsidRPr="002C3704" w:rsidTr="005F6378">
        <w:tc>
          <w:tcPr>
            <w:tcW w:w="5000" w:type="pct"/>
            <w:gridSpan w:val="3"/>
          </w:tcPr>
          <w:p w:rsidR="00EC5C7E" w:rsidRPr="002C3704" w:rsidRDefault="00EC5C7E" w:rsidP="005F6378">
            <w:pPr>
              <w:jc w:val="both"/>
              <w:rPr>
                <w:rFonts w:eastAsia="Calibri"/>
                <w:sz w:val="20"/>
                <w:lang w:val="fr-CA"/>
              </w:rPr>
            </w:pPr>
            <w:r w:rsidRPr="002C3704">
              <w:rPr>
                <w:rFonts w:eastAsia="Calibri"/>
                <w:sz w:val="20"/>
                <w:lang w:val="fr-CA"/>
              </w:rPr>
              <w:t xml:space="preserve">Procédure civile – Recours collectifs – Conditions d’exercice – Membres du groupe proposé – Prestations d’assurance post-retraites – Une question peut-elle être déclarée « identique, similaire ou connexe » au sens du paragraphe 1003(a) C.p.c. s’il appert du dossier que la réponse à cette question sera vraisemblablement différente d’un sous-groupe à l’autre? – Si le juge au stade de l’autorisation ne peut pas conclure </w:t>
            </w:r>
            <w:r w:rsidRPr="002C3704">
              <w:rPr>
                <w:rFonts w:eastAsia="Calibri"/>
                <w:i/>
                <w:sz w:val="20"/>
                <w:lang w:val="fr-CA"/>
              </w:rPr>
              <w:t xml:space="preserve">prima facie </w:t>
            </w:r>
            <w:r w:rsidRPr="002C3704">
              <w:rPr>
                <w:rFonts w:eastAsia="Calibri"/>
                <w:sz w:val="20"/>
                <w:lang w:val="fr-CA"/>
              </w:rPr>
              <w:t xml:space="preserve">que la réponse à une question sera la même pour tous les membres du groupe proposé, peut-il rejeter le recours ou doit-il laisser le juge du fond déterminer si la réponse est effectivement différente d’un sous-groupe à l’autre? – Quel est le degré de déférence dont doit faire preuve la Cour d’appel en appel d’une décision ayant déterminé qu’une question n’est pas « identique, similaire ou connexe »? – Test prescrit dans l’arrêt </w:t>
            </w:r>
            <w:r w:rsidRPr="002C3704">
              <w:rPr>
                <w:rFonts w:eastAsia="Calibri"/>
                <w:i/>
                <w:sz w:val="20"/>
                <w:lang w:val="fr-CA"/>
              </w:rPr>
              <w:t>Western Canadian Shopping Centres Inc. c. Dutton</w:t>
            </w:r>
            <w:r w:rsidRPr="002C3704">
              <w:rPr>
                <w:rFonts w:eastAsia="Calibri"/>
                <w:sz w:val="20"/>
                <w:lang w:val="fr-CA"/>
              </w:rPr>
              <w:t xml:space="preserve">, [2001] 2 R.C.S. 534 – </w:t>
            </w:r>
            <w:r w:rsidRPr="002C3704">
              <w:rPr>
                <w:rFonts w:eastAsia="Calibri"/>
                <w:i/>
                <w:sz w:val="20"/>
                <w:lang w:val="fr-CA"/>
              </w:rPr>
              <w:t>Code de procédure civile</w:t>
            </w:r>
            <w:r w:rsidRPr="002C3704">
              <w:rPr>
                <w:rFonts w:eastAsia="Calibri"/>
                <w:sz w:val="20"/>
                <w:lang w:val="fr-CA"/>
              </w:rPr>
              <w:t>, L.R.Q. ch. C-25, art. 1003(a).</w:t>
            </w:r>
          </w:p>
        </w:tc>
      </w:tr>
      <w:tr w:rsidR="00EC5C7E" w:rsidRPr="002C3704" w:rsidTr="005F6378">
        <w:tc>
          <w:tcPr>
            <w:tcW w:w="5000" w:type="pct"/>
            <w:gridSpan w:val="3"/>
          </w:tcPr>
          <w:p w:rsidR="00EC5C7E" w:rsidRPr="002C3704" w:rsidRDefault="00EC5C7E" w:rsidP="005F6378">
            <w:pPr>
              <w:jc w:val="both"/>
              <w:rPr>
                <w:rFonts w:eastAsia="Calibri"/>
                <w:sz w:val="20"/>
                <w:lang w:val="fr-CA"/>
              </w:rPr>
            </w:pPr>
          </w:p>
        </w:tc>
      </w:tr>
      <w:tr w:rsidR="00EC5C7E" w:rsidRPr="003626B6" w:rsidTr="005F6378">
        <w:tc>
          <w:tcPr>
            <w:tcW w:w="5000" w:type="pct"/>
            <w:gridSpan w:val="3"/>
          </w:tcPr>
          <w:p w:rsidR="00EC5C7E" w:rsidRPr="002C3704" w:rsidRDefault="00EC5C7E" w:rsidP="005F6378">
            <w:pPr>
              <w:jc w:val="both"/>
              <w:rPr>
                <w:rFonts w:eastAsia="Calibri"/>
                <w:sz w:val="20"/>
                <w:lang w:val="fr-CA"/>
              </w:rPr>
            </w:pPr>
            <w:r w:rsidRPr="002C3704">
              <w:rPr>
                <w:rFonts w:eastAsia="Calibri"/>
                <w:sz w:val="20"/>
                <w:lang w:val="fr-CA"/>
              </w:rPr>
              <w:t>L’intimé, Michel Dell’Annello, est un ancien employé de la Compagnie Seagram Limitée (« Seagram »), et vice-</w:t>
            </w:r>
            <w:r w:rsidRPr="002C3704">
              <w:rPr>
                <w:rFonts w:eastAsia="Calibri"/>
                <w:sz w:val="20"/>
                <w:lang w:val="fr-CA"/>
              </w:rPr>
              <w:lastRenderedPageBreak/>
              <w:t xml:space="preserve">président d’une filiale de la compagnie Seagram. En décembre 2000, Vivendi S.A. acquiert Seagram, alors chef de file au Canada dans la production de vins et spiritueux. En décembre 2001, les actifs reliés à la production et à la distribution de vins et spiritueux de Seagram sont vendus, Seagram devient alors Vivendi Universal Canada Inc. qui, à son tour, devient Vivendi Canada Inc. Le contrat d’emploi des membres de la direction et salariés de Seagram comprend différentes composantes dont, notamment, le régime d’assurance malade complémentaire, soit l’ancêtre du régime de couverture d’assurance (« Régime ») actuel, qui les couvrait, ainsi que leurs personnes à charge, tant pendant leur vie active de travail que pendant toute la durée de leur retraite, tel qu’il appert d’un document en date de 1977 décrivant le Régime. Le Régime de Seagram couvre les employés non seulement pendant leur vie active, mais également pendant toute la durée de la retraite. Le 15 juillet 1985, le nom du Régime est changé en </w:t>
            </w:r>
            <w:r w:rsidRPr="002C3704">
              <w:rPr>
                <w:rFonts w:eastAsia="Calibri"/>
                <w:i/>
                <w:sz w:val="20"/>
                <w:lang w:val="fr-CA"/>
              </w:rPr>
              <w:t>Supplementary (Extended) Health Insurance</w:t>
            </w:r>
            <w:r w:rsidRPr="002C3704">
              <w:rPr>
                <w:rFonts w:eastAsia="Calibri"/>
                <w:sz w:val="20"/>
                <w:lang w:val="fr-CA"/>
              </w:rPr>
              <w:t xml:space="preserve"> et il est révisé. </w:t>
            </w:r>
            <w:r w:rsidRPr="002C3704">
              <w:rPr>
                <w:rFonts w:eastAsia="Calibri"/>
                <w:sz w:val="20"/>
              </w:rPr>
              <w:t xml:space="preserve">La compagnie ajoute une note de bas de page qui n’existe pas dans le document de 1977 et qui indique: « While Seagram expects to continue this Supplementary Health Insurance Plan indefinitely, future conditions cannot be foreseen, thus it necessarily reserves the right to modify or suspend the Plan at any time, or to increase the portion of the cost you pay, whether you are active or retired ». </w:t>
            </w:r>
            <w:r w:rsidRPr="002C3704">
              <w:rPr>
                <w:rFonts w:eastAsia="Calibri"/>
                <w:sz w:val="20"/>
                <w:lang w:val="fr-CA"/>
              </w:rPr>
              <w:t>Le 5 septembre 2008, Vivendi écrit à tous les retraités et conjoints survivants pour les informer qu’elle réduit unilatéralement les bénéfices du Régime à compter du 1</w:t>
            </w:r>
            <w:r w:rsidRPr="002C3704">
              <w:rPr>
                <w:rFonts w:eastAsia="Calibri"/>
                <w:sz w:val="20"/>
                <w:vertAlign w:val="superscript"/>
                <w:lang w:val="fr-CA"/>
              </w:rPr>
              <w:t>er</w:t>
            </w:r>
            <w:r w:rsidRPr="002C3704">
              <w:rPr>
                <w:rFonts w:eastAsia="Calibri"/>
                <w:sz w:val="20"/>
                <w:lang w:val="fr-CA"/>
              </w:rPr>
              <w:t xml:space="preserve"> janvier 2009. Le Régime ne compte plus que des retraités puisque Vivendi n’a plus d’opérations au Canada reliées à la production et à la distribution de vins et spiritueux.</w:t>
            </w:r>
          </w:p>
          <w:p w:rsidR="00EC5C7E" w:rsidRPr="002C3704" w:rsidRDefault="00EC5C7E" w:rsidP="005F6378">
            <w:pPr>
              <w:jc w:val="both"/>
              <w:rPr>
                <w:rFonts w:eastAsia="Calibri"/>
                <w:sz w:val="20"/>
                <w:lang w:val="fr-CA"/>
              </w:rPr>
            </w:pPr>
          </w:p>
        </w:tc>
      </w:tr>
      <w:tr w:rsidR="00EC5C7E" w:rsidRPr="003626B6" w:rsidTr="005F6378">
        <w:tc>
          <w:tcPr>
            <w:tcW w:w="2427" w:type="pct"/>
          </w:tcPr>
          <w:p w:rsidR="00EC5C7E" w:rsidRPr="002C3704" w:rsidRDefault="00EC5C7E" w:rsidP="005F6378">
            <w:pPr>
              <w:jc w:val="both"/>
              <w:rPr>
                <w:rFonts w:eastAsia="Calibri"/>
                <w:sz w:val="20"/>
                <w:lang w:val="fr-CA"/>
              </w:rPr>
            </w:pPr>
            <w:r w:rsidRPr="002C3704">
              <w:rPr>
                <w:rFonts w:eastAsia="Calibri"/>
                <w:sz w:val="20"/>
                <w:lang w:val="fr-CA"/>
              </w:rPr>
              <w:lastRenderedPageBreak/>
              <w:t>Le 3 août 2010</w:t>
            </w:r>
          </w:p>
          <w:p w:rsidR="00EC5C7E" w:rsidRPr="002C3704" w:rsidRDefault="00EC5C7E" w:rsidP="005F6378">
            <w:pPr>
              <w:jc w:val="both"/>
              <w:rPr>
                <w:rFonts w:eastAsia="Calibri"/>
                <w:sz w:val="20"/>
                <w:lang w:val="fr-CA"/>
              </w:rPr>
            </w:pPr>
            <w:r w:rsidRPr="002C3704">
              <w:rPr>
                <w:rFonts w:eastAsia="Calibri"/>
                <w:sz w:val="20"/>
                <w:lang w:val="fr-CA"/>
              </w:rPr>
              <w:t>Cour supérieure du Québec</w:t>
            </w:r>
          </w:p>
          <w:p w:rsidR="00EC5C7E" w:rsidRPr="002C3704" w:rsidRDefault="00EC5C7E" w:rsidP="005F6378">
            <w:pPr>
              <w:jc w:val="both"/>
              <w:rPr>
                <w:rFonts w:eastAsia="Calibri"/>
                <w:sz w:val="20"/>
                <w:lang w:val="fr-CA"/>
              </w:rPr>
            </w:pPr>
            <w:r w:rsidRPr="002C3704">
              <w:rPr>
                <w:rFonts w:eastAsia="Calibri"/>
                <w:sz w:val="20"/>
                <w:lang w:val="fr-CA"/>
              </w:rPr>
              <w:t>(Le juge Mayer)</w:t>
            </w:r>
          </w:p>
          <w:p w:rsidR="00EC5C7E" w:rsidRPr="002C3704" w:rsidRDefault="00EC5C7E" w:rsidP="005F6378">
            <w:pPr>
              <w:jc w:val="both"/>
              <w:rPr>
                <w:rFonts w:eastAsia="Calibri"/>
                <w:sz w:val="20"/>
                <w:lang w:val="fr-CA"/>
              </w:rPr>
            </w:pPr>
            <w:r w:rsidRPr="002C3704">
              <w:rPr>
                <w:rFonts w:eastAsia="Calibri"/>
                <w:sz w:val="20"/>
                <w:lang w:val="fr-CA"/>
              </w:rPr>
              <w:t>2010 QCCS 3416</w:t>
            </w:r>
          </w:p>
          <w:p w:rsidR="00EC5C7E" w:rsidRPr="002C3704" w:rsidRDefault="00EC5C7E" w:rsidP="005F6378">
            <w:pPr>
              <w:jc w:val="both"/>
              <w:rPr>
                <w:rFonts w:eastAsia="Calibri"/>
                <w:sz w:val="20"/>
              </w:rPr>
            </w:pPr>
          </w:p>
        </w:tc>
        <w:tc>
          <w:tcPr>
            <w:tcW w:w="243" w:type="pct"/>
          </w:tcPr>
          <w:p w:rsidR="00EC5C7E" w:rsidRPr="002C3704" w:rsidRDefault="00EC5C7E" w:rsidP="005F6378">
            <w:pPr>
              <w:jc w:val="both"/>
              <w:rPr>
                <w:rFonts w:eastAsia="Calibri"/>
                <w:sz w:val="20"/>
              </w:rPr>
            </w:pPr>
          </w:p>
        </w:tc>
        <w:tc>
          <w:tcPr>
            <w:tcW w:w="2330" w:type="pct"/>
          </w:tcPr>
          <w:p w:rsidR="00EC5C7E" w:rsidRPr="002C3704" w:rsidRDefault="00EC5C7E" w:rsidP="005F6378">
            <w:pPr>
              <w:jc w:val="both"/>
              <w:rPr>
                <w:rFonts w:eastAsia="Calibri"/>
                <w:sz w:val="20"/>
                <w:lang w:val="fr-CA"/>
              </w:rPr>
            </w:pPr>
            <w:r w:rsidRPr="002C3704">
              <w:rPr>
                <w:rFonts w:eastAsia="Calibri"/>
                <w:sz w:val="20"/>
                <w:lang w:val="fr-CA"/>
              </w:rPr>
              <w:t>Requête pour autoriser un recours collectif contre Vivendi refusé.</w:t>
            </w:r>
          </w:p>
          <w:p w:rsidR="00EC5C7E" w:rsidRPr="002C3704" w:rsidRDefault="00EC5C7E" w:rsidP="005F6378">
            <w:pPr>
              <w:jc w:val="both"/>
              <w:rPr>
                <w:rFonts w:eastAsia="Calibri"/>
                <w:sz w:val="20"/>
                <w:lang w:val="fr-CA"/>
              </w:rPr>
            </w:pPr>
          </w:p>
        </w:tc>
      </w:tr>
      <w:tr w:rsidR="00EC5C7E" w:rsidRPr="002C3704" w:rsidTr="005F6378">
        <w:tc>
          <w:tcPr>
            <w:tcW w:w="2427" w:type="pct"/>
          </w:tcPr>
          <w:p w:rsidR="00EC5C7E" w:rsidRPr="002C3704" w:rsidRDefault="00EC5C7E" w:rsidP="005F6378">
            <w:pPr>
              <w:jc w:val="both"/>
              <w:rPr>
                <w:rFonts w:eastAsia="Calibri"/>
                <w:sz w:val="20"/>
                <w:lang w:val="fr-CA"/>
              </w:rPr>
            </w:pPr>
            <w:r w:rsidRPr="002C3704">
              <w:rPr>
                <w:rFonts w:eastAsia="Calibri"/>
                <w:sz w:val="20"/>
                <w:lang w:val="fr-CA"/>
              </w:rPr>
              <w:t>Le 29 février 2012</w:t>
            </w:r>
          </w:p>
          <w:p w:rsidR="00EC5C7E" w:rsidRPr="002C3704" w:rsidRDefault="00EC5C7E" w:rsidP="005F6378">
            <w:pPr>
              <w:jc w:val="both"/>
              <w:rPr>
                <w:rFonts w:eastAsia="Calibri"/>
                <w:sz w:val="20"/>
                <w:lang w:val="fr-CA"/>
              </w:rPr>
            </w:pPr>
            <w:r w:rsidRPr="002C3704">
              <w:rPr>
                <w:rFonts w:eastAsia="Calibri"/>
                <w:sz w:val="20"/>
                <w:lang w:val="fr-CA"/>
              </w:rPr>
              <w:t>Cour d’appel du Québec (Montréal)</w:t>
            </w:r>
          </w:p>
          <w:p w:rsidR="00EC5C7E" w:rsidRPr="002C3704" w:rsidRDefault="00EC5C7E" w:rsidP="005F6378">
            <w:pPr>
              <w:jc w:val="both"/>
              <w:rPr>
                <w:rFonts w:eastAsia="Calibri"/>
                <w:sz w:val="20"/>
                <w:lang w:val="fr-CA"/>
              </w:rPr>
            </w:pPr>
            <w:r w:rsidRPr="002C3704">
              <w:rPr>
                <w:rFonts w:eastAsia="Calibri"/>
                <w:sz w:val="20"/>
                <w:lang w:val="fr-CA"/>
              </w:rPr>
              <w:t>(Les juges Chamberland, Rochon et Léger)</w:t>
            </w:r>
          </w:p>
          <w:p w:rsidR="00EC5C7E" w:rsidRPr="002C3704" w:rsidRDefault="00EC5C7E" w:rsidP="005F6378">
            <w:pPr>
              <w:jc w:val="both"/>
              <w:rPr>
                <w:rFonts w:eastAsia="Calibri"/>
                <w:sz w:val="20"/>
                <w:lang w:val="fr-CA"/>
              </w:rPr>
            </w:pPr>
            <w:r w:rsidRPr="002C3704">
              <w:rPr>
                <w:rFonts w:eastAsia="Calibri"/>
                <w:sz w:val="20"/>
                <w:lang w:val="fr-CA"/>
              </w:rPr>
              <w:t>2012 QCCA 384</w:t>
            </w:r>
          </w:p>
          <w:p w:rsidR="00EC5C7E" w:rsidRPr="002C3704" w:rsidRDefault="00EC5C7E" w:rsidP="005F6378">
            <w:pPr>
              <w:jc w:val="both"/>
              <w:rPr>
                <w:rFonts w:eastAsia="Calibri"/>
                <w:sz w:val="20"/>
                <w:lang w:val="fr-CA"/>
              </w:rPr>
            </w:pPr>
          </w:p>
        </w:tc>
        <w:tc>
          <w:tcPr>
            <w:tcW w:w="243" w:type="pct"/>
          </w:tcPr>
          <w:p w:rsidR="00EC5C7E" w:rsidRPr="002C3704" w:rsidRDefault="00EC5C7E" w:rsidP="005F6378">
            <w:pPr>
              <w:jc w:val="both"/>
              <w:rPr>
                <w:rFonts w:eastAsia="Calibri"/>
                <w:sz w:val="20"/>
                <w:lang w:val="fr-CA"/>
              </w:rPr>
            </w:pPr>
          </w:p>
        </w:tc>
        <w:tc>
          <w:tcPr>
            <w:tcW w:w="2330" w:type="pct"/>
          </w:tcPr>
          <w:p w:rsidR="00EC5C7E" w:rsidRPr="002C3704" w:rsidRDefault="00EC5C7E" w:rsidP="005F6378">
            <w:pPr>
              <w:jc w:val="both"/>
              <w:rPr>
                <w:rFonts w:eastAsia="Calibri"/>
                <w:sz w:val="20"/>
                <w:lang w:val="fr-CA"/>
              </w:rPr>
            </w:pPr>
            <w:r w:rsidRPr="002C3704">
              <w:rPr>
                <w:rFonts w:eastAsia="Calibri"/>
                <w:sz w:val="20"/>
                <w:lang w:val="fr-CA"/>
              </w:rPr>
              <w:t>Appel accueilli.</w:t>
            </w:r>
          </w:p>
          <w:p w:rsidR="00EC5C7E" w:rsidRPr="002C3704" w:rsidRDefault="00EC5C7E" w:rsidP="005F6378">
            <w:pPr>
              <w:jc w:val="both"/>
              <w:rPr>
                <w:rFonts w:eastAsia="Calibri"/>
                <w:sz w:val="20"/>
                <w:lang w:val="fr-CA"/>
              </w:rPr>
            </w:pPr>
          </w:p>
        </w:tc>
      </w:tr>
      <w:tr w:rsidR="00EC5C7E" w:rsidRPr="002C3704" w:rsidTr="005F6378">
        <w:tc>
          <w:tcPr>
            <w:tcW w:w="2427" w:type="pct"/>
          </w:tcPr>
          <w:p w:rsidR="00EC5C7E" w:rsidRPr="002C3704" w:rsidRDefault="00EC5C7E" w:rsidP="005F6378">
            <w:pPr>
              <w:jc w:val="both"/>
              <w:rPr>
                <w:rFonts w:eastAsia="Calibri"/>
                <w:sz w:val="20"/>
                <w:lang w:val="fr-CA"/>
              </w:rPr>
            </w:pPr>
            <w:r w:rsidRPr="002C3704">
              <w:rPr>
                <w:rFonts w:eastAsia="Calibri"/>
                <w:sz w:val="20"/>
                <w:lang w:val="fr-CA"/>
              </w:rPr>
              <w:t>Le 30 avril 2012</w:t>
            </w:r>
          </w:p>
          <w:p w:rsidR="00EC5C7E" w:rsidRPr="002C3704" w:rsidRDefault="00EC5C7E" w:rsidP="005F6378">
            <w:pPr>
              <w:jc w:val="both"/>
              <w:rPr>
                <w:rFonts w:eastAsia="Calibri"/>
                <w:sz w:val="20"/>
                <w:lang w:val="fr-CA"/>
              </w:rPr>
            </w:pPr>
            <w:r w:rsidRPr="002C3704">
              <w:rPr>
                <w:rFonts w:eastAsia="Calibri"/>
                <w:sz w:val="20"/>
                <w:lang w:val="fr-CA"/>
              </w:rPr>
              <w:t>Cour suprême du Canada</w:t>
            </w:r>
          </w:p>
        </w:tc>
        <w:tc>
          <w:tcPr>
            <w:tcW w:w="243" w:type="pct"/>
          </w:tcPr>
          <w:p w:rsidR="00EC5C7E" w:rsidRPr="002C3704" w:rsidRDefault="00EC5C7E" w:rsidP="005F6378">
            <w:pPr>
              <w:jc w:val="both"/>
              <w:rPr>
                <w:rFonts w:eastAsia="Calibri"/>
                <w:sz w:val="20"/>
                <w:lang w:val="fr-CA"/>
              </w:rPr>
            </w:pPr>
          </w:p>
        </w:tc>
        <w:tc>
          <w:tcPr>
            <w:tcW w:w="2330" w:type="pct"/>
          </w:tcPr>
          <w:p w:rsidR="00EC5C7E" w:rsidRPr="002C3704" w:rsidRDefault="00EC5C7E" w:rsidP="005F6378">
            <w:pPr>
              <w:jc w:val="both"/>
              <w:rPr>
                <w:rFonts w:eastAsia="Calibri"/>
                <w:sz w:val="20"/>
                <w:lang w:val="fr-CA"/>
              </w:rPr>
            </w:pPr>
            <w:r w:rsidRPr="002C3704">
              <w:rPr>
                <w:rFonts w:eastAsia="Calibri"/>
                <w:sz w:val="20"/>
                <w:lang w:val="fr-CA"/>
              </w:rPr>
              <w:t>Demande d'autorisation d'appel déposée</w:t>
            </w:r>
          </w:p>
          <w:p w:rsidR="00EC5C7E" w:rsidRPr="002C3704" w:rsidRDefault="00EC5C7E" w:rsidP="005F6378">
            <w:pPr>
              <w:jc w:val="both"/>
              <w:rPr>
                <w:rFonts w:eastAsia="Calibri"/>
                <w:sz w:val="20"/>
                <w:lang w:val="fr-CA"/>
              </w:rPr>
            </w:pPr>
          </w:p>
        </w:tc>
      </w:tr>
    </w:tbl>
    <w:p w:rsidR="005737AF" w:rsidRDefault="005737AF" w:rsidP="005737AF">
      <w:pPr>
        <w:rPr>
          <w:sz w:val="20"/>
          <w:szCs w:val="20"/>
        </w:rPr>
      </w:pPr>
    </w:p>
    <w:p w:rsidR="005737AF" w:rsidRDefault="007333FF" w:rsidP="005737AF">
      <w:pPr>
        <w:rPr>
          <w:sz w:val="20"/>
          <w:szCs w:val="20"/>
        </w:rPr>
      </w:pPr>
      <w:r w:rsidRPr="007333FF">
        <w:rPr>
          <w:sz w:val="20"/>
          <w:szCs w:val="20"/>
          <w:lang w:val="fr-CA"/>
        </w:rPr>
        <w:pict>
          <v:rect id="_x0000_i1075" style="width:2in;height:1pt" o:hrpct="0" o:hralign="center" o:hrstd="t" o:hrnoshade="t" o:hr="t" fillcolor="black [3213]" stroked="f"/>
        </w:pict>
      </w:r>
    </w:p>
    <w:p w:rsidR="005737AF" w:rsidRDefault="005737AF" w:rsidP="005737A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40E20" w:rsidRPr="00FB1C1D" w:rsidTr="001B2036">
        <w:trPr>
          <w:cantSplit/>
        </w:trPr>
        <w:tc>
          <w:tcPr>
            <w:tcW w:w="1458" w:type="dxa"/>
          </w:tcPr>
          <w:p w:rsidR="00F40E20" w:rsidRPr="00FB1C1D" w:rsidRDefault="00F40E20" w:rsidP="001B2036">
            <w:pPr>
              <w:rPr>
                <w:sz w:val="20"/>
                <w:szCs w:val="20"/>
              </w:rPr>
            </w:pPr>
            <w:r w:rsidRPr="00FB1C1D">
              <w:rPr>
                <w:rStyle w:val="SCCFileNumberChar"/>
                <w:sz w:val="20"/>
                <w:szCs w:val="20"/>
              </w:rPr>
              <w:t>34842</w:t>
            </w:r>
          </w:p>
          <w:p w:rsidR="00F40E20" w:rsidRPr="00FB1C1D" w:rsidRDefault="00F40E20" w:rsidP="001B2036">
            <w:pPr>
              <w:rPr>
                <w:b/>
                <w:sz w:val="20"/>
                <w:szCs w:val="20"/>
                <w:lang w:val="fr-CA"/>
              </w:rPr>
            </w:pPr>
          </w:p>
        </w:tc>
        <w:tc>
          <w:tcPr>
            <w:tcW w:w="8118" w:type="dxa"/>
          </w:tcPr>
          <w:p w:rsidR="00F40E20" w:rsidRPr="00FB1C1D" w:rsidRDefault="00F40E20" w:rsidP="001B2036">
            <w:pPr>
              <w:rPr>
                <w:sz w:val="20"/>
                <w:szCs w:val="20"/>
              </w:rPr>
            </w:pPr>
            <w:r w:rsidRPr="00F40E20">
              <w:rPr>
                <w:rStyle w:val="SCCLsocChar"/>
                <w:sz w:val="20"/>
                <w:szCs w:val="20"/>
                <w:lang w:val="en-CA"/>
              </w:rPr>
              <w:t>T.G. v. Minister of Community Services and R.C.</w:t>
            </w:r>
            <w:r w:rsidRPr="00FB1C1D">
              <w:rPr>
                <w:sz w:val="20"/>
                <w:szCs w:val="20"/>
              </w:rPr>
              <w:t xml:space="preserve"> (N.S.) (Civil) (By Leave)</w:t>
            </w:r>
          </w:p>
          <w:p w:rsidR="00F40E20" w:rsidRPr="00FB1C1D" w:rsidRDefault="00F40E20" w:rsidP="001B2036">
            <w:pPr>
              <w:rPr>
                <w:sz w:val="20"/>
                <w:szCs w:val="20"/>
              </w:rPr>
            </w:pPr>
          </w:p>
        </w:tc>
      </w:tr>
      <w:tr w:rsidR="00F40E20" w:rsidRPr="00FB1C1D" w:rsidTr="001B2036">
        <w:trPr>
          <w:cantSplit/>
        </w:trPr>
        <w:tc>
          <w:tcPr>
            <w:tcW w:w="1458" w:type="dxa"/>
          </w:tcPr>
          <w:p w:rsidR="00F40E20" w:rsidRPr="00FB1C1D" w:rsidRDefault="00F40E20" w:rsidP="001B2036">
            <w:pPr>
              <w:rPr>
                <w:sz w:val="20"/>
                <w:szCs w:val="20"/>
              </w:rPr>
            </w:pPr>
            <w:r w:rsidRPr="00FB1C1D">
              <w:rPr>
                <w:sz w:val="20"/>
                <w:szCs w:val="20"/>
              </w:rPr>
              <w:t>Coram :</w:t>
            </w:r>
          </w:p>
        </w:tc>
        <w:tc>
          <w:tcPr>
            <w:tcW w:w="8118" w:type="dxa"/>
          </w:tcPr>
          <w:p w:rsidR="00F40E20" w:rsidRPr="00FB1C1D" w:rsidRDefault="00F40E20" w:rsidP="001B2036">
            <w:pPr>
              <w:rPr>
                <w:sz w:val="20"/>
                <w:szCs w:val="20"/>
              </w:rPr>
            </w:pPr>
            <w:r w:rsidRPr="00F40E20">
              <w:rPr>
                <w:rStyle w:val="SCCCoramChar"/>
                <w:sz w:val="20"/>
                <w:szCs w:val="20"/>
                <w:lang w:val="en-CA"/>
              </w:rPr>
              <w:t>LeBel, Abella and Cromwell JJ.</w:t>
            </w:r>
          </w:p>
          <w:p w:rsidR="00F40E20" w:rsidRPr="00FB1C1D" w:rsidRDefault="00F40E20" w:rsidP="001B2036">
            <w:pPr>
              <w:rPr>
                <w:sz w:val="20"/>
                <w:szCs w:val="20"/>
                <w:u w:val="single"/>
              </w:rPr>
            </w:pPr>
          </w:p>
        </w:tc>
      </w:tr>
      <w:tr w:rsidR="00F40E20" w:rsidRPr="003626B6" w:rsidTr="001B2036">
        <w:trPr>
          <w:cantSplit/>
        </w:trPr>
        <w:tc>
          <w:tcPr>
            <w:tcW w:w="9576" w:type="dxa"/>
            <w:gridSpan w:val="2"/>
          </w:tcPr>
          <w:p w:rsidR="00F40E20" w:rsidRPr="00FB1C1D" w:rsidRDefault="00F40E20" w:rsidP="001B2036">
            <w:pPr>
              <w:pStyle w:val="SCCShortJudgment"/>
              <w:rPr>
                <w:szCs w:val="20"/>
              </w:rPr>
            </w:pPr>
            <w:r w:rsidRPr="00FB1C1D">
              <w:rPr>
                <w:szCs w:val="20"/>
              </w:rPr>
              <w:t>The application for leave to appeal from the judgment of the Nova Scotia Court of Appeal, Numbers CA 355869 and 375447, 2012 NSCA 43, dated May 2, 2012, is dismissed without costs.</w:t>
            </w:r>
          </w:p>
          <w:p w:rsidR="00F40E20" w:rsidRPr="00FB1C1D" w:rsidRDefault="00F40E20" w:rsidP="001B2036">
            <w:pPr>
              <w:pStyle w:val="SCCShortJudgment"/>
              <w:ind w:firstLine="0"/>
              <w:rPr>
                <w:szCs w:val="20"/>
              </w:rPr>
            </w:pPr>
          </w:p>
          <w:p w:rsidR="00F40E20" w:rsidRPr="00FB1C1D" w:rsidRDefault="00F40E20" w:rsidP="001B2036">
            <w:pPr>
              <w:pStyle w:val="SCCShortJudgment"/>
              <w:rPr>
                <w:szCs w:val="20"/>
                <w:lang w:val="fr-CA"/>
              </w:rPr>
            </w:pPr>
            <w:r w:rsidRPr="00FB1C1D">
              <w:rPr>
                <w:szCs w:val="20"/>
                <w:lang w:val="fr-CA"/>
              </w:rPr>
              <w:t>La demande d’autorisation d’appel de l’arrêt de la Cour d’appel de la Nouvelle-Écosse, numéros CA 355869 et 375447, 2012 NSCA 43, daté du 2 mai 2012, est rejetée sans dépens.</w:t>
            </w:r>
          </w:p>
        </w:tc>
      </w:tr>
    </w:tbl>
    <w:p w:rsidR="005737AF" w:rsidRPr="00F40E20" w:rsidRDefault="005737AF" w:rsidP="005737AF">
      <w:pPr>
        <w:rPr>
          <w:sz w:val="20"/>
          <w:szCs w:val="20"/>
          <w:lang w:val="fr-CA"/>
        </w:rPr>
      </w:pPr>
    </w:p>
    <w:p w:rsidR="005737AF" w:rsidRPr="001B157C" w:rsidRDefault="005737AF" w:rsidP="005737AF">
      <w:pPr>
        <w:rPr>
          <w:sz w:val="20"/>
          <w:szCs w:val="20"/>
          <w:u w:val="single"/>
        </w:rPr>
      </w:pPr>
      <w:r w:rsidRPr="001B157C">
        <w:rPr>
          <w:sz w:val="20"/>
          <w:szCs w:val="20"/>
          <w:u w:val="single"/>
        </w:rPr>
        <w:t>CASE SUMMARY</w:t>
      </w:r>
    </w:p>
    <w:p w:rsidR="005737AF" w:rsidRDefault="005737AF" w:rsidP="005737A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B2036" w:rsidRPr="002C3704" w:rsidTr="001B2036">
        <w:tc>
          <w:tcPr>
            <w:tcW w:w="5000" w:type="pct"/>
            <w:gridSpan w:val="3"/>
          </w:tcPr>
          <w:p w:rsidR="001B2036" w:rsidRPr="002C3704" w:rsidRDefault="001B2036" w:rsidP="001B2036">
            <w:pPr>
              <w:pStyle w:val="SCCBanSummary"/>
              <w:rPr>
                <w:sz w:val="20"/>
                <w:szCs w:val="20"/>
              </w:rPr>
            </w:pPr>
            <w:r w:rsidRPr="002C3704">
              <w:rPr>
                <w:sz w:val="20"/>
                <w:szCs w:val="20"/>
              </w:rPr>
              <w:t>(Publication Ban in Case) (Publication Ban on Party) (Court File Contains Information That is not Available for Inspection by the Public)</w:t>
            </w:r>
          </w:p>
          <w:p w:rsidR="001B2036" w:rsidRPr="002C3704" w:rsidRDefault="001B2036" w:rsidP="001B2036">
            <w:pPr>
              <w:jc w:val="both"/>
              <w:rPr>
                <w:sz w:val="20"/>
              </w:rPr>
            </w:pPr>
          </w:p>
          <w:p w:rsidR="001B2036" w:rsidRPr="002C3704" w:rsidRDefault="001B2036" w:rsidP="001B2036">
            <w:pPr>
              <w:jc w:val="both"/>
              <w:rPr>
                <w:sz w:val="20"/>
              </w:rPr>
            </w:pPr>
            <w:r w:rsidRPr="002C3704">
              <w:rPr>
                <w:sz w:val="20"/>
              </w:rPr>
              <w:t>Family law – Adoption – Judicial review - What is the appropriate weight that courts in Canada are to give to factors of culture, race or language in considering whether an adoption placement is within the best interests of the child? What is the content of the duty of procedural fairness owed by adoption agencies in Canada to foster parents seeking to adopt a child in his or her care?</w:t>
            </w:r>
          </w:p>
        </w:tc>
      </w:tr>
      <w:tr w:rsidR="001B2036" w:rsidRPr="002C3704" w:rsidTr="001B2036">
        <w:tc>
          <w:tcPr>
            <w:tcW w:w="5000" w:type="pct"/>
            <w:gridSpan w:val="3"/>
          </w:tcPr>
          <w:p w:rsidR="001B2036" w:rsidRPr="002C3704" w:rsidRDefault="001B2036" w:rsidP="001B2036">
            <w:pPr>
              <w:jc w:val="both"/>
              <w:rPr>
                <w:sz w:val="20"/>
              </w:rPr>
            </w:pPr>
          </w:p>
        </w:tc>
      </w:tr>
      <w:tr w:rsidR="001B2036" w:rsidRPr="002C3704" w:rsidTr="001B2036">
        <w:tc>
          <w:tcPr>
            <w:tcW w:w="5000" w:type="pct"/>
            <w:gridSpan w:val="3"/>
          </w:tcPr>
          <w:p w:rsidR="001B2036" w:rsidRPr="002C3704" w:rsidRDefault="001B2036" w:rsidP="001B2036">
            <w:pPr>
              <w:jc w:val="both"/>
              <w:rPr>
                <w:sz w:val="20"/>
              </w:rPr>
            </w:pPr>
            <w:r w:rsidRPr="002C3704">
              <w:rPr>
                <w:sz w:val="20"/>
              </w:rPr>
              <w:t xml:space="preserve">On May 30, 2011, a Supreme Court order placed R in the permanent care and custody of the Minister under s. 47 of the </w:t>
            </w:r>
            <w:r w:rsidRPr="002C3704">
              <w:rPr>
                <w:i/>
                <w:sz w:val="20"/>
              </w:rPr>
              <w:t>Children and Family Services Act</w:t>
            </w:r>
            <w:r w:rsidRPr="002C3704">
              <w:rPr>
                <w:sz w:val="20"/>
              </w:rPr>
              <w:t>, S.N.S. 1990, c. 5.  This allowed the Minister to place the child for adoption.  An adoption committee met in June 2011, and submissions were heard from TG.  R had been placed with TG as a foster child shortly after his birth.  The Committee decided to place the child with RC, the adoptive mother of R's sisters, who was favoured as an adoptive parent because she and R have the same racial background and because this placement would allow him to be in a family with his sisters.  TG filed a Notice for Judicial Review of the Minister's decision.  Judicial review was granted.  The Minister appealed to the Nova Scotia Court of Appeal.  The appeal was allowed.</w:t>
            </w:r>
          </w:p>
          <w:p w:rsidR="001B2036" w:rsidRPr="002C3704" w:rsidRDefault="001B2036" w:rsidP="001B2036">
            <w:pPr>
              <w:jc w:val="both"/>
              <w:rPr>
                <w:sz w:val="20"/>
              </w:rPr>
            </w:pPr>
          </w:p>
        </w:tc>
      </w:tr>
      <w:tr w:rsidR="001B2036" w:rsidRPr="002C3704" w:rsidTr="001B2036">
        <w:tc>
          <w:tcPr>
            <w:tcW w:w="2427" w:type="pct"/>
          </w:tcPr>
          <w:p w:rsidR="001B2036" w:rsidRPr="002C3704" w:rsidRDefault="001B2036" w:rsidP="001B2036">
            <w:pPr>
              <w:jc w:val="both"/>
              <w:rPr>
                <w:sz w:val="20"/>
              </w:rPr>
            </w:pPr>
            <w:r w:rsidRPr="002C3704">
              <w:rPr>
                <w:sz w:val="20"/>
              </w:rPr>
              <w:t>December 5, 2011</w:t>
            </w:r>
          </w:p>
          <w:p w:rsidR="001B2036" w:rsidRPr="002C3704" w:rsidRDefault="001B2036" w:rsidP="001B2036">
            <w:pPr>
              <w:jc w:val="both"/>
              <w:rPr>
                <w:sz w:val="20"/>
              </w:rPr>
            </w:pPr>
            <w:r w:rsidRPr="002C3704">
              <w:rPr>
                <w:sz w:val="20"/>
              </w:rPr>
              <w:t>Supreme Court of Nova Scotia (Family Division)</w:t>
            </w:r>
          </w:p>
          <w:p w:rsidR="001B2036" w:rsidRPr="002C3704" w:rsidRDefault="001B2036" w:rsidP="001B2036">
            <w:pPr>
              <w:jc w:val="both"/>
              <w:rPr>
                <w:sz w:val="20"/>
              </w:rPr>
            </w:pPr>
            <w:r w:rsidRPr="002C3704">
              <w:rPr>
                <w:sz w:val="20"/>
              </w:rPr>
              <w:t>(Williams J.)</w:t>
            </w:r>
          </w:p>
          <w:p w:rsidR="001B2036" w:rsidRPr="002C3704" w:rsidRDefault="001B2036" w:rsidP="001B2036">
            <w:pPr>
              <w:jc w:val="both"/>
              <w:rPr>
                <w:sz w:val="20"/>
              </w:rPr>
            </w:pPr>
            <w:r w:rsidRPr="002C3704">
              <w:rPr>
                <w:sz w:val="20"/>
              </w:rPr>
              <w:t xml:space="preserve">Neutral citation: 2011 NSSC 497 </w:t>
            </w:r>
          </w:p>
          <w:p w:rsidR="001B2036" w:rsidRPr="002C3704" w:rsidRDefault="001B2036" w:rsidP="001B2036">
            <w:pPr>
              <w:jc w:val="both"/>
              <w:rPr>
                <w:sz w:val="20"/>
              </w:rPr>
            </w:pPr>
          </w:p>
        </w:tc>
        <w:tc>
          <w:tcPr>
            <w:tcW w:w="243" w:type="pct"/>
          </w:tcPr>
          <w:p w:rsidR="001B2036" w:rsidRPr="002C3704" w:rsidRDefault="001B2036" w:rsidP="001B2036">
            <w:pPr>
              <w:jc w:val="both"/>
              <w:rPr>
                <w:sz w:val="20"/>
              </w:rPr>
            </w:pPr>
          </w:p>
        </w:tc>
        <w:tc>
          <w:tcPr>
            <w:tcW w:w="2330" w:type="pct"/>
          </w:tcPr>
          <w:p w:rsidR="001B2036" w:rsidRPr="002C3704" w:rsidRDefault="001B2036" w:rsidP="001B2036">
            <w:pPr>
              <w:jc w:val="both"/>
              <w:rPr>
                <w:sz w:val="20"/>
              </w:rPr>
            </w:pPr>
            <w:r w:rsidRPr="002C3704">
              <w:rPr>
                <w:sz w:val="20"/>
              </w:rPr>
              <w:t>Judicial review of choice of adoption placement granted; decision quashed and directions given for adoption placement decision</w:t>
            </w:r>
          </w:p>
        </w:tc>
      </w:tr>
      <w:tr w:rsidR="001B2036" w:rsidRPr="002C3704" w:rsidTr="001B2036">
        <w:tc>
          <w:tcPr>
            <w:tcW w:w="2427" w:type="pct"/>
          </w:tcPr>
          <w:p w:rsidR="001B2036" w:rsidRPr="002C3704" w:rsidRDefault="001B2036" w:rsidP="001B2036">
            <w:pPr>
              <w:jc w:val="both"/>
              <w:rPr>
                <w:sz w:val="20"/>
              </w:rPr>
            </w:pPr>
            <w:r w:rsidRPr="002C3704">
              <w:rPr>
                <w:sz w:val="20"/>
              </w:rPr>
              <w:t>May 2, 2012</w:t>
            </w:r>
          </w:p>
          <w:p w:rsidR="001B2036" w:rsidRPr="002C3704" w:rsidRDefault="001B2036" w:rsidP="001B2036">
            <w:pPr>
              <w:jc w:val="both"/>
              <w:rPr>
                <w:sz w:val="20"/>
              </w:rPr>
            </w:pPr>
            <w:r w:rsidRPr="002C3704">
              <w:rPr>
                <w:sz w:val="20"/>
              </w:rPr>
              <w:t>Nova Scotia Court of Appeal</w:t>
            </w:r>
          </w:p>
          <w:p w:rsidR="001B2036" w:rsidRPr="002C3704" w:rsidRDefault="001B2036" w:rsidP="001B2036">
            <w:pPr>
              <w:jc w:val="both"/>
              <w:rPr>
                <w:sz w:val="20"/>
              </w:rPr>
            </w:pPr>
            <w:r w:rsidRPr="002C3704">
              <w:rPr>
                <w:sz w:val="20"/>
              </w:rPr>
              <w:t>(Fichaud Joel E.)</w:t>
            </w:r>
          </w:p>
          <w:p w:rsidR="001B2036" w:rsidRPr="002C3704" w:rsidRDefault="001B2036" w:rsidP="001B2036">
            <w:pPr>
              <w:jc w:val="both"/>
              <w:rPr>
                <w:sz w:val="20"/>
              </w:rPr>
            </w:pPr>
            <w:r w:rsidRPr="002C3704">
              <w:rPr>
                <w:sz w:val="20"/>
              </w:rPr>
              <w:t xml:space="preserve">Neutral citation: </w:t>
            </w:r>
          </w:p>
          <w:p w:rsidR="001B2036" w:rsidRPr="002C3704" w:rsidRDefault="001B2036" w:rsidP="001B2036">
            <w:pPr>
              <w:jc w:val="both"/>
              <w:rPr>
                <w:sz w:val="20"/>
              </w:rPr>
            </w:pPr>
          </w:p>
        </w:tc>
        <w:tc>
          <w:tcPr>
            <w:tcW w:w="243" w:type="pct"/>
          </w:tcPr>
          <w:p w:rsidR="001B2036" w:rsidRPr="002C3704" w:rsidRDefault="001B2036" w:rsidP="001B2036">
            <w:pPr>
              <w:jc w:val="both"/>
              <w:rPr>
                <w:sz w:val="20"/>
              </w:rPr>
            </w:pPr>
          </w:p>
        </w:tc>
        <w:tc>
          <w:tcPr>
            <w:tcW w:w="2330" w:type="pct"/>
          </w:tcPr>
          <w:p w:rsidR="001B2036" w:rsidRPr="002C3704" w:rsidRDefault="001B2036" w:rsidP="001B2036">
            <w:pPr>
              <w:jc w:val="both"/>
              <w:rPr>
                <w:sz w:val="20"/>
              </w:rPr>
            </w:pPr>
            <w:r w:rsidRPr="002C3704">
              <w:rPr>
                <w:sz w:val="20"/>
              </w:rPr>
              <w:t>Appeal against order for judicial review allowed; order set aside and notice for judicial review dismissed</w:t>
            </w:r>
          </w:p>
          <w:p w:rsidR="001B2036" w:rsidRPr="002C3704" w:rsidRDefault="001B2036" w:rsidP="001B2036">
            <w:pPr>
              <w:jc w:val="both"/>
              <w:rPr>
                <w:sz w:val="20"/>
              </w:rPr>
            </w:pPr>
          </w:p>
        </w:tc>
      </w:tr>
      <w:tr w:rsidR="001B2036" w:rsidRPr="002C3704" w:rsidTr="001B2036">
        <w:tc>
          <w:tcPr>
            <w:tcW w:w="2427" w:type="pct"/>
          </w:tcPr>
          <w:p w:rsidR="001B2036" w:rsidRPr="002C3704" w:rsidRDefault="001B2036" w:rsidP="001B2036">
            <w:pPr>
              <w:jc w:val="both"/>
              <w:rPr>
                <w:sz w:val="20"/>
              </w:rPr>
            </w:pPr>
            <w:r w:rsidRPr="002C3704">
              <w:rPr>
                <w:sz w:val="20"/>
              </w:rPr>
              <w:t>May 28, 2012</w:t>
            </w:r>
          </w:p>
          <w:p w:rsidR="001B2036" w:rsidRPr="002C3704" w:rsidRDefault="001B2036" w:rsidP="001B2036">
            <w:pPr>
              <w:jc w:val="both"/>
              <w:rPr>
                <w:sz w:val="20"/>
              </w:rPr>
            </w:pPr>
            <w:r w:rsidRPr="002C3704">
              <w:rPr>
                <w:sz w:val="20"/>
              </w:rPr>
              <w:t>Supreme Court of Canada</w:t>
            </w:r>
          </w:p>
          <w:p w:rsidR="001B2036" w:rsidRPr="002C3704" w:rsidRDefault="001B2036" w:rsidP="001B2036">
            <w:pPr>
              <w:jc w:val="both"/>
              <w:rPr>
                <w:sz w:val="20"/>
              </w:rPr>
            </w:pPr>
          </w:p>
        </w:tc>
        <w:tc>
          <w:tcPr>
            <w:tcW w:w="243" w:type="pct"/>
          </w:tcPr>
          <w:p w:rsidR="001B2036" w:rsidRPr="002C3704" w:rsidRDefault="001B2036" w:rsidP="001B2036">
            <w:pPr>
              <w:jc w:val="both"/>
              <w:rPr>
                <w:sz w:val="20"/>
              </w:rPr>
            </w:pPr>
          </w:p>
        </w:tc>
        <w:tc>
          <w:tcPr>
            <w:tcW w:w="2330" w:type="pct"/>
          </w:tcPr>
          <w:p w:rsidR="001B2036" w:rsidRPr="002C3704" w:rsidRDefault="001B2036" w:rsidP="001B2036">
            <w:pPr>
              <w:jc w:val="both"/>
              <w:rPr>
                <w:sz w:val="20"/>
              </w:rPr>
            </w:pPr>
            <w:r w:rsidRPr="002C3704">
              <w:rPr>
                <w:sz w:val="20"/>
              </w:rPr>
              <w:t>Application for leave to appeal filed</w:t>
            </w:r>
          </w:p>
          <w:p w:rsidR="001B2036" w:rsidRPr="002C3704" w:rsidRDefault="001B2036" w:rsidP="001B2036">
            <w:pPr>
              <w:jc w:val="both"/>
              <w:rPr>
                <w:sz w:val="20"/>
              </w:rPr>
            </w:pPr>
          </w:p>
        </w:tc>
      </w:tr>
      <w:tr w:rsidR="001B2036" w:rsidRPr="002C3704" w:rsidTr="001B2036">
        <w:tc>
          <w:tcPr>
            <w:tcW w:w="2427" w:type="pct"/>
          </w:tcPr>
          <w:p w:rsidR="001B2036" w:rsidRPr="002C3704" w:rsidRDefault="001B2036" w:rsidP="001B2036">
            <w:pPr>
              <w:jc w:val="both"/>
              <w:rPr>
                <w:sz w:val="20"/>
              </w:rPr>
            </w:pPr>
            <w:r w:rsidRPr="002C3704">
              <w:rPr>
                <w:sz w:val="20"/>
              </w:rPr>
              <w:t>June 2, 2012</w:t>
            </w:r>
          </w:p>
          <w:p w:rsidR="001B2036" w:rsidRPr="002C3704" w:rsidRDefault="001B2036" w:rsidP="001B2036">
            <w:pPr>
              <w:jc w:val="both"/>
              <w:rPr>
                <w:sz w:val="20"/>
              </w:rPr>
            </w:pPr>
            <w:r w:rsidRPr="002C3704">
              <w:rPr>
                <w:sz w:val="20"/>
              </w:rPr>
              <w:t>Supreme Court of Canada</w:t>
            </w:r>
          </w:p>
          <w:p w:rsidR="001B2036" w:rsidRPr="002C3704" w:rsidRDefault="001B2036" w:rsidP="001B2036">
            <w:pPr>
              <w:jc w:val="both"/>
              <w:rPr>
                <w:sz w:val="20"/>
              </w:rPr>
            </w:pPr>
            <w:r w:rsidRPr="002C3704">
              <w:rPr>
                <w:sz w:val="20"/>
              </w:rPr>
              <w:t>(Cromwell J.)</w:t>
            </w:r>
          </w:p>
        </w:tc>
        <w:tc>
          <w:tcPr>
            <w:tcW w:w="243" w:type="pct"/>
          </w:tcPr>
          <w:p w:rsidR="001B2036" w:rsidRPr="002C3704" w:rsidRDefault="001B2036" w:rsidP="001B2036">
            <w:pPr>
              <w:jc w:val="both"/>
              <w:rPr>
                <w:sz w:val="20"/>
              </w:rPr>
            </w:pPr>
          </w:p>
        </w:tc>
        <w:tc>
          <w:tcPr>
            <w:tcW w:w="2330" w:type="pct"/>
          </w:tcPr>
          <w:p w:rsidR="001B2036" w:rsidRPr="002C3704" w:rsidRDefault="001B2036" w:rsidP="001B2036">
            <w:pPr>
              <w:jc w:val="both"/>
              <w:rPr>
                <w:sz w:val="20"/>
              </w:rPr>
            </w:pPr>
            <w:r w:rsidRPr="002C3704">
              <w:rPr>
                <w:sz w:val="20"/>
              </w:rPr>
              <w:t>Order to expedite application for leave to appeal</w:t>
            </w:r>
          </w:p>
        </w:tc>
      </w:tr>
    </w:tbl>
    <w:p w:rsidR="005737AF" w:rsidRDefault="005737AF" w:rsidP="005737AF">
      <w:pPr>
        <w:rPr>
          <w:sz w:val="20"/>
          <w:szCs w:val="20"/>
        </w:rPr>
      </w:pPr>
    </w:p>
    <w:p w:rsidR="005737AF" w:rsidRPr="00C50A5C" w:rsidRDefault="007333FF" w:rsidP="005737AF">
      <w:pPr>
        <w:rPr>
          <w:sz w:val="20"/>
          <w:szCs w:val="20"/>
        </w:rPr>
      </w:pPr>
      <w:r w:rsidRPr="007333FF">
        <w:rPr>
          <w:sz w:val="20"/>
          <w:szCs w:val="20"/>
          <w:lang w:val="fr-CA"/>
        </w:rPr>
        <w:pict>
          <v:rect id="_x0000_i1076" style="width:2in;height:1pt" o:hrpct="0" o:hralign="center" o:hrstd="t" o:hrnoshade="t" o:hr="t" fillcolor="black [3213]" stroked="f"/>
        </w:pict>
      </w:r>
    </w:p>
    <w:p w:rsidR="005737AF" w:rsidRDefault="005737AF" w:rsidP="005737AF">
      <w:pPr>
        <w:rPr>
          <w:sz w:val="20"/>
          <w:szCs w:val="20"/>
        </w:rPr>
      </w:pPr>
    </w:p>
    <w:p w:rsidR="005737AF" w:rsidRPr="001B157C" w:rsidRDefault="005737AF" w:rsidP="005737AF">
      <w:pPr>
        <w:rPr>
          <w:sz w:val="20"/>
          <w:szCs w:val="20"/>
          <w:u w:val="single"/>
          <w:lang w:val="fr-CA"/>
        </w:rPr>
      </w:pPr>
      <w:r w:rsidRPr="001B157C">
        <w:rPr>
          <w:sz w:val="20"/>
          <w:szCs w:val="20"/>
          <w:u w:val="single"/>
          <w:lang w:val="fr-CA"/>
        </w:rPr>
        <w:t>RÉSUMÉ DE L’AFFAIRE</w:t>
      </w:r>
    </w:p>
    <w:p w:rsidR="005737AF" w:rsidRDefault="005737AF" w:rsidP="005737AF">
      <w:pPr>
        <w:rPr>
          <w:sz w:val="20"/>
          <w:szCs w:val="20"/>
        </w:rPr>
      </w:pPr>
    </w:p>
    <w:tbl>
      <w:tblPr>
        <w:tblW w:w="4952" w:type="pct"/>
        <w:tblLayout w:type="fixed"/>
        <w:tblCellMar>
          <w:left w:w="0" w:type="dxa"/>
          <w:bottom w:w="99" w:type="dxa"/>
          <w:right w:w="0" w:type="dxa"/>
        </w:tblCellMar>
        <w:tblLook w:val="04A0"/>
      </w:tblPr>
      <w:tblGrid>
        <w:gridCol w:w="9527"/>
      </w:tblGrid>
      <w:tr w:rsidR="001B2036" w:rsidRPr="003626B6" w:rsidTr="001B2036">
        <w:tc>
          <w:tcPr>
            <w:tcW w:w="5000" w:type="pct"/>
          </w:tcPr>
          <w:p w:rsidR="001B2036" w:rsidRPr="002C3704" w:rsidRDefault="001B2036" w:rsidP="001B2036">
            <w:pPr>
              <w:jc w:val="both"/>
              <w:rPr>
                <w:rFonts w:eastAsia="Calibri"/>
                <w:smallCaps/>
                <w:sz w:val="20"/>
                <w:lang w:val="fr-FR"/>
              </w:rPr>
            </w:pPr>
            <w:r w:rsidRPr="002C3704">
              <w:rPr>
                <w:rFonts w:eastAsia="Calibri"/>
                <w:smallCaps/>
                <w:sz w:val="20"/>
                <w:lang w:val="fr-FR"/>
              </w:rPr>
              <w:t>(Ordonnance de non-publication dans le dossier) (</w:t>
            </w:r>
            <w:r w:rsidR="005F6378">
              <w:rPr>
                <w:rFonts w:eastAsia="Calibri"/>
                <w:smallCaps/>
                <w:sz w:val="20"/>
                <w:lang w:val="fr-FR"/>
              </w:rPr>
              <w:t>O</w:t>
            </w:r>
            <w:r w:rsidRPr="002C3704">
              <w:rPr>
                <w:rFonts w:eastAsia="Calibri"/>
                <w:smallCaps/>
                <w:sz w:val="20"/>
                <w:lang w:val="fr-FR"/>
              </w:rPr>
              <w:t>rdonnance de non-publication visant une partie) (Le dossier de la cour renferme des données que le public n’est pas autorisé à consulter)</w:t>
            </w:r>
          </w:p>
          <w:p w:rsidR="001B2036" w:rsidRPr="002C3704" w:rsidRDefault="001B2036" w:rsidP="001B2036">
            <w:pPr>
              <w:jc w:val="both"/>
              <w:rPr>
                <w:rFonts w:eastAsia="Calibri"/>
                <w:smallCaps/>
                <w:sz w:val="20"/>
                <w:lang w:val="fr-FR"/>
              </w:rPr>
            </w:pPr>
          </w:p>
          <w:p w:rsidR="001B2036" w:rsidRPr="002C3704" w:rsidRDefault="001B2036" w:rsidP="001B2036">
            <w:pPr>
              <w:jc w:val="both"/>
              <w:rPr>
                <w:rFonts w:eastAsia="Calibri"/>
                <w:sz w:val="20"/>
                <w:lang w:val="fr-FR"/>
              </w:rPr>
            </w:pPr>
            <w:r w:rsidRPr="002C3704">
              <w:rPr>
                <w:rFonts w:eastAsia="Calibri"/>
                <w:sz w:val="20"/>
                <w:lang w:val="fr-FR"/>
              </w:rPr>
              <w:t>Droit de la famille – Adoption – Contrôle judiciaire – Quel poids les tribunaux canadiens doivent-ils accorder à la culture, à la race ou la langue pour déterminer si le placement dans un foyer adoptif est dans l’intérêt de l’enfant? Que comporte l’obligation d’équité procédurale des agences d’adoption canadiennes envers les parents de famille d’accueil qui veulent adopter l’enfant confié à leurs soins?</w:t>
            </w:r>
          </w:p>
        </w:tc>
      </w:tr>
      <w:tr w:rsidR="001B2036" w:rsidRPr="003626B6" w:rsidTr="001B2036">
        <w:tc>
          <w:tcPr>
            <w:tcW w:w="5000" w:type="pct"/>
          </w:tcPr>
          <w:p w:rsidR="001B2036" w:rsidRPr="002C3704" w:rsidRDefault="001B2036" w:rsidP="001B2036">
            <w:pPr>
              <w:jc w:val="both"/>
              <w:rPr>
                <w:rFonts w:eastAsia="Calibri"/>
                <w:sz w:val="20"/>
                <w:lang w:val="fr-FR"/>
              </w:rPr>
            </w:pPr>
          </w:p>
        </w:tc>
      </w:tr>
      <w:tr w:rsidR="001B2036" w:rsidRPr="002C3704" w:rsidTr="001B2036">
        <w:tc>
          <w:tcPr>
            <w:tcW w:w="5000" w:type="pct"/>
          </w:tcPr>
          <w:p w:rsidR="001B2036" w:rsidRPr="002C3704" w:rsidRDefault="001B2036" w:rsidP="001B2036">
            <w:pPr>
              <w:jc w:val="both"/>
              <w:rPr>
                <w:rFonts w:eastAsia="Calibri"/>
                <w:sz w:val="20"/>
                <w:lang w:val="fr-FR"/>
              </w:rPr>
            </w:pPr>
            <w:r w:rsidRPr="002C3704">
              <w:rPr>
                <w:rFonts w:eastAsia="Calibri"/>
                <w:sz w:val="20"/>
                <w:lang w:val="fr-FR"/>
              </w:rPr>
              <w:t xml:space="preserve">Le 30 mai 2011, la Cour suprême de la Nouvelle-Écosse a placé par ordonnance R sous la tutelle permanente du ministre en application de l’art. 47 de la </w:t>
            </w:r>
            <w:r w:rsidRPr="002C3704">
              <w:rPr>
                <w:rFonts w:eastAsia="Calibri"/>
                <w:i/>
                <w:sz w:val="20"/>
                <w:lang w:val="fr-FR"/>
              </w:rPr>
              <w:t>Children and Family Services Act</w:t>
            </w:r>
            <w:r w:rsidRPr="002C3704">
              <w:rPr>
                <w:rFonts w:eastAsia="Calibri"/>
                <w:sz w:val="20"/>
                <w:lang w:val="fr-FR"/>
              </w:rPr>
              <w:t>, S.N.S. 1990, ch. 5, permettant ainsi au ministre de placer l’enfant pour adoption. Un comité d’adoption s’est réuni en juin 2011, et a entendu les observations de TG. R avait été placé en famille d’accueil chez TG peu de temps après sa naissance. Le Comité a décidé de confier l’enfant à RC, la mère adoptive des sœurs de R, qui a été choisie comme parent adoptif parce qu’elle et R ont les mêmes origines raciales, et que ce placement permettrait à R d’être réuni  avec ses sœurs au sein d’une même famille. TG a déposé un avis de contrôle judiciaire visant la décision du ministre. Le contrôle judiciaire a été accordé. Le ministre a interjeté appel à la Cour d’appel de la Nouvelle-Écosse. L’appel a été accueilli.</w:t>
            </w:r>
          </w:p>
          <w:p w:rsidR="001B2036" w:rsidRPr="002C3704" w:rsidRDefault="001B2036" w:rsidP="001B2036">
            <w:pPr>
              <w:jc w:val="both"/>
              <w:rPr>
                <w:rFonts w:eastAsia="Calibri"/>
                <w:sz w:val="20"/>
                <w:lang w:val="fr-FR"/>
              </w:rPr>
            </w:pPr>
          </w:p>
        </w:tc>
      </w:tr>
    </w:tbl>
    <w:p w:rsidR="005F6378" w:rsidRDefault="005F6378"/>
    <w:tbl>
      <w:tblPr>
        <w:tblW w:w="4952" w:type="pct"/>
        <w:tblLayout w:type="fixed"/>
        <w:tblCellMar>
          <w:left w:w="0" w:type="dxa"/>
          <w:bottom w:w="99" w:type="dxa"/>
          <w:right w:w="0" w:type="dxa"/>
        </w:tblCellMar>
        <w:tblLook w:val="04A0"/>
      </w:tblPr>
      <w:tblGrid>
        <w:gridCol w:w="4624"/>
        <w:gridCol w:w="463"/>
        <w:gridCol w:w="4440"/>
      </w:tblGrid>
      <w:tr w:rsidR="001B2036" w:rsidRPr="003626B6" w:rsidTr="005F6378">
        <w:trPr>
          <w:cantSplit/>
        </w:trPr>
        <w:tc>
          <w:tcPr>
            <w:tcW w:w="2427" w:type="pct"/>
          </w:tcPr>
          <w:p w:rsidR="001B2036" w:rsidRPr="002C3704" w:rsidRDefault="001B2036" w:rsidP="001B2036">
            <w:pPr>
              <w:jc w:val="both"/>
              <w:rPr>
                <w:rFonts w:eastAsia="Calibri"/>
                <w:sz w:val="20"/>
                <w:lang w:val="fr-FR"/>
              </w:rPr>
            </w:pPr>
            <w:r w:rsidRPr="002C3704">
              <w:rPr>
                <w:rFonts w:eastAsia="Calibri"/>
                <w:sz w:val="20"/>
                <w:lang w:val="fr-FR"/>
              </w:rPr>
              <w:lastRenderedPageBreak/>
              <w:t>5 décembre 2011</w:t>
            </w:r>
          </w:p>
          <w:p w:rsidR="001B2036" w:rsidRPr="002C3704" w:rsidRDefault="001B2036" w:rsidP="001B2036">
            <w:pPr>
              <w:rPr>
                <w:rFonts w:eastAsia="Calibri"/>
                <w:sz w:val="20"/>
                <w:lang w:val="fr-FR"/>
              </w:rPr>
            </w:pPr>
            <w:r w:rsidRPr="002C3704">
              <w:rPr>
                <w:rFonts w:eastAsia="Calibri"/>
                <w:sz w:val="20"/>
                <w:lang w:val="fr-FR"/>
              </w:rPr>
              <w:t>Cour suprême de la Nouvelle-Écosse (Division de la famille)</w:t>
            </w:r>
          </w:p>
          <w:p w:rsidR="001B2036" w:rsidRPr="002C3704" w:rsidRDefault="001B2036" w:rsidP="001B2036">
            <w:pPr>
              <w:jc w:val="both"/>
              <w:rPr>
                <w:rFonts w:eastAsia="Calibri"/>
                <w:sz w:val="20"/>
                <w:lang w:val="fr-FR"/>
              </w:rPr>
            </w:pPr>
            <w:r w:rsidRPr="002C3704">
              <w:rPr>
                <w:rFonts w:eastAsia="Calibri"/>
                <w:sz w:val="20"/>
                <w:lang w:val="fr-FR"/>
              </w:rPr>
              <w:t>(Juge Williams)</w:t>
            </w:r>
          </w:p>
          <w:p w:rsidR="001B2036" w:rsidRPr="002C3704" w:rsidRDefault="001B2036" w:rsidP="001B2036">
            <w:pPr>
              <w:jc w:val="both"/>
              <w:rPr>
                <w:rFonts w:eastAsia="Calibri"/>
                <w:sz w:val="20"/>
                <w:lang w:val="fr-FR"/>
              </w:rPr>
            </w:pPr>
            <w:r w:rsidRPr="002C3704">
              <w:rPr>
                <w:rFonts w:eastAsia="Calibri"/>
                <w:sz w:val="20"/>
                <w:lang w:val="fr-FR"/>
              </w:rPr>
              <w:t xml:space="preserve">Référence neutre : 2011 NSSC 497 </w:t>
            </w:r>
          </w:p>
          <w:p w:rsidR="001B2036" w:rsidRPr="002C3704" w:rsidRDefault="001B2036" w:rsidP="001B2036">
            <w:pPr>
              <w:jc w:val="both"/>
              <w:rPr>
                <w:rFonts w:eastAsia="Calibri"/>
                <w:sz w:val="20"/>
                <w:lang w:val="fr-FR"/>
              </w:rPr>
            </w:pPr>
          </w:p>
        </w:tc>
        <w:tc>
          <w:tcPr>
            <w:tcW w:w="243" w:type="pct"/>
          </w:tcPr>
          <w:p w:rsidR="001B2036" w:rsidRPr="002C3704" w:rsidRDefault="001B2036" w:rsidP="001B2036">
            <w:pPr>
              <w:jc w:val="both"/>
              <w:rPr>
                <w:rFonts w:eastAsia="Calibri"/>
                <w:sz w:val="20"/>
                <w:lang w:val="fr-FR"/>
              </w:rPr>
            </w:pPr>
          </w:p>
        </w:tc>
        <w:tc>
          <w:tcPr>
            <w:tcW w:w="2330" w:type="pct"/>
          </w:tcPr>
          <w:p w:rsidR="001B2036" w:rsidRPr="002C3704" w:rsidRDefault="001B2036" w:rsidP="001B2036">
            <w:pPr>
              <w:jc w:val="both"/>
              <w:rPr>
                <w:rFonts w:eastAsia="Calibri"/>
                <w:sz w:val="20"/>
                <w:lang w:val="fr-FR"/>
              </w:rPr>
            </w:pPr>
            <w:r w:rsidRPr="002C3704">
              <w:rPr>
                <w:rFonts w:eastAsia="Calibri"/>
                <w:sz w:val="20"/>
                <w:lang w:val="fr-FR"/>
              </w:rPr>
              <w:t xml:space="preserve">Contrôle judiciaire du choix de la famille d’adoption accordé; décision annulée et directives données pour le placement dans un foyer adoptif </w:t>
            </w:r>
          </w:p>
        </w:tc>
      </w:tr>
      <w:tr w:rsidR="001B2036" w:rsidRPr="003626B6" w:rsidTr="005F6378">
        <w:trPr>
          <w:cantSplit/>
        </w:trPr>
        <w:tc>
          <w:tcPr>
            <w:tcW w:w="2427" w:type="pct"/>
          </w:tcPr>
          <w:p w:rsidR="001B2036" w:rsidRPr="002C3704" w:rsidRDefault="001B2036" w:rsidP="001B2036">
            <w:pPr>
              <w:jc w:val="both"/>
              <w:rPr>
                <w:rFonts w:eastAsia="Calibri"/>
                <w:sz w:val="20"/>
                <w:lang w:val="fr-FR"/>
              </w:rPr>
            </w:pPr>
            <w:r w:rsidRPr="002C3704">
              <w:rPr>
                <w:rFonts w:eastAsia="Calibri"/>
                <w:sz w:val="20"/>
                <w:lang w:val="fr-FR"/>
              </w:rPr>
              <w:t>2 mai 2012</w:t>
            </w:r>
          </w:p>
          <w:p w:rsidR="001B2036" w:rsidRPr="002C3704" w:rsidRDefault="001B2036" w:rsidP="001B2036">
            <w:pPr>
              <w:jc w:val="both"/>
              <w:rPr>
                <w:rFonts w:eastAsia="Calibri"/>
                <w:sz w:val="20"/>
                <w:lang w:val="fr-FR"/>
              </w:rPr>
            </w:pPr>
            <w:r w:rsidRPr="002C3704">
              <w:rPr>
                <w:rFonts w:eastAsia="Calibri"/>
                <w:sz w:val="20"/>
                <w:lang w:val="fr-FR"/>
              </w:rPr>
              <w:t>Cour d’appel de la Nouvelle-Écosse</w:t>
            </w:r>
          </w:p>
          <w:p w:rsidR="001B2036" w:rsidRPr="002C3704" w:rsidRDefault="001B2036" w:rsidP="001B2036">
            <w:pPr>
              <w:jc w:val="both"/>
              <w:rPr>
                <w:rFonts w:eastAsia="Calibri"/>
                <w:sz w:val="20"/>
                <w:lang w:val="fr-FR"/>
              </w:rPr>
            </w:pPr>
            <w:r w:rsidRPr="002C3704">
              <w:rPr>
                <w:rFonts w:eastAsia="Calibri"/>
                <w:sz w:val="20"/>
                <w:lang w:val="fr-FR"/>
              </w:rPr>
              <w:t>(Juges Saunders, Fichaud et Farrar)</w:t>
            </w:r>
          </w:p>
          <w:p w:rsidR="001B2036" w:rsidRPr="002C3704" w:rsidRDefault="001B2036" w:rsidP="001B2036">
            <w:pPr>
              <w:jc w:val="both"/>
              <w:rPr>
                <w:rFonts w:eastAsia="Calibri"/>
                <w:sz w:val="20"/>
                <w:lang w:val="fr-FR"/>
              </w:rPr>
            </w:pPr>
            <w:r w:rsidRPr="002C3704">
              <w:rPr>
                <w:rFonts w:eastAsia="Calibri"/>
                <w:sz w:val="20"/>
                <w:lang w:val="fr-FR"/>
              </w:rPr>
              <w:t xml:space="preserve">Référence neutre : </w:t>
            </w:r>
          </w:p>
          <w:p w:rsidR="001B2036" w:rsidRPr="002C3704" w:rsidRDefault="001B2036" w:rsidP="001B2036">
            <w:pPr>
              <w:jc w:val="both"/>
              <w:rPr>
                <w:rFonts w:eastAsia="Calibri"/>
                <w:sz w:val="20"/>
                <w:lang w:val="fr-FR"/>
              </w:rPr>
            </w:pPr>
          </w:p>
        </w:tc>
        <w:tc>
          <w:tcPr>
            <w:tcW w:w="243" w:type="pct"/>
          </w:tcPr>
          <w:p w:rsidR="001B2036" w:rsidRPr="002C3704" w:rsidRDefault="001B2036" w:rsidP="001B2036">
            <w:pPr>
              <w:jc w:val="both"/>
              <w:rPr>
                <w:rFonts w:eastAsia="Calibri"/>
                <w:sz w:val="20"/>
                <w:lang w:val="fr-FR"/>
              </w:rPr>
            </w:pPr>
          </w:p>
        </w:tc>
        <w:tc>
          <w:tcPr>
            <w:tcW w:w="2330" w:type="pct"/>
          </w:tcPr>
          <w:p w:rsidR="001B2036" w:rsidRPr="002C3704" w:rsidRDefault="001B2036" w:rsidP="001B2036">
            <w:pPr>
              <w:jc w:val="both"/>
              <w:rPr>
                <w:rFonts w:eastAsia="Calibri"/>
                <w:sz w:val="20"/>
                <w:lang w:val="fr-FR"/>
              </w:rPr>
            </w:pPr>
            <w:r w:rsidRPr="002C3704">
              <w:rPr>
                <w:rFonts w:eastAsia="Calibri"/>
                <w:sz w:val="20"/>
                <w:lang w:val="fr-FR"/>
              </w:rPr>
              <w:t>Appel de l’ordonnance de contrôle judiciaire accueilli; ordonnance annulée et avis de contrôle judiciaire rejeté</w:t>
            </w:r>
          </w:p>
          <w:p w:rsidR="001B2036" w:rsidRPr="002C3704" w:rsidRDefault="001B2036" w:rsidP="001B2036">
            <w:pPr>
              <w:jc w:val="both"/>
              <w:rPr>
                <w:rFonts w:eastAsia="Calibri"/>
                <w:sz w:val="20"/>
                <w:lang w:val="fr-FR"/>
              </w:rPr>
            </w:pPr>
          </w:p>
        </w:tc>
      </w:tr>
      <w:tr w:rsidR="001B2036" w:rsidRPr="002C3704" w:rsidTr="005F6378">
        <w:trPr>
          <w:cantSplit/>
        </w:trPr>
        <w:tc>
          <w:tcPr>
            <w:tcW w:w="2427" w:type="pct"/>
          </w:tcPr>
          <w:p w:rsidR="001B2036" w:rsidRPr="0008126C" w:rsidRDefault="001B2036" w:rsidP="001B2036">
            <w:pPr>
              <w:jc w:val="both"/>
              <w:rPr>
                <w:rFonts w:eastAsia="Calibri"/>
                <w:sz w:val="20"/>
                <w:lang w:val="fr-CA"/>
              </w:rPr>
            </w:pPr>
            <w:r w:rsidRPr="0008126C">
              <w:rPr>
                <w:rFonts w:eastAsia="Calibri"/>
                <w:sz w:val="20"/>
                <w:lang w:val="fr-CA"/>
              </w:rPr>
              <w:t>28 mai 2012</w:t>
            </w:r>
          </w:p>
          <w:p w:rsidR="001B2036" w:rsidRPr="0008126C" w:rsidRDefault="001B2036" w:rsidP="001B2036">
            <w:pPr>
              <w:jc w:val="both"/>
              <w:rPr>
                <w:rFonts w:eastAsia="Calibri"/>
                <w:sz w:val="20"/>
                <w:lang w:val="fr-CA"/>
              </w:rPr>
            </w:pPr>
            <w:r w:rsidRPr="0008126C">
              <w:rPr>
                <w:rFonts w:eastAsia="Calibri"/>
                <w:sz w:val="20"/>
                <w:lang w:val="fr-CA"/>
              </w:rPr>
              <w:t>Cour suprême du Canada</w:t>
            </w:r>
          </w:p>
          <w:p w:rsidR="001B2036" w:rsidRPr="002C3704" w:rsidRDefault="001B2036" w:rsidP="001B2036">
            <w:pPr>
              <w:jc w:val="both"/>
              <w:rPr>
                <w:rFonts w:eastAsia="Calibri"/>
                <w:sz w:val="20"/>
              </w:rPr>
            </w:pPr>
          </w:p>
        </w:tc>
        <w:tc>
          <w:tcPr>
            <w:tcW w:w="243" w:type="pct"/>
          </w:tcPr>
          <w:p w:rsidR="001B2036" w:rsidRPr="002C3704" w:rsidRDefault="001B2036" w:rsidP="001B2036">
            <w:pPr>
              <w:jc w:val="both"/>
              <w:rPr>
                <w:rFonts w:eastAsia="Calibri"/>
                <w:sz w:val="20"/>
              </w:rPr>
            </w:pPr>
          </w:p>
        </w:tc>
        <w:tc>
          <w:tcPr>
            <w:tcW w:w="2330" w:type="pct"/>
          </w:tcPr>
          <w:p w:rsidR="001B2036" w:rsidRPr="0008126C" w:rsidRDefault="001B2036" w:rsidP="001B2036">
            <w:pPr>
              <w:jc w:val="both"/>
              <w:rPr>
                <w:rFonts w:eastAsia="Calibri"/>
                <w:sz w:val="20"/>
                <w:lang w:val="fr-CA"/>
              </w:rPr>
            </w:pPr>
            <w:r w:rsidRPr="0008126C">
              <w:rPr>
                <w:rFonts w:eastAsia="Calibri"/>
                <w:sz w:val="20"/>
                <w:lang w:val="fr-CA"/>
              </w:rPr>
              <w:t>Demande d’autorisation d’appel déposée</w:t>
            </w:r>
          </w:p>
          <w:p w:rsidR="001B2036" w:rsidRPr="002C3704" w:rsidRDefault="001B2036" w:rsidP="001B2036">
            <w:pPr>
              <w:jc w:val="both"/>
              <w:rPr>
                <w:rFonts w:eastAsia="Calibri"/>
                <w:sz w:val="20"/>
              </w:rPr>
            </w:pPr>
          </w:p>
        </w:tc>
      </w:tr>
      <w:tr w:rsidR="001B2036" w:rsidRPr="003626B6" w:rsidTr="005F6378">
        <w:trPr>
          <w:cantSplit/>
        </w:trPr>
        <w:tc>
          <w:tcPr>
            <w:tcW w:w="2427" w:type="pct"/>
          </w:tcPr>
          <w:p w:rsidR="001B2036" w:rsidRPr="002C3704" w:rsidRDefault="001B2036" w:rsidP="001B2036">
            <w:pPr>
              <w:jc w:val="both"/>
              <w:rPr>
                <w:rFonts w:eastAsia="Calibri"/>
                <w:sz w:val="20"/>
                <w:lang w:val="fr-FR"/>
              </w:rPr>
            </w:pPr>
            <w:r w:rsidRPr="002C3704">
              <w:rPr>
                <w:rFonts w:eastAsia="Calibri"/>
                <w:sz w:val="20"/>
                <w:lang w:val="fr-FR"/>
              </w:rPr>
              <w:t>2 juin 2012</w:t>
            </w:r>
          </w:p>
          <w:p w:rsidR="001B2036" w:rsidRPr="002C3704" w:rsidRDefault="001B2036" w:rsidP="001B2036">
            <w:pPr>
              <w:jc w:val="both"/>
              <w:rPr>
                <w:rFonts w:eastAsia="Calibri"/>
                <w:sz w:val="20"/>
                <w:lang w:val="fr-FR"/>
              </w:rPr>
            </w:pPr>
            <w:r w:rsidRPr="002C3704">
              <w:rPr>
                <w:rFonts w:eastAsia="Calibri"/>
                <w:sz w:val="20"/>
                <w:lang w:val="fr-FR"/>
              </w:rPr>
              <w:t>Cour suprême du Canada</w:t>
            </w:r>
          </w:p>
          <w:p w:rsidR="001B2036" w:rsidRPr="002C3704" w:rsidRDefault="001B2036" w:rsidP="001B2036">
            <w:pPr>
              <w:jc w:val="both"/>
              <w:rPr>
                <w:rFonts w:eastAsia="Calibri"/>
                <w:sz w:val="20"/>
                <w:lang w:val="fr-FR"/>
              </w:rPr>
            </w:pPr>
            <w:r w:rsidRPr="002C3704">
              <w:rPr>
                <w:rFonts w:eastAsia="Calibri"/>
                <w:sz w:val="20"/>
                <w:lang w:val="fr-FR"/>
              </w:rPr>
              <w:t>(Juge Cromwell)</w:t>
            </w:r>
          </w:p>
        </w:tc>
        <w:tc>
          <w:tcPr>
            <w:tcW w:w="243" w:type="pct"/>
          </w:tcPr>
          <w:p w:rsidR="001B2036" w:rsidRPr="002C3704" w:rsidRDefault="001B2036" w:rsidP="001B2036">
            <w:pPr>
              <w:jc w:val="both"/>
              <w:rPr>
                <w:rFonts w:eastAsia="Calibri"/>
                <w:sz w:val="20"/>
                <w:lang w:val="fr-FR"/>
              </w:rPr>
            </w:pPr>
          </w:p>
        </w:tc>
        <w:tc>
          <w:tcPr>
            <w:tcW w:w="2330" w:type="pct"/>
          </w:tcPr>
          <w:p w:rsidR="001B2036" w:rsidRPr="002C3704" w:rsidRDefault="001B2036" w:rsidP="001B2036">
            <w:pPr>
              <w:jc w:val="both"/>
              <w:rPr>
                <w:rFonts w:eastAsia="Calibri"/>
                <w:sz w:val="20"/>
                <w:lang w:val="fr-FR"/>
              </w:rPr>
            </w:pPr>
            <w:r w:rsidRPr="002C3704">
              <w:rPr>
                <w:rFonts w:eastAsia="Calibri"/>
                <w:sz w:val="20"/>
                <w:lang w:val="fr-FR"/>
              </w:rPr>
              <w:t>Ordonnance enjoignant d’accélérer le traitement de la demande d’autorisation d’appel</w:t>
            </w:r>
          </w:p>
        </w:tc>
      </w:tr>
    </w:tbl>
    <w:p w:rsidR="005737AF" w:rsidRPr="001B2036" w:rsidRDefault="005737AF" w:rsidP="005737AF">
      <w:pPr>
        <w:rPr>
          <w:sz w:val="20"/>
          <w:szCs w:val="20"/>
          <w:lang w:val="fr-CA"/>
        </w:rPr>
      </w:pPr>
    </w:p>
    <w:p w:rsidR="005737AF" w:rsidRDefault="007333FF" w:rsidP="005737AF">
      <w:pPr>
        <w:rPr>
          <w:sz w:val="20"/>
          <w:szCs w:val="20"/>
        </w:rPr>
      </w:pPr>
      <w:r w:rsidRPr="007333FF">
        <w:rPr>
          <w:sz w:val="20"/>
          <w:szCs w:val="20"/>
          <w:lang w:val="fr-CA"/>
        </w:rPr>
        <w:pict>
          <v:rect id="_x0000_i1077" style="width:2in;height:1pt" o:hrpct="0" o:hralign="center" o:hrstd="t" o:hrnoshade="t" o:hr="t" fillcolor="black [3213]" stroked="f"/>
        </w:pict>
      </w:r>
    </w:p>
    <w:p w:rsidR="005737AF" w:rsidRDefault="005737AF" w:rsidP="005737AF">
      <w:pPr>
        <w:rPr>
          <w:sz w:val="20"/>
          <w:szCs w:val="20"/>
        </w:rPr>
      </w:pPr>
    </w:p>
    <w:p w:rsidR="008D292F" w:rsidRPr="00EC09EE" w:rsidRDefault="00EC09EE" w:rsidP="006B203C">
      <w:pPr>
        <w:rPr>
          <w:b/>
          <w:sz w:val="20"/>
          <w:szCs w:val="20"/>
          <w:lang w:val="fr-CA"/>
        </w:rPr>
      </w:pPr>
      <w:r w:rsidRPr="00EC09EE">
        <w:rPr>
          <w:b/>
          <w:sz w:val="20"/>
          <w:szCs w:val="20"/>
          <w:lang w:val="fr-CA"/>
        </w:rPr>
        <w:t xml:space="preserve">AUGUST 30, 2012 / LE 30 AOÛT 2012 </w:t>
      </w:r>
    </w:p>
    <w:p w:rsidR="00EC09EE" w:rsidRDefault="00EC09EE" w:rsidP="006B203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0124A" w:rsidRPr="000F116A" w:rsidTr="00D40817">
        <w:trPr>
          <w:cantSplit/>
        </w:trPr>
        <w:tc>
          <w:tcPr>
            <w:tcW w:w="1458" w:type="dxa"/>
          </w:tcPr>
          <w:p w:rsidR="0060124A" w:rsidRPr="000F116A" w:rsidRDefault="0060124A" w:rsidP="00D40817">
            <w:pPr>
              <w:rPr>
                <w:sz w:val="20"/>
                <w:szCs w:val="20"/>
              </w:rPr>
            </w:pPr>
            <w:r w:rsidRPr="000F116A">
              <w:rPr>
                <w:rStyle w:val="SCCFileNumberChar"/>
                <w:sz w:val="20"/>
                <w:szCs w:val="20"/>
              </w:rPr>
              <w:t>34620</w:t>
            </w:r>
          </w:p>
          <w:p w:rsidR="0060124A" w:rsidRPr="000F116A" w:rsidRDefault="0060124A" w:rsidP="00D40817">
            <w:pPr>
              <w:rPr>
                <w:b/>
                <w:sz w:val="20"/>
                <w:szCs w:val="20"/>
                <w:lang w:val="fr-CA"/>
              </w:rPr>
            </w:pPr>
          </w:p>
        </w:tc>
        <w:tc>
          <w:tcPr>
            <w:tcW w:w="8118" w:type="dxa"/>
          </w:tcPr>
          <w:p w:rsidR="0060124A" w:rsidRPr="000F116A" w:rsidRDefault="0060124A" w:rsidP="00D40817">
            <w:pPr>
              <w:jc w:val="both"/>
              <w:rPr>
                <w:sz w:val="20"/>
                <w:szCs w:val="20"/>
              </w:rPr>
            </w:pPr>
            <w:r w:rsidRPr="000F116A">
              <w:rPr>
                <w:rStyle w:val="SCCLsocChar"/>
                <w:sz w:val="20"/>
                <w:szCs w:val="20"/>
                <w:lang w:val="en-CA"/>
              </w:rPr>
              <w:t>Kegam Kevin Torudag v. Executive Director of the British Columbia Securities Commission</w:t>
            </w:r>
            <w:r w:rsidR="0088663A">
              <w:rPr>
                <w:rStyle w:val="SCCLsocChar"/>
                <w:sz w:val="20"/>
                <w:szCs w:val="20"/>
                <w:lang w:val="en-CA"/>
              </w:rPr>
              <w:t xml:space="preserve"> and</w:t>
            </w:r>
            <w:r w:rsidRPr="000F116A">
              <w:rPr>
                <w:rStyle w:val="SCCLsocChar"/>
                <w:sz w:val="20"/>
                <w:szCs w:val="20"/>
                <w:lang w:val="en-CA"/>
              </w:rPr>
              <w:t xml:space="preserve"> Attorney General of British Columbia</w:t>
            </w:r>
            <w:r w:rsidRPr="000F116A">
              <w:rPr>
                <w:sz w:val="20"/>
                <w:szCs w:val="20"/>
              </w:rPr>
              <w:t xml:space="preserve"> (B.C.) (Civil) (By Leave)</w:t>
            </w:r>
          </w:p>
          <w:p w:rsidR="0060124A" w:rsidRPr="000F116A" w:rsidRDefault="0060124A" w:rsidP="00D40817">
            <w:pPr>
              <w:rPr>
                <w:sz w:val="20"/>
                <w:szCs w:val="20"/>
              </w:rPr>
            </w:pPr>
          </w:p>
        </w:tc>
      </w:tr>
      <w:tr w:rsidR="0060124A" w:rsidRPr="000F116A" w:rsidTr="00D40817">
        <w:trPr>
          <w:cantSplit/>
        </w:trPr>
        <w:tc>
          <w:tcPr>
            <w:tcW w:w="1458" w:type="dxa"/>
          </w:tcPr>
          <w:p w:rsidR="0060124A" w:rsidRPr="000F116A" w:rsidRDefault="0060124A" w:rsidP="00D40817">
            <w:pPr>
              <w:rPr>
                <w:sz w:val="20"/>
                <w:szCs w:val="20"/>
              </w:rPr>
            </w:pPr>
            <w:r w:rsidRPr="000F116A">
              <w:rPr>
                <w:sz w:val="20"/>
                <w:szCs w:val="20"/>
              </w:rPr>
              <w:t>Coram :</w:t>
            </w:r>
          </w:p>
        </w:tc>
        <w:tc>
          <w:tcPr>
            <w:tcW w:w="8118" w:type="dxa"/>
          </w:tcPr>
          <w:p w:rsidR="0060124A" w:rsidRPr="000F116A" w:rsidRDefault="0060124A" w:rsidP="00D40817">
            <w:pPr>
              <w:rPr>
                <w:sz w:val="20"/>
                <w:szCs w:val="20"/>
              </w:rPr>
            </w:pPr>
            <w:r w:rsidRPr="000F116A">
              <w:rPr>
                <w:rStyle w:val="SCCCoramChar"/>
                <w:sz w:val="20"/>
                <w:szCs w:val="20"/>
                <w:lang w:val="en-CA"/>
              </w:rPr>
              <w:t>McLachlin C.J. and Rothstein and Moldaver JJ.</w:t>
            </w:r>
          </w:p>
          <w:p w:rsidR="0060124A" w:rsidRPr="000F116A" w:rsidRDefault="0060124A" w:rsidP="00D40817">
            <w:pPr>
              <w:rPr>
                <w:sz w:val="20"/>
                <w:szCs w:val="20"/>
                <w:u w:val="single"/>
              </w:rPr>
            </w:pPr>
          </w:p>
        </w:tc>
      </w:tr>
      <w:tr w:rsidR="0060124A" w:rsidRPr="003626B6" w:rsidTr="00D40817">
        <w:trPr>
          <w:cantSplit/>
        </w:trPr>
        <w:tc>
          <w:tcPr>
            <w:tcW w:w="9576" w:type="dxa"/>
            <w:gridSpan w:val="2"/>
          </w:tcPr>
          <w:p w:rsidR="0060124A" w:rsidRPr="000F116A" w:rsidRDefault="0060124A" w:rsidP="00D40817">
            <w:pPr>
              <w:pStyle w:val="SCCShortJudgment"/>
              <w:rPr>
                <w:szCs w:val="20"/>
              </w:rPr>
            </w:pPr>
            <w:r w:rsidRPr="000F116A">
              <w:rPr>
                <w:szCs w:val="20"/>
              </w:rPr>
              <w:t>The application for leave to appeal from the judgment of the Court of Appeal for British Columbia (Vancouver), Number CA037286, 2011 BCCA 458, dated November 16, 2011, is dismissed with costs to the respondent Executive Director of the British Columbia Securities Commission.</w:t>
            </w:r>
          </w:p>
          <w:p w:rsidR="0060124A" w:rsidRPr="000F116A" w:rsidRDefault="0060124A" w:rsidP="00D40817">
            <w:pPr>
              <w:pStyle w:val="SCCShortJudgment"/>
              <w:ind w:firstLine="0"/>
              <w:rPr>
                <w:szCs w:val="20"/>
              </w:rPr>
            </w:pPr>
          </w:p>
          <w:p w:rsidR="0060124A" w:rsidRPr="000F116A" w:rsidRDefault="0060124A" w:rsidP="00D40817">
            <w:pPr>
              <w:pStyle w:val="SCCShortJudgment"/>
              <w:rPr>
                <w:szCs w:val="20"/>
                <w:lang w:val="fr-CA"/>
              </w:rPr>
            </w:pPr>
            <w:r w:rsidRPr="000F116A">
              <w:rPr>
                <w:szCs w:val="20"/>
                <w:lang w:val="fr-CA"/>
              </w:rPr>
              <w:t>La demande d’autorisation d’appel de l’arrêt de la Cour d’appel de la Colombie-Britannique (Vancouver), numéro CA037286, 2011 BCCA 458, daté du 16 novembre 2011, est rejetée avec dépens en faveur de l’intimé Executive Director of the British Columbia Securities Commission.</w:t>
            </w:r>
          </w:p>
        </w:tc>
      </w:tr>
    </w:tbl>
    <w:p w:rsidR="00EC09EE" w:rsidRPr="0060124A" w:rsidRDefault="00EC09EE" w:rsidP="00F40E20">
      <w:pPr>
        <w:rPr>
          <w:sz w:val="20"/>
          <w:szCs w:val="20"/>
          <w:lang w:val="fr-CA"/>
        </w:rPr>
      </w:pPr>
    </w:p>
    <w:p w:rsidR="00F40E20" w:rsidRPr="001B157C" w:rsidRDefault="00F40E20" w:rsidP="00F40E20">
      <w:pPr>
        <w:rPr>
          <w:sz w:val="20"/>
          <w:szCs w:val="20"/>
          <w:u w:val="single"/>
        </w:rPr>
      </w:pPr>
      <w:r w:rsidRPr="001B157C">
        <w:rPr>
          <w:sz w:val="20"/>
          <w:szCs w:val="20"/>
          <w:u w:val="single"/>
        </w:rPr>
        <w:t>CASE SUMMARY</w:t>
      </w:r>
    </w:p>
    <w:p w:rsidR="00F40E20" w:rsidRDefault="00F40E20" w:rsidP="00F40E2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B25FF" w:rsidRPr="00A1535A" w:rsidTr="00EB25FF">
        <w:trPr>
          <w:trHeight w:val="20"/>
        </w:trPr>
        <w:tc>
          <w:tcPr>
            <w:tcW w:w="5000" w:type="pct"/>
            <w:gridSpan w:val="3"/>
          </w:tcPr>
          <w:p w:rsidR="00EB25FF" w:rsidRPr="00A1535A" w:rsidRDefault="00EB25FF" w:rsidP="00EB25FF">
            <w:pPr>
              <w:jc w:val="both"/>
              <w:rPr>
                <w:rFonts w:eastAsia="Calibri"/>
                <w:color w:val="000000"/>
                <w:sz w:val="20"/>
              </w:rPr>
            </w:pPr>
            <w:r w:rsidRPr="00A1535A">
              <w:rPr>
                <w:rFonts w:eastAsia="Calibri"/>
                <w:iCs/>
                <w:color w:val="000000"/>
                <w:sz w:val="20"/>
              </w:rPr>
              <w:t>Conflict of laws - Conflicts by legal area - Securities regulation</w:t>
            </w:r>
            <w:r w:rsidRPr="00A1535A">
              <w:rPr>
                <w:rFonts w:eastAsia="Calibri"/>
                <w:i/>
                <w:iCs/>
                <w:color w:val="000000"/>
                <w:sz w:val="20"/>
              </w:rPr>
              <w:t xml:space="preserve"> - </w:t>
            </w:r>
            <w:r w:rsidRPr="00A1535A">
              <w:rPr>
                <w:rFonts w:eastAsia="Calibri"/>
                <w:sz w:val="20"/>
              </w:rPr>
              <w:t xml:space="preserve">How does the real and substantial connection test differ when utilized to determine the constitutional applicability of provincial legislation as opposed to the adjudicatory jurisdiction of courts? - In light of modern forms of communication and transacting business, is the place where a person acted now wholly irrelevant to the assessment of whether provincial securities legislation constitutionally applies to that person? - </w:t>
            </w:r>
            <w:r w:rsidRPr="00A1535A">
              <w:rPr>
                <w:rFonts w:eastAsia="Calibri"/>
                <w:i/>
                <w:color w:val="000000"/>
                <w:sz w:val="20"/>
              </w:rPr>
              <w:t>British Columbia Securities Act</w:t>
            </w:r>
            <w:r w:rsidRPr="00A1535A">
              <w:rPr>
                <w:rFonts w:eastAsia="Calibri"/>
                <w:color w:val="000000"/>
                <w:sz w:val="20"/>
              </w:rPr>
              <w:t>, RSBC 1996, chap. 418, s. 86(1), s. 86(4).</w:t>
            </w:r>
          </w:p>
          <w:p w:rsidR="00EB25FF" w:rsidRPr="00A1535A" w:rsidRDefault="00EB25FF" w:rsidP="00EB25FF">
            <w:pPr>
              <w:jc w:val="both"/>
              <w:rPr>
                <w:rFonts w:eastAsia="Calibri"/>
                <w:sz w:val="20"/>
              </w:rPr>
            </w:pPr>
          </w:p>
        </w:tc>
      </w:tr>
      <w:tr w:rsidR="00EB25FF" w:rsidRPr="00A1535A" w:rsidTr="00EB25FF">
        <w:tc>
          <w:tcPr>
            <w:tcW w:w="5000" w:type="pct"/>
            <w:gridSpan w:val="3"/>
          </w:tcPr>
          <w:p w:rsidR="00EB25FF" w:rsidRPr="00A1535A" w:rsidRDefault="00EB25FF" w:rsidP="00EB25FF">
            <w:pPr>
              <w:jc w:val="both"/>
              <w:rPr>
                <w:color w:val="000000"/>
                <w:sz w:val="20"/>
              </w:rPr>
            </w:pPr>
            <w:r w:rsidRPr="00A1535A">
              <w:rPr>
                <w:color w:val="000000"/>
                <w:sz w:val="20"/>
              </w:rPr>
              <w:t xml:space="preserve">Mr. Torudag assisted mining and natural resource companies with raising capital. Icon Industries was a reporting British Columbia company listed on the TSX Venture Exchange. In 2007, Mr. Torudag became aware of a prospector with Quebec mineral claims for sale and acted as agent for sale of the claims to Icon. Icon issued a news release disclosing the agreement. On the same date of the news release, prior to its issuance, Mr. Torudag bought 120,000 shares of Icon through the Exchange. Many of the sellers were British Columbia residents. Mr. Torudag was a resident of Quebec. The share purchase was conducted through an offshore company controlled by Mr. Torudag using an online trading account with a company based in Montreal. The trades were processed in Toronto. When news of the </w:t>
            </w:r>
            <w:r w:rsidRPr="00A1535A">
              <w:rPr>
                <w:color w:val="000000"/>
                <w:sz w:val="20"/>
              </w:rPr>
              <w:lastRenderedPageBreak/>
              <w:t xml:space="preserve">agreement became public, the shares of Icon substantially appreciated in value over a short time period. The Commission issued a notice of hearing and eventual decision finding Mr. Torudag had contravened the insider trading provisions of the </w:t>
            </w:r>
            <w:r w:rsidRPr="00A1535A">
              <w:rPr>
                <w:i/>
                <w:color w:val="000000"/>
                <w:sz w:val="20"/>
              </w:rPr>
              <w:t>Securities Act</w:t>
            </w:r>
            <w:r w:rsidRPr="00A1535A">
              <w:rPr>
                <w:color w:val="000000"/>
                <w:sz w:val="20"/>
              </w:rPr>
              <w:t>.  A preliminary objection on jurisdictional grounds was dismissed on the basis of a real and substantial connection to British Columbia based on the significance of the Exchange to British Columbia's capital markets. Leave to appeal was granted on the issue of the jurisdiction of the British Columbia Securities Commission to adjudicate enforcement proceedings against a person who traded on the TSX Venture Exchange, regardless of his location.</w:t>
            </w:r>
          </w:p>
          <w:p w:rsidR="00EB25FF" w:rsidRPr="00A1535A" w:rsidRDefault="00EB25FF" w:rsidP="00EB25FF">
            <w:pPr>
              <w:ind w:right="188"/>
              <w:jc w:val="both"/>
              <w:rPr>
                <w:color w:val="000000"/>
                <w:sz w:val="20"/>
              </w:rPr>
            </w:pPr>
          </w:p>
        </w:tc>
      </w:tr>
      <w:tr w:rsidR="00EB25FF" w:rsidRPr="00A1535A" w:rsidTr="00EB25FF">
        <w:tc>
          <w:tcPr>
            <w:tcW w:w="2427" w:type="pct"/>
          </w:tcPr>
          <w:p w:rsidR="00EB25FF" w:rsidRPr="00A1535A" w:rsidRDefault="00EB25FF" w:rsidP="00EB25FF">
            <w:pPr>
              <w:jc w:val="both"/>
              <w:rPr>
                <w:rFonts w:eastAsia="Calibri"/>
                <w:sz w:val="20"/>
              </w:rPr>
            </w:pPr>
            <w:r w:rsidRPr="00A1535A">
              <w:rPr>
                <w:rFonts w:eastAsia="Calibri"/>
                <w:sz w:val="20"/>
              </w:rPr>
              <w:lastRenderedPageBreak/>
              <w:t>March 11, 2009</w:t>
            </w:r>
          </w:p>
          <w:p w:rsidR="00EB25FF" w:rsidRPr="00A1535A" w:rsidRDefault="00EB25FF" w:rsidP="00EB25FF">
            <w:pPr>
              <w:jc w:val="both"/>
              <w:rPr>
                <w:rFonts w:eastAsia="Calibri"/>
                <w:sz w:val="20"/>
              </w:rPr>
            </w:pPr>
            <w:r w:rsidRPr="00A1535A">
              <w:rPr>
                <w:rFonts w:eastAsia="Calibri"/>
                <w:sz w:val="20"/>
              </w:rPr>
              <w:t>British Columbia Securities Commission</w:t>
            </w:r>
          </w:p>
          <w:p w:rsidR="00EB25FF" w:rsidRPr="00A1535A" w:rsidRDefault="00EB25FF" w:rsidP="00EB25FF">
            <w:pPr>
              <w:jc w:val="both"/>
              <w:rPr>
                <w:rFonts w:eastAsia="Calibri"/>
                <w:sz w:val="20"/>
              </w:rPr>
            </w:pPr>
            <w:r w:rsidRPr="00A1535A">
              <w:rPr>
                <w:rFonts w:eastAsia="Calibri"/>
                <w:sz w:val="20"/>
              </w:rPr>
              <w:t>(Aitken, Hanna and Williams, Commissioners.)</w:t>
            </w:r>
          </w:p>
          <w:p w:rsidR="00EB25FF" w:rsidRPr="00A1535A" w:rsidRDefault="00EB25FF" w:rsidP="00EB25FF">
            <w:pPr>
              <w:jc w:val="both"/>
              <w:rPr>
                <w:rFonts w:eastAsia="Calibri"/>
                <w:sz w:val="20"/>
              </w:rPr>
            </w:pPr>
            <w:r w:rsidRPr="00A1535A">
              <w:rPr>
                <w:rFonts w:eastAsia="Calibri"/>
                <w:sz w:val="20"/>
              </w:rPr>
              <w:t>2009 BCSECCOM 154</w:t>
            </w:r>
          </w:p>
          <w:p w:rsidR="00EB25FF" w:rsidRPr="00A1535A" w:rsidRDefault="00EB25FF" w:rsidP="00EB25FF">
            <w:pPr>
              <w:jc w:val="both"/>
              <w:rPr>
                <w:rFonts w:eastAsia="Calibri"/>
                <w:sz w:val="20"/>
              </w:rPr>
            </w:pPr>
          </w:p>
        </w:tc>
        <w:tc>
          <w:tcPr>
            <w:tcW w:w="243" w:type="pct"/>
          </w:tcPr>
          <w:p w:rsidR="00EB25FF" w:rsidRPr="00A1535A" w:rsidRDefault="00EB25FF" w:rsidP="00EB25FF">
            <w:pPr>
              <w:jc w:val="both"/>
              <w:rPr>
                <w:rFonts w:eastAsia="Calibri"/>
                <w:sz w:val="20"/>
              </w:rPr>
            </w:pPr>
          </w:p>
        </w:tc>
        <w:tc>
          <w:tcPr>
            <w:tcW w:w="2330" w:type="pct"/>
          </w:tcPr>
          <w:p w:rsidR="00EB25FF" w:rsidRPr="00A1535A" w:rsidRDefault="00EB25FF" w:rsidP="00EB25FF">
            <w:pPr>
              <w:spacing w:before="175"/>
              <w:ind w:right="251"/>
              <w:jc w:val="both"/>
              <w:rPr>
                <w:rFonts w:eastAsia="Calibri"/>
                <w:color w:val="000000"/>
                <w:sz w:val="20"/>
              </w:rPr>
            </w:pPr>
            <w:r w:rsidRPr="00A1535A">
              <w:rPr>
                <w:rFonts w:eastAsia="Calibri"/>
                <w:color w:val="000000"/>
                <w:sz w:val="20"/>
              </w:rPr>
              <w:t xml:space="preserve">Torudag’s trading activity found to be a breach of s. 86(1) of the </w:t>
            </w:r>
            <w:r w:rsidRPr="00A1535A">
              <w:rPr>
                <w:rFonts w:eastAsia="Calibri"/>
                <w:i/>
                <w:color w:val="000000"/>
                <w:sz w:val="20"/>
              </w:rPr>
              <w:t xml:space="preserve">British Columbia Securities </w:t>
            </w:r>
            <w:r w:rsidRPr="00A1535A">
              <w:rPr>
                <w:rFonts w:eastAsia="Calibri"/>
                <w:i/>
                <w:iCs/>
                <w:color w:val="000000"/>
                <w:sz w:val="20"/>
              </w:rPr>
              <w:t>Act</w:t>
            </w:r>
            <w:r w:rsidRPr="00A1535A">
              <w:rPr>
                <w:rFonts w:eastAsia="Calibri"/>
                <w:color w:val="000000"/>
                <w:sz w:val="20"/>
              </w:rPr>
              <w:t>.</w:t>
            </w:r>
          </w:p>
          <w:p w:rsidR="00EB25FF" w:rsidRPr="00A1535A" w:rsidRDefault="00EB25FF" w:rsidP="00EB25FF">
            <w:pPr>
              <w:jc w:val="both"/>
              <w:rPr>
                <w:rFonts w:eastAsia="Calibri"/>
                <w:sz w:val="20"/>
              </w:rPr>
            </w:pPr>
          </w:p>
        </w:tc>
      </w:tr>
      <w:tr w:rsidR="00EB25FF" w:rsidRPr="00A1535A" w:rsidTr="00EB25FF">
        <w:tc>
          <w:tcPr>
            <w:tcW w:w="2427" w:type="pct"/>
          </w:tcPr>
          <w:p w:rsidR="00EB25FF" w:rsidRPr="00A1535A" w:rsidRDefault="00EB25FF" w:rsidP="00EB25FF">
            <w:pPr>
              <w:jc w:val="both"/>
              <w:rPr>
                <w:rFonts w:eastAsia="Calibri"/>
                <w:sz w:val="20"/>
              </w:rPr>
            </w:pPr>
            <w:r w:rsidRPr="00A1535A">
              <w:rPr>
                <w:rFonts w:eastAsia="Calibri"/>
                <w:sz w:val="20"/>
              </w:rPr>
              <w:t>June 18, 2009</w:t>
            </w:r>
          </w:p>
          <w:p w:rsidR="00EB25FF" w:rsidRPr="00A1535A" w:rsidRDefault="00EB25FF" w:rsidP="00EB25FF">
            <w:pPr>
              <w:jc w:val="both"/>
              <w:rPr>
                <w:rFonts w:eastAsia="Calibri"/>
                <w:sz w:val="20"/>
              </w:rPr>
            </w:pPr>
            <w:r w:rsidRPr="00A1535A">
              <w:rPr>
                <w:rFonts w:eastAsia="Calibri"/>
                <w:sz w:val="20"/>
              </w:rPr>
              <w:t>British Columbia Securities Commission</w:t>
            </w:r>
          </w:p>
          <w:p w:rsidR="00EB25FF" w:rsidRPr="00A1535A" w:rsidRDefault="00EB25FF" w:rsidP="00EB25FF">
            <w:pPr>
              <w:jc w:val="both"/>
              <w:rPr>
                <w:rFonts w:eastAsia="Calibri"/>
                <w:sz w:val="20"/>
              </w:rPr>
            </w:pPr>
            <w:r w:rsidRPr="00A1535A">
              <w:rPr>
                <w:rFonts w:eastAsia="Calibri"/>
                <w:sz w:val="20"/>
              </w:rPr>
              <w:t>(Aitken., Hanna and Williams, Commissioners.)</w:t>
            </w:r>
          </w:p>
          <w:p w:rsidR="00EB25FF" w:rsidRPr="00A1535A" w:rsidRDefault="00EB25FF" w:rsidP="00EB25FF">
            <w:pPr>
              <w:jc w:val="both"/>
              <w:rPr>
                <w:rFonts w:eastAsia="Calibri"/>
                <w:sz w:val="20"/>
              </w:rPr>
            </w:pPr>
            <w:r w:rsidRPr="00A1535A">
              <w:rPr>
                <w:rFonts w:eastAsia="Calibri"/>
                <w:sz w:val="20"/>
              </w:rPr>
              <w:t>2009 BCSECCOM 339</w:t>
            </w:r>
          </w:p>
          <w:p w:rsidR="00EB25FF" w:rsidRPr="00A1535A" w:rsidRDefault="00EB25FF" w:rsidP="00EB25FF">
            <w:pPr>
              <w:jc w:val="both"/>
              <w:rPr>
                <w:rFonts w:eastAsia="Calibri"/>
                <w:sz w:val="20"/>
              </w:rPr>
            </w:pPr>
          </w:p>
        </w:tc>
        <w:tc>
          <w:tcPr>
            <w:tcW w:w="243" w:type="pct"/>
          </w:tcPr>
          <w:p w:rsidR="00EB25FF" w:rsidRPr="00A1535A" w:rsidRDefault="00EB25FF" w:rsidP="00EB25FF">
            <w:pPr>
              <w:jc w:val="both"/>
              <w:rPr>
                <w:rFonts w:eastAsia="Calibri"/>
                <w:sz w:val="20"/>
              </w:rPr>
            </w:pPr>
          </w:p>
        </w:tc>
        <w:tc>
          <w:tcPr>
            <w:tcW w:w="2330" w:type="pct"/>
          </w:tcPr>
          <w:p w:rsidR="00EB25FF" w:rsidRPr="00A1535A" w:rsidRDefault="00EB25FF" w:rsidP="00EB25FF">
            <w:pPr>
              <w:jc w:val="both"/>
              <w:rPr>
                <w:rFonts w:eastAsia="Calibri"/>
                <w:sz w:val="20"/>
              </w:rPr>
            </w:pPr>
            <w:r w:rsidRPr="00A1535A">
              <w:rPr>
                <w:rFonts w:eastAsia="Calibri"/>
                <w:sz w:val="20"/>
              </w:rPr>
              <w:t>Order: Torudag</w:t>
            </w:r>
            <w:r w:rsidRPr="00A1535A">
              <w:rPr>
                <w:rFonts w:eastAsia="Calibri"/>
                <w:color w:val="000000"/>
                <w:sz w:val="20"/>
              </w:rPr>
              <w:t xml:space="preserve"> subject to a Cease Trade Order with conditions for a period of one year and ordered to pay an administrative penalty of $36,771.00.</w:t>
            </w:r>
          </w:p>
          <w:p w:rsidR="00EB25FF" w:rsidRPr="00A1535A" w:rsidRDefault="00EB25FF" w:rsidP="00EB25FF">
            <w:pPr>
              <w:jc w:val="both"/>
              <w:rPr>
                <w:rFonts w:eastAsia="Calibri"/>
                <w:sz w:val="20"/>
              </w:rPr>
            </w:pPr>
          </w:p>
        </w:tc>
      </w:tr>
      <w:tr w:rsidR="00EB25FF" w:rsidRPr="00A1535A" w:rsidTr="00EB25FF">
        <w:tc>
          <w:tcPr>
            <w:tcW w:w="2427" w:type="pct"/>
          </w:tcPr>
          <w:p w:rsidR="00EB25FF" w:rsidRPr="00A1535A" w:rsidRDefault="00EB25FF" w:rsidP="00EB25FF">
            <w:pPr>
              <w:jc w:val="both"/>
              <w:rPr>
                <w:rFonts w:eastAsia="Calibri"/>
                <w:sz w:val="20"/>
              </w:rPr>
            </w:pPr>
            <w:r w:rsidRPr="00A1535A">
              <w:rPr>
                <w:rFonts w:eastAsia="Calibri"/>
                <w:sz w:val="20"/>
              </w:rPr>
              <w:t>November 16, 2011</w:t>
            </w:r>
          </w:p>
          <w:p w:rsidR="00EB25FF" w:rsidRPr="00A1535A" w:rsidRDefault="00EB25FF" w:rsidP="00EB25FF">
            <w:pPr>
              <w:jc w:val="both"/>
              <w:rPr>
                <w:rFonts w:eastAsia="Calibri"/>
                <w:sz w:val="20"/>
              </w:rPr>
            </w:pPr>
            <w:r w:rsidRPr="00A1535A">
              <w:rPr>
                <w:rFonts w:eastAsia="Calibri"/>
                <w:sz w:val="20"/>
              </w:rPr>
              <w:t>Court of Appeal for British Columbia (Vancouver)</w:t>
            </w:r>
          </w:p>
          <w:p w:rsidR="00EB25FF" w:rsidRPr="00A1535A" w:rsidRDefault="00EB25FF" w:rsidP="00EB25FF">
            <w:pPr>
              <w:jc w:val="both"/>
              <w:rPr>
                <w:rFonts w:eastAsia="Calibri"/>
                <w:sz w:val="20"/>
              </w:rPr>
            </w:pPr>
            <w:r w:rsidRPr="00A1535A">
              <w:rPr>
                <w:rFonts w:eastAsia="Calibri"/>
                <w:sz w:val="20"/>
              </w:rPr>
              <w:t>(Hall, Levine and Hinkson JJ.A.)</w:t>
            </w:r>
          </w:p>
          <w:p w:rsidR="00EB25FF" w:rsidRPr="00A1535A" w:rsidRDefault="00EB25FF" w:rsidP="00EB25FF">
            <w:pPr>
              <w:jc w:val="both"/>
              <w:rPr>
                <w:rFonts w:eastAsia="Calibri"/>
                <w:sz w:val="20"/>
              </w:rPr>
            </w:pPr>
            <w:r w:rsidRPr="00A1535A">
              <w:rPr>
                <w:rFonts w:eastAsia="Calibri"/>
                <w:sz w:val="20"/>
              </w:rPr>
              <w:t xml:space="preserve">2011 BCCA 458 </w:t>
            </w:r>
          </w:p>
          <w:p w:rsidR="00EB25FF" w:rsidRPr="00A1535A" w:rsidRDefault="00EB25FF" w:rsidP="00EB25FF">
            <w:pPr>
              <w:jc w:val="both"/>
              <w:rPr>
                <w:rFonts w:eastAsia="Calibri"/>
                <w:sz w:val="20"/>
              </w:rPr>
            </w:pPr>
          </w:p>
        </w:tc>
        <w:tc>
          <w:tcPr>
            <w:tcW w:w="243" w:type="pct"/>
          </w:tcPr>
          <w:p w:rsidR="00EB25FF" w:rsidRPr="00A1535A" w:rsidRDefault="00EB25FF" w:rsidP="00EB25FF">
            <w:pPr>
              <w:jc w:val="both"/>
              <w:rPr>
                <w:rFonts w:eastAsia="Calibri"/>
                <w:sz w:val="20"/>
              </w:rPr>
            </w:pPr>
          </w:p>
        </w:tc>
        <w:tc>
          <w:tcPr>
            <w:tcW w:w="2330" w:type="pct"/>
          </w:tcPr>
          <w:p w:rsidR="00EB25FF" w:rsidRPr="00A1535A" w:rsidRDefault="00EB25FF" w:rsidP="00EB25FF">
            <w:pPr>
              <w:jc w:val="both"/>
              <w:rPr>
                <w:rFonts w:eastAsia="Calibri"/>
                <w:sz w:val="20"/>
              </w:rPr>
            </w:pPr>
            <w:r w:rsidRPr="00A1535A">
              <w:rPr>
                <w:rFonts w:eastAsia="Calibri"/>
                <w:sz w:val="20"/>
              </w:rPr>
              <w:t>Appeal dismissed</w:t>
            </w:r>
          </w:p>
          <w:p w:rsidR="00EB25FF" w:rsidRPr="00A1535A" w:rsidRDefault="00EB25FF" w:rsidP="00EB25FF">
            <w:pPr>
              <w:jc w:val="both"/>
              <w:rPr>
                <w:rFonts w:eastAsia="Calibri"/>
                <w:sz w:val="20"/>
              </w:rPr>
            </w:pPr>
          </w:p>
        </w:tc>
      </w:tr>
      <w:tr w:rsidR="00EB25FF" w:rsidRPr="00A1535A" w:rsidTr="00EB25FF">
        <w:tc>
          <w:tcPr>
            <w:tcW w:w="2427" w:type="pct"/>
          </w:tcPr>
          <w:p w:rsidR="00EB25FF" w:rsidRPr="00A1535A" w:rsidRDefault="00EB25FF" w:rsidP="00EB25FF">
            <w:pPr>
              <w:jc w:val="both"/>
              <w:rPr>
                <w:rFonts w:eastAsia="Calibri"/>
                <w:sz w:val="20"/>
              </w:rPr>
            </w:pPr>
            <w:r w:rsidRPr="00A1535A">
              <w:rPr>
                <w:rFonts w:eastAsia="Calibri"/>
                <w:sz w:val="20"/>
              </w:rPr>
              <w:t>January 16, 2012</w:t>
            </w:r>
          </w:p>
          <w:p w:rsidR="00EB25FF" w:rsidRPr="00A1535A" w:rsidRDefault="00EB25FF" w:rsidP="00EB25FF">
            <w:pPr>
              <w:jc w:val="both"/>
              <w:rPr>
                <w:rFonts w:eastAsia="Calibri"/>
                <w:sz w:val="20"/>
              </w:rPr>
            </w:pPr>
            <w:r w:rsidRPr="00A1535A">
              <w:rPr>
                <w:rFonts w:eastAsia="Calibri"/>
                <w:sz w:val="20"/>
              </w:rPr>
              <w:t>Supreme Court of Canada</w:t>
            </w:r>
          </w:p>
        </w:tc>
        <w:tc>
          <w:tcPr>
            <w:tcW w:w="243" w:type="pct"/>
          </w:tcPr>
          <w:p w:rsidR="00EB25FF" w:rsidRPr="00A1535A" w:rsidRDefault="00EB25FF" w:rsidP="00EB25FF">
            <w:pPr>
              <w:jc w:val="both"/>
              <w:rPr>
                <w:rFonts w:eastAsia="Calibri"/>
                <w:sz w:val="20"/>
              </w:rPr>
            </w:pPr>
          </w:p>
        </w:tc>
        <w:tc>
          <w:tcPr>
            <w:tcW w:w="2330" w:type="pct"/>
          </w:tcPr>
          <w:p w:rsidR="00EB25FF" w:rsidRPr="00A1535A" w:rsidRDefault="00EB25FF" w:rsidP="00EB25FF">
            <w:pPr>
              <w:jc w:val="both"/>
              <w:rPr>
                <w:rFonts w:eastAsia="Calibri"/>
                <w:sz w:val="20"/>
              </w:rPr>
            </w:pPr>
            <w:r w:rsidRPr="00A1535A">
              <w:rPr>
                <w:rFonts w:eastAsia="Calibri"/>
                <w:sz w:val="20"/>
              </w:rPr>
              <w:t>Application for leave to appeal filed</w:t>
            </w:r>
          </w:p>
          <w:p w:rsidR="00EB25FF" w:rsidRPr="00A1535A" w:rsidRDefault="00EB25FF" w:rsidP="00EB25FF">
            <w:pPr>
              <w:jc w:val="both"/>
              <w:rPr>
                <w:rFonts w:eastAsia="Calibri"/>
                <w:sz w:val="20"/>
              </w:rPr>
            </w:pPr>
          </w:p>
        </w:tc>
      </w:tr>
    </w:tbl>
    <w:p w:rsidR="00F40E20" w:rsidRDefault="00F40E20" w:rsidP="00F40E20">
      <w:pPr>
        <w:rPr>
          <w:sz w:val="20"/>
          <w:szCs w:val="20"/>
        </w:rPr>
      </w:pPr>
    </w:p>
    <w:p w:rsidR="00F40E20" w:rsidRPr="00C50A5C" w:rsidRDefault="007333FF" w:rsidP="00F40E20">
      <w:pPr>
        <w:rPr>
          <w:sz w:val="20"/>
          <w:szCs w:val="20"/>
        </w:rPr>
      </w:pPr>
      <w:r w:rsidRPr="007333FF">
        <w:rPr>
          <w:sz w:val="20"/>
          <w:szCs w:val="20"/>
          <w:lang w:val="fr-CA"/>
        </w:rPr>
        <w:pict>
          <v:rect id="_x0000_i1078" style="width:2in;height:1pt" o:hrpct="0" o:hralign="center" o:hrstd="t" o:hrnoshade="t" o:hr="t" fillcolor="black [3213]" stroked="f"/>
        </w:pict>
      </w:r>
    </w:p>
    <w:p w:rsidR="00F40E20" w:rsidRDefault="00F40E20" w:rsidP="00F40E20">
      <w:pPr>
        <w:rPr>
          <w:sz w:val="20"/>
          <w:szCs w:val="20"/>
        </w:rPr>
      </w:pPr>
    </w:p>
    <w:p w:rsidR="00F40E20" w:rsidRPr="001B157C" w:rsidRDefault="00F40E20" w:rsidP="00F40E20">
      <w:pPr>
        <w:rPr>
          <w:sz w:val="20"/>
          <w:szCs w:val="20"/>
          <w:u w:val="single"/>
          <w:lang w:val="fr-CA"/>
        </w:rPr>
      </w:pPr>
      <w:r w:rsidRPr="001B157C">
        <w:rPr>
          <w:sz w:val="20"/>
          <w:szCs w:val="20"/>
          <w:u w:val="single"/>
          <w:lang w:val="fr-CA"/>
        </w:rPr>
        <w:t>RÉSUMÉ DE L’AFFAIRE</w:t>
      </w:r>
    </w:p>
    <w:p w:rsidR="00F40E20" w:rsidRDefault="00F40E20" w:rsidP="00F40E20">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B25FF" w:rsidRPr="003626B6" w:rsidTr="00EB25FF">
        <w:tc>
          <w:tcPr>
            <w:tcW w:w="5000" w:type="pct"/>
            <w:gridSpan w:val="3"/>
          </w:tcPr>
          <w:p w:rsidR="00EB25FF" w:rsidRPr="00A1535A" w:rsidRDefault="00EB25FF" w:rsidP="00EB25FF">
            <w:pPr>
              <w:jc w:val="both"/>
              <w:rPr>
                <w:rFonts w:eastAsia="Calibri"/>
                <w:color w:val="000000"/>
                <w:sz w:val="20"/>
                <w:lang w:val="fr-CA"/>
              </w:rPr>
            </w:pPr>
            <w:r w:rsidRPr="00A1535A">
              <w:rPr>
                <w:rFonts w:eastAsia="Calibri"/>
                <w:iCs/>
                <w:color w:val="000000"/>
                <w:sz w:val="20"/>
                <w:lang w:val="fr-CA"/>
              </w:rPr>
              <w:t>Conflit de lois – Conflits par secteur juridique – Réglementation des valeurs mobilières</w:t>
            </w:r>
            <w:r w:rsidRPr="00A1535A">
              <w:rPr>
                <w:rFonts w:eastAsia="Calibri"/>
                <w:i/>
                <w:iCs/>
                <w:color w:val="000000"/>
                <w:sz w:val="20"/>
                <w:lang w:val="fr-CA"/>
              </w:rPr>
              <w:t xml:space="preserve"> – </w:t>
            </w:r>
            <w:r w:rsidRPr="00A1535A">
              <w:rPr>
                <w:rFonts w:eastAsia="Calibri"/>
                <w:sz w:val="20"/>
                <w:lang w:val="fr-CA"/>
              </w:rPr>
              <w:t xml:space="preserve">Comment le critère du lien réel et substantiel change-t-il lorsqu'il est utilisé pour déterminer l'applicabilité constitutionnelle de la loi provinciale par opposition à la compétence juridictionnelle des tribunaux? </w:t>
            </w:r>
            <w:r w:rsidRPr="00A1535A">
              <w:rPr>
                <w:rFonts w:eastAsia="Calibri"/>
                <w:iCs/>
                <w:color w:val="000000"/>
                <w:sz w:val="20"/>
                <w:lang w:val="fr-CA"/>
              </w:rPr>
              <w:t>–</w:t>
            </w:r>
            <w:r w:rsidRPr="00A1535A">
              <w:rPr>
                <w:rFonts w:eastAsia="Calibri"/>
                <w:sz w:val="20"/>
                <w:lang w:val="fr-CA"/>
              </w:rPr>
              <w:t xml:space="preserve"> À la lumière des formes modernes de communications et de rapports commerciaux, l'endroit où une personne a agi est-il maintenant complètement dénué de pertinence dans l'évaluation de la question de savoir si les lois provinciales sur les valeurs mobilières s'appliquent constitutionnellement à cette personne? </w:t>
            </w:r>
            <w:r w:rsidRPr="00A1535A">
              <w:rPr>
                <w:rFonts w:eastAsia="Calibri"/>
                <w:iCs/>
                <w:color w:val="000000"/>
                <w:sz w:val="20"/>
                <w:lang w:val="fr-CA"/>
              </w:rPr>
              <w:t>–</w:t>
            </w:r>
            <w:r w:rsidRPr="00A1535A">
              <w:rPr>
                <w:rFonts w:eastAsia="Calibri"/>
                <w:sz w:val="20"/>
                <w:lang w:val="fr-CA"/>
              </w:rPr>
              <w:t xml:space="preserve"> </w:t>
            </w:r>
            <w:r w:rsidRPr="00A1535A">
              <w:rPr>
                <w:rFonts w:eastAsia="Calibri"/>
                <w:i/>
                <w:color w:val="000000"/>
                <w:sz w:val="20"/>
                <w:lang w:val="fr-CA"/>
              </w:rPr>
              <w:t>British Columbia Securities Act</w:t>
            </w:r>
            <w:r w:rsidRPr="00A1535A">
              <w:rPr>
                <w:rFonts w:eastAsia="Calibri"/>
                <w:color w:val="000000"/>
                <w:sz w:val="20"/>
                <w:lang w:val="fr-CA"/>
              </w:rPr>
              <w:t>, RSBC 1996, chap. 418, par. 86(1), 86(4).</w:t>
            </w:r>
          </w:p>
          <w:p w:rsidR="00EB25FF" w:rsidRPr="00A1535A" w:rsidRDefault="00EB25FF" w:rsidP="00EB25FF">
            <w:pPr>
              <w:jc w:val="both"/>
              <w:rPr>
                <w:rFonts w:eastAsia="Calibri"/>
                <w:sz w:val="20"/>
                <w:lang w:val="fr-CA"/>
              </w:rPr>
            </w:pPr>
          </w:p>
        </w:tc>
      </w:tr>
      <w:tr w:rsidR="00EB25FF" w:rsidRPr="003626B6" w:rsidTr="0060124A">
        <w:tc>
          <w:tcPr>
            <w:tcW w:w="5000" w:type="pct"/>
            <w:gridSpan w:val="3"/>
          </w:tcPr>
          <w:p w:rsidR="00EB25FF" w:rsidRDefault="00EB25FF" w:rsidP="0060124A">
            <w:pPr>
              <w:jc w:val="both"/>
              <w:rPr>
                <w:color w:val="000000"/>
                <w:sz w:val="20"/>
                <w:lang w:val="fr-CA"/>
              </w:rPr>
            </w:pPr>
            <w:r w:rsidRPr="00A1535A">
              <w:rPr>
                <w:color w:val="000000"/>
                <w:sz w:val="20"/>
                <w:lang w:val="fr-CA"/>
              </w:rPr>
              <w:t xml:space="preserve">Monsieur Torudag aidait des entreprises du secteur des mines et des ressources naturelles à se procurer des capitaux. Icon Industries était une compagnie déclarante de la Colombie-Britannique inscrite à la Bourse de croissance TSX. En 2007, M. Torudag a appris qu'un prospecteur avait des claims miniers québécois à vendre et a agi comme agent de vente des claims à Icon. Icon a émis un communiqué pour annoncer l'entente. À la date du communiqué, avant sa publication, M. Torudag a acheté 120 000 actions d’Icon à la bourse. Plusieurs vendeurs étaient des résidents de la Colombie-Britannique. Monsieur Torudag était un résident du Québec. L'achat des actions a été fait par l'intermédiaire d'une société étrangère contrôlée par M. Torudag au moyen du compte de négociation en ligne d'une société ayant son siège à Montréal. Les opérations ont été traitées à Toronto. Lorsque la nouvelle de l'entente est devenue publique, la valeur des actions d’Icon s'est appréciée considérablement sur une courte période. La Commission a émis un avis d'audience et de décision concluant que M. Torudag avait contrevenu aux dispositions relatives aux délits d'initiés de la </w:t>
            </w:r>
            <w:r w:rsidRPr="00A1535A">
              <w:rPr>
                <w:i/>
                <w:color w:val="000000"/>
                <w:sz w:val="20"/>
                <w:lang w:val="fr-CA"/>
              </w:rPr>
              <w:t>Securities Act</w:t>
            </w:r>
            <w:r w:rsidRPr="00A1535A">
              <w:rPr>
                <w:color w:val="000000"/>
                <w:sz w:val="20"/>
                <w:lang w:val="fr-CA"/>
              </w:rPr>
              <w:t xml:space="preserve">. Une exception déclinatoire préliminaire a été rejetée, vu l'existence d'un lien réel et substantiel avec la Colombie-Britannique fondé sur l'importance de la Bourse pour les marchés financiers de la Colombie-Britannique. L'autorisation d'appel a été accordée sur la question de la compétence de la commission des valeurs mobilières de la Colombie-Britannique d'instruire l'instance de mise à exécution contre une personne qui avait effectué des opérations à </w:t>
            </w:r>
            <w:r w:rsidRPr="00A1535A">
              <w:rPr>
                <w:color w:val="000000"/>
                <w:sz w:val="20"/>
                <w:lang w:val="fr-CA"/>
              </w:rPr>
              <w:lastRenderedPageBreak/>
              <w:t>la Bourse de croissance TSX, sans égard à l'endroit où elle se trouvait.</w:t>
            </w:r>
          </w:p>
          <w:p w:rsidR="0060124A" w:rsidRPr="00A1535A" w:rsidRDefault="0060124A" w:rsidP="0060124A">
            <w:pPr>
              <w:jc w:val="both"/>
              <w:rPr>
                <w:color w:val="000000"/>
                <w:sz w:val="20"/>
                <w:lang w:val="fr-CA"/>
              </w:rPr>
            </w:pPr>
          </w:p>
        </w:tc>
      </w:tr>
      <w:tr w:rsidR="00EB25FF" w:rsidRPr="003626B6" w:rsidTr="00EB25FF">
        <w:tc>
          <w:tcPr>
            <w:tcW w:w="2427" w:type="pct"/>
          </w:tcPr>
          <w:p w:rsidR="00EB25FF" w:rsidRPr="00A1535A" w:rsidRDefault="00EB25FF" w:rsidP="00EB25FF">
            <w:pPr>
              <w:jc w:val="both"/>
              <w:rPr>
                <w:rFonts w:eastAsia="Calibri"/>
                <w:sz w:val="20"/>
                <w:lang w:val="fr-CA"/>
              </w:rPr>
            </w:pPr>
            <w:r w:rsidRPr="00A1535A">
              <w:rPr>
                <w:rFonts w:eastAsia="Calibri"/>
                <w:sz w:val="20"/>
                <w:lang w:val="fr-CA"/>
              </w:rPr>
              <w:lastRenderedPageBreak/>
              <w:t>11 mars 2009</w:t>
            </w:r>
          </w:p>
          <w:p w:rsidR="00EB25FF" w:rsidRPr="00A1535A" w:rsidRDefault="00EB25FF" w:rsidP="00EB25FF">
            <w:pPr>
              <w:jc w:val="both"/>
              <w:rPr>
                <w:rFonts w:eastAsia="Calibri"/>
                <w:sz w:val="20"/>
                <w:lang w:val="fr-CA"/>
              </w:rPr>
            </w:pPr>
            <w:r w:rsidRPr="00A1535A">
              <w:rPr>
                <w:rFonts w:eastAsia="Calibri"/>
                <w:sz w:val="20"/>
                <w:lang w:val="fr-CA"/>
              </w:rPr>
              <w:t>British Columbia Securities Commission</w:t>
            </w:r>
          </w:p>
          <w:p w:rsidR="00EB25FF" w:rsidRPr="00A1535A" w:rsidRDefault="00EB25FF" w:rsidP="00EB25FF">
            <w:pPr>
              <w:jc w:val="both"/>
              <w:rPr>
                <w:rFonts w:eastAsia="Calibri"/>
                <w:sz w:val="20"/>
                <w:lang w:val="fr-CA"/>
              </w:rPr>
            </w:pPr>
            <w:r w:rsidRPr="00A1535A">
              <w:rPr>
                <w:rFonts w:eastAsia="Calibri"/>
                <w:sz w:val="20"/>
                <w:lang w:val="fr-CA"/>
              </w:rPr>
              <w:t>(Commissaires Aitken, Hanna et Williams)</w:t>
            </w:r>
          </w:p>
          <w:p w:rsidR="00EB25FF" w:rsidRPr="00A1535A" w:rsidRDefault="00EB25FF" w:rsidP="00EB25FF">
            <w:pPr>
              <w:jc w:val="both"/>
              <w:rPr>
                <w:rFonts w:eastAsia="Calibri"/>
                <w:sz w:val="20"/>
                <w:lang w:val="fr-CA"/>
              </w:rPr>
            </w:pPr>
            <w:r w:rsidRPr="00A1535A">
              <w:rPr>
                <w:rFonts w:eastAsia="Calibri"/>
                <w:sz w:val="20"/>
                <w:lang w:val="fr-CA"/>
              </w:rPr>
              <w:t>2009 BCSECCOM 154</w:t>
            </w:r>
          </w:p>
          <w:p w:rsidR="00EB25FF" w:rsidRPr="00A1535A" w:rsidRDefault="00EB25FF" w:rsidP="00EB25FF">
            <w:pPr>
              <w:jc w:val="both"/>
              <w:rPr>
                <w:rFonts w:eastAsia="Calibri"/>
                <w:sz w:val="20"/>
                <w:lang w:val="fr-CA"/>
              </w:rPr>
            </w:pPr>
          </w:p>
        </w:tc>
        <w:tc>
          <w:tcPr>
            <w:tcW w:w="243" w:type="pct"/>
          </w:tcPr>
          <w:p w:rsidR="00EB25FF" w:rsidRPr="00A1535A" w:rsidRDefault="00EB25FF" w:rsidP="00EB25FF">
            <w:pPr>
              <w:jc w:val="both"/>
              <w:rPr>
                <w:rFonts w:eastAsia="Calibri"/>
                <w:sz w:val="20"/>
                <w:lang w:val="fr-CA"/>
              </w:rPr>
            </w:pPr>
          </w:p>
        </w:tc>
        <w:tc>
          <w:tcPr>
            <w:tcW w:w="2330" w:type="pct"/>
          </w:tcPr>
          <w:p w:rsidR="00EB25FF" w:rsidRPr="00A1535A" w:rsidRDefault="00EB25FF" w:rsidP="00EB25FF">
            <w:pPr>
              <w:jc w:val="both"/>
              <w:rPr>
                <w:rFonts w:eastAsia="Calibri"/>
                <w:color w:val="000000"/>
                <w:sz w:val="20"/>
                <w:lang w:val="fr-CA"/>
              </w:rPr>
            </w:pPr>
            <w:r w:rsidRPr="00A1535A">
              <w:rPr>
                <w:rFonts w:eastAsia="Calibri"/>
                <w:color w:val="000000"/>
                <w:sz w:val="20"/>
                <w:lang w:val="fr-CA"/>
              </w:rPr>
              <w:t xml:space="preserve">La commission conclut que les opérations boursières de M. Torudag ont violé le par. 86(1) de la </w:t>
            </w:r>
            <w:r w:rsidRPr="00A1535A">
              <w:rPr>
                <w:rFonts w:eastAsia="Calibri"/>
                <w:i/>
                <w:color w:val="000000"/>
                <w:sz w:val="20"/>
                <w:lang w:val="fr-CA"/>
              </w:rPr>
              <w:t xml:space="preserve">British Columbia Securities </w:t>
            </w:r>
            <w:r w:rsidRPr="00A1535A">
              <w:rPr>
                <w:rFonts w:eastAsia="Calibri"/>
                <w:i/>
                <w:iCs/>
                <w:color w:val="000000"/>
                <w:sz w:val="20"/>
                <w:lang w:val="fr-CA"/>
              </w:rPr>
              <w:t>Act</w:t>
            </w:r>
            <w:r w:rsidRPr="00A1535A">
              <w:rPr>
                <w:rFonts w:eastAsia="Calibri"/>
                <w:color w:val="000000"/>
                <w:sz w:val="20"/>
                <w:lang w:val="fr-CA"/>
              </w:rPr>
              <w:t>.</w:t>
            </w:r>
          </w:p>
          <w:p w:rsidR="00EB25FF" w:rsidRPr="00A1535A" w:rsidRDefault="00EB25FF" w:rsidP="00EB25FF">
            <w:pPr>
              <w:jc w:val="both"/>
              <w:rPr>
                <w:rFonts w:eastAsia="Calibri"/>
                <w:sz w:val="20"/>
                <w:lang w:val="fr-CA"/>
              </w:rPr>
            </w:pPr>
          </w:p>
        </w:tc>
      </w:tr>
      <w:tr w:rsidR="00EB25FF" w:rsidRPr="003626B6" w:rsidTr="00EB25FF">
        <w:tc>
          <w:tcPr>
            <w:tcW w:w="2427" w:type="pct"/>
          </w:tcPr>
          <w:p w:rsidR="00EB25FF" w:rsidRPr="00A1535A" w:rsidRDefault="00EB25FF" w:rsidP="00EB25FF">
            <w:pPr>
              <w:jc w:val="both"/>
              <w:rPr>
                <w:rFonts w:eastAsia="Calibri"/>
                <w:sz w:val="20"/>
                <w:lang w:val="fr-CA"/>
              </w:rPr>
            </w:pPr>
            <w:r w:rsidRPr="00A1535A">
              <w:rPr>
                <w:rFonts w:eastAsia="Calibri"/>
                <w:sz w:val="20"/>
                <w:lang w:val="fr-CA"/>
              </w:rPr>
              <w:t>18 juin 2009</w:t>
            </w:r>
          </w:p>
          <w:p w:rsidR="00EB25FF" w:rsidRPr="00A1535A" w:rsidRDefault="00EB25FF" w:rsidP="00EB25FF">
            <w:pPr>
              <w:jc w:val="both"/>
              <w:rPr>
                <w:rFonts w:eastAsia="Calibri"/>
                <w:sz w:val="20"/>
                <w:lang w:val="fr-CA"/>
              </w:rPr>
            </w:pPr>
            <w:r w:rsidRPr="00A1535A">
              <w:rPr>
                <w:rFonts w:eastAsia="Calibri"/>
                <w:sz w:val="20"/>
                <w:lang w:val="fr-CA"/>
              </w:rPr>
              <w:t>British Columbia Securities Commission</w:t>
            </w:r>
          </w:p>
          <w:p w:rsidR="00EB25FF" w:rsidRPr="00A1535A" w:rsidRDefault="00EB25FF" w:rsidP="00EB25FF">
            <w:pPr>
              <w:jc w:val="both"/>
              <w:rPr>
                <w:rFonts w:eastAsia="Calibri"/>
                <w:sz w:val="20"/>
                <w:lang w:val="fr-CA"/>
              </w:rPr>
            </w:pPr>
            <w:r w:rsidRPr="00A1535A">
              <w:rPr>
                <w:rFonts w:eastAsia="Calibri"/>
                <w:sz w:val="20"/>
                <w:lang w:val="fr-CA"/>
              </w:rPr>
              <w:t>(Commissaires Aitken, Hanna et Williams)</w:t>
            </w:r>
          </w:p>
          <w:p w:rsidR="00EB25FF" w:rsidRPr="00A1535A" w:rsidRDefault="00EB25FF" w:rsidP="00EB25FF">
            <w:pPr>
              <w:jc w:val="both"/>
              <w:rPr>
                <w:rFonts w:eastAsia="Calibri"/>
                <w:sz w:val="20"/>
                <w:lang w:val="fr-CA"/>
              </w:rPr>
            </w:pPr>
            <w:r w:rsidRPr="00A1535A">
              <w:rPr>
                <w:rFonts w:eastAsia="Calibri"/>
                <w:sz w:val="20"/>
                <w:lang w:val="fr-CA"/>
              </w:rPr>
              <w:t>2009 BCSECCOM 339</w:t>
            </w:r>
          </w:p>
          <w:p w:rsidR="00EB25FF" w:rsidRPr="00A1535A" w:rsidRDefault="00EB25FF" w:rsidP="00EB25FF">
            <w:pPr>
              <w:jc w:val="both"/>
              <w:rPr>
                <w:rFonts w:eastAsia="Calibri"/>
                <w:sz w:val="20"/>
                <w:lang w:val="fr-CA"/>
              </w:rPr>
            </w:pPr>
          </w:p>
        </w:tc>
        <w:tc>
          <w:tcPr>
            <w:tcW w:w="243" w:type="pct"/>
          </w:tcPr>
          <w:p w:rsidR="00EB25FF" w:rsidRPr="00A1535A" w:rsidRDefault="00EB25FF" w:rsidP="00EB25FF">
            <w:pPr>
              <w:jc w:val="both"/>
              <w:rPr>
                <w:rFonts w:eastAsia="Calibri"/>
                <w:sz w:val="20"/>
                <w:lang w:val="fr-CA"/>
              </w:rPr>
            </w:pPr>
          </w:p>
        </w:tc>
        <w:tc>
          <w:tcPr>
            <w:tcW w:w="2330" w:type="pct"/>
          </w:tcPr>
          <w:p w:rsidR="00EB25FF" w:rsidRPr="00A1535A" w:rsidRDefault="00EB25FF" w:rsidP="00EB25FF">
            <w:pPr>
              <w:jc w:val="both"/>
              <w:rPr>
                <w:rFonts w:eastAsia="Calibri"/>
                <w:sz w:val="20"/>
                <w:lang w:val="fr-CA"/>
              </w:rPr>
            </w:pPr>
            <w:r w:rsidRPr="00A1535A">
              <w:rPr>
                <w:rFonts w:eastAsia="Calibri"/>
                <w:sz w:val="20"/>
                <w:lang w:val="fr-CA"/>
              </w:rPr>
              <w:t>Ordonnance : interdiction d'opérations conditionnelle imposée à M. Torudag pendant une période d'un an et condamnation à une pénalité administrative de 36</w:t>
            </w:r>
            <w:r w:rsidR="0084336C">
              <w:rPr>
                <w:rFonts w:eastAsia="Calibri"/>
                <w:sz w:val="20"/>
                <w:lang w:val="fr-CA"/>
              </w:rPr>
              <w:t> </w:t>
            </w:r>
            <w:r w:rsidRPr="00A1535A">
              <w:rPr>
                <w:rFonts w:eastAsia="Calibri"/>
                <w:sz w:val="20"/>
                <w:lang w:val="fr-CA"/>
              </w:rPr>
              <w:t>771</w:t>
            </w:r>
            <w:r w:rsidR="0084336C">
              <w:rPr>
                <w:rFonts w:eastAsia="Calibri"/>
                <w:sz w:val="20"/>
                <w:lang w:val="fr-CA"/>
              </w:rPr>
              <w:t> </w:t>
            </w:r>
            <w:r w:rsidRPr="00A1535A">
              <w:rPr>
                <w:rFonts w:eastAsia="Calibri"/>
                <w:sz w:val="20"/>
                <w:lang w:val="fr-CA"/>
              </w:rPr>
              <w:t>$</w:t>
            </w:r>
            <w:r w:rsidRPr="00A1535A">
              <w:rPr>
                <w:rFonts w:eastAsia="Calibri"/>
                <w:color w:val="000000"/>
                <w:sz w:val="20"/>
                <w:lang w:val="fr-CA"/>
              </w:rPr>
              <w:t>.</w:t>
            </w:r>
          </w:p>
          <w:p w:rsidR="00EB25FF" w:rsidRPr="00A1535A" w:rsidRDefault="00EB25FF" w:rsidP="00EB25FF">
            <w:pPr>
              <w:jc w:val="both"/>
              <w:rPr>
                <w:rFonts w:eastAsia="Calibri"/>
                <w:sz w:val="20"/>
                <w:lang w:val="fr-CA"/>
              </w:rPr>
            </w:pPr>
          </w:p>
        </w:tc>
      </w:tr>
      <w:tr w:rsidR="00EB25FF" w:rsidRPr="00A1535A" w:rsidTr="00EB25FF">
        <w:tc>
          <w:tcPr>
            <w:tcW w:w="2427" w:type="pct"/>
          </w:tcPr>
          <w:p w:rsidR="00EB25FF" w:rsidRPr="00A1535A" w:rsidRDefault="00EB25FF" w:rsidP="00EB25FF">
            <w:pPr>
              <w:jc w:val="both"/>
              <w:rPr>
                <w:rFonts w:eastAsia="Calibri"/>
                <w:sz w:val="20"/>
                <w:lang w:val="fr-CA"/>
              </w:rPr>
            </w:pPr>
            <w:r w:rsidRPr="00A1535A">
              <w:rPr>
                <w:rFonts w:eastAsia="Calibri"/>
                <w:sz w:val="20"/>
                <w:lang w:val="fr-CA"/>
              </w:rPr>
              <w:t>16 novembre 2011</w:t>
            </w:r>
          </w:p>
          <w:p w:rsidR="00EB25FF" w:rsidRPr="00A1535A" w:rsidRDefault="00EB25FF" w:rsidP="00EB25FF">
            <w:pPr>
              <w:jc w:val="both"/>
              <w:rPr>
                <w:rFonts w:eastAsia="Calibri"/>
                <w:sz w:val="20"/>
                <w:lang w:val="fr-CA"/>
              </w:rPr>
            </w:pPr>
            <w:r w:rsidRPr="00A1535A">
              <w:rPr>
                <w:rFonts w:eastAsia="Calibri"/>
                <w:sz w:val="20"/>
                <w:lang w:val="fr-CA"/>
              </w:rPr>
              <w:t>Cour d'appel de la Colombie-Britannique (Vancouver)</w:t>
            </w:r>
          </w:p>
          <w:p w:rsidR="00EB25FF" w:rsidRPr="00A1535A" w:rsidRDefault="00EB25FF" w:rsidP="00EB25FF">
            <w:pPr>
              <w:jc w:val="both"/>
              <w:rPr>
                <w:rFonts w:eastAsia="Calibri"/>
                <w:sz w:val="20"/>
                <w:lang w:val="fr-CA"/>
              </w:rPr>
            </w:pPr>
            <w:r w:rsidRPr="00A1535A">
              <w:rPr>
                <w:rFonts w:eastAsia="Calibri"/>
                <w:sz w:val="20"/>
                <w:lang w:val="fr-CA"/>
              </w:rPr>
              <w:t>(Juges Hall, Levine et Hinkson)</w:t>
            </w:r>
          </w:p>
          <w:p w:rsidR="00EB25FF" w:rsidRPr="00A1535A" w:rsidRDefault="00EB25FF" w:rsidP="00EB25FF">
            <w:pPr>
              <w:jc w:val="both"/>
              <w:rPr>
                <w:rFonts w:eastAsia="Calibri"/>
                <w:sz w:val="20"/>
                <w:lang w:val="fr-CA"/>
              </w:rPr>
            </w:pPr>
            <w:r w:rsidRPr="00A1535A">
              <w:rPr>
                <w:rFonts w:eastAsia="Calibri"/>
                <w:sz w:val="20"/>
                <w:lang w:val="fr-CA"/>
              </w:rPr>
              <w:t xml:space="preserve">2011 BCCA 458 </w:t>
            </w:r>
          </w:p>
          <w:p w:rsidR="00EB25FF" w:rsidRPr="00A1535A" w:rsidRDefault="00EB25FF" w:rsidP="00EB25FF">
            <w:pPr>
              <w:jc w:val="both"/>
              <w:rPr>
                <w:rFonts w:eastAsia="Calibri"/>
                <w:sz w:val="20"/>
                <w:lang w:val="fr-CA"/>
              </w:rPr>
            </w:pPr>
          </w:p>
        </w:tc>
        <w:tc>
          <w:tcPr>
            <w:tcW w:w="243" w:type="pct"/>
          </w:tcPr>
          <w:p w:rsidR="00EB25FF" w:rsidRPr="00A1535A" w:rsidRDefault="00EB25FF" w:rsidP="00EB25FF">
            <w:pPr>
              <w:jc w:val="both"/>
              <w:rPr>
                <w:rFonts w:eastAsia="Calibri"/>
                <w:sz w:val="20"/>
                <w:lang w:val="fr-CA"/>
              </w:rPr>
            </w:pPr>
          </w:p>
        </w:tc>
        <w:tc>
          <w:tcPr>
            <w:tcW w:w="2330" w:type="pct"/>
          </w:tcPr>
          <w:p w:rsidR="00EB25FF" w:rsidRPr="00A1535A" w:rsidRDefault="00EB25FF" w:rsidP="00EB25FF">
            <w:pPr>
              <w:jc w:val="both"/>
              <w:rPr>
                <w:rFonts w:eastAsia="Calibri"/>
                <w:sz w:val="20"/>
                <w:lang w:val="fr-CA"/>
              </w:rPr>
            </w:pPr>
            <w:r w:rsidRPr="00A1535A">
              <w:rPr>
                <w:rFonts w:eastAsia="Calibri"/>
                <w:sz w:val="20"/>
                <w:lang w:val="fr-CA"/>
              </w:rPr>
              <w:t>Appel rejeté</w:t>
            </w:r>
          </w:p>
          <w:p w:rsidR="00EB25FF" w:rsidRPr="00A1535A" w:rsidRDefault="00EB25FF" w:rsidP="00EB25FF">
            <w:pPr>
              <w:jc w:val="both"/>
              <w:rPr>
                <w:rFonts w:eastAsia="Calibri"/>
                <w:sz w:val="20"/>
                <w:lang w:val="fr-CA"/>
              </w:rPr>
            </w:pPr>
          </w:p>
        </w:tc>
      </w:tr>
      <w:tr w:rsidR="00EB25FF" w:rsidRPr="00A1535A" w:rsidTr="00EB25FF">
        <w:tc>
          <w:tcPr>
            <w:tcW w:w="2427" w:type="pct"/>
          </w:tcPr>
          <w:p w:rsidR="00EB25FF" w:rsidRPr="00A1535A" w:rsidRDefault="00EB25FF" w:rsidP="00EB25FF">
            <w:pPr>
              <w:jc w:val="both"/>
              <w:rPr>
                <w:rFonts w:eastAsia="Calibri"/>
                <w:sz w:val="20"/>
                <w:lang w:val="fr-CA"/>
              </w:rPr>
            </w:pPr>
            <w:r w:rsidRPr="00A1535A">
              <w:rPr>
                <w:rFonts w:eastAsia="Calibri"/>
                <w:sz w:val="20"/>
                <w:lang w:val="fr-CA"/>
              </w:rPr>
              <w:t>16 janvier 2012</w:t>
            </w:r>
          </w:p>
          <w:p w:rsidR="00EB25FF" w:rsidRPr="00A1535A" w:rsidRDefault="00EB25FF" w:rsidP="00EB25FF">
            <w:pPr>
              <w:jc w:val="both"/>
              <w:rPr>
                <w:rFonts w:eastAsia="Calibri"/>
                <w:sz w:val="20"/>
                <w:lang w:val="fr-CA"/>
              </w:rPr>
            </w:pPr>
            <w:r w:rsidRPr="00A1535A">
              <w:rPr>
                <w:rFonts w:eastAsia="Calibri"/>
                <w:sz w:val="20"/>
                <w:lang w:val="fr-CA"/>
              </w:rPr>
              <w:t>Cour suprême du Canada</w:t>
            </w:r>
          </w:p>
        </w:tc>
        <w:tc>
          <w:tcPr>
            <w:tcW w:w="243" w:type="pct"/>
          </w:tcPr>
          <w:p w:rsidR="00EB25FF" w:rsidRPr="00A1535A" w:rsidRDefault="00EB25FF" w:rsidP="00EB25FF">
            <w:pPr>
              <w:jc w:val="both"/>
              <w:rPr>
                <w:rFonts w:eastAsia="Calibri"/>
                <w:sz w:val="20"/>
                <w:lang w:val="fr-CA"/>
              </w:rPr>
            </w:pPr>
          </w:p>
        </w:tc>
        <w:tc>
          <w:tcPr>
            <w:tcW w:w="2330" w:type="pct"/>
          </w:tcPr>
          <w:p w:rsidR="00EB25FF" w:rsidRPr="00A1535A" w:rsidRDefault="00EB25FF" w:rsidP="00EB25FF">
            <w:pPr>
              <w:jc w:val="both"/>
              <w:rPr>
                <w:rFonts w:eastAsia="Calibri"/>
                <w:sz w:val="20"/>
                <w:lang w:val="fr-CA"/>
              </w:rPr>
            </w:pPr>
            <w:r w:rsidRPr="00A1535A">
              <w:rPr>
                <w:rFonts w:eastAsia="Calibri"/>
                <w:sz w:val="20"/>
                <w:lang w:val="fr-CA"/>
              </w:rPr>
              <w:t>Demande d'autorisation d'appel, déposée</w:t>
            </w:r>
          </w:p>
          <w:p w:rsidR="00EB25FF" w:rsidRPr="00A1535A" w:rsidRDefault="00EB25FF" w:rsidP="00EB25FF">
            <w:pPr>
              <w:jc w:val="both"/>
              <w:rPr>
                <w:rFonts w:eastAsia="Calibri"/>
                <w:sz w:val="20"/>
                <w:lang w:val="fr-CA"/>
              </w:rPr>
            </w:pPr>
          </w:p>
        </w:tc>
      </w:tr>
    </w:tbl>
    <w:p w:rsidR="00F40E20" w:rsidRDefault="00F40E20" w:rsidP="00F40E20">
      <w:pPr>
        <w:rPr>
          <w:sz w:val="20"/>
          <w:szCs w:val="20"/>
        </w:rPr>
      </w:pPr>
    </w:p>
    <w:p w:rsidR="00F40E20" w:rsidRDefault="007333FF" w:rsidP="00F40E20">
      <w:pPr>
        <w:rPr>
          <w:sz w:val="20"/>
          <w:szCs w:val="20"/>
        </w:rPr>
      </w:pPr>
      <w:r w:rsidRPr="007333FF">
        <w:rPr>
          <w:sz w:val="20"/>
          <w:szCs w:val="20"/>
          <w:lang w:val="fr-CA"/>
        </w:rPr>
        <w:pict>
          <v:rect id="_x0000_i1079" style="width:2in;height:1pt" o:hrpct="0" o:hralign="center" o:hrstd="t" o:hrnoshade="t" o:hr="t" fillcolor="black [3213]" stroked="f"/>
        </w:pict>
      </w:r>
    </w:p>
    <w:p w:rsidR="00F40E20" w:rsidRDefault="00F40E20" w:rsidP="00F40E2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0124A" w:rsidRPr="000F116A" w:rsidTr="00D40817">
        <w:trPr>
          <w:cantSplit/>
        </w:trPr>
        <w:tc>
          <w:tcPr>
            <w:tcW w:w="1458" w:type="dxa"/>
          </w:tcPr>
          <w:p w:rsidR="0060124A" w:rsidRPr="000F116A" w:rsidRDefault="0060124A" w:rsidP="00D40817">
            <w:pPr>
              <w:rPr>
                <w:sz w:val="20"/>
                <w:szCs w:val="20"/>
              </w:rPr>
            </w:pPr>
            <w:r w:rsidRPr="000F116A">
              <w:rPr>
                <w:rStyle w:val="SCCFileNumberChar"/>
                <w:sz w:val="20"/>
                <w:szCs w:val="20"/>
              </w:rPr>
              <w:t>34646</w:t>
            </w:r>
          </w:p>
          <w:p w:rsidR="0060124A" w:rsidRPr="000F116A" w:rsidRDefault="0060124A" w:rsidP="00D40817">
            <w:pPr>
              <w:rPr>
                <w:b/>
                <w:sz w:val="20"/>
                <w:szCs w:val="20"/>
                <w:lang w:val="fr-CA"/>
              </w:rPr>
            </w:pPr>
          </w:p>
        </w:tc>
        <w:tc>
          <w:tcPr>
            <w:tcW w:w="8118" w:type="dxa"/>
          </w:tcPr>
          <w:p w:rsidR="0060124A" w:rsidRPr="000F116A" w:rsidRDefault="0060124A" w:rsidP="00D40817">
            <w:pPr>
              <w:jc w:val="both"/>
              <w:rPr>
                <w:sz w:val="20"/>
                <w:szCs w:val="20"/>
              </w:rPr>
            </w:pPr>
            <w:r w:rsidRPr="000F116A">
              <w:rPr>
                <w:rStyle w:val="SCCLsocChar"/>
                <w:sz w:val="20"/>
                <w:szCs w:val="20"/>
                <w:lang w:val="en-CA"/>
              </w:rPr>
              <w:t>T. Kofi Hadjor v. Sault Ste. Marie Police Services Board, Monique Rollin, David Helwig</w:t>
            </w:r>
            <w:r w:rsidR="0084336C">
              <w:rPr>
                <w:rStyle w:val="SCCLsocChar"/>
                <w:sz w:val="20"/>
                <w:szCs w:val="20"/>
                <w:lang w:val="en-CA"/>
              </w:rPr>
              <w:t xml:space="preserve"> and</w:t>
            </w:r>
            <w:r w:rsidRPr="000F116A">
              <w:rPr>
                <w:rStyle w:val="SCCLsocChar"/>
                <w:sz w:val="20"/>
                <w:szCs w:val="20"/>
                <w:lang w:val="en-CA"/>
              </w:rPr>
              <w:t xml:space="preserve"> Soo Today.com</w:t>
            </w:r>
            <w:r w:rsidRPr="000F116A">
              <w:rPr>
                <w:sz w:val="20"/>
                <w:szCs w:val="20"/>
              </w:rPr>
              <w:t xml:space="preserve"> (Ont.) (Civil) (By Leave)</w:t>
            </w:r>
          </w:p>
          <w:p w:rsidR="0060124A" w:rsidRPr="000F116A" w:rsidRDefault="0060124A" w:rsidP="00D40817">
            <w:pPr>
              <w:rPr>
                <w:sz w:val="20"/>
                <w:szCs w:val="20"/>
              </w:rPr>
            </w:pPr>
          </w:p>
        </w:tc>
      </w:tr>
      <w:tr w:rsidR="0060124A" w:rsidRPr="000F116A" w:rsidTr="00D40817">
        <w:trPr>
          <w:cantSplit/>
        </w:trPr>
        <w:tc>
          <w:tcPr>
            <w:tcW w:w="1458" w:type="dxa"/>
          </w:tcPr>
          <w:p w:rsidR="0060124A" w:rsidRPr="000F116A" w:rsidRDefault="0060124A" w:rsidP="00D40817">
            <w:pPr>
              <w:rPr>
                <w:sz w:val="20"/>
                <w:szCs w:val="20"/>
              </w:rPr>
            </w:pPr>
            <w:r w:rsidRPr="000F116A">
              <w:rPr>
                <w:sz w:val="20"/>
                <w:szCs w:val="20"/>
              </w:rPr>
              <w:t>Coram :</w:t>
            </w:r>
          </w:p>
        </w:tc>
        <w:tc>
          <w:tcPr>
            <w:tcW w:w="8118" w:type="dxa"/>
          </w:tcPr>
          <w:p w:rsidR="0060124A" w:rsidRPr="000F116A" w:rsidRDefault="0060124A" w:rsidP="00D40817">
            <w:pPr>
              <w:rPr>
                <w:sz w:val="20"/>
                <w:szCs w:val="20"/>
              </w:rPr>
            </w:pPr>
            <w:r w:rsidRPr="000F116A">
              <w:rPr>
                <w:rStyle w:val="SCCCoramChar"/>
                <w:sz w:val="20"/>
                <w:szCs w:val="20"/>
                <w:lang w:val="en-CA"/>
              </w:rPr>
              <w:t>McLachlin C.J. and Rothstein and Moldaver JJ.</w:t>
            </w:r>
          </w:p>
          <w:p w:rsidR="0060124A" w:rsidRPr="000F116A" w:rsidRDefault="0060124A" w:rsidP="00D40817">
            <w:pPr>
              <w:rPr>
                <w:sz w:val="20"/>
                <w:szCs w:val="20"/>
                <w:u w:val="single"/>
              </w:rPr>
            </w:pPr>
          </w:p>
        </w:tc>
      </w:tr>
      <w:tr w:rsidR="0060124A" w:rsidRPr="000F116A" w:rsidTr="00D40817">
        <w:trPr>
          <w:cantSplit/>
        </w:trPr>
        <w:tc>
          <w:tcPr>
            <w:tcW w:w="9576" w:type="dxa"/>
            <w:gridSpan w:val="2"/>
          </w:tcPr>
          <w:p w:rsidR="0060124A" w:rsidRPr="0060124A" w:rsidRDefault="0060124A" w:rsidP="00D40817">
            <w:pPr>
              <w:pStyle w:val="SCCShortJudgment"/>
              <w:rPr>
                <w:szCs w:val="20"/>
                <w:lang w:val="fr-CA"/>
              </w:rPr>
            </w:pPr>
            <w:r w:rsidRPr="000F116A">
              <w:rPr>
                <w:szCs w:val="20"/>
              </w:rPr>
              <w:t xml:space="preserve">The application for leave to appeal from the judgment of the Court of Appeal for Ontario, Number C52748, 2011 ONCA 811, dated December 7, 2011, is dismissed with costs to the respondents Sault Ste. </w:t>
            </w:r>
            <w:r w:rsidRPr="0060124A">
              <w:rPr>
                <w:szCs w:val="20"/>
                <w:lang w:val="fr-CA"/>
              </w:rPr>
              <w:t>Marie Police Services Board and Monique Rollin.</w:t>
            </w:r>
          </w:p>
          <w:p w:rsidR="0060124A" w:rsidRPr="0060124A" w:rsidRDefault="0060124A" w:rsidP="00D40817">
            <w:pPr>
              <w:pStyle w:val="SCCShortJudgment"/>
              <w:ind w:firstLine="0"/>
              <w:rPr>
                <w:szCs w:val="20"/>
                <w:lang w:val="fr-CA"/>
              </w:rPr>
            </w:pPr>
          </w:p>
          <w:p w:rsidR="0060124A" w:rsidRPr="000F116A" w:rsidRDefault="0060124A" w:rsidP="00D40817">
            <w:pPr>
              <w:pStyle w:val="SCCShortJudgment"/>
              <w:rPr>
                <w:szCs w:val="20"/>
              </w:rPr>
            </w:pPr>
            <w:r w:rsidRPr="000F116A">
              <w:rPr>
                <w:szCs w:val="20"/>
                <w:lang w:val="fr-CA"/>
              </w:rPr>
              <w:t xml:space="preserve">La demande d’autorisation d’appel de l’arrêt de la Cour d’appel de l’Ontario, numéro C52748, 2011 ONCA 811, daté du 7 décembre 2011, est rejetée avec dépens en faveur des intimées Commission des services policiers de Sault Ste. </w:t>
            </w:r>
            <w:r w:rsidRPr="000F116A">
              <w:rPr>
                <w:szCs w:val="20"/>
              </w:rPr>
              <w:t>Marie et Monique Rollin.</w:t>
            </w:r>
          </w:p>
        </w:tc>
      </w:tr>
    </w:tbl>
    <w:p w:rsidR="00EC09EE" w:rsidRPr="00F40E20" w:rsidRDefault="00EC09EE" w:rsidP="00EC09EE">
      <w:pPr>
        <w:rPr>
          <w:sz w:val="20"/>
          <w:szCs w:val="20"/>
          <w:lang w:val="fr-CA"/>
        </w:rPr>
      </w:pPr>
    </w:p>
    <w:p w:rsidR="00EC09EE" w:rsidRPr="001B157C" w:rsidRDefault="00EC09EE" w:rsidP="00EC09EE">
      <w:pPr>
        <w:rPr>
          <w:sz w:val="20"/>
          <w:szCs w:val="20"/>
          <w:u w:val="single"/>
        </w:rPr>
      </w:pPr>
      <w:r w:rsidRPr="001B157C">
        <w:rPr>
          <w:sz w:val="20"/>
          <w:szCs w:val="20"/>
          <w:u w:val="single"/>
        </w:rPr>
        <w:t>CASE SUMMARY</w:t>
      </w:r>
    </w:p>
    <w:p w:rsidR="00EC09EE" w:rsidRDefault="00EC09EE" w:rsidP="00EC09E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51D89" w:rsidRPr="00A1535A" w:rsidTr="004F1F5E">
        <w:tc>
          <w:tcPr>
            <w:tcW w:w="5000" w:type="pct"/>
            <w:gridSpan w:val="3"/>
          </w:tcPr>
          <w:p w:rsidR="00D51D89" w:rsidRPr="00A1535A" w:rsidRDefault="00D51D89" w:rsidP="004F1F5E">
            <w:pPr>
              <w:jc w:val="both"/>
              <w:rPr>
                <w:rFonts w:eastAsia="Calibri"/>
                <w:sz w:val="20"/>
              </w:rPr>
            </w:pPr>
            <w:r w:rsidRPr="00A1535A">
              <w:rPr>
                <w:rFonts w:eastAsia="Calibri"/>
                <w:sz w:val="20"/>
              </w:rPr>
              <w:t>Appeals ― Respondent police officer issuing fraud alert about applicant ― Applicant commencing defamation action against respondents and seeking damages for injuries resulting from fraud alert ― Dismissal of defamation claim following jury trial ― What should be the criteria under which the police may issue a fraud alert in carrying out their statutory duty to prevent crime ― Whether that criteria met in this case ― Whether the defence of qualified privilege should have been applied in this case?</w:t>
            </w:r>
          </w:p>
        </w:tc>
      </w:tr>
      <w:tr w:rsidR="00D51D89" w:rsidRPr="00A1535A" w:rsidTr="004F1F5E">
        <w:tc>
          <w:tcPr>
            <w:tcW w:w="5000" w:type="pct"/>
            <w:gridSpan w:val="3"/>
          </w:tcPr>
          <w:p w:rsidR="00D51D89" w:rsidRPr="00A1535A" w:rsidRDefault="00D51D89" w:rsidP="004F1F5E">
            <w:pPr>
              <w:jc w:val="both"/>
              <w:rPr>
                <w:rFonts w:eastAsia="Calibri"/>
                <w:sz w:val="20"/>
              </w:rPr>
            </w:pPr>
          </w:p>
        </w:tc>
      </w:tr>
      <w:tr w:rsidR="00D51D89" w:rsidRPr="00A1535A" w:rsidTr="004F1F5E">
        <w:tc>
          <w:tcPr>
            <w:tcW w:w="5000" w:type="pct"/>
            <w:gridSpan w:val="3"/>
          </w:tcPr>
          <w:p w:rsidR="00D51D89" w:rsidRPr="00A1535A" w:rsidRDefault="00D51D89" w:rsidP="004F1F5E">
            <w:pPr>
              <w:jc w:val="both"/>
              <w:rPr>
                <w:rFonts w:eastAsia="Calibri"/>
                <w:sz w:val="20"/>
              </w:rPr>
            </w:pPr>
            <w:r w:rsidRPr="00A1535A">
              <w:rPr>
                <w:rFonts w:eastAsia="Calibri"/>
                <w:sz w:val="20"/>
              </w:rPr>
              <w:t xml:space="preserve">The applicant, T. Kofi Hadjor sought damages for injuries to his reputation and loss of business opportunity stemming from a fraud alert issued by the respondent, Monique Rollin, a police officer.  The alert was then reproduced by the respondent, SooToday.com authored by the respondent, David Helwig. </w:t>
            </w:r>
          </w:p>
          <w:p w:rsidR="00D51D89" w:rsidRPr="00A1535A" w:rsidRDefault="00D51D89" w:rsidP="004F1F5E">
            <w:pPr>
              <w:jc w:val="both"/>
              <w:rPr>
                <w:rFonts w:eastAsia="Calibri"/>
                <w:sz w:val="20"/>
              </w:rPr>
            </w:pPr>
          </w:p>
          <w:p w:rsidR="00D51D89" w:rsidRPr="00A1535A" w:rsidRDefault="00D51D89" w:rsidP="004F1F5E">
            <w:pPr>
              <w:jc w:val="both"/>
              <w:rPr>
                <w:rFonts w:eastAsia="Calibri"/>
                <w:sz w:val="20"/>
              </w:rPr>
            </w:pPr>
            <w:r w:rsidRPr="00A1535A">
              <w:rPr>
                <w:rFonts w:eastAsia="Calibri"/>
                <w:sz w:val="20"/>
              </w:rPr>
              <w:t xml:space="preserve">Mr. Hadjor’s defamation action was dismissed following a trial by judge and jury in the Superior Court.  The Court of Appeal dismissed the appeal.  </w:t>
            </w:r>
          </w:p>
          <w:p w:rsidR="00D51D89" w:rsidRPr="00A1535A" w:rsidRDefault="00D51D89" w:rsidP="004F1F5E">
            <w:pPr>
              <w:jc w:val="both"/>
              <w:rPr>
                <w:rFonts w:eastAsia="Calibri"/>
                <w:sz w:val="20"/>
              </w:rPr>
            </w:pPr>
          </w:p>
        </w:tc>
      </w:tr>
      <w:tr w:rsidR="00D51D89" w:rsidRPr="00A1535A" w:rsidTr="004F1F5E">
        <w:tc>
          <w:tcPr>
            <w:tcW w:w="2427" w:type="pct"/>
          </w:tcPr>
          <w:p w:rsidR="00D51D89" w:rsidRPr="00A1535A" w:rsidRDefault="00D51D89" w:rsidP="004F1F5E">
            <w:pPr>
              <w:jc w:val="both"/>
              <w:rPr>
                <w:rFonts w:eastAsia="Calibri"/>
                <w:sz w:val="20"/>
              </w:rPr>
            </w:pPr>
            <w:r w:rsidRPr="00A1535A">
              <w:rPr>
                <w:rFonts w:eastAsia="Calibri"/>
                <w:sz w:val="20"/>
              </w:rPr>
              <w:lastRenderedPageBreak/>
              <w:t>September 10, 2010</w:t>
            </w:r>
          </w:p>
          <w:p w:rsidR="00D51D89" w:rsidRPr="00A1535A" w:rsidRDefault="00D51D89" w:rsidP="004F1F5E">
            <w:pPr>
              <w:jc w:val="both"/>
              <w:rPr>
                <w:rFonts w:eastAsia="Calibri"/>
                <w:sz w:val="20"/>
              </w:rPr>
            </w:pPr>
            <w:r w:rsidRPr="00A1535A">
              <w:rPr>
                <w:rFonts w:eastAsia="Calibri"/>
                <w:sz w:val="20"/>
              </w:rPr>
              <w:t>Ontario Superior Court of Justice</w:t>
            </w:r>
          </w:p>
          <w:p w:rsidR="00D51D89" w:rsidRPr="00A1535A" w:rsidRDefault="00D51D89" w:rsidP="004F1F5E">
            <w:pPr>
              <w:jc w:val="both"/>
              <w:rPr>
                <w:rFonts w:eastAsia="Calibri"/>
                <w:sz w:val="20"/>
              </w:rPr>
            </w:pPr>
            <w:r w:rsidRPr="00A1535A">
              <w:rPr>
                <w:rFonts w:eastAsia="Calibri"/>
                <w:sz w:val="20"/>
              </w:rPr>
              <w:t>(Koke J.)</w:t>
            </w:r>
          </w:p>
          <w:p w:rsidR="00D51D89" w:rsidRPr="00A1535A" w:rsidRDefault="00D51D89" w:rsidP="004F1F5E">
            <w:pPr>
              <w:jc w:val="both"/>
              <w:rPr>
                <w:rFonts w:eastAsia="Calibri"/>
                <w:sz w:val="20"/>
              </w:rPr>
            </w:pPr>
          </w:p>
        </w:tc>
        <w:tc>
          <w:tcPr>
            <w:tcW w:w="243" w:type="pct"/>
          </w:tcPr>
          <w:p w:rsidR="00D51D89" w:rsidRPr="00A1535A" w:rsidRDefault="00D51D89" w:rsidP="004F1F5E">
            <w:pPr>
              <w:jc w:val="both"/>
              <w:rPr>
                <w:rFonts w:eastAsia="Calibri"/>
                <w:sz w:val="20"/>
              </w:rPr>
            </w:pPr>
          </w:p>
        </w:tc>
        <w:tc>
          <w:tcPr>
            <w:tcW w:w="2330" w:type="pct"/>
          </w:tcPr>
          <w:p w:rsidR="00D51D89" w:rsidRPr="00A1535A" w:rsidRDefault="00D51D89" w:rsidP="004F1F5E">
            <w:pPr>
              <w:jc w:val="both"/>
              <w:rPr>
                <w:rFonts w:eastAsia="Calibri"/>
                <w:sz w:val="20"/>
              </w:rPr>
            </w:pPr>
            <w:r w:rsidRPr="00A1535A">
              <w:rPr>
                <w:rFonts w:eastAsia="Calibri"/>
                <w:sz w:val="20"/>
              </w:rPr>
              <w:t>Action dismissed following jury trial.</w:t>
            </w:r>
          </w:p>
          <w:p w:rsidR="00D51D89" w:rsidRPr="00A1535A" w:rsidRDefault="00D51D89" w:rsidP="004F1F5E">
            <w:pPr>
              <w:jc w:val="both"/>
              <w:rPr>
                <w:rFonts w:eastAsia="Calibri"/>
                <w:sz w:val="20"/>
              </w:rPr>
            </w:pPr>
          </w:p>
        </w:tc>
      </w:tr>
      <w:tr w:rsidR="00D51D89" w:rsidRPr="00A1535A" w:rsidTr="004F1F5E">
        <w:tc>
          <w:tcPr>
            <w:tcW w:w="2427" w:type="pct"/>
          </w:tcPr>
          <w:p w:rsidR="00D51D89" w:rsidRPr="00A1535A" w:rsidRDefault="00D51D89" w:rsidP="004F1F5E">
            <w:pPr>
              <w:jc w:val="both"/>
              <w:rPr>
                <w:rFonts w:eastAsia="Calibri"/>
                <w:sz w:val="20"/>
              </w:rPr>
            </w:pPr>
            <w:r w:rsidRPr="00A1535A">
              <w:rPr>
                <w:rFonts w:eastAsia="Calibri"/>
                <w:sz w:val="20"/>
              </w:rPr>
              <w:t>December 7, 2011</w:t>
            </w:r>
          </w:p>
          <w:p w:rsidR="00D51D89" w:rsidRPr="00A1535A" w:rsidRDefault="00D51D89" w:rsidP="004F1F5E">
            <w:pPr>
              <w:jc w:val="both"/>
              <w:rPr>
                <w:rFonts w:eastAsia="Calibri"/>
                <w:sz w:val="20"/>
              </w:rPr>
            </w:pPr>
            <w:r w:rsidRPr="00A1535A">
              <w:rPr>
                <w:rFonts w:eastAsia="Calibri"/>
                <w:sz w:val="20"/>
              </w:rPr>
              <w:t>Court of Appeal for Ontario</w:t>
            </w:r>
          </w:p>
          <w:p w:rsidR="00D51D89" w:rsidRPr="00A1535A" w:rsidRDefault="00D51D89" w:rsidP="004F1F5E">
            <w:pPr>
              <w:jc w:val="both"/>
              <w:rPr>
                <w:rFonts w:eastAsia="Calibri"/>
                <w:sz w:val="20"/>
              </w:rPr>
            </w:pPr>
            <w:r w:rsidRPr="00A1535A">
              <w:rPr>
                <w:rFonts w:eastAsia="Calibri"/>
                <w:sz w:val="20"/>
              </w:rPr>
              <w:t>(Sharpe and Epstein JJ.A. and Pardu J. (</w:t>
            </w:r>
            <w:r w:rsidRPr="00A1535A">
              <w:rPr>
                <w:rFonts w:eastAsia="Calibri"/>
                <w:i/>
                <w:sz w:val="20"/>
              </w:rPr>
              <w:t>ad hoc</w:t>
            </w:r>
            <w:r w:rsidRPr="00A1535A">
              <w:rPr>
                <w:rFonts w:eastAsia="Calibri"/>
                <w:sz w:val="20"/>
              </w:rPr>
              <w:t>))</w:t>
            </w:r>
          </w:p>
          <w:p w:rsidR="00D51D89" w:rsidRPr="00A1535A" w:rsidRDefault="00D51D89" w:rsidP="004F1F5E">
            <w:pPr>
              <w:jc w:val="both"/>
              <w:rPr>
                <w:rFonts w:eastAsia="Calibri"/>
                <w:sz w:val="20"/>
              </w:rPr>
            </w:pPr>
            <w:r w:rsidRPr="00A1535A">
              <w:rPr>
                <w:rFonts w:eastAsia="Calibri"/>
                <w:sz w:val="20"/>
              </w:rPr>
              <w:t>2011 ONCA 811</w:t>
            </w:r>
          </w:p>
          <w:p w:rsidR="00D51D89" w:rsidRPr="00A1535A" w:rsidRDefault="00D51D89" w:rsidP="004F1F5E">
            <w:pPr>
              <w:jc w:val="both"/>
              <w:rPr>
                <w:rFonts w:eastAsia="Calibri"/>
                <w:sz w:val="20"/>
              </w:rPr>
            </w:pPr>
          </w:p>
        </w:tc>
        <w:tc>
          <w:tcPr>
            <w:tcW w:w="243" w:type="pct"/>
          </w:tcPr>
          <w:p w:rsidR="00D51D89" w:rsidRPr="00A1535A" w:rsidRDefault="00D51D89" w:rsidP="004F1F5E">
            <w:pPr>
              <w:jc w:val="both"/>
              <w:rPr>
                <w:rFonts w:eastAsia="Calibri"/>
                <w:sz w:val="20"/>
              </w:rPr>
            </w:pPr>
          </w:p>
        </w:tc>
        <w:tc>
          <w:tcPr>
            <w:tcW w:w="2330" w:type="pct"/>
          </w:tcPr>
          <w:p w:rsidR="00D51D89" w:rsidRPr="00A1535A" w:rsidRDefault="00D51D89" w:rsidP="004F1F5E">
            <w:pPr>
              <w:jc w:val="both"/>
              <w:rPr>
                <w:rFonts w:eastAsia="Calibri"/>
                <w:sz w:val="20"/>
              </w:rPr>
            </w:pPr>
            <w:r w:rsidRPr="00A1535A">
              <w:rPr>
                <w:rFonts w:eastAsia="Calibri"/>
                <w:sz w:val="20"/>
              </w:rPr>
              <w:t>Appeal dismissed.</w:t>
            </w:r>
          </w:p>
          <w:p w:rsidR="00D51D89" w:rsidRPr="00A1535A" w:rsidRDefault="00D51D89" w:rsidP="004F1F5E">
            <w:pPr>
              <w:jc w:val="both"/>
              <w:rPr>
                <w:rFonts w:eastAsia="Calibri"/>
                <w:sz w:val="20"/>
              </w:rPr>
            </w:pPr>
          </w:p>
        </w:tc>
      </w:tr>
      <w:tr w:rsidR="00D51D89" w:rsidRPr="00A1535A" w:rsidTr="004F1F5E">
        <w:tc>
          <w:tcPr>
            <w:tcW w:w="2427" w:type="pct"/>
          </w:tcPr>
          <w:p w:rsidR="00D51D89" w:rsidRPr="00A1535A" w:rsidRDefault="00D51D89" w:rsidP="004F1F5E">
            <w:pPr>
              <w:jc w:val="both"/>
              <w:rPr>
                <w:rFonts w:eastAsia="Calibri"/>
                <w:sz w:val="20"/>
              </w:rPr>
            </w:pPr>
            <w:r w:rsidRPr="00A1535A">
              <w:rPr>
                <w:rFonts w:eastAsia="Calibri"/>
                <w:sz w:val="20"/>
              </w:rPr>
              <w:t>February 6, 2012</w:t>
            </w:r>
          </w:p>
          <w:p w:rsidR="00D51D89" w:rsidRPr="00A1535A" w:rsidRDefault="00D51D89" w:rsidP="004F1F5E">
            <w:pPr>
              <w:jc w:val="both"/>
              <w:rPr>
                <w:rFonts w:eastAsia="Calibri"/>
                <w:sz w:val="20"/>
              </w:rPr>
            </w:pPr>
            <w:r w:rsidRPr="00A1535A">
              <w:rPr>
                <w:rFonts w:eastAsia="Calibri"/>
                <w:sz w:val="20"/>
              </w:rPr>
              <w:t>Supreme Court of Canada</w:t>
            </w:r>
          </w:p>
        </w:tc>
        <w:tc>
          <w:tcPr>
            <w:tcW w:w="243" w:type="pct"/>
          </w:tcPr>
          <w:p w:rsidR="00D51D89" w:rsidRPr="00A1535A" w:rsidRDefault="00D51D89" w:rsidP="004F1F5E">
            <w:pPr>
              <w:jc w:val="both"/>
              <w:rPr>
                <w:rFonts w:eastAsia="Calibri"/>
                <w:sz w:val="20"/>
              </w:rPr>
            </w:pPr>
          </w:p>
        </w:tc>
        <w:tc>
          <w:tcPr>
            <w:tcW w:w="2330" w:type="pct"/>
          </w:tcPr>
          <w:p w:rsidR="00D51D89" w:rsidRPr="00A1535A" w:rsidRDefault="00D51D89" w:rsidP="004F1F5E">
            <w:pPr>
              <w:jc w:val="both"/>
              <w:rPr>
                <w:rFonts w:eastAsia="Calibri"/>
                <w:sz w:val="20"/>
              </w:rPr>
            </w:pPr>
            <w:r w:rsidRPr="00A1535A">
              <w:rPr>
                <w:rFonts w:eastAsia="Calibri"/>
                <w:sz w:val="20"/>
              </w:rPr>
              <w:t>Application for leave to appeal filed.</w:t>
            </w:r>
          </w:p>
          <w:p w:rsidR="00D51D89" w:rsidRPr="00A1535A" w:rsidRDefault="00D51D89" w:rsidP="004F1F5E">
            <w:pPr>
              <w:jc w:val="both"/>
              <w:rPr>
                <w:rFonts w:eastAsia="Calibri"/>
                <w:sz w:val="20"/>
              </w:rPr>
            </w:pPr>
          </w:p>
        </w:tc>
      </w:tr>
    </w:tbl>
    <w:p w:rsidR="00EC09EE" w:rsidRDefault="00EC09EE" w:rsidP="00EC09EE">
      <w:pPr>
        <w:rPr>
          <w:sz w:val="20"/>
          <w:szCs w:val="20"/>
        </w:rPr>
      </w:pPr>
    </w:p>
    <w:p w:rsidR="00EC09EE" w:rsidRPr="00C50A5C" w:rsidRDefault="007333FF" w:rsidP="00EC09EE">
      <w:pPr>
        <w:rPr>
          <w:sz w:val="20"/>
          <w:szCs w:val="20"/>
        </w:rPr>
      </w:pPr>
      <w:r w:rsidRPr="007333FF">
        <w:rPr>
          <w:sz w:val="20"/>
          <w:szCs w:val="20"/>
          <w:lang w:val="fr-CA"/>
        </w:rPr>
        <w:pict>
          <v:rect id="_x0000_i1080" style="width:2in;height:1pt" o:hrpct="0" o:hralign="center" o:hrstd="t" o:hrnoshade="t" o:hr="t" fillcolor="black [3213]" stroked="f"/>
        </w:pict>
      </w:r>
    </w:p>
    <w:p w:rsidR="00EC09EE" w:rsidRDefault="00EC09EE" w:rsidP="00EC09EE">
      <w:pPr>
        <w:rPr>
          <w:sz w:val="20"/>
          <w:szCs w:val="20"/>
        </w:rPr>
      </w:pPr>
    </w:p>
    <w:p w:rsidR="00EC09EE" w:rsidRPr="001B157C" w:rsidRDefault="00EC09EE" w:rsidP="00EC09EE">
      <w:pPr>
        <w:rPr>
          <w:sz w:val="20"/>
          <w:szCs w:val="20"/>
          <w:u w:val="single"/>
          <w:lang w:val="fr-CA"/>
        </w:rPr>
      </w:pPr>
      <w:r w:rsidRPr="001B157C">
        <w:rPr>
          <w:sz w:val="20"/>
          <w:szCs w:val="20"/>
          <w:u w:val="single"/>
          <w:lang w:val="fr-CA"/>
        </w:rPr>
        <w:t>RÉSUMÉ DE L’AFFAIRE</w:t>
      </w:r>
    </w:p>
    <w:p w:rsidR="00EC09EE" w:rsidRDefault="00EC09EE" w:rsidP="00EC09EE">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51D89" w:rsidRPr="003626B6" w:rsidTr="004F1F5E">
        <w:tc>
          <w:tcPr>
            <w:tcW w:w="5000" w:type="pct"/>
            <w:gridSpan w:val="3"/>
          </w:tcPr>
          <w:p w:rsidR="00D51D89" w:rsidRPr="00A1535A" w:rsidRDefault="00D51D89" w:rsidP="004F1F5E">
            <w:pPr>
              <w:jc w:val="both"/>
              <w:rPr>
                <w:rFonts w:eastAsia="Calibri"/>
                <w:sz w:val="20"/>
                <w:lang w:val="fr-CA"/>
              </w:rPr>
            </w:pPr>
            <w:r w:rsidRPr="00A1535A">
              <w:rPr>
                <w:rFonts w:eastAsia="Calibri"/>
                <w:sz w:val="20"/>
                <w:lang w:val="fr-CA"/>
              </w:rPr>
              <w:t>Appels ― La policière intimée a lancé une alerte à la fraude concernant le demandeur ― Le demandeur a intenté une action en diffamation contre les intimés et réclame des dommages- intérêts pour le préjudice découlant de l'alerte à la fraude ― Rejet de l'action en diffamation au terme d'un procès devant jury ― Quels devraient être les critères en vertu desquels un policier peut lancer une alerte à la fraude dans l'exécution de son obligation légale de prévention du crime? ― Les critères ont-ils été remplis en l’espèce? ― La défense d’immunité relative aurait-elle dû être appliquée en l’espèce?</w:t>
            </w:r>
          </w:p>
        </w:tc>
      </w:tr>
      <w:tr w:rsidR="00D51D89" w:rsidRPr="003626B6" w:rsidTr="004F1F5E">
        <w:tc>
          <w:tcPr>
            <w:tcW w:w="5000" w:type="pct"/>
            <w:gridSpan w:val="3"/>
          </w:tcPr>
          <w:p w:rsidR="00D51D89" w:rsidRPr="00A1535A" w:rsidRDefault="00D51D89" w:rsidP="004F1F5E">
            <w:pPr>
              <w:jc w:val="both"/>
              <w:rPr>
                <w:rFonts w:eastAsia="Calibri"/>
                <w:sz w:val="20"/>
                <w:lang w:val="fr-CA"/>
              </w:rPr>
            </w:pPr>
          </w:p>
        </w:tc>
      </w:tr>
      <w:tr w:rsidR="00D51D89" w:rsidRPr="00A1535A" w:rsidTr="004F1F5E">
        <w:tc>
          <w:tcPr>
            <w:tcW w:w="5000" w:type="pct"/>
            <w:gridSpan w:val="3"/>
          </w:tcPr>
          <w:p w:rsidR="00D51D89" w:rsidRPr="00A1535A" w:rsidRDefault="00D51D89" w:rsidP="004F1F5E">
            <w:pPr>
              <w:jc w:val="both"/>
              <w:rPr>
                <w:rFonts w:eastAsia="Calibri"/>
                <w:sz w:val="20"/>
                <w:lang w:val="fr-CA"/>
              </w:rPr>
            </w:pPr>
            <w:r w:rsidRPr="00A1535A">
              <w:rPr>
                <w:rFonts w:eastAsia="Calibri"/>
                <w:sz w:val="20"/>
                <w:lang w:val="fr-CA"/>
              </w:rPr>
              <w:t xml:space="preserve">Le demandeur, T. Kofi Hadjor a sollicité des dommages-intérêts pour atteinte à sa réputation et perte de possibilités d'affaires à la suite d'une alerte à la fraude lancée par l'intimée, Monique Rollin, une policière. L'alerte a ensuite été relancée par l'intimée, SooToday.com dans un article rédigé par l'intimé David Helwig. </w:t>
            </w:r>
          </w:p>
          <w:p w:rsidR="00D51D89" w:rsidRPr="00A1535A" w:rsidRDefault="00D51D89" w:rsidP="004F1F5E">
            <w:pPr>
              <w:jc w:val="both"/>
              <w:rPr>
                <w:rFonts w:eastAsia="Calibri"/>
                <w:sz w:val="20"/>
                <w:lang w:val="fr-CA"/>
              </w:rPr>
            </w:pPr>
          </w:p>
          <w:p w:rsidR="00D51D89" w:rsidRPr="00A1535A" w:rsidRDefault="00D51D89" w:rsidP="004F1F5E">
            <w:pPr>
              <w:jc w:val="both"/>
              <w:rPr>
                <w:rFonts w:eastAsia="Calibri"/>
                <w:sz w:val="20"/>
                <w:lang w:val="fr-CA"/>
              </w:rPr>
            </w:pPr>
            <w:r w:rsidRPr="00A1535A">
              <w:rPr>
                <w:rFonts w:eastAsia="Calibri"/>
                <w:sz w:val="20"/>
                <w:lang w:val="fr-CA"/>
              </w:rPr>
              <w:t xml:space="preserve">L'action en diffamation de M. Hadjor a été rejetée au terme d'un procès devant juge et jury en Cour supérieure. La Cour d'appel a rejeté l'appel.  </w:t>
            </w:r>
          </w:p>
          <w:p w:rsidR="00D51D89" w:rsidRPr="00A1535A" w:rsidRDefault="00D51D89" w:rsidP="004F1F5E">
            <w:pPr>
              <w:jc w:val="both"/>
              <w:rPr>
                <w:rFonts w:eastAsia="Calibri"/>
                <w:sz w:val="20"/>
                <w:lang w:val="fr-CA"/>
              </w:rPr>
            </w:pPr>
          </w:p>
        </w:tc>
      </w:tr>
      <w:tr w:rsidR="00D51D89" w:rsidRPr="003626B6" w:rsidTr="004F1F5E">
        <w:tc>
          <w:tcPr>
            <w:tcW w:w="2427" w:type="pct"/>
          </w:tcPr>
          <w:p w:rsidR="00D51D89" w:rsidRPr="00A1535A" w:rsidRDefault="00D51D89" w:rsidP="004F1F5E">
            <w:pPr>
              <w:jc w:val="both"/>
              <w:rPr>
                <w:rFonts w:eastAsia="Calibri"/>
                <w:sz w:val="20"/>
                <w:lang w:val="fr-CA"/>
              </w:rPr>
            </w:pPr>
            <w:r w:rsidRPr="00A1535A">
              <w:rPr>
                <w:rFonts w:eastAsia="Calibri"/>
                <w:sz w:val="20"/>
                <w:lang w:val="fr-CA"/>
              </w:rPr>
              <w:t>10 septembre 2010</w:t>
            </w:r>
          </w:p>
          <w:p w:rsidR="00D51D89" w:rsidRPr="00A1535A" w:rsidRDefault="00D51D89" w:rsidP="004F1F5E">
            <w:pPr>
              <w:jc w:val="both"/>
              <w:rPr>
                <w:rFonts w:eastAsia="Calibri"/>
                <w:sz w:val="20"/>
                <w:lang w:val="fr-CA"/>
              </w:rPr>
            </w:pPr>
            <w:r w:rsidRPr="00A1535A">
              <w:rPr>
                <w:rFonts w:eastAsia="Calibri"/>
                <w:sz w:val="20"/>
                <w:lang w:val="fr-CA"/>
              </w:rPr>
              <w:t xml:space="preserve">Cour supérieure de justice de l'Ontario </w:t>
            </w:r>
          </w:p>
          <w:p w:rsidR="00D51D89" w:rsidRPr="00A1535A" w:rsidRDefault="00D51D89" w:rsidP="004F1F5E">
            <w:pPr>
              <w:jc w:val="both"/>
              <w:rPr>
                <w:rFonts w:eastAsia="Calibri"/>
                <w:sz w:val="20"/>
                <w:lang w:val="fr-CA"/>
              </w:rPr>
            </w:pPr>
            <w:r w:rsidRPr="00A1535A">
              <w:rPr>
                <w:rFonts w:eastAsia="Calibri"/>
                <w:sz w:val="20"/>
                <w:lang w:val="fr-CA"/>
              </w:rPr>
              <w:t>(Juge Koke)</w:t>
            </w:r>
          </w:p>
          <w:p w:rsidR="00D51D89" w:rsidRPr="00A1535A" w:rsidRDefault="00D51D89" w:rsidP="004F1F5E">
            <w:pPr>
              <w:jc w:val="both"/>
              <w:rPr>
                <w:rFonts w:eastAsia="Calibri"/>
                <w:sz w:val="20"/>
                <w:lang w:val="fr-CA"/>
              </w:rPr>
            </w:pPr>
          </w:p>
        </w:tc>
        <w:tc>
          <w:tcPr>
            <w:tcW w:w="243" w:type="pct"/>
          </w:tcPr>
          <w:p w:rsidR="00D51D89" w:rsidRPr="00A1535A" w:rsidRDefault="00D51D89" w:rsidP="004F1F5E">
            <w:pPr>
              <w:jc w:val="both"/>
              <w:rPr>
                <w:rFonts w:eastAsia="Calibri"/>
                <w:sz w:val="20"/>
                <w:lang w:val="fr-CA"/>
              </w:rPr>
            </w:pPr>
          </w:p>
        </w:tc>
        <w:tc>
          <w:tcPr>
            <w:tcW w:w="2330" w:type="pct"/>
          </w:tcPr>
          <w:p w:rsidR="00D51D89" w:rsidRPr="00A1535A" w:rsidRDefault="00D51D89" w:rsidP="004F1F5E">
            <w:pPr>
              <w:jc w:val="both"/>
              <w:rPr>
                <w:rFonts w:eastAsia="Calibri"/>
                <w:sz w:val="20"/>
                <w:lang w:val="fr-CA"/>
              </w:rPr>
            </w:pPr>
            <w:r w:rsidRPr="00A1535A">
              <w:rPr>
                <w:rFonts w:eastAsia="Calibri"/>
                <w:sz w:val="20"/>
                <w:lang w:val="fr-CA"/>
              </w:rPr>
              <w:t>Action rejetée au terme d'un procès devant jury.</w:t>
            </w:r>
          </w:p>
          <w:p w:rsidR="00D51D89" w:rsidRPr="00A1535A" w:rsidRDefault="00D51D89" w:rsidP="004F1F5E">
            <w:pPr>
              <w:jc w:val="both"/>
              <w:rPr>
                <w:rFonts w:eastAsia="Calibri"/>
                <w:sz w:val="20"/>
                <w:lang w:val="fr-CA"/>
              </w:rPr>
            </w:pPr>
          </w:p>
        </w:tc>
      </w:tr>
      <w:tr w:rsidR="00D51D89" w:rsidRPr="00A1535A" w:rsidTr="004F1F5E">
        <w:tc>
          <w:tcPr>
            <w:tcW w:w="2427" w:type="pct"/>
          </w:tcPr>
          <w:p w:rsidR="00D51D89" w:rsidRPr="00A1535A" w:rsidRDefault="00D51D89" w:rsidP="004F1F5E">
            <w:pPr>
              <w:jc w:val="both"/>
              <w:rPr>
                <w:rFonts w:eastAsia="Calibri"/>
                <w:sz w:val="20"/>
                <w:lang w:val="fr-CA"/>
              </w:rPr>
            </w:pPr>
            <w:r w:rsidRPr="00A1535A">
              <w:rPr>
                <w:rFonts w:eastAsia="Calibri"/>
                <w:sz w:val="20"/>
                <w:lang w:val="fr-CA"/>
              </w:rPr>
              <w:t>7 décembre 2011</w:t>
            </w:r>
          </w:p>
          <w:p w:rsidR="00D51D89" w:rsidRPr="00A1535A" w:rsidRDefault="00D51D89" w:rsidP="004F1F5E">
            <w:pPr>
              <w:jc w:val="both"/>
              <w:rPr>
                <w:rFonts w:eastAsia="Calibri"/>
                <w:sz w:val="20"/>
                <w:lang w:val="fr-CA"/>
              </w:rPr>
            </w:pPr>
            <w:r w:rsidRPr="00A1535A">
              <w:rPr>
                <w:rFonts w:eastAsia="Calibri"/>
                <w:sz w:val="20"/>
                <w:lang w:val="fr-CA"/>
              </w:rPr>
              <w:t xml:space="preserve">Cour d'appel de l'Ontario </w:t>
            </w:r>
          </w:p>
          <w:p w:rsidR="00D51D89" w:rsidRPr="00A1535A" w:rsidRDefault="00D51D89" w:rsidP="004F1F5E">
            <w:pPr>
              <w:jc w:val="both"/>
              <w:rPr>
                <w:rFonts w:eastAsia="Calibri"/>
                <w:sz w:val="20"/>
                <w:lang w:val="fr-CA"/>
              </w:rPr>
            </w:pPr>
            <w:r w:rsidRPr="00A1535A">
              <w:rPr>
                <w:rFonts w:eastAsia="Calibri"/>
                <w:sz w:val="20"/>
                <w:lang w:val="fr-CA"/>
              </w:rPr>
              <w:t>(Juges Sharpe, Epstein et Pardu (</w:t>
            </w:r>
            <w:r w:rsidRPr="00A1535A">
              <w:rPr>
                <w:rFonts w:eastAsia="Calibri"/>
                <w:i/>
                <w:sz w:val="20"/>
                <w:lang w:val="fr-CA"/>
              </w:rPr>
              <w:t>ad hoc</w:t>
            </w:r>
            <w:r w:rsidRPr="00A1535A">
              <w:rPr>
                <w:rFonts w:eastAsia="Calibri"/>
                <w:sz w:val="20"/>
                <w:lang w:val="fr-CA"/>
              </w:rPr>
              <w:t>))</w:t>
            </w:r>
          </w:p>
          <w:p w:rsidR="00D51D89" w:rsidRPr="00A1535A" w:rsidRDefault="00D51D89" w:rsidP="004F1F5E">
            <w:pPr>
              <w:jc w:val="both"/>
              <w:rPr>
                <w:rFonts w:eastAsia="Calibri"/>
                <w:sz w:val="20"/>
                <w:lang w:val="fr-CA"/>
              </w:rPr>
            </w:pPr>
            <w:r w:rsidRPr="00A1535A">
              <w:rPr>
                <w:rFonts w:eastAsia="Calibri"/>
                <w:sz w:val="20"/>
                <w:lang w:val="fr-CA"/>
              </w:rPr>
              <w:t>2011 ONCA 811</w:t>
            </w:r>
          </w:p>
          <w:p w:rsidR="00D51D89" w:rsidRPr="00A1535A" w:rsidRDefault="00D51D89" w:rsidP="004F1F5E">
            <w:pPr>
              <w:jc w:val="both"/>
              <w:rPr>
                <w:rFonts w:eastAsia="Calibri"/>
                <w:sz w:val="20"/>
                <w:lang w:val="fr-CA"/>
              </w:rPr>
            </w:pPr>
          </w:p>
        </w:tc>
        <w:tc>
          <w:tcPr>
            <w:tcW w:w="243" w:type="pct"/>
          </w:tcPr>
          <w:p w:rsidR="00D51D89" w:rsidRPr="00A1535A" w:rsidRDefault="00D51D89" w:rsidP="004F1F5E">
            <w:pPr>
              <w:jc w:val="both"/>
              <w:rPr>
                <w:rFonts w:eastAsia="Calibri"/>
                <w:sz w:val="20"/>
                <w:lang w:val="fr-CA"/>
              </w:rPr>
            </w:pPr>
          </w:p>
        </w:tc>
        <w:tc>
          <w:tcPr>
            <w:tcW w:w="2330" w:type="pct"/>
          </w:tcPr>
          <w:p w:rsidR="00D51D89" w:rsidRPr="00A1535A" w:rsidRDefault="00D51D89" w:rsidP="004F1F5E">
            <w:pPr>
              <w:jc w:val="both"/>
              <w:rPr>
                <w:rFonts w:eastAsia="Calibri"/>
                <w:sz w:val="20"/>
                <w:lang w:val="fr-CA"/>
              </w:rPr>
            </w:pPr>
            <w:r w:rsidRPr="00A1535A">
              <w:rPr>
                <w:rFonts w:eastAsia="Calibri"/>
                <w:sz w:val="20"/>
                <w:lang w:val="fr-CA"/>
              </w:rPr>
              <w:t>Appel rejeté.</w:t>
            </w:r>
          </w:p>
          <w:p w:rsidR="00D51D89" w:rsidRPr="00A1535A" w:rsidRDefault="00D51D89" w:rsidP="004F1F5E">
            <w:pPr>
              <w:jc w:val="both"/>
              <w:rPr>
                <w:rFonts w:eastAsia="Calibri"/>
                <w:sz w:val="20"/>
                <w:lang w:val="fr-CA"/>
              </w:rPr>
            </w:pPr>
          </w:p>
        </w:tc>
      </w:tr>
      <w:tr w:rsidR="00D51D89" w:rsidRPr="00A1535A" w:rsidTr="004F1F5E">
        <w:tc>
          <w:tcPr>
            <w:tcW w:w="2427" w:type="pct"/>
          </w:tcPr>
          <w:p w:rsidR="00D51D89" w:rsidRPr="00A1535A" w:rsidRDefault="00D51D89" w:rsidP="004F1F5E">
            <w:pPr>
              <w:jc w:val="both"/>
              <w:rPr>
                <w:rFonts w:eastAsia="Calibri"/>
                <w:sz w:val="20"/>
                <w:lang w:val="fr-CA"/>
              </w:rPr>
            </w:pPr>
            <w:r w:rsidRPr="00A1535A">
              <w:rPr>
                <w:rFonts w:eastAsia="Calibri"/>
                <w:sz w:val="20"/>
                <w:lang w:val="fr-CA"/>
              </w:rPr>
              <w:t>6 février 2012</w:t>
            </w:r>
          </w:p>
          <w:p w:rsidR="00D51D89" w:rsidRPr="00A1535A" w:rsidRDefault="00D51D89" w:rsidP="004F1F5E">
            <w:pPr>
              <w:jc w:val="both"/>
              <w:rPr>
                <w:rFonts w:eastAsia="Calibri"/>
                <w:sz w:val="20"/>
                <w:lang w:val="fr-CA"/>
              </w:rPr>
            </w:pPr>
            <w:r w:rsidRPr="00A1535A">
              <w:rPr>
                <w:rFonts w:eastAsia="Calibri"/>
                <w:sz w:val="20"/>
                <w:lang w:val="fr-CA"/>
              </w:rPr>
              <w:t>Cour suprême du Canada</w:t>
            </w:r>
          </w:p>
        </w:tc>
        <w:tc>
          <w:tcPr>
            <w:tcW w:w="243" w:type="pct"/>
          </w:tcPr>
          <w:p w:rsidR="00D51D89" w:rsidRPr="00A1535A" w:rsidRDefault="00D51D89" w:rsidP="004F1F5E">
            <w:pPr>
              <w:jc w:val="both"/>
              <w:rPr>
                <w:rFonts w:eastAsia="Calibri"/>
                <w:sz w:val="20"/>
                <w:lang w:val="fr-CA"/>
              </w:rPr>
            </w:pPr>
          </w:p>
        </w:tc>
        <w:tc>
          <w:tcPr>
            <w:tcW w:w="2330" w:type="pct"/>
          </w:tcPr>
          <w:p w:rsidR="00D51D89" w:rsidRPr="00A1535A" w:rsidRDefault="00D51D89" w:rsidP="004F1F5E">
            <w:pPr>
              <w:jc w:val="both"/>
              <w:rPr>
                <w:rFonts w:eastAsia="Calibri"/>
                <w:sz w:val="20"/>
                <w:lang w:val="fr-CA"/>
              </w:rPr>
            </w:pPr>
            <w:r w:rsidRPr="00A1535A">
              <w:rPr>
                <w:rFonts w:eastAsia="Calibri"/>
                <w:sz w:val="20"/>
                <w:lang w:val="fr-CA"/>
              </w:rPr>
              <w:t>Demande d'autorisation d'appel, déposée.</w:t>
            </w:r>
          </w:p>
          <w:p w:rsidR="00D51D89" w:rsidRPr="00A1535A" w:rsidRDefault="00D51D89" w:rsidP="004F1F5E">
            <w:pPr>
              <w:jc w:val="both"/>
              <w:rPr>
                <w:rFonts w:eastAsia="Calibri"/>
                <w:sz w:val="20"/>
                <w:lang w:val="fr-CA"/>
              </w:rPr>
            </w:pPr>
          </w:p>
        </w:tc>
      </w:tr>
    </w:tbl>
    <w:p w:rsidR="00EC09EE" w:rsidRDefault="00EC09EE" w:rsidP="00EC09EE">
      <w:pPr>
        <w:rPr>
          <w:sz w:val="20"/>
          <w:szCs w:val="20"/>
        </w:rPr>
      </w:pPr>
    </w:p>
    <w:p w:rsidR="00EC09EE" w:rsidRDefault="007333FF" w:rsidP="00EC09EE">
      <w:pPr>
        <w:rPr>
          <w:sz w:val="20"/>
          <w:szCs w:val="20"/>
        </w:rPr>
      </w:pPr>
      <w:r w:rsidRPr="007333FF">
        <w:rPr>
          <w:sz w:val="20"/>
          <w:szCs w:val="20"/>
          <w:lang w:val="fr-CA"/>
        </w:rPr>
        <w:pict>
          <v:rect id="_x0000_i1081" style="width:2in;height:1pt" o:hrpct="0" o:hralign="center" o:hrstd="t" o:hrnoshade="t" o:hr="t" fillcolor="black [3213]" stroked="f"/>
        </w:pict>
      </w:r>
    </w:p>
    <w:p w:rsidR="00EC09EE" w:rsidRDefault="00EC09EE" w:rsidP="00EC09E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814BA" w:rsidRPr="000F116A" w:rsidTr="00D40817">
        <w:trPr>
          <w:cantSplit/>
        </w:trPr>
        <w:tc>
          <w:tcPr>
            <w:tcW w:w="1458" w:type="dxa"/>
          </w:tcPr>
          <w:p w:rsidR="00F814BA" w:rsidRPr="000F116A" w:rsidRDefault="00F814BA" w:rsidP="00D40817">
            <w:pPr>
              <w:rPr>
                <w:sz w:val="20"/>
                <w:szCs w:val="20"/>
              </w:rPr>
            </w:pPr>
            <w:r w:rsidRPr="000F116A">
              <w:rPr>
                <w:rStyle w:val="SCCFileNumberChar"/>
                <w:sz w:val="20"/>
                <w:szCs w:val="20"/>
              </w:rPr>
              <w:t>34647</w:t>
            </w:r>
          </w:p>
          <w:p w:rsidR="00F814BA" w:rsidRPr="000F116A" w:rsidRDefault="00F814BA" w:rsidP="00D40817">
            <w:pPr>
              <w:rPr>
                <w:b/>
                <w:sz w:val="20"/>
                <w:szCs w:val="20"/>
                <w:lang w:val="fr-CA"/>
              </w:rPr>
            </w:pPr>
          </w:p>
        </w:tc>
        <w:tc>
          <w:tcPr>
            <w:tcW w:w="8118" w:type="dxa"/>
          </w:tcPr>
          <w:p w:rsidR="00F814BA" w:rsidRPr="000F116A" w:rsidRDefault="00F814BA" w:rsidP="00D40817">
            <w:pPr>
              <w:jc w:val="both"/>
              <w:rPr>
                <w:sz w:val="20"/>
                <w:szCs w:val="20"/>
              </w:rPr>
            </w:pPr>
            <w:r w:rsidRPr="000F116A">
              <w:rPr>
                <w:rStyle w:val="SCCLsocChar"/>
                <w:sz w:val="20"/>
                <w:szCs w:val="20"/>
                <w:lang w:val="en-CA"/>
              </w:rPr>
              <w:t>Katz Group Canada Inc., Pharma Plus Drug Marts Ltd. and Pharmx Rexall Drug Stores Ltd. v. Minister of Health and Long-Term Care, Lieutenant Governor-In-Council of Ontario and Attorney General of Ontario</w:t>
            </w:r>
            <w:r w:rsidRPr="000F116A">
              <w:rPr>
                <w:sz w:val="20"/>
                <w:szCs w:val="20"/>
              </w:rPr>
              <w:t xml:space="preserve"> (Ont.) (Civil) (By Leave)</w:t>
            </w:r>
          </w:p>
          <w:p w:rsidR="00F814BA" w:rsidRPr="000F116A" w:rsidRDefault="00F814BA" w:rsidP="00D40817">
            <w:pPr>
              <w:rPr>
                <w:sz w:val="20"/>
                <w:szCs w:val="20"/>
              </w:rPr>
            </w:pPr>
          </w:p>
        </w:tc>
      </w:tr>
      <w:tr w:rsidR="00F814BA" w:rsidRPr="000F116A" w:rsidTr="00D40817">
        <w:trPr>
          <w:cantSplit/>
        </w:trPr>
        <w:tc>
          <w:tcPr>
            <w:tcW w:w="1458" w:type="dxa"/>
          </w:tcPr>
          <w:p w:rsidR="00F814BA" w:rsidRPr="000F116A" w:rsidRDefault="00F814BA" w:rsidP="00D40817">
            <w:pPr>
              <w:rPr>
                <w:sz w:val="20"/>
                <w:szCs w:val="20"/>
              </w:rPr>
            </w:pPr>
            <w:r w:rsidRPr="000F116A">
              <w:rPr>
                <w:sz w:val="20"/>
                <w:szCs w:val="20"/>
              </w:rPr>
              <w:lastRenderedPageBreak/>
              <w:t>Coram :</w:t>
            </w:r>
          </w:p>
        </w:tc>
        <w:tc>
          <w:tcPr>
            <w:tcW w:w="8118" w:type="dxa"/>
          </w:tcPr>
          <w:p w:rsidR="00F814BA" w:rsidRPr="000F116A" w:rsidRDefault="00F814BA" w:rsidP="00D40817">
            <w:pPr>
              <w:rPr>
                <w:sz w:val="20"/>
                <w:szCs w:val="20"/>
              </w:rPr>
            </w:pPr>
            <w:r w:rsidRPr="000F116A">
              <w:rPr>
                <w:rStyle w:val="SCCCoramChar"/>
                <w:sz w:val="20"/>
                <w:szCs w:val="20"/>
                <w:lang w:val="en-CA"/>
              </w:rPr>
              <w:t>McLachlin C.J. and Rothstein and Moldaver JJ.</w:t>
            </w:r>
          </w:p>
          <w:p w:rsidR="00F814BA" w:rsidRPr="000F116A" w:rsidRDefault="00F814BA" w:rsidP="00D40817">
            <w:pPr>
              <w:rPr>
                <w:sz w:val="20"/>
                <w:szCs w:val="20"/>
                <w:u w:val="single"/>
              </w:rPr>
            </w:pPr>
          </w:p>
        </w:tc>
      </w:tr>
      <w:tr w:rsidR="00F814BA" w:rsidRPr="003626B6" w:rsidTr="00D40817">
        <w:trPr>
          <w:cantSplit/>
        </w:trPr>
        <w:tc>
          <w:tcPr>
            <w:tcW w:w="9576" w:type="dxa"/>
            <w:gridSpan w:val="2"/>
          </w:tcPr>
          <w:p w:rsidR="00F814BA" w:rsidRPr="000F116A" w:rsidRDefault="00F814BA" w:rsidP="00D40817">
            <w:pPr>
              <w:pStyle w:val="SCCShortJudgment"/>
              <w:rPr>
                <w:szCs w:val="20"/>
              </w:rPr>
            </w:pPr>
            <w:r w:rsidRPr="000F116A">
              <w:rPr>
                <w:szCs w:val="20"/>
              </w:rPr>
              <w:t>The application for leave to appeal from the judgment of the Court of Appeal for Ontario, Number C53664, 2011 ONCA 830, dated December 23, 2011, is granted with costs in the cause.</w:t>
            </w:r>
          </w:p>
          <w:p w:rsidR="00F814BA" w:rsidRPr="000F116A" w:rsidRDefault="00F814BA" w:rsidP="00D40817">
            <w:pPr>
              <w:pStyle w:val="SCCShortJudgment"/>
              <w:ind w:firstLine="0"/>
              <w:rPr>
                <w:szCs w:val="20"/>
              </w:rPr>
            </w:pPr>
          </w:p>
          <w:p w:rsidR="00F814BA" w:rsidRPr="000F116A" w:rsidRDefault="00F814BA" w:rsidP="00D40817">
            <w:pPr>
              <w:pStyle w:val="SCCShortJudgment"/>
              <w:rPr>
                <w:szCs w:val="20"/>
                <w:lang w:val="fr-CA"/>
              </w:rPr>
            </w:pPr>
            <w:r w:rsidRPr="000F116A">
              <w:rPr>
                <w:szCs w:val="20"/>
                <w:lang w:val="fr-CA"/>
              </w:rPr>
              <w:t>La demande d’autorisation d’appel de l’arrêt de la Cour d’appel de l’Ontario, numéro C53664, 2011 ONCA 830, daté du 23 décembre 2011, est accueillie avec dépens suivant l’issue de la cause.</w:t>
            </w:r>
          </w:p>
        </w:tc>
      </w:tr>
    </w:tbl>
    <w:p w:rsidR="00EC09EE" w:rsidRPr="00F40E20" w:rsidRDefault="00EC09EE" w:rsidP="00EC09EE">
      <w:pPr>
        <w:rPr>
          <w:sz w:val="20"/>
          <w:szCs w:val="20"/>
          <w:lang w:val="fr-CA"/>
        </w:rPr>
      </w:pPr>
    </w:p>
    <w:p w:rsidR="00EC09EE" w:rsidRPr="001B157C" w:rsidRDefault="00EC09EE" w:rsidP="00EC09EE">
      <w:pPr>
        <w:rPr>
          <w:sz w:val="20"/>
          <w:szCs w:val="20"/>
          <w:u w:val="single"/>
        </w:rPr>
      </w:pPr>
      <w:r w:rsidRPr="001B157C">
        <w:rPr>
          <w:sz w:val="20"/>
          <w:szCs w:val="20"/>
          <w:u w:val="single"/>
        </w:rPr>
        <w:t>CASE SUMMARY</w:t>
      </w:r>
    </w:p>
    <w:p w:rsidR="00EC09EE" w:rsidRDefault="00EC09EE" w:rsidP="00EC09E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51D89" w:rsidRPr="00A1535A" w:rsidTr="004F1F5E">
        <w:tc>
          <w:tcPr>
            <w:tcW w:w="5000" w:type="pct"/>
            <w:gridSpan w:val="3"/>
          </w:tcPr>
          <w:p w:rsidR="00D51D89" w:rsidRPr="00A1535A" w:rsidRDefault="00D51D89" w:rsidP="004F1F5E">
            <w:pPr>
              <w:rPr>
                <w:rFonts w:eastAsia="Calibri"/>
                <w:sz w:val="20"/>
              </w:rPr>
            </w:pPr>
            <w:r w:rsidRPr="00A1535A">
              <w:rPr>
                <w:rFonts w:eastAsia="Calibri"/>
                <w:sz w:val="20"/>
              </w:rPr>
              <w:t xml:space="preserve">Health law – Public health – Regulations – Ontario enacting regulations effectively banning the sale of private label drugs - In reviewing the </w:t>
            </w:r>
            <w:r w:rsidRPr="00A1535A">
              <w:rPr>
                <w:rFonts w:eastAsia="Calibri"/>
                <w:i/>
                <w:sz w:val="20"/>
              </w:rPr>
              <w:t>vires</w:t>
            </w:r>
            <w:r w:rsidRPr="00A1535A">
              <w:rPr>
                <w:rFonts w:eastAsia="Calibri"/>
                <w:sz w:val="20"/>
              </w:rPr>
              <w:t xml:space="preserve"> of regulations, must the courts show deference (or “restraint”) to the executive? - Does statutory authority to make regulations “prescribing conditions” authorize a prohibition? - In reviewing the </w:t>
            </w:r>
            <w:r w:rsidRPr="00A1535A">
              <w:rPr>
                <w:rFonts w:eastAsia="Calibri"/>
                <w:i/>
                <w:sz w:val="20"/>
              </w:rPr>
              <w:t>vires</w:t>
            </w:r>
            <w:r w:rsidRPr="00A1535A">
              <w:rPr>
                <w:rFonts w:eastAsia="Calibri"/>
                <w:sz w:val="20"/>
              </w:rPr>
              <w:t xml:space="preserve"> of regulations, may a court decide the case on a ground not argued, and for which there is no evidence in the record?</w:t>
            </w:r>
          </w:p>
        </w:tc>
      </w:tr>
      <w:tr w:rsidR="00D51D89" w:rsidRPr="00A1535A" w:rsidTr="004F1F5E">
        <w:tc>
          <w:tcPr>
            <w:tcW w:w="5000" w:type="pct"/>
            <w:gridSpan w:val="3"/>
          </w:tcPr>
          <w:p w:rsidR="00D51D89" w:rsidRPr="00A1535A" w:rsidRDefault="00D51D89" w:rsidP="004F1F5E">
            <w:pPr>
              <w:jc w:val="both"/>
              <w:rPr>
                <w:rFonts w:eastAsia="Calibri"/>
                <w:sz w:val="20"/>
              </w:rPr>
            </w:pPr>
          </w:p>
        </w:tc>
      </w:tr>
      <w:tr w:rsidR="00D51D89" w:rsidRPr="00A1535A" w:rsidTr="004F1F5E">
        <w:tc>
          <w:tcPr>
            <w:tcW w:w="5000" w:type="pct"/>
            <w:gridSpan w:val="3"/>
          </w:tcPr>
          <w:p w:rsidR="00D51D89" w:rsidRPr="00A1535A" w:rsidRDefault="00D51D89" w:rsidP="004F1F5E">
            <w:pPr>
              <w:jc w:val="both"/>
              <w:rPr>
                <w:rFonts w:eastAsia="Calibri"/>
                <w:sz w:val="20"/>
              </w:rPr>
            </w:pPr>
            <w:r w:rsidRPr="00A1535A">
              <w:rPr>
                <w:rFonts w:eastAsia="Calibri"/>
                <w:color w:val="000000"/>
                <w:sz w:val="20"/>
              </w:rPr>
              <w:t xml:space="preserve">The Shoppers Drug Mart (“Shoppers”) and the Katz Group companies own, franchise and operate pharmacies across Ontario.  They applied for an order quashing Ontario regulations that effectively prohibited private label generic drugs from being sold in Ontario. </w:t>
            </w:r>
            <w:r w:rsidRPr="00A1535A">
              <w:rPr>
                <w:rFonts w:eastAsia="Calibri"/>
                <w:sz w:val="20"/>
              </w:rPr>
              <w:t xml:space="preserve">Sanis Health Inc. (“Sanis”) is a subsidiary of Shoppers and is a generic drug manufacturer that outsources the fabrication of the generic drugs that it sells primarily to Shoppers.  </w:t>
            </w:r>
          </w:p>
          <w:p w:rsidR="00D51D89" w:rsidRPr="00A1535A" w:rsidRDefault="00D51D89" w:rsidP="004F1F5E">
            <w:pPr>
              <w:jc w:val="both"/>
              <w:rPr>
                <w:rFonts w:eastAsia="Calibri"/>
                <w:sz w:val="20"/>
              </w:rPr>
            </w:pPr>
          </w:p>
          <w:p w:rsidR="00D51D89" w:rsidRPr="00A1535A" w:rsidRDefault="00D51D89" w:rsidP="004F1F5E">
            <w:pPr>
              <w:jc w:val="both"/>
              <w:rPr>
                <w:rFonts w:eastAsia="Calibri"/>
                <w:color w:val="000000"/>
                <w:sz w:val="20"/>
              </w:rPr>
            </w:pPr>
            <w:r w:rsidRPr="00A1535A">
              <w:rPr>
                <w:rFonts w:eastAsia="Calibri"/>
                <w:sz w:val="20"/>
              </w:rPr>
              <w:t xml:space="preserve">The price of generic drugs is regulated by provincial legislation. The </w:t>
            </w:r>
            <w:r w:rsidRPr="00A1535A">
              <w:rPr>
                <w:rFonts w:eastAsia="Calibri"/>
                <w:i/>
                <w:sz w:val="20"/>
              </w:rPr>
              <w:t>Drug Interchangeability and Dispensing Fee Act</w:t>
            </w:r>
            <w:r w:rsidRPr="00A1535A">
              <w:rPr>
                <w:rFonts w:eastAsia="Calibri"/>
                <w:sz w:val="20"/>
              </w:rPr>
              <w:t>, R.S.O. 1990, c. P.23  (“</w:t>
            </w:r>
            <w:r w:rsidRPr="00A1535A">
              <w:rPr>
                <w:rFonts w:eastAsia="Calibri"/>
                <w:i/>
                <w:sz w:val="20"/>
              </w:rPr>
              <w:t>DIDFA</w:t>
            </w:r>
            <w:r w:rsidRPr="00A1535A">
              <w:rPr>
                <w:rFonts w:eastAsia="Calibri"/>
                <w:sz w:val="20"/>
              </w:rPr>
              <w:t xml:space="preserve">”) permits and requires pharmacists to dispense generic drugs that have been designated as interchangeable with a brand drug.  The </w:t>
            </w:r>
            <w:r w:rsidRPr="00A1535A">
              <w:rPr>
                <w:rFonts w:eastAsia="Calibri"/>
                <w:i/>
                <w:sz w:val="20"/>
              </w:rPr>
              <w:t>Ontario Drug Benefits Act</w:t>
            </w:r>
            <w:r w:rsidRPr="00A1535A">
              <w:rPr>
                <w:rFonts w:eastAsia="Calibri"/>
                <w:sz w:val="20"/>
              </w:rPr>
              <w:t>, R.S.O. 1990, c. O.10 (“</w:t>
            </w:r>
            <w:r w:rsidRPr="00A1535A">
              <w:rPr>
                <w:rFonts w:eastAsia="Calibri"/>
                <w:i/>
                <w:sz w:val="20"/>
              </w:rPr>
              <w:t>ODBA</w:t>
            </w:r>
            <w:r w:rsidRPr="00A1535A">
              <w:rPr>
                <w:rFonts w:eastAsia="Calibri"/>
                <w:sz w:val="20"/>
              </w:rPr>
              <w:t xml:space="preserve">”) sets out, </w:t>
            </w:r>
            <w:r w:rsidRPr="00A1535A">
              <w:rPr>
                <w:rFonts w:eastAsia="Calibri"/>
                <w:i/>
                <w:sz w:val="20"/>
              </w:rPr>
              <w:t>inter alia</w:t>
            </w:r>
            <w:r w:rsidRPr="00A1535A">
              <w:rPr>
                <w:rFonts w:eastAsia="Calibri"/>
                <w:sz w:val="20"/>
              </w:rPr>
              <w:t>, the rules governing the listing of drugs as benefits to eligible persons such as seniors and the amounts the province will pay to pharmacies for dispensing drugs.</w:t>
            </w:r>
            <w:r w:rsidRPr="00A1535A">
              <w:rPr>
                <w:rFonts w:eastAsia="Calibri"/>
                <w:color w:val="000000"/>
                <w:sz w:val="20"/>
              </w:rPr>
              <w:t xml:space="preserve"> </w:t>
            </w:r>
          </w:p>
          <w:p w:rsidR="00D51D89" w:rsidRPr="00A1535A" w:rsidRDefault="00D51D89" w:rsidP="004F1F5E">
            <w:pPr>
              <w:jc w:val="both"/>
              <w:rPr>
                <w:rFonts w:eastAsia="Calibri"/>
                <w:sz w:val="20"/>
              </w:rPr>
            </w:pPr>
          </w:p>
          <w:p w:rsidR="00D51D89" w:rsidRPr="00A1535A" w:rsidRDefault="00D51D89" w:rsidP="004F1F5E">
            <w:pPr>
              <w:jc w:val="both"/>
              <w:rPr>
                <w:color w:val="000000"/>
                <w:sz w:val="20"/>
              </w:rPr>
            </w:pPr>
            <w:r w:rsidRPr="00A1535A">
              <w:rPr>
                <w:color w:val="000000"/>
                <w:sz w:val="20"/>
              </w:rPr>
              <w:t xml:space="preserve">Between 2006 and 2010, changes to regulation of prescription drug sales in Ontario had reduced the profits of pharmacies, first through the elimination of rebates that pharmacies received from generic pharmaceutical manufacturers, and later by the phasing out of “professional allowances” they received from the manufacturers. The goal of the legislative and regulatory changes was to reduce drug costs to the consumer in Ontario. </w:t>
            </w:r>
          </w:p>
          <w:p w:rsidR="00D51D89" w:rsidRPr="00A1535A" w:rsidRDefault="00D51D89" w:rsidP="004F1F5E">
            <w:pPr>
              <w:jc w:val="both"/>
              <w:rPr>
                <w:color w:val="000000"/>
                <w:sz w:val="20"/>
              </w:rPr>
            </w:pPr>
          </w:p>
          <w:p w:rsidR="00D51D89" w:rsidRPr="00A1535A" w:rsidRDefault="00D51D89" w:rsidP="004F1F5E">
            <w:pPr>
              <w:jc w:val="both"/>
              <w:rPr>
                <w:color w:val="000000"/>
                <w:sz w:val="20"/>
              </w:rPr>
            </w:pPr>
            <w:r w:rsidRPr="00A1535A">
              <w:rPr>
                <w:color w:val="000000"/>
                <w:sz w:val="20"/>
              </w:rPr>
              <w:t>Private label generic drug companies are non-arms length from the pharmacies that sell their products. Shoppers and the Katz Group sought to use their own private label generic drugs rather than purchasing those generic drugs from an arms-length third party. The 2010 amendments to the regulations effectively prohibited them from doing so.</w:t>
            </w:r>
          </w:p>
          <w:p w:rsidR="00D51D89" w:rsidRPr="00A1535A" w:rsidRDefault="00D51D89" w:rsidP="004F1F5E">
            <w:pPr>
              <w:jc w:val="both"/>
              <w:rPr>
                <w:color w:val="000000"/>
                <w:sz w:val="20"/>
              </w:rPr>
            </w:pPr>
          </w:p>
        </w:tc>
      </w:tr>
      <w:tr w:rsidR="00D51D89" w:rsidRPr="00A1535A" w:rsidTr="004F1F5E">
        <w:tc>
          <w:tcPr>
            <w:tcW w:w="2427" w:type="pct"/>
          </w:tcPr>
          <w:p w:rsidR="00D51D89" w:rsidRPr="00A1535A" w:rsidRDefault="00D51D89" w:rsidP="004F1F5E">
            <w:pPr>
              <w:jc w:val="both"/>
              <w:rPr>
                <w:rFonts w:eastAsia="Calibri"/>
                <w:sz w:val="20"/>
              </w:rPr>
            </w:pPr>
            <w:r w:rsidRPr="00A1535A">
              <w:rPr>
                <w:rFonts w:eastAsia="Calibri"/>
                <w:sz w:val="20"/>
              </w:rPr>
              <w:t>February 3, 2011</w:t>
            </w:r>
          </w:p>
          <w:p w:rsidR="00D51D89" w:rsidRPr="00A1535A" w:rsidRDefault="00D51D89" w:rsidP="004F1F5E">
            <w:pPr>
              <w:jc w:val="both"/>
              <w:rPr>
                <w:rFonts w:eastAsia="Calibri"/>
                <w:sz w:val="20"/>
              </w:rPr>
            </w:pPr>
            <w:r w:rsidRPr="00A1535A">
              <w:rPr>
                <w:rFonts w:eastAsia="Calibri"/>
                <w:sz w:val="20"/>
              </w:rPr>
              <w:t>Ontario Superior Court of Justice</w:t>
            </w:r>
          </w:p>
          <w:p w:rsidR="00D51D89" w:rsidRPr="00A1535A" w:rsidRDefault="00D51D89" w:rsidP="004F1F5E">
            <w:pPr>
              <w:jc w:val="both"/>
              <w:rPr>
                <w:rFonts w:eastAsia="Calibri"/>
                <w:sz w:val="20"/>
              </w:rPr>
            </w:pPr>
            <w:r w:rsidRPr="00A1535A">
              <w:rPr>
                <w:rFonts w:eastAsia="Calibri"/>
                <w:sz w:val="20"/>
              </w:rPr>
              <w:t>(Molloy, Whalen and Swinton JJ.)</w:t>
            </w:r>
          </w:p>
          <w:p w:rsidR="00D51D89" w:rsidRPr="00A1535A" w:rsidRDefault="00D51D89" w:rsidP="004F1F5E">
            <w:pPr>
              <w:jc w:val="both"/>
              <w:rPr>
                <w:rFonts w:eastAsia="Calibri"/>
                <w:sz w:val="20"/>
              </w:rPr>
            </w:pPr>
            <w:r w:rsidRPr="00A1535A">
              <w:rPr>
                <w:rFonts w:eastAsia="Calibri"/>
                <w:sz w:val="20"/>
              </w:rPr>
              <w:t>2011 ONSC 615</w:t>
            </w:r>
          </w:p>
          <w:p w:rsidR="00D51D89" w:rsidRPr="00A1535A" w:rsidRDefault="00D51D89" w:rsidP="004F1F5E">
            <w:pPr>
              <w:jc w:val="both"/>
              <w:rPr>
                <w:rFonts w:eastAsia="Calibri"/>
                <w:sz w:val="20"/>
              </w:rPr>
            </w:pPr>
          </w:p>
        </w:tc>
        <w:tc>
          <w:tcPr>
            <w:tcW w:w="243" w:type="pct"/>
          </w:tcPr>
          <w:p w:rsidR="00D51D89" w:rsidRPr="00A1535A" w:rsidRDefault="00D51D89" w:rsidP="004F1F5E">
            <w:pPr>
              <w:jc w:val="both"/>
              <w:rPr>
                <w:rFonts w:eastAsia="Calibri"/>
                <w:sz w:val="20"/>
              </w:rPr>
            </w:pPr>
          </w:p>
        </w:tc>
        <w:tc>
          <w:tcPr>
            <w:tcW w:w="2330" w:type="pct"/>
          </w:tcPr>
          <w:p w:rsidR="00D51D89" w:rsidRPr="00A1535A" w:rsidRDefault="00D51D89" w:rsidP="004F1F5E">
            <w:pPr>
              <w:jc w:val="both"/>
              <w:rPr>
                <w:rFonts w:eastAsia="Calibri"/>
                <w:sz w:val="20"/>
              </w:rPr>
            </w:pPr>
            <w:r w:rsidRPr="00A1535A">
              <w:rPr>
                <w:rFonts w:eastAsia="Calibri"/>
                <w:i/>
                <w:sz w:val="20"/>
              </w:rPr>
              <w:t>Regulations</w:t>
            </w:r>
            <w:r w:rsidRPr="00A1535A">
              <w:rPr>
                <w:rFonts w:eastAsia="Calibri"/>
                <w:sz w:val="20"/>
              </w:rPr>
              <w:t xml:space="preserve"> effectively prohibiting pharmacies from marketing private label generic drugs held to be </w:t>
            </w:r>
            <w:r w:rsidRPr="00A1535A">
              <w:rPr>
                <w:rFonts w:eastAsia="Calibri"/>
                <w:i/>
                <w:sz w:val="20"/>
              </w:rPr>
              <w:t>ultra vires</w:t>
            </w:r>
            <w:r w:rsidRPr="00A1535A">
              <w:rPr>
                <w:rFonts w:eastAsia="Calibri"/>
                <w:sz w:val="20"/>
              </w:rPr>
              <w:t xml:space="preserve"> and of no force and effect</w:t>
            </w:r>
          </w:p>
          <w:p w:rsidR="00D51D89" w:rsidRPr="00A1535A" w:rsidRDefault="00D51D89" w:rsidP="004F1F5E">
            <w:pPr>
              <w:jc w:val="both"/>
              <w:rPr>
                <w:rFonts w:eastAsia="Calibri"/>
                <w:sz w:val="20"/>
              </w:rPr>
            </w:pPr>
          </w:p>
        </w:tc>
      </w:tr>
      <w:tr w:rsidR="00D51D89" w:rsidRPr="00A1535A" w:rsidTr="004F1F5E">
        <w:tc>
          <w:tcPr>
            <w:tcW w:w="2427" w:type="pct"/>
          </w:tcPr>
          <w:p w:rsidR="00D51D89" w:rsidRPr="00A1535A" w:rsidRDefault="00D51D89" w:rsidP="004F1F5E">
            <w:pPr>
              <w:jc w:val="both"/>
              <w:rPr>
                <w:rFonts w:eastAsia="Calibri"/>
                <w:sz w:val="20"/>
              </w:rPr>
            </w:pPr>
            <w:r w:rsidRPr="00A1535A">
              <w:rPr>
                <w:rFonts w:eastAsia="Calibri"/>
                <w:sz w:val="20"/>
              </w:rPr>
              <w:t>December 23, 2011</w:t>
            </w:r>
          </w:p>
          <w:p w:rsidR="00D51D89" w:rsidRPr="00A1535A" w:rsidRDefault="00D51D89" w:rsidP="004F1F5E">
            <w:pPr>
              <w:jc w:val="both"/>
              <w:rPr>
                <w:rFonts w:eastAsia="Calibri"/>
                <w:sz w:val="20"/>
              </w:rPr>
            </w:pPr>
            <w:r w:rsidRPr="00A1535A">
              <w:rPr>
                <w:rFonts w:eastAsia="Calibri"/>
                <w:sz w:val="20"/>
              </w:rPr>
              <w:t>Court of Appeal for Ontario</w:t>
            </w:r>
          </w:p>
          <w:p w:rsidR="00D51D89" w:rsidRPr="00A1535A" w:rsidRDefault="00D51D89" w:rsidP="004F1F5E">
            <w:pPr>
              <w:jc w:val="both"/>
              <w:rPr>
                <w:rFonts w:eastAsia="Calibri"/>
                <w:sz w:val="20"/>
              </w:rPr>
            </w:pPr>
            <w:r w:rsidRPr="00A1535A">
              <w:rPr>
                <w:rFonts w:eastAsia="Calibri"/>
                <w:sz w:val="20"/>
              </w:rPr>
              <w:t>(MacPherson, Epstein [dissenting] and Karakatsanis</w:t>
            </w:r>
          </w:p>
          <w:p w:rsidR="00D51D89" w:rsidRPr="00A1535A" w:rsidRDefault="00D51D89" w:rsidP="004F1F5E">
            <w:pPr>
              <w:jc w:val="both"/>
              <w:rPr>
                <w:rFonts w:eastAsia="Calibri"/>
                <w:sz w:val="20"/>
              </w:rPr>
            </w:pPr>
            <w:r w:rsidRPr="00A1535A">
              <w:rPr>
                <w:rFonts w:eastAsia="Calibri"/>
                <w:sz w:val="20"/>
              </w:rPr>
              <w:t>JJ.A.)</w:t>
            </w:r>
          </w:p>
          <w:p w:rsidR="00D51D89" w:rsidRPr="00A1535A" w:rsidRDefault="00D51D89" w:rsidP="004F1F5E">
            <w:pPr>
              <w:jc w:val="both"/>
              <w:rPr>
                <w:rFonts w:eastAsia="Calibri"/>
                <w:sz w:val="20"/>
              </w:rPr>
            </w:pPr>
            <w:r w:rsidRPr="00A1535A">
              <w:rPr>
                <w:rFonts w:eastAsia="Calibri"/>
                <w:sz w:val="20"/>
              </w:rPr>
              <w:t>2011 ONCA 830</w:t>
            </w:r>
          </w:p>
          <w:p w:rsidR="00D51D89" w:rsidRPr="00A1535A" w:rsidRDefault="00D51D89" w:rsidP="004F1F5E">
            <w:pPr>
              <w:jc w:val="both"/>
              <w:rPr>
                <w:rFonts w:eastAsia="Calibri"/>
                <w:sz w:val="20"/>
              </w:rPr>
            </w:pPr>
          </w:p>
        </w:tc>
        <w:tc>
          <w:tcPr>
            <w:tcW w:w="243" w:type="pct"/>
          </w:tcPr>
          <w:p w:rsidR="00D51D89" w:rsidRPr="00A1535A" w:rsidRDefault="00D51D89" w:rsidP="004F1F5E">
            <w:pPr>
              <w:jc w:val="both"/>
              <w:rPr>
                <w:rFonts w:eastAsia="Calibri"/>
                <w:sz w:val="20"/>
              </w:rPr>
            </w:pPr>
          </w:p>
        </w:tc>
        <w:tc>
          <w:tcPr>
            <w:tcW w:w="2330" w:type="pct"/>
          </w:tcPr>
          <w:p w:rsidR="00D51D89" w:rsidRPr="00A1535A" w:rsidRDefault="00D51D89" w:rsidP="004F1F5E">
            <w:pPr>
              <w:jc w:val="both"/>
              <w:rPr>
                <w:rFonts w:eastAsia="Calibri"/>
                <w:i/>
                <w:sz w:val="20"/>
              </w:rPr>
            </w:pPr>
            <w:r w:rsidRPr="00A1535A">
              <w:rPr>
                <w:rFonts w:eastAsia="Calibri"/>
                <w:sz w:val="20"/>
              </w:rPr>
              <w:t xml:space="preserve">Appeal allowed, </w:t>
            </w:r>
            <w:r w:rsidRPr="00A1535A">
              <w:rPr>
                <w:rFonts w:eastAsia="Calibri"/>
                <w:i/>
                <w:sz w:val="20"/>
              </w:rPr>
              <w:t>Regulations</w:t>
            </w:r>
            <w:r w:rsidRPr="00A1535A">
              <w:rPr>
                <w:rFonts w:eastAsia="Calibri"/>
                <w:sz w:val="20"/>
              </w:rPr>
              <w:t xml:space="preserve"> held to be </w:t>
            </w:r>
            <w:r w:rsidRPr="00A1535A">
              <w:rPr>
                <w:rFonts w:eastAsia="Calibri"/>
                <w:i/>
                <w:sz w:val="20"/>
              </w:rPr>
              <w:t>intra vires</w:t>
            </w:r>
          </w:p>
          <w:p w:rsidR="00D51D89" w:rsidRPr="00A1535A" w:rsidRDefault="00D51D89" w:rsidP="004F1F5E">
            <w:pPr>
              <w:jc w:val="both"/>
              <w:rPr>
                <w:rFonts w:eastAsia="Calibri"/>
                <w:sz w:val="20"/>
              </w:rPr>
            </w:pPr>
          </w:p>
        </w:tc>
      </w:tr>
      <w:tr w:rsidR="00D51D89" w:rsidRPr="00A1535A" w:rsidTr="004F1F5E">
        <w:tc>
          <w:tcPr>
            <w:tcW w:w="2427" w:type="pct"/>
          </w:tcPr>
          <w:p w:rsidR="00D51D89" w:rsidRPr="00A1535A" w:rsidRDefault="00D51D89" w:rsidP="004F1F5E">
            <w:pPr>
              <w:jc w:val="both"/>
              <w:rPr>
                <w:rFonts w:eastAsia="Calibri"/>
                <w:sz w:val="20"/>
              </w:rPr>
            </w:pPr>
            <w:r w:rsidRPr="00A1535A">
              <w:rPr>
                <w:rFonts w:eastAsia="Calibri"/>
                <w:sz w:val="20"/>
              </w:rPr>
              <w:t>February 6, 2012</w:t>
            </w:r>
          </w:p>
          <w:p w:rsidR="00D51D89" w:rsidRPr="00A1535A" w:rsidRDefault="00D51D89" w:rsidP="004F1F5E">
            <w:pPr>
              <w:jc w:val="both"/>
              <w:rPr>
                <w:rFonts w:eastAsia="Calibri"/>
                <w:sz w:val="20"/>
              </w:rPr>
            </w:pPr>
            <w:r w:rsidRPr="00A1535A">
              <w:rPr>
                <w:rFonts w:eastAsia="Calibri"/>
                <w:sz w:val="20"/>
              </w:rPr>
              <w:t>Supreme Court of Canada</w:t>
            </w:r>
          </w:p>
        </w:tc>
        <w:tc>
          <w:tcPr>
            <w:tcW w:w="243" w:type="pct"/>
          </w:tcPr>
          <w:p w:rsidR="00D51D89" w:rsidRPr="00A1535A" w:rsidRDefault="00D51D89" w:rsidP="004F1F5E">
            <w:pPr>
              <w:jc w:val="both"/>
              <w:rPr>
                <w:rFonts w:eastAsia="Calibri"/>
                <w:sz w:val="20"/>
              </w:rPr>
            </w:pPr>
          </w:p>
        </w:tc>
        <w:tc>
          <w:tcPr>
            <w:tcW w:w="2330" w:type="pct"/>
          </w:tcPr>
          <w:p w:rsidR="00D51D89" w:rsidRPr="00A1535A" w:rsidRDefault="00D51D89" w:rsidP="004F1F5E">
            <w:pPr>
              <w:jc w:val="both"/>
              <w:rPr>
                <w:rFonts w:eastAsia="Calibri"/>
                <w:sz w:val="20"/>
              </w:rPr>
            </w:pPr>
            <w:r w:rsidRPr="00A1535A">
              <w:rPr>
                <w:rFonts w:eastAsia="Calibri"/>
                <w:sz w:val="20"/>
              </w:rPr>
              <w:t>Application for leave to appeal filed</w:t>
            </w:r>
          </w:p>
          <w:p w:rsidR="00D51D89" w:rsidRPr="00A1535A" w:rsidRDefault="00D51D89" w:rsidP="004F1F5E">
            <w:pPr>
              <w:jc w:val="both"/>
              <w:rPr>
                <w:rFonts w:eastAsia="Calibri"/>
                <w:sz w:val="20"/>
              </w:rPr>
            </w:pPr>
          </w:p>
        </w:tc>
      </w:tr>
    </w:tbl>
    <w:p w:rsidR="00EC09EE" w:rsidRDefault="00EC09EE" w:rsidP="00EC09EE">
      <w:pPr>
        <w:rPr>
          <w:sz w:val="20"/>
          <w:szCs w:val="20"/>
        </w:rPr>
      </w:pPr>
    </w:p>
    <w:p w:rsidR="00EC09EE" w:rsidRPr="00C50A5C" w:rsidRDefault="007333FF" w:rsidP="00EC09EE">
      <w:pPr>
        <w:rPr>
          <w:sz w:val="20"/>
          <w:szCs w:val="20"/>
        </w:rPr>
      </w:pPr>
      <w:r w:rsidRPr="007333FF">
        <w:rPr>
          <w:sz w:val="20"/>
          <w:szCs w:val="20"/>
          <w:lang w:val="fr-CA"/>
        </w:rPr>
        <w:pict>
          <v:rect id="_x0000_i1082" style="width:2in;height:1pt" o:hrpct="0" o:hralign="center" o:hrstd="t" o:hrnoshade="t" o:hr="t" fillcolor="black [3213]" stroked="f"/>
        </w:pict>
      </w:r>
    </w:p>
    <w:p w:rsidR="00EC09EE" w:rsidRDefault="00EC09EE" w:rsidP="00EC09EE">
      <w:pPr>
        <w:rPr>
          <w:sz w:val="20"/>
          <w:szCs w:val="20"/>
        </w:rPr>
      </w:pPr>
    </w:p>
    <w:p w:rsidR="00EC09EE" w:rsidRPr="001B157C" w:rsidRDefault="00EC09EE" w:rsidP="00EC09EE">
      <w:pPr>
        <w:rPr>
          <w:sz w:val="20"/>
          <w:szCs w:val="20"/>
          <w:u w:val="single"/>
          <w:lang w:val="fr-CA"/>
        </w:rPr>
      </w:pPr>
      <w:r w:rsidRPr="001B157C">
        <w:rPr>
          <w:sz w:val="20"/>
          <w:szCs w:val="20"/>
          <w:u w:val="single"/>
          <w:lang w:val="fr-CA"/>
        </w:rPr>
        <w:lastRenderedPageBreak/>
        <w:t>RÉSUMÉ DE L’AFFAIRE</w:t>
      </w:r>
    </w:p>
    <w:p w:rsidR="00EC09EE" w:rsidRDefault="00EC09EE" w:rsidP="00EC09EE">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51D89" w:rsidRPr="003626B6" w:rsidTr="004F1F5E">
        <w:tc>
          <w:tcPr>
            <w:tcW w:w="5000" w:type="pct"/>
            <w:gridSpan w:val="3"/>
          </w:tcPr>
          <w:p w:rsidR="00D51D89" w:rsidRPr="00A1535A" w:rsidRDefault="00D51D89" w:rsidP="004F1F5E">
            <w:pPr>
              <w:jc w:val="both"/>
              <w:rPr>
                <w:rFonts w:eastAsia="Calibri"/>
                <w:sz w:val="20"/>
                <w:lang w:val="fr-CA"/>
              </w:rPr>
            </w:pPr>
            <w:r w:rsidRPr="00A1535A">
              <w:rPr>
                <w:rFonts w:eastAsia="Calibri"/>
                <w:sz w:val="20"/>
                <w:lang w:val="fr-CA"/>
              </w:rPr>
              <w:t>Droit de la santé – Santé publique – Règlements – L'Ontario a édicté des règlements qui interdisaient effectivement la vente de médicaments de marque privée - En examinant la validité d’un règlement</w:t>
            </w:r>
            <w:r w:rsidRPr="00A1535A">
              <w:rPr>
                <w:rFonts w:eastAsia="Calibri"/>
                <w:i/>
                <w:sz w:val="20"/>
                <w:lang w:val="fr-CA"/>
              </w:rPr>
              <w:t xml:space="preserve">, </w:t>
            </w:r>
            <w:r w:rsidRPr="00A1535A">
              <w:rPr>
                <w:rFonts w:eastAsia="Calibri"/>
                <w:sz w:val="20"/>
                <w:lang w:val="fr-CA"/>
              </w:rPr>
              <w:t>les tribunaux doivent-ils faire preuve de déférence (ou de « retenue ») à l'égard de l'exécutif? - La compétence législative de prendre des règlements qui permettent de « prescrire des conditions » autorise-t-elle une interdiction? - En examinant la validité d'un règlement, le tribunal peut-il statuer sur le fondement d’un motif qui n'a pas été plaidé et qui n'est pas appuyé par la preuve au dossier?</w:t>
            </w:r>
          </w:p>
        </w:tc>
      </w:tr>
      <w:tr w:rsidR="00D51D89" w:rsidRPr="003626B6" w:rsidTr="004F1F5E">
        <w:tc>
          <w:tcPr>
            <w:tcW w:w="5000" w:type="pct"/>
            <w:gridSpan w:val="3"/>
          </w:tcPr>
          <w:p w:rsidR="00D51D89" w:rsidRPr="00A1535A" w:rsidRDefault="00D51D89" w:rsidP="004F1F5E">
            <w:pPr>
              <w:jc w:val="both"/>
              <w:rPr>
                <w:rFonts w:eastAsia="Calibri"/>
                <w:sz w:val="20"/>
                <w:lang w:val="fr-CA"/>
              </w:rPr>
            </w:pPr>
          </w:p>
        </w:tc>
      </w:tr>
      <w:tr w:rsidR="00D51D89" w:rsidRPr="00B6145B" w:rsidTr="004F1F5E">
        <w:tc>
          <w:tcPr>
            <w:tcW w:w="5000" w:type="pct"/>
            <w:gridSpan w:val="3"/>
          </w:tcPr>
          <w:p w:rsidR="00D51D89" w:rsidRPr="00A1535A" w:rsidRDefault="00D51D89" w:rsidP="004F1F5E">
            <w:pPr>
              <w:jc w:val="both"/>
              <w:rPr>
                <w:rFonts w:eastAsia="Calibri"/>
                <w:sz w:val="20"/>
                <w:lang w:val="fr-CA"/>
              </w:rPr>
            </w:pPr>
            <w:r w:rsidRPr="00A1535A">
              <w:rPr>
                <w:rFonts w:eastAsia="Calibri"/>
                <w:color w:val="000000"/>
                <w:sz w:val="20"/>
                <w:lang w:val="fr-CA"/>
              </w:rPr>
              <w:t xml:space="preserve">Shoppers Drug Mart (« Shoppers ») et les compagnies du groupe Katz sont propriétaires, franchiseurs et exploitants de pharmacies à l'échelle de l'Ontario. Elles ont demandé une ordonnance annulant les règlements de l’Ontario qui interdisait effectivement la vente de médicaments génériques de marque privée en Ontario. </w:t>
            </w:r>
            <w:r w:rsidRPr="00A1535A">
              <w:rPr>
                <w:rFonts w:eastAsia="Calibri"/>
                <w:sz w:val="20"/>
                <w:lang w:val="fr-CA"/>
              </w:rPr>
              <w:t xml:space="preserve">Sanis Health Inc. (« Sanis ») est une filiale de Shoppers et un fabricant de médicaments génériques qui externalise la fabrication des médicaments génériques qu'elle vend principalement à Shoppers.  </w:t>
            </w:r>
          </w:p>
          <w:p w:rsidR="00D51D89" w:rsidRPr="00A1535A" w:rsidRDefault="00D51D89" w:rsidP="004F1F5E">
            <w:pPr>
              <w:jc w:val="both"/>
              <w:rPr>
                <w:rFonts w:eastAsia="Calibri"/>
                <w:sz w:val="20"/>
                <w:lang w:val="fr-CA"/>
              </w:rPr>
            </w:pPr>
          </w:p>
          <w:p w:rsidR="00D51D89" w:rsidRPr="00A1535A" w:rsidRDefault="00D51D89" w:rsidP="004F1F5E">
            <w:pPr>
              <w:jc w:val="both"/>
              <w:rPr>
                <w:rFonts w:eastAsia="Calibri"/>
                <w:color w:val="000000"/>
                <w:sz w:val="20"/>
                <w:lang w:val="fr-CA"/>
              </w:rPr>
            </w:pPr>
            <w:r w:rsidRPr="00A1535A">
              <w:rPr>
                <w:rFonts w:eastAsia="Calibri"/>
                <w:sz w:val="20"/>
                <w:lang w:val="fr-CA"/>
              </w:rPr>
              <w:t>Le prix des médicaments génériques est réglementé par la loi provinciale. La</w:t>
            </w:r>
            <w:r w:rsidRPr="00A1535A">
              <w:rPr>
                <w:rFonts w:eastAsia="Calibri"/>
                <w:i/>
                <w:sz w:val="20"/>
                <w:lang w:val="fr-CA"/>
              </w:rPr>
              <w:t xml:space="preserve"> Loi sur l'interchangeabilité des médicaments et les honoraires de préparation</w:t>
            </w:r>
            <w:r w:rsidRPr="00A1535A">
              <w:rPr>
                <w:rFonts w:eastAsia="Calibri"/>
                <w:sz w:val="20"/>
                <w:lang w:val="fr-CA"/>
              </w:rPr>
              <w:t>, L.R.O. 1990, ch. P.23  (la « </w:t>
            </w:r>
            <w:r w:rsidRPr="00A1535A">
              <w:rPr>
                <w:rFonts w:eastAsia="Calibri"/>
                <w:i/>
                <w:sz w:val="20"/>
                <w:lang w:val="fr-CA"/>
              </w:rPr>
              <w:t>LIMHP</w:t>
            </w:r>
            <w:r w:rsidRPr="00A1535A">
              <w:rPr>
                <w:rFonts w:eastAsia="Calibri"/>
                <w:sz w:val="20"/>
                <w:lang w:val="fr-CA"/>
              </w:rPr>
              <w:t> ») autorise et oblige les pharmacies à délivrer des médicaments génériques qui ont été désignés comme étant interchangeables avec un médicament breveté. La</w:t>
            </w:r>
            <w:r w:rsidRPr="00A1535A">
              <w:rPr>
                <w:rFonts w:eastAsia="Calibri"/>
                <w:i/>
                <w:sz w:val="20"/>
                <w:lang w:val="fr-CA"/>
              </w:rPr>
              <w:t xml:space="preserve"> Loi sur le régime de médicaments gratuits de l'Ontario</w:t>
            </w:r>
            <w:r w:rsidRPr="00A1535A">
              <w:rPr>
                <w:rFonts w:eastAsia="Calibri"/>
                <w:sz w:val="20"/>
                <w:lang w:val="fr-CA"/>
              </w:rPr>
              <w:t>, L.R.O. 1990, ch. O.10 (« </w:t>
            </w:r>
            <w:r w:rsidRPr="00A1535A">
              <w:rPr>
                <w:rFonts w:eastAsia="Calibri"/>
                <w:i/>
                <w:sz w:val="20"/>
                <w:lang w:val="fr-CA"/>
              </w:rPr>
              <w:t>LRMGO</w:t>
            </w:r>
            <w:r w:rsidRPr="00A1535A">
              <w:rPr>
                <w:rFonts w:eastAsia="Calibri"/>
                <w:sz w:val="20"/>
                <w:lang w:val="fr-CA"/>
              </w:rPr>
              <w:t> ») énonce notamment les règles qui régissent la liste des médicaments qui peuvent être délivrés aux personnes admissibles – par exemple les personnes âgées – et les montants que la province versera aux pharmacies qui délivrent les médicaments.</w:t>
            </w:r>
            <w:r w:rsidRPr="00A1535A">
              <w:rPr>
                <w:rFonts w:eastAsia="Calibri"/>
                <w:color w:val="000000"/>
                <w:sz w:val="20"/>
                <w:lang w:val="fr-CA"/>
              </w:rPr>
              <w:t xml:space="preserve"> </w:t>
            </w:r>
          </w:p>
          <w:p w:rsidR="00D51D89" w:rsidRPr="00A1535A" w:rsidRDefault="00D51D89" w:rsidP="004F1F5E">
            <w:pPr>
              <w:jc w:val="both"/>
              <w:rPr>
                <w:rFonts w:eastAsia="Calibri"/>
                <w:sz w:val="20"/>
                <w:lang w:val="fr-CA"/>
              </w:rPr>
            </w:pPr>
          </w:p>
          <w:p w:rsidR="00D51D89" w:rsidRPr="00A1535A" w:rsidRDefault="00D51D89" w:rsidP="004F1F5E">
            <w:pPr>
              <w:jc w:val="both"/>
              <w:rPr>
                <w:color w:val="000000"/>
                <w:sz w:val="20"/>
                <w:lang w:val="fr-CA"/>
              </w:rPr>
            </w:pPr>
            <w:r w:rsidRPr="00A1535A">
              <w:rPr>
                <w:color w:val="000000"/>
                <w:sz w:val="20"/>
                <w:lang w:val="fr-CA"/>
              </w:rPr>
              <w:t xml:space="preserve">Entre 2006 et 2010, des modifications apportées à la réglementation des ventes de médicaments sur ordonnance en Ontario avaient eu pour effet de réduire les profits des pharmacies, d'abord par l'élimination des ristournes que les pharmacies recevaient des fabricants de médicaments génériques, puis par l'élimination progressive des « remises aux professionnels » qu'elles recevaient des fabricants. Les modifications législatives et règlementaires avaient pour but de réduire le coût des médicaments pour les consommateurs en Ontario. </w:t>
            </w:r>
          </w:p>
          <w:p w:rsidR="00D51D89" w:rsidRPr="00A1535A" w:rsidRDefault="00D51D89" w:rsidP="004F1F5E">
            <w:pPr>
              <w:jc w:val="both"/>
              <w:rPr>
                <w:color w:val="000000"/>
                <w:sz w:val="20"/>
                <w:lang w:val="fr-CA"/>
              </w:rPr>
            </w:pPr>
          </w:p>
          <w:p w:rsidR="00D51D89" w:rsidRPr="00A1535A" w:rsidRDefault="00D51D89" w:rsidP="004F1F5E">
            <w:pPr>
              <w:jc w:val="both"/>
              <w:rPr>
                <w:color w:val="000000"/>
                <w:sz w:val="20"/>
                <w:lang w:val="fr-CA"/>
              </w:rPr>
            </w:pPr>
            <w:r w:rsidRPr="00A1535A">
              <w:rPr>
                <w:color w:val="000000"/>
                <w:sz w:val="20"/>
                <w:lang w:val="fr-CA"/>
              </w:rPr>
              <w:t>Les compagnies de médicaments génériques de marque privée sont liées aux pharmacies qui vendent leurs produits. Shoppers et le groupe Katz ont tenté d'utiliser leurs propres médicaments génériques de marque privée plutôt que d'acheter ces médicaments génériques d'un tiers non lié. Les modifications apportées aux règlements en 2010 leur ont effectivement interdit de le faire.</w:t>
            </w:r>
          </w:p>
          <w:p w:rsidR="00D51D89" w:rsidRPr="00A1535A" w:rsidRDefault="00D51D89" w:rsidP="004F1F5E">
            <w:pPr>
              <w:jc w:val="both"/>
              <w:rPr>
                <w:rFonts w:eastAsia="Calibri"/>
                <w:sz w:val="20"/>
                <w:lang w:val="fr-CA"/>
              </w:rPr>
            </w:pPr>
          </w:p>
        </w:tc>
      </w:tr>
      <w:tr w:rsidR="00D51D89" w:rsidRPr="00B6145B" w:rsidTr="004F1F5E">
        <w:tc>
          <w:tcPr>
            <w:tcW w:w="2427" w:type="pct"/>
          </w:tcPr>
          <w:p w:rsidR="00D51D89" w:rsidRPr="00A1535A" w:rsidRDefault="00D51D89" w:rsidP="004F1F5E">
            <w:pPr>
              <w:jc w:val="both"/>
              <w:rPr>
                <w:rFonts w:eastAsia="Calibri"/>
                <w:sz w:val="20"/>
                <w:lang w:val="fr-CA"/>
              </w:rPr>
            </w:pPr>
            <w:r w:rsidRPr="00A1535A">
              <w:rPr>
                <w:rFonts w:eastAsia="Calibri"/>
                <w:sz w:val="20"/>
                <w:lang w:val="fr-CA"/>
              </w:rPr>
              <w:t>3 février 2011</w:t>
            </w:r>
          </w:p>
          <w:p w:rsidR="00D51D89" w:rsidRPr="00A1535A" w:rsidRDefault="00D51D89" w:rsidP="004F1F5E">
            <w:pPr>
              <w:jc w:val="both"/>
              <w:rPr>
                <w:rFonts w:eastAsia="Calibri"/>
                <w:sz w:val="20"/>
                <w:lang w:val="fr-CA"/>
              </w:rPr>
            </w:pPr>
            <w:r w:rsidRPr="00A1535A">
              <w:rPr>
                <w:rFonts w:eastAsia="Calibri"/>
                <w:sz w:val="20"/>
                <w:lang w:val="fr-CA"/>
              </w:rPr>
              <w:t xml:space="preserve">Cour supérieure de justice de l'Ontario </w:t>
            </w:r>
          </w:p>
          <w:p w:rsidR="00D51D89" w:rsidRPr="00A1535A" w:rsidRDefault="00D51D89" w:rsidP="004F1F5E">
            <w:pPr>
              <w:jc w:val="both"/>
              <w:rPr>
                <w:rFonts w:eastAsia="Calibri"/>
                <w:sz w:val="20"/>
                <w:lang w:val="fr-CA"/>
              </w:rPr>
            </w:pPr>
            <w:r w:rsidRPr="00A1535A">
              <w:rPr>
                <w:rFonts w:eastAsia="Calibri"/>
                <w:sz w:val="20"/>
                <w:lang w:val="fr-CA"/>
              </w:rPr>
              <w:t>(Cour divisionnaire)</w:t>
            </w:r>
          </w:p>
          <w:p w:rsidR="00D51D89" w:rsidRPr="00A1535A" w:rsidRDefault="00D51D89" w:rsidP="004F1F5E">
            <w:pPr>
              <w:jc w:val="both"/>
              <w:rPr>
                <w:rFonts w:eastAsia="Calibri"/>
                <w:sz w:val="20"/>
                <w:lang w:val="fr-CA"/>
              </w:rPr>
            </w:pPr>
            <w:r w:rsidRPr="00A1535A">
              <w:rPr>
                <w:rFonts w:eastAsia="Calibri"/>
                <w:sz w:val="20"/>
                <w:lang w:val="fr-CA"/>
              </w:rPr>
              <w:t>(Juges Whalen, Molloy et Swinton)</w:t>
            </w:r>
          </w:p>
          <w:p w:rsidR="00D51D89" w:rsidRPr="00A1535A" w:rsidRDefault="00D51D89" w:rsidP="004F1F5E">
            <w:pPr>
              <w:jc w:val="both"/>
              <w:rPr>
                <w:rFonts w:eastAsia="Calibri"/>
                <w:sz w:val="20"/>
                <w:lang w:val="fr-CA"/>
              </w:rPr>
            </w:pPr>
            <w:r w:rsidRPr="00A1535A">
              <w:rPr>
                <w:rFonts w:eastAsia="Calibri"/>
                <w:sz w:val="20"/>
                <w:lang w:val="fr-CA"/>
              </w:rPr>
              <w:t>2011 ONSC 615</w:t>
            </w:r>
          </w:p>
          <w:p w:rsidR="00D51D89" w:rsidRPr="00A1535A" w:rsidRDefault="00D51D89" w:rsidP="004F1F5E">
            <w:pPr>
              <w:jc w:val="both"/>
              <w:rPr>
                <w:rFonts w:eastAsia="Calibri"/>
                <w:sz w:val="20"/>
                <w:lang w:val="fr-CA"/>
              </w:rPr>
            </w:pPr>
          </w:p>
        </w:tc>
        <w:tc>
          <w:tcPr>
            <w:tcW w:w="243" w:type="pct"/>
          </w:tcPr>
          <w:p w:rsidR="00D51D89" w:rsidRPr="00A1535A" w:rsidRDefault="00D51D89" w:rsidP="004F1F5E">
            <w:pPr>
              <w:jc w:val="both"/>
              <w:rPr>
                <w:rFonts w:eastAsia="Calibri"/>
                <w:sz w:val="20"/>
                <w:lang w:val="fr-CA"/>
              </w:rPr>
            </w:pPr>
          </w:p>
        </w:tc>
        <w:tc>
          <w:tcPr>
            <w:tcW w:w="2330" w:type="pct"/>
          </w:tcPr>
          <w:p w:rsidR="00D51D89" w:rsidRPr="00A1535A" w:rsidRDefault="00D51D89" w:rsidP="004F1F5E">
            <w:pPr>
              <w:jc w:val="both"/>
              <w:rPr>
                <w:rFonts w:eastAsia="Calibri"/>
                <w:sz w:val="20"/>
                <w:lang w:val="fr-CA"/>
              </w:rPr>
            </w:pPr>
            <w:r w:rsidRPr="00A1535A">
              <w:rPr>
                <w:rFonts w:eastAsia="Calibri"/>
                <w:sz w:val="20"/>
                <w:lang w:val="fr-CA"/>
              </w:rPr>
              <w:t>Les règlements qui interdisent effectivement aux pharmacies de commercialiser des médicaments génériques de marque privée sont jugés invalides et inopérants</w:t>
            </w:r>
          </w:p>
          <w:p w:rsidR="00D51D89" w:rsidRPr="00A1535A" w:rsidRDefault="00D51D89" w:rsidP="004F1F5E">
            <w:pPr>
              <w:jc w:val="both"/>
              <w:rPr>
                <w:rFonts w:eastAsia="Calibri"/>
                <w:sz w:val="20"/>
                <w:lang w:val="fr-CA"/>
              </w:rPr>
            </w:pPr>
          </w:p>
          <w:p w:rsidR="00D51D89" w:rsidRPr="00A1535A" w:rsidRDefault="00D51D89" w:rsidP="004F1F5E">
            <w:pPr>
              <w:jc w:val="both"/>
              <w:rPr>
                <w:rFonts w:eastAsia="Calibri"/>
                <w:sz w:val="20"/>
                <w:lang w:val="fr-CA"/>
              </w:rPr>
            </w:pPr>
          </w:p>
        </w:tc>
      </w:tr>
      <w:tr w:rsidR="00D51D89" w:rsidRPr="00B6145B" w:rsidTr="004F1F5E">
        <w:tc>
          <w:tcPr>
            <w:tcW w:w="2427" w:type="pct"/>
          </w:tcPr>
          <w:p w:rsidR="00D51D89" w:rsidRPr="00A1535A" w:rsidRDefault="00D51D89" w:rsidP="004F1F5E">
            <w:pPr>
              <w:jc w:val="both"/>
              <w:rPr>
                <w:rFonts w:eastAsia="Calibri"/>
                <w:sz w:val="20"/>
                <w:lang w:val="fr-CA"/>
              </w:rPr>
            </w:pPr>
            <w:r w:rsidRPr="00A1535A">
              <w:rPr>
                <w:rFonts w:eastAsia="Calibri"/>
                <w:sz w:val="20"/>
                <w:lang w:val="fr-CA"/>
              </w:rPr>
              <w:t>23 décembre 2011</w:t>
            </w:r>
          </w:p>
          <w:p w:rsidR="00D51D89" w:rsidRPr="00A1535A" w:rsidRDefault="00D51D89" w:rsidP="004F1F5E">
            <w:pPr>
              <w:jc w:val="both"/>
              <w:rPr>
                <w:rFonts w:eastAsia="Calibri"/>
                <w:sz w:val="20"/>
                <w:lang w:val="fr-CA"/>
              </w:rPr>
            </w:pPr>
            <w:r w:rsidRPr="00A1535A">
              <w:rPr>
                <w:rFonts w:eastAsia="Calibri"/>
                <w:sz w:val="20"/>
                <w:lang w:val="fr-CA"/>
              </w:rPr>
              <w:t>Cour d'appel de l’Ontario</w:t>
            </w:r>
          </w:p>
          <w:p w:rsidR="00D51D89" w:rsidRPr="00A1535A" w:rsidRDefault="00D51D89" w:rsidP="004F1F5E">
            <w:pPr>
              <w:jc w:val="both"/>
              <w:rPr>
                <w:rFonts w:eastAsia="Calibri"/>
                <w:sz w:val="20"/>
                <w:lang w:val="fr-CA"/>
              </w:rPr>
            </w:pPr>
            <w:r w:rsidRPr="00A1535A">
              <w:rPr>
                <w:rFonts w:eastAsia="Calibri"/>
                <w:sz w:val="20"/>
                <w:lang w:val="fr-CA"/>
              </w:rPr>
              <w:t>(Juges MacPherson, Epstein [dissidente] et</w:t>
            </w:r>
          </w:p>
          <w:p w:rsidR="00D51D89" w:rsidRPr="00A1535A" w:rsidRDefault="00D51D89" w:rsidP="004F1F5E">
            <w:pPr>
              <w:jc w:val="both"/>
              <w:rPr>
                <w:rFonts w:eastAsia="Calibri"/>
                <w:sz w:val="20"/>
                <w:lang w:val="fr-CA"/>
              </w:rPr>
            </w:pPr>
            <w:r w:rsidRPr="00A1535A">
              <w:rPr>
                <w:rFonts w:eastAsia="Calibri"/>
                <w:sz w:val="20"/>
                <w:lang w:val="fr-CA"/>
              </w:rPr>
              <w:t>Karakatsanis)</w:t>
            </w:r>
          </w:p>
          <w:p w:rsidR="00D51D89" w:rsidRPr="00A1535A" w:rsidRDefault="00D51D89" w:rsidP="004F1F5E">
            <w:pPr>
              <w:jc w:val="both"/>
              <w:rPr>
                <w:rFonts w:eastAsia="Calibri"/>
                <w:sz w:val="20"/>
                <w:lang w:val="fr-CA"/>
              </w:rPr>
            </w:pPr>
            <w:r w:rsidRPr="00A1535A">
              <w:rPr>
                <w:rFonts w:eastAsia="Calibri"/>
                <w:sz w:val="20"/>
                <w:lang w:val="fr-CA"/>
              </w:rPr>
              <w:t>2011 ONCA 830</w:t>
            </w:r>
          </w:p>
          <w:p w:rsidR="00D51D89" w:rsidRPr="00A1535A" w:rsidRDefault="00D51D89" w:rsidP="004F1F5E">
            <w:pPr>
              <w:jc w:val="both"/>
              <w:rPr>
                <w:rFonts w:eastAsia="Calibri"/>
                <w:sz w:val="20"/>
                <w:lang w:val="fr-CA"/>
              </w:rPr>
            </w:pPr>
          </w:p>
        </w:tc>
        <w:tc>
          <w:tcPr>
            <w:tcW w:w="243" w:type="pct"/>
          </w:tcPr>
          <w:p w:rsidR="00D51D89" w:rsidRPr="00A1535A" w:rsidRDefault="00D51D89" w:rsidP="004F1F5E">
            <w:pPr>
              <w:jc w:val="both"/>
              <w:rPr>
                <w:rFonts w:eastAsia="Calibri"/>
                <w:sz w:val="20"/>
                <w:lang w:val="fr-CA"/>
              </w:rPr>
            </w:pPr>
          </w:p>
        </w:tc>
        <w:tc>
          <w:tcPr>
            <w:tcW w:w="2330" w:type="pct"/>
          </w:tcPr>
          <w:p w:rsidR="00D51D89" w:rsidRPr="00A1535A" w:rsidRDefault="00D51D89" w:rsidP="004F1F5E">
            <w:pPr>
              <w:jc w:val="both"/>
              <w:rPr>
                <w:rFonts w:eastAsia="Calibri"/>
                <w:sz w:val="20"/>
                <w:lang w:val="fr-CA"/>
              </w:rPr>
            </w:pPr>
            <w:r w:rsidRPr="00A1535A">
              <w:rPr>
                <w:rFonts w:eastAsia="Calibri"/>
                <w:sz w:val="20"/>
                <w:lang w:val="fr-CA"/>
              </w:rPr>
              <w:t>Appel accueilli; les règlements sont jugés valides</w:t>
            </w:r>
          </w:p>
          <w:p w:rsidR="00D51D89" w:rsidRPr="00A1535A" w:rsidRDefault="00D51D89" w:rsidP="004F1F5E">
            <w:pPr>
              <w:jc w:val="both"/>
              <w:rPr>
                <w:rFonts w:eastAsia="Calibri"/>
                <w:sz w:val="20"/>
                <w:lang w:val="fr-CA"/>
              </w:rPr>
            </w:pPr>
          </w:p>
        </w:tc>
      </w:tr>
      <w:tr w:rsidR="00D51D89" w:rsidRPr="00A1535A" w:rsidTr="004F1F5E">
        <w:tc>
          <w:tcPr>
            <w:tcW w:w="2427" w:type="pct"/>
          </w:tcPr>
          <w:p w:rsidR="00D51D89" w:rsidRPr="00A1535A" w:rsidRDefault="00D51D89" w:rsidP="004F1F5E">
            <w:pPr>
              <w:jc w:val="both"/>
              <w:rPr>
                <w:rFonts w:eastAsia="Calibri"/>
                <w:sz w:val="20"/>
                <w:lang w:val="fr-CA"/>
              </w:rPr>
            </w:pPr>
            <w:r w:rsidRPr="00A1535A">
              <w:rPr>
                <w:rFonts w:eastAsia="Calibri"/>
                <w:sz w:val="20"/>
                <w:lang w:val="fr-CA"/>
              </w:rPr>
              <w:t>6 février, 2012</w:t>
            </w:r>
          </w:p>
          <w:p w:rsidR="00D51D89" w:rsidRPr="00A1535A" w:rsidRDefault="00D51D89" w:rsidP="004F1F5E">
            <w:pPr>
              <w:jc w:val="both"/>
              <w:rPr>
                <w:rFonts w:eastAsia="Calibri"/>
                <w:sz w:val="20"/>
                <w:lang w:val="fr-CA"/>
              </w:rPr>
            </w:pPr>
            <w:r w:rsidRPr="00A1535A">
              <w:rPr>
                <w:rFonts w:eastAsia="Calibri"/>
                <w:sz w:val="20"/>
                <w:lang w:val="fr-CA"/>
              </w:rPr>
              <w:t>Cour suprême du Canada</w:t>
            </w:r>
          </w:p>
        </w:tc>
        <w:tc>
          <w:tcPr>
            <w:tcW w:w="243" w:type="pct"/>
          </w:tcPr>
          <w:p w:rsidR="00D51D89" w:rsidRPr="00A1535A" w:rsidRDefault="00D51D89" w:rsidP="004F1F5E">
            <w:pPr>
              <w:jc w:val="both"/>
              <w:rPr>
                <w:rFonts w:eastAsia="Calibri"/>
                <w:sz w:val="20"/>
                <w:lang w:val="fr-CA"/>
              </w:rPr>
            </w:pPr>
          </w:p>
        </w:tc>
        <w:tc>
          <w:tcPr>
            <w:tcW w:w="2330" w:type="pct"/>
          </w:tcPr>
          <w:p w:rsidR="00D51D89" w:rsidRPr="00A1535A" w:rsidRDefault="00D51D89" w:rsidP="004F1F5E">
            <w:pPr>
              <w:jc w:val="both"/>
              <w:rPr>
                <w:rFonts w:eastAsia="Calibri"/>
                <w:sz w:val="20"/>
                <w:lang w:val="fr-CA"/>
              </w:rPr>
            </w:pPr>
            <w:r w:rsidRPr="00A1535A">
              <w:rPr>
                <w:rFonts w:eastAsia="Calibri"/>
                <w:sz w:val="20"/>
                <w:lang w:val="fr-CA"/>
              </w:rPr>
              <w:t>Demande d'autorisation d'appel, déposée</w:t>
            </w:r>
          </w:p>
          <w:p w:rsidR="00D51D89" w:rsidRPr="00A1535A" w:rsidRDefault="00D51D89" w:rsidP="004F1F5E">
            <w:pPr>
              <w:jc w:val="both"/>
              <w:rPr>
                <w:rFonts w:eastAsia="Calibri"/>
                <w:sz w:val="20"/>
                <w:lang w:val="fr-CA"/>
              </w:rPr>
            </w:pPr>
          </w:p>
        </w:tc>
      </w:tr>
    </w:tbl>
    <w:p w:rsidR="00EC09EE" w:rsidRDefault="00EC09EE" w:rsidP="00EC09EE">
      <w:pPr>
        <w:rPr>
          <w:sz w:val="20"/>
          <w:szCs w:val="20"/>
        </w:rPr>
      </w:pPr>
    </w:p>
    <w:p w:rsidR="00EC09EE" w:rsidRDefault="007333FF" w:rsidP="00EC09EE">
      <w:pPr>
        <w:rPr>
          <w:sz w:val="20"/>
          <w:szCs w:val="20"/>
        </w:rPr>
      </w:pPr>
      <w:r w:rsidRPr="007333FF">
        <w:rPr>
          <w:sz w:val="20"/>
          <w:szCs w:val="20"/>
          <w:lang w:val="fr-CA"/>
        </w:rPr>
        <w:pict>
          <v:rect id="_x0000_i1083" style="width:2in;height:1pt" o:hrpct="0" o:hralign="center" o:hrstd="t" o:hrnoshade="t" o:hr="t" fillcolor="black [3213]" stroked="f"/>
        </w:pict>
      </w:r>
    </w:p>
    <w:p w:rsidR="00EC09EE" w:rsidRDefault="00EC09EE" w:rsidP="00EC09E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814BA" w:rsidRPr="000F116A" w:rsidTr="00D40817">
        <w:trPr>
          <w:cantSplit/>
        </w:trPr>
        <w:tc>
          <w:tcPr>
            <w:tcW w:w="1458" w:type="dxa"/>
          </w:tcPr>
          <w:p w:rsidR="00F814BA" w:rsidRPr="000F116A" w:rsidRDefault="00F814BA" w:rsidP="00D40817">
            <w:pPr>
              <w:rPr>
                <w:sz w:val="20"/>
                <w:szCs w:val="20"/>
              </w:rPr>
            </w:pPr>
            <w:r w:rsidRPr="000F116A">
              <w:rPr>
                <w:rStyle w:val="SCCFileNumberChar"/>
                <w:sz w:val="20"/>
                <w:szCs w:val="20"/>
              </w:rPr>
              <w:lastRenderedPageBreak/>
              <w:t>34649</w:t>
            </w:r>
          </w:p>
          <w:p w:rsidR="00F814BA" w:rsidRPr="000F116A" w:rsidRDefault="00F814BA" w:rsidP="00D40817">
            <w:pPr>
              <w:rPr>
                <w:b/>
                <w:sz w:val="20"/>
                <w:szCs w:val="20"/>
                <w:lang w:val="fr-CA"/>
              </w:rPr>
            </w:pPr>
          </w:p>
        </w:tc>
        <w:tc>
          <w:tcPr>
            <w:tcW w:w="8118" w:type="dxa"/>
          </w:tcPr>
          <w:p w:rsidR="00F814BA" w:rsidRPr="000F116A" w:rsidRDefault="00F814BA" w:rsidP="00D40817">
            <w:pPr>
              <w:jc w:val="both"/>
              <w:rPr>
                <w:sz w:val="20"/>
                <w:szCs w:val="20"/>
              </w:rPr>
            </w:pPr>
            <w:r w:rsidRPr="000F116A">
              <w:rPr>
                <w:rStyle w:val="SCCLsocChar"/>
                <w:sz w:val="20"/>
                <w:szCs w:val="20"/>
                <w:lang w:val="en-CA"/>
              </w:rPr>
              <w:t>Shoppers Drug Mart Inc., Shoppers Drug Mart (London) Limited and Sanis Health Inc. v. Minister of Health and Long-Term Care, Lieutenant Governor-In-Council of Ontario and Attorney General of Ontario</w:t>
            </w:r>
            <w:r w:rsidRPr="000F116A">
              <w:rPr>
                <w:sz w:val="20"/>
                <w:szCs w:val="20"/>
              </w:rPr>
              <w:t xml:space="preserve"> (Ont.) (Civil) (By Leave)</w:t>
            </w:r>
          </w:p>
          <w:p w:rsidR="00F814BA" w:rsidRPr="000F116A" w:rsidRDefault="00F814BA" w:rsidP="00D40817">
            <w:pPr>
              <w:rPr>
                <w:sz w:val="20"/>
                <w:szCs w:val="20"/>
              </w:rPr>
            </w:pPr>
          </w:p>
        </w:tc>
      </w:tr>
      <w:tr w:rsidR="00F814BA" w:rsidRPr="000F116A" w:rsidTr="00D40817">
        <w:trPr>
          <w:cantSplit/>
        </w:trPr>
        <w:tc>
          <w:tcPr>
            <w:tcW w:w="1458" w:type="dxa"/>
          </w:tcPr>
          <w:p w:rsidR="00F814BA" w:rsidRPr="000F116A" w:rsidRDefault="00F814BA" w:rsidP="00D40817">
            <w:pPr>
              <w:rPr>
                <w:sz w:val="20"/>
                <w:szCs w:val="20"/>
              </w:rPr>
            </w:pPr>
            <w:r w:rsidRPr="000F116A">
              <w:rPr>
                <w:sz w:val="20"/>
                <w:szCs w:val="20"/>
              </w:rPr>
              <w:t>Coram :</w:t>
            </w:r>
          </w:p>
        </w:tc>
        <w:tc>
          <w:tcPr>
            <w:tcW w:w="8118" w:type="dxa"/>
          </w:tcPr>
          <w:p w:rsidR="00F814BA" w:rsidRPr="000F116A" w:rsidRDefault="00F814BA" w:rsidP="00D40817">
            <w:pPr>
              <w:rPr>
                <w:sz w:val="20"/>
                <w:szCs w:val="20"/>
              </w:rPr>
            </w:pPr>
            <w:r w:rsidRPr="000F116A">
              <w:rPr>
                <w:rStyle w:val="SCCCoramChar"/>
                <w:sz w:val="20"/>
                <w:szCs w:val="20"/>
                <w:lang w:val="en-CA"/>
              </w:rPr>
              <w:t>McLachlin C.J. and Rothstein and Moldaver JJ.</w:t>
            </w:r>
          </w:p>
          <w:p w:rsidR="00F814BA" w:rsidRPr="000F116A" w:rsidRDefault="00F814BA" w:rsidP="00D40817">
            <w:pPr>
              <w:rPr>
                <w:sz w:val="20"/>
                <w:szCs w:val="20"/>
                <w:u w:val="single"/>
              </w:rPr>
            </w:pPr>
          </w:p>
        </w:tc>
      </w:tr>
      <w:tr w:rsidR="00F814BA" w:rsidRPr="00B6145B" w:rsidTr="00D40817">
        <w:trPr>
          <w:cantSplit/>
        </w:trPr>
        <w:tc>
          <w:tcPr>
            <w:tcW w:w="9576" w:type="dxa"/>
            <w:gridSpan w:val="2"/>
          </w:tcPr>
          <w:p w:rsidR="00F814BA" w:rsidRPr="000F116A" w:rsidRDefault="00F814BA" w:rsidP="00D40817">
            <w:pPr>
              <w:pStyle w:val="SCCShortJudgment"/>
              <w:rPr>
                <w:szCs w:val="20"/>
              </w:rPr>
            </w:pPr>
            <w:r w:rsidRPr="000F116A">
              <w:rPr>
                <w:szCs w:val="20"/>
              </w:rPr>
              <w:t>The application for leave to appeal from the judgment of the Court of Appeal for Ontario, Number C53663, 2011 ONCA 830, dated December 23, 2011, is granted with costs in the cause.</w:t>
            </w:r>
          </w:p>
          <w:p w:rsidR="00F814BA" w:rsidRPr="000F116A" w:rsidRDefault="00F814BA" w:rsidP="00D40817">
            <w:pPr>
              <w:pStyle w:val="SCCShortJudgment"/>
              <w:ind w:firstLine="0"/>
              <w:rPr>
                <w:szCs w:val="20"/>
              </w:rPr>
            </w:pPr>
          </w:p>
          <w:p w:rsidR="00F814BA" w:rsidRPr="000F116A" w:rsidRDefault="00F814BA" w:rsidP="00D40817">
            <w:pPr>
              <w:pStyle w:val="SCCShortJudgment"/>
              <w:rPr>
                <w:szCs w:val="20"/>
                <w:lang w:val="fr-CA"/>
              </w:rPr>
            </w:pPr>
            <w:r w:rsidRPr="000F116A">
              <w:rPr>
                <w:szCs w:val="20"/>
                <w:lang w:val="fr-CA"/>
              </w:rPr>
              <w:t>La demande d’autorisation d’appel de l’arrêt de la Cour d’appel de l’Ontario, numéro C53663, 2011 ONCA 830, daté du 23 décembre 2011, est accueillie avec dépens suivant l’issue de la cause.</w:t>
            </w:r>
          </w:p>
        </w:tc>
      </w:tr>
    </w:tbl>
    <w:p w:rsidR="00EC09EE" w:rsidRPr="00F814BA" w:rsidRDefault="00EC09EE" w:rsidP="00EC09EE">
      <w:pPr>
        <w:rPr>
          <w:sz w:val="20"/>
          <w:szCs w:val="20"/>
          <w:lang w:val="fr-CA"/>
        </w:rPr>
      </w:pPr>
    </w:p>
    <w:p w:rsidR="00EC09EE" w:rsidRPr="001B157C" w:rsidRDefault="00EC09EE" w:rsidP="00EC09EE">
      <w:pPr>
        <w:rPr>
          <w:sz w:val="20"/>
          <w:szCs w:val="20"/>
          <w:u w:val="single"/>
        </w:rPr>
      </w:pPr>
      <w:r w:rsidRPr="001B157C">
        <w:rPr>
          <w:sz w:val="20"/>
          <w:szCs w:val="20"/>
          <w:u w:val="single"/>
        </w:rPr>
        <w:t>CASE SUMMARY</w:t>
      </w:r>
    </w:p>
    <w:p w:rsidR="00EC09EE" w:rsidRDefault="00EC09EE" w:rsidP="00EC09E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51D89" w:rsidRPr="00A1535A" w:rsidTr="004F1F5E">
        <w:tc>
          <w:tcPr>
            <w:tcW w:w="5000" w:type="pct"/>
            <w:gridSpan w:val="3"/>
          </w:tcPr>
          <w:p w:rsidR="00D51D89" w:rsidRPr="00A1535A" w:rsidRDefault="00D51D89" w:rsidP="004F1F5E">
            <w:pPr>
              <w:jc w:val="both"/>
              <w:rPr>
                <w:rFonts w:eastAsia="Calibri"/>
                <w:sz w:val="20"/>
              </w:rPr>
            </w:pPr>
            <w:r w:rsidRPr="00A1535A">
              <w:rPr>
                <w:rFonts w:eastAsia="Calibri"/>
                <w:sz w:val="20"/>
              </w:rPr>
              <w:t xml:space="preserve">Health law – Public health – Regulations </w:t>
            </w:r>
            <w:r w:rsidRPr="00A1535A">
              <w:rPr>
                <w:rFonts w:eastAsia="Calibri"/>
                <w:sz w:val="20"/>
              </w:rPr>
              <w:noBreakHyphen/>
              <w:t xml:space="preserve"> Can the Ontario government lawfully ban “private label” generic drugs by regulation, or must it obtain the approval of the Legislature to do so? </w:t>
            </w:r>
            <w:r w:rsidRPr="00A1535A">
              <w:rPr>
                <w:rFonts w:eastAsia="Calibri"/>
                <w:sz w:val="20"/>
              </w:rPr>
              <w:noBreakHyphen/>
              <w:t xml:space="preserve"> How should a court determine whether a regulation falls within the object and purpose of a parent statute? </w:t>
            </w:r>
            <w:r w:rsidRPr="00A1535A">
              <w:rPr>
                <w:rFonts w:eastAsia="Calibri"/>
                <w:sz w:val="20"/>
              </w:rPr>
              <w:noBreakHyphen/>
              <w:t xml:space="preserve"> How should a court distinguish between a regulatory prohibition and a mere condition? </w:t>
            </w:r>
            <w:r w:rsidRPr="00A1535A">
              <w:rPr>
                <w:rFonts w:eastAsia="Calibri"/>
                <w:sz w:val="20"/>
              </w:rPr>
              <w:noBreakHyphen/>
              <w:t xml:space="preserve"> How clear must legislation be to authorize an interference with property and commercial rights by regulation? </w:t>
            </w:r>
            <w:r w:rsidRPr="00A1535A">
              <w:rPr>
                <w:rFonts w:eastAsia="Calibri"/>
                <w:sz w:val="20"/>
              </w:rPr>
              <w:noBreakHyphen/>
              <w:t xml:space="preserve"> What is the test for administrative law discrimination and does this principle apply to regulations? </w:t>
            </w:r>
            <w:r w:rsidRPr="00A1535A">
              <w:rPr>
                <w:rFonts w:eastAsia="Calibri"/>
                <w:sz w:val="20"/>
              </w:rPr>
              <w:noBreakHyphen/>
              <w:t xml:space="preserve"> Is “deference” owed or “genuine restraint” required by a court in reviewing whether a regulation is </w:t>
            </w:r>
            <w:r w:rsidRPr="00A1535A">
              <w:rPr>
                <w:rFonts w:eastAsia="Calibri"/>
                <w:i/>
                <w:sz w:val="20"/>
              </w:rPr>
              <w:t>intra vires</w:t>
            </w:r>
            <w:r w:rsidRPr="00A1535A">
              <w:rPr>
                <w:rFonts w:eastAsia="Calibri"/>
                <w:sz w:val="20"/>
              </w:rPr>
              <w:t xml:space="preserve"> a parent statute?</w:t>
            </w:r>
          </w:p>
        </w:tc>
      </w:tr>
      <w:tr w:rsidR="00D51D89" w:rsidRPr="00A1535A" w:rsidTr="004F1F5E">
        <w:tc>
          <w:tcPr>
            <w:tcW w:w="5000" w:type="pct"/>
            <w:gridSpan w:val="3"/>
          </w:tcPr>
          <w:p w:rsidR="00D51D89" w:rsidRPr="00A1535A" w:rsidRDefault="00D51D89" w:rsidP="004F1F5E">
            <w:pPr>
              <w:jc w:val="both"/>
              <w:rPr>
                <w:rFonts w:eastAsia="Calibri"/>
                <w:sz w:val="20"/>
              </w:rPr>
            </w:pPr>
          </w:p>
        </w:tc>
      </w:tr>
      <w:tr w:rsidR="00D51D89" w:rsidRPr="00A1535A" w:rsidTr="004F1F5E">
        <w:tc>
          <w:tcPr>
            <w:tcW w:w="5000" w:type="pct"/>
            <w:gridSpan w:val="3"/>
          </w:tcPr>
          <w:p w:rsidR="00D51D89" w:rsidRPr="00A1535A" w:rsidRDefault="00D51D89" w:rsidP="004F1F5E">
            <w:pPr>
              <w:jc w:val="both"/>
              <w:rPr>
                <w:rFonts w:eastAsia="Calibri"/>
                <w:sz w:val="20"/>
              </w:rPr>
            </w:pPr>
            <w:r w:rsidRPr="00A1535A">
              <w:rPr>
                <w:rFonts w:eastAsia="Calibri"/>
                <w:color w:val="000000"/>
                <w:sz w:val="20"/>
              </w:rPr>
              <w:t xml:space="preserve">The Shoppers Drug Mart (“Shoppers”) and the Katz Group companies own, franchise and operate pharmacies across Ontario.  They applied for an order quashing Ontario regulations that effectively prohibited private label generic drugs from being sold in Ontario. </w:t>
            </w:r>
            <w:r w:rsidRPr="00A1535A">
              <w:rPr>
                <w:rFonts w:eastAsia="Calibri"/>
                <w:sz w:val="20"/>
              </w:rPr>
              <w:t xml:space="preserve">Sanis Health Inc. (“Sanis”) is a subsidiary of Shoppers and is a generic drug manufacturer that outsources the actual fabrication of the generic drugs that it sells primarily to Shoppers.  </w:t>
            </w:r>
          </w:p>
          <w:p w:rsidR="00D51D89" w:rsidRPr="00A1535A" w:rsidRDefault="00D51D89" w:rsidP="004F1F5E">
            <w:pPr>
              <w:jc w:val="both"/>
              <w:rPr>
                <w:rFonts w:eastAsia="Calibri"/>
                <w:sz w:val="20"/>
              </w:rPr>
            </w:pPr>
          </w:p>
          <w:p w:rsidR="00D51D89" w:rsidRPr="00A1535A" w:rsidRDefault="00D51D89" w:rsidP="004F1F5E">
            <w:pPr>
              <w:jc w:val="both"/>
              <w:rPr>
                <w:rFonts w:eastAsia="Calibri"/>
                <w:sz w:val="20"/>
              </w:rPr>
            </w:pPr>
            <w:r w:rsidRPr="00A1535A">
              <w:rPr>
                <w:rFonts w:eastAsia="Calibri"/>
                <w:sz w:val="20"/>
              </w:rPr>
              <w:t xml:space="preserve">The price of generic drugs is regulated by provincial legislation. The </w:t>
            </w:r>
            <w:r w:rsidRPr="00A1535A">
              <w:rPr>
                <w:rFonts w:eastAsia="Calibri"/>
                <w:i/>
                <w:sz w:val="20"/>
              </w:rPr>
              <w:t>Drug Interchangeability and Dispensing Fee Act</w:t>
            </w:r>
            <w:r w:rsidRPr="00A1535A">
              <w:rPr>
                <w:rFonts w:eastAsia="Calibri"/>
                <w:sz w:val="20"/>
              </w:rPr>
              <w:t>, R.S.O. 1990, c. P.23  (“</w:t>
            </w:r>
            <w:r w:rsidRPr="00A1535A">
              <w:rPr>
                <w:rFonts w:eastAsia="Calibri"/>
                <w:i/>
                <w:sz w:val="20"/>
              </w:rPr>
              <w:t>DIDFA</w:t>
            </w:r>
            <w:r w:rsidRPr="00A1535A">
              <w:rPr>
                <w:rFonts w:eastAsia="Calibri"/>
                <w:sz w:val="20"/>
              </w:rPr>
              <w:t xml:space="preserve">”) permits and requires pharmacists to dispense generic drugs that have been designated as interchangeable with a brand drug.  The </w:t>
            </w:r>
            <w:r w:rsidRPr="00A1535A">
              <w:rPr>
                <w:rFonts w:eastAsia="Calibri"/>
                <w:i/>
                <w:sz w:val="20"/>
              </w:rPr>
              <w:t>Ontario Drug Benefits Act</w:t>
            </w:r>
            <w:r w:rsidRPr="00A1535A">
              <w:rPr>
                <w:rFonts w:eastAsia="Calibri"/>
                <w:sz w:val="20"/>
              </w:rPr>
              <w:t>, R.S.O. 1990, c. O.10 (“</w:t>
            </w:r>
            <w:r w:rsidRPr="00A1535A">
              <w:rPr>
                <w:rFonts w:eastAsia="Calibri"/>
                <w:i/>
                <w:sz w:val="20"/>
              </w:rPr>
              <w:t>ODBA</w:t>
            </w:r>
            <w:r w:rsidRPr="00A1535A">
              <w:rPr>
                <w:rFonts w:eastAsia="Calibri"/>
                <w:sz w:val="20"/>
              </w:rPr>
              <w:t xml:space="preserve">”) sets out, </w:t>
            </w:r>
            <w:r w:rsidRPr="00A1535A">
              <w:rPr>
                <w:rFonts w:eastAsia="Calibri"/>
                <w:i/>
                <w:sz w:val="20"/>
              </w:rPr>
              <w:t>inter alia</w:t>
            </w:r>
            <w:r w:rsidRPr="00A1535A">
              <w:rPr>
                <w:rFonts w:eastAsia="Calibri"/>
                <w:sz w:val="20"/>
              </w:rPr>
              <w:t>, the rules governing the listing of drugs as benefits to eligible persons such as seniors and the amounts the province will pay to pharmacies for dispensing drugs.</w:t>
            </w:r>
            <w:r w:rsidRPr="00A1535A">
              <w:rPr>
                <w:rFonts w:eastAsia="Calibri"/>
                <w:color w:val="000000"/>
                <w:sz w:val="20"/>
              </w:rPr>
              <w:t xml:space="preserve"> </w:t>
            </w:r>
          </w:p>
          <w:p w:rsidR="00D51D89" w:rsidRPr="00A1535A" w:rsidRDefault="00D51D89" w:rsidP="004F1F5E">
            <w:pPr>
              <w:spacing w:before="182"/>
              <w:jc w:val="both"/>
              <w:rPr>
                <w:color w:val="000000"/>
                <w:sz w:val="20"/>
              </w:rPr>
            </w:pPr>
            <w:r w:rsidRPr="00A1535A">
              <w:rPr>
                <w:color w:val="000000"/>
                <w:sz w:val="20"/>
              </w:rPr>
              <w:t xml:space="preserve">Between 2006 and 2010, changes to regulation of prescription drug sales in Ontario had reduced the profits of pharmacies, first through the elimination of rebates that pharmacies received from generic pharmaceutical manufacturers, and later by the phasing out of “professional allowances” they received from the manufacturers. The goal of the legislative changes was to reduce drug costs to the consumer in Ontario. </w:t>
            </w:r>
          </w:p>
          <w:p w:rsidR="00D51D89" w:rsidRPr="00A1535A" w:rsidRDefault="00D51D89" w:rsidP="004F1F5E">
            <w:pPr>
              <w:spacing w:before="182"/>
              <w:jc w:val="both"/>
              <w:rPr>
                <w:color w:val="000000"/>
                <w:sz w:val="20"/>
              </w:rPr>
            </w:pPr>
            <w:r w:rsidRPr="00A1535A">
              <w:rPr>
                <w:color w:val="000000"/>
                <w:sz w:val="20"/>
              </w:rPr>
              <w:t>Private label generic drug companies are non</w:t>
            </w:r>
            <w:r w:rsidRPr="00A1535A">
              <w:rPr>
                <w:color w:val="000000"/>
                <w:sz w:val="20"/>
              </w:rPr>
              <w:noBreakHyphen/>
              <w:t>arms length from the pharmacies that sell their products.  Shoppers and the Katz Group sought to use their own private label generic drugs rather than purchasing those generic drugs from an arms</w:t>
            </w:r>
            <w:r w:rsidRPr="00A1535A">
              <w:rPr>
                <w:color w:val="000000"/>
                <w:sz w:val="20"/>
              </w:rPr>
              <w:noBreakHyphen/>
              <w:t>length third party. The 2010 amendments to the regulations effectively prohibited them from doing so.</w:t>
            </w:r>
          </w:p>
          <w:p w:rsidR="00D51D89" w:rsidRPr="00A1535A" w:rsidRDefault="00D51D89" w:rsidP="004F1F5E">
            <w:pPr>
              <w:jc w:val="both"/>
              <w:rPr>
                <w:rFonts w:eastAsia="Calibri"/>
                <w:sz w:val="20"/>
              </w:rPr>
            </w:pPr>
          </w:p>
        </w:tc>
      </w:tr>
      <w:tr w:rsidR="00D51D89" w:rsidRPr="00A1535A" w:rsidTr="004F1F5E">
        <w:tc>
          <w:tcPr>
            <w:tcW w:w="2427" w:type="pct"/>
          </w:tcPr>
          <w:p w:rsidR="00D51D89" w:rsidRPr="00A1535A" w:rsidRDefault="00D51D89" w:rsidP="004F1F5E">
            <w:pPr>
              <w:jc w:val="both"/>
              <w:rPr>
                <w:rFonts w:eastAsia="Calibri"/>
                <w:sz w:val="20"/>
              </w:rPr>
            </w:pPr>
            <w:r w:rsidRPr="00A1535A">
              <w:rPr>
                <w:rFonts w:eastAsia="Calibri"/>
                <w:sz w:val="20"/>
              </w:rPr>
              <w:t>February 3, 2011</w:t>
            </w:r>
          </w:p>
          <w:p w:rsidR="00D51D89" w:rsidRPr="00A1535A" w:rsidRDefault="00D51D89" w:rsidP="004F1F5E">
            <w:pPr>
              <w:jc w:val="both"/>
              <w:rPr>
                <w:rFonts w:eastAsia="Calibri"/>
                <w:sz w:val="20"/>
              </w:rPr>
            </w:pPr>
            <w:r w:rsidRPr="00A1535A">
              <w:rPr>
                <w:rFonts w:eastAsia="Calibri"/>
                <w:sz w:val="20"/>
              </w:rPr>
              <w:t>Ontario Superior Court of Justice</w:t>
            </w:r>
          </w:p>
          <w:p w:rsidR="00D51D89" w:rsidRPr="00A1535A" w:rsidRDefault="00D51D89" w:rsidP="004F1F5E">
            <w:pPr>
              <w:jc w:val="both"/>
              <w:rPr>
                <w:rFonts w:eastAsia="Calibri"/>
                <w:sz w:val="20"/>
              </w:rPr>
            </w:pPr>
            <w:r w:rsidRPr="00A1535A">
              <w:rPr>
                <w:rFonts w:eastAsia="Calibri"/>
                <w:sz w:val="20"/>
              </w:rPr>
              <w:t>(Divisional Court)</w:t>
            </w:r>
          </w:p>
          <w:p w:rsidR="00D51D89" w:rsidRPr="00A1535A" w:rsidRDefault="00D51D89" w:rsidP="004F1F5E">
            <w:pPr>
              <w:jc w:val="both"/>
              <w:rPr>
                <w:rFonts w:eastAsia="Calibri"/>
                <w:sz w:val="20"/>
              </w:rPr>
            </w:pPr>
            <w:r w:rsidRPr="00A1535A">
              <w:rPr>
                <w:rFonts w:eastAsia="Calibri"/>
                <w:sz w:val="20"/>
              </w:rPr>
              <w:t>(Whalen, Molloy and Swinton JJ.)</w:t>
            </w:r>
          </w:p>
          <w:p w:rsidR="00D51D89" w:rsidRPr="00A1535A" w:rsidRDefault="00D51D89" w:rsidP="004F1F5E">
            <w:pPr>
              <w:jc w:val="both"/>
              <w:rPr>
                <w:rFonts w:eastAsia="Calibri"/>
                <w:sz w:val="20"/>
              </w:rPr>
            </w:pPr>
            <w:r w:rsidRPr="00A1535A">
              <w:rPr>
                <w:rFonts w:eastAsia="Calibri"/>
                <w:sz w:val="20"/>
              </w:rPr>
              <w:t>2011 ONSC 615</w:t>
            </w:r>
          </w:p>
          <w:p w:rsidR="00D51D89" w:rsidRPr="00A1535A" w:rsidRDefault="00D51D89" w:rsidP="004F1F5E">
            <w:pPr>
              <w:jc w:val="both"/>
              <w:rPr>
                <w:rFonts w:eastAsia="Calibri"/>
                <w:sz w:val="20"/>
              </w:rPr>
            </w:pPr>
          </w:p>
        </w:tc>
        <w:tc>
          <w:tcPr>
            <w:tcW w:w="243" w:type="pct"/>
          </w:tcPr>
          <w:p w:rsidR="00D51D89" w:rsidRPr="00A1535A" w:rsidRDefault="00D51D89" w:rsidP="004F1F5E">
            <w:pPr>
              <w:jc w:val="both"/>
              <w:rPr>
                <w:rFonts w:eastAsia="Calibri"/>
                <w:sz w:val="20"/>
              </w:rPr>
            </w:pPr>
          </w:p>
        </w:tc>
        <w:tc>
          <w:tcPr>
            <w:tcW w:w="2330" w:type="pct"/>
          </w:tcPr>
          <w:p w:rsidR="00D51D89" w:rsidRPr="00A1535A" w:rsidRDefault="00D51D89" w:rsidP="004F1F5E">
            <w:pPr>
              <w:jc w:val="both"/>
              <w:rPr>
                <w:rFonts w:eastAsia="Calibri"/>
                <w:sz w:val="20"/>
              </w:rPr>
            </w:pPr>
            <w:r w:rsidRPr="00A1535A">
              <w:rPr>
                <w:rFonts w:eastAsia="Calibri"/>
                <w:i/>
                <w:sz w:val="20"/>
              </w:rPr>
              <w:t>Regulations</w:t>
            </w:r>
            <w:r w:rsidRPr="00A1535A">
              <w:rPr>
                <w:rFonts w:eastAsia="Calibri"/>
                <w:sz w:val="20"/>
              </w:rPr>
              <w:t xml:space="preserve"> effectively prohibiting pharmacies from marketing private label generic drugs held to be </w:t>
            </w:r>
            <w:r w:rsidRPr="00A1535A">
              <w:rPr>
                <w:rFonts w:eastAsia="Calibri"/>
                <w:i/>
                <w:sz w:val="20"/>
              </w:rPr>
              <w:t>ultra vires</w:t>
            </w:r>
            <w:r w:rsidRPr="00A1535A">
              <w:rPr>
                <w:rFonts w:eastAsia="Calibri"/>
                <w:sz w:val="20"/>
              </w:rPr>
              <w:t xml:space="preserve"> and of no force and effect</w:t>
            </w:r>
          </w:p>
          <w:p w:rsidR="00D51D89" w:rsidRPr="00A1535A" w:rsidRDefault="00D51D89" w:rsidP="004F1F5E">
            <w:pPr>
              <w:jc w:val="both"/>
              <w:rPr>
                <w:rFonts w:eastAsia="Calibri"/>
                <w:sz w:val="20"/>
              </w:rPr>
            </w:pPr>
          </w:p>
          <w:p w:rsidR="00D51D89" w:rsidRPr="00A1535A" w:rsidRDefault="00D51D89" w:rsidP="004F1F5E">
            <w:pPr>
              <w:jc w:val="both"/>
              <w:rPr>
                <w:rFonts w:eastAsia="Calibri"/>
                <w:sz w:val="20"/>
              </w:rPr>
            </w:pPr>
          </w:p>
        </w:tc>
      </w:tr>
      <w:tr w:rsidR="00D51D89" w:rsidRPr="00A1535A" w:rsidTr="00F814BA">
        <w:trPr>
          <w:cantSplit/>
        </w:trPr>
        <w:tc>
          <w:tcPr>
            <w:tcW w:w="2427" w:type="pct"/>
          </w:tcPr>
          <w:p w:rsidR="00D51D89" w:rsidRPr="00A1535A" w:rsidRDefault="00D51D89" w:rsidP="004F1F5E">
            <w:pPr>
              <w:jc w:val="both"/>
              <w:rPr>
                <w:rFonts w:eastAsia="Calibri"/>
                <w:sz w:val="20"/>
              </w:rPr>
            </w:pPr>
            <w:r w:rsidRPr="00A1535A">
              <w:rPr>
                <w:rFonts w:eastAsia="Calibri"/>
                <w:sz w:val="20"/>
              </w:rPr>
              <w:lastRenderedPageBreak/>
              <w:t>December 23, 2011</w:t>
            </w:r>
          </w:p>
          <w:p w:rsidR="00D51D89" w:rsidRPr="00A1535A" w:rsidRDefault="00D51D89" w:rsidP="004F1F5E">
            <w:pPr>
              <w:jc w:val="both"/>
              <w:rPr>
                <w:rFonts w:eastAsia="Calibri"/>
                <w:sz w:val="20"/>
              </w:rPr>
            </w:pPr>
            <w:r w:rsidRPr="00A1535A">
              <w:rPr>
                <w:rFonts w:eastAsia="Calibri"/>
                <w:sz w:val="20"/>
              </w:rPr>
              <w:t>Court of Appeal for Ontario</w:t>
            </w:r>
          </w:p>
          <w:p w:rsidR="00D51D89" w:rsidRPr="00A1535A" w:rsidRDefault="00D51D89" w:rsidP="004F1F5E">
            <w:pPr>
              <w:jc w:val="both"/>
              <w:rPr>
                <w:rFonts w:eastAsia="Calibri"/>
                <w:sz w:val="20"/>
              </w:rPr>
            </w:pPr>
            <w:r w:rsidRPr="00A1535A">
              <w:rPr>
                <w:rFonts w:eastAsia="Calibri"/>
                <w:sz w:val="20"/>
              </w:rPr>
              <w:t>(MacPherson, Epstein [dissenting] and Karakatsanis</w:t>
            </w:r>
          </w:p>
          <w:p w:rsidR="00D51D89" w:rsidRPr="00A1535A" w:rsidRDefault="00D51D89" w:rsidP="004F1F5E">
            <w:pPr>
              <w:jc w:val="both"/>
              <w:rPr>
                <w:rFonts w:eastAsia="Calibri"/>
                <w:sz w:val="20"/>
              </w:rPr>
            </w:pPr>
            <w:r w:rsidRPr="00A1535A">
              <w:rPr>
                <w:rFonts w:eastAsia="Calibri"/>
                <w:sz w:val="20"/>
              </w:rPr>
              <w:t>JJ.A.)</w:t>
            </w:r>
          </w:p>
          <w:p w:rsidR="00D51D89" w:rsidRPr="00A1535A" w:rsidRDefault="00D51D89" w:rsidP="004F1F5E">
            <w:pPr>
              <w:jc w:val="both"/>
              <w:rPr>
                <w:rFonts w:eastAsia="Calibri"/>
                <w:sz w:val="20"/>
              </w:rPr>
            </w:pPr>
            <w:r w:rsidRPr="00A1535A">
              <w:rPr>
                <w:rFonts w:eastAsia="Calibri"/>
                <w:sz w:val="20"/>
              </w:rPr>
              <w:t>2011 ONCA 830</w:t>
            </w:r>
          </w:p>
          <w:p w:rsidR="00D51D89" w:rsidRPr="00A1535A" w:rsidRDefault="00D51D89" w:rsidP="004F1F5E">
            <w:pPr>
              <w:jc w:val="both"/>
              <w:rPr>
                <w:rFonts w:eastAsia="Calibri"/>
                <w:sz w:val="20"/>
              </w:rPr>
            </w:pPr>
          </w:p>
        </w:tc>
        <w:tc>
          <w:tcPr>
            <w:tcW w:w="243" w:type="pct"/>
          </w:tcPr>
          <w:p w:rsidR="00D51D89" w:rsidRPr="00A1535A" w:rsidRDefault="00D51D89" w:rsidP="004F1F5E">
            <w:pPr>
              <w:jc w:val="both"/>
              <w:rPr>
                <w:rFonts w:eastAsia="Calibri"/>
                <w:sz w:val="20"/>
              </w:rPr>
            </w:pPr>
          </w:p>
        </w:tc>
        <w:tc>
          <w:tcPr>
            <w:tcW w:w="2330" w:type="pct"/>
          </w:tcPr>
          <w:p w:rsidR="00D51D89" w:rsidRPr="00A1535A" w:rsidRDefault="00D51D89" w:rsidP="004F1F5E">
            <w:pPr>
              <w:jc w:val="both"/>
              <w:rPr>
                <w:rFonts w:eastAsia="Calibri"/>
                <w:sz w:val="20"/>
              </w:rPr>
            </w:pPr>
          </w:p>
          <w:p w:rsidR="00D51D89" w:rsidRPr="00A1535A" w:rsidRDefault="00D51D89" w:rsidP="004F1F5E">
            <w:pPr>
              <w:jc w:val="both"/>
              <w:rPr>
                <w:rFonts w:eastAsia="Calibri"/>
                <w:i/>
                <w:sz w:val="20"/>
              </w:rPr>
            </w:pPr>
            <w:r w:rsidRPr="00A1535A">
              <w:rPr>
                <w:rFonts w:eastAsia="Calibri"/>
                <w:sz w:val="20"/>
              </w:rPr>
              <w:t xml:space="preserve">Appeal allowed, </w:t>
            </w:r>
            <w:r w:rsidRPr="00A1535A">
              <w:rPr>
                <w:rFonts w:eastAsia="Calibri"/>
                <w:i/>
                <w:sz w:val="20"/>
              </w:rPr>
              <w:t>Regulations</w:t>
            </w:r>
            <w:r w:rsidRPr="00A1535A">
              <w:rPr>
                <w:rFonts w:eastAsia="Calibri"/>
                <w:sz w:val="20"/>
              </w:rPr>
              <w:t xml:space="preserve"> held to be </w:t>
            </w:r>
            <w:r w:rsidRPr="00A1535A">
              <w:rPr>
                <w:rFonts w:eastAsia="Calibri"/>
                <w:i/>
                <w:sz w:val="20"/>
              </w:rPr>
              <w:t>intra vires</w:t>
            </w:r>
          </w:p>
          <w:p w:rsidR="00D51D89" w:rsidRPr="00A1535A" w:rsidRDefault="00D51D89" w:rsidP="004F1F5E">
            <w:pPr>
              <w:jc w:val="both"/>
              <w:rPr>
                <w:rFonts w:eastAsia="Calibri"/>
                <w:sz w:val="20"/>
              </w:rPr>
            </w:pPr>
          </w:p>
        </w:tc>
      </w:tr>
      <w:tr w:rsidR="00D51D89" w:rsidRPr="00A1535A" w:rsidTr="00F814BA">
        <w:trPr>
          <w:cantSplit/>
        </w:trPr>
        <w:tc>
          <w:tcPr>
            <w:tcW w:w="2427" w:type="pct"/>
          </w:tcPr>
          <w:p w:rsidR="00D51D89" w:rsidRPr="00A1535A" w:rsidRDefault="00D51D89" w:rsidP="004F1F5E">
            <w:pPr>
              <w:jc w:val="both"/>
              <w:rPr>
                <w:rFonts w:eastAsia="Calibri"/>
                <w:sz w:val="20"/>
              </w:rPr>
            </w:pPr>
            <w:r w:rsidRPr="00A1535A">
              <w:rPr>
                <w:rFonts w:eastAsia="Calibri"/>
                <w:sz w:val="20"/>
              </w:rPr>
              <w:t>February 6, 2012</w:t>
            </w:r>
          </w:p>
          <w:p w:rsidR="00D51D89" w:rsidRPr="00A1535A" w:rsidRDefault="00D51D89" w:rsidP="004F1F5E">
            <w:pPr>
              <w:jc w:val="both"/>
              <w:rPr>
                <w:rFonts w:eastAsia="Calibri"/>
                <w:sz w:val="20"/>
              </w:rPr>
            </w:pPr>
            <w:r w:rsidRPr="00A1535A">
              <w:rPr>
                <w:rFonts w:eastAsia="Calibri"/>
                <w:sz w:val="20"/>
              </w:rPr>
              <w:t>Supreme Court of Canada</w:t>
            </w:r>
          </w:p>
        </w:tc>
        <w:tc>
          <w:tcPr>
            <w:tcW w:w="243" w:type="pct"/>
          </w:tcPr>
          <w:p w:rsidR="00D51D89" w:rsidRPr="00A1535A" w:rsidRDefault="00D51D89" w:rsidP="004F1F5E">
            <w:pPr>
              <w:jc w:val="both"/>
              <w:rPr>
                <w:rFonts w:eastAsia="Calibri"/>
                <w:sz w:val="20"/>
              </w:rPr>
            </w:pPr>
          </w:p>
        </w:tc>
        <w:tc>
          <w:tcPr>
            <w:tcW w:w="2330" w:type="pct"/>
          </w:tcPr>
          <w:p w:rsidR="00D51D89" w:rsidRPr="00A1535A" w:rsidRDefault="00D51D89" w:rsidP="004F1F5E">
            <w:pPr>
              <w:jc w:val="both"/>
              <w:rPr>
                <w:rFonts w:eastAsia="Calibri"/>
                <w:sz w:val="20"/>
              </w:rPr>
            </w:pPr>
            <w:r w:rsidRPr="00A1535A">
              <w:rPr>
                <w:rFonts w:eastAsia="Calibri"/>
                <w:sz w:val="20"/>
              </w:rPr>
              <w:t>Application for leave to appeal filed</w:t>
            </w:r>
          </w:p>
          <w:p w:rsidR="00D51D89" w:rsidRPr="00A1535A" w:rsidRDefault="00D51D89" w:rsidP="004F1F5E">
            <w:pPr>
              <w:jc w:val="both"/>
              <w:rPr>
                <w:rFonts w:eastAsia="Calibri"/>
                <w:sz w:val="20"/>
              </w:rPr>
            </w:pPr>
          </w:p>
        </w:tc>
      </w:tr>
    </w:tbl>
    <w:p w:rsidR="00EC09EE" w:rsidRDefault="00EC09EE" w:rsidP="00EC09EE">
      <w:pPr>
        <w:rPr>
          <w:sz w:val="20"/>
          <w:szCs w:val="20"/>
        </w:rPr>
      </w:pPr>
    </w:p>
    <w:p w:rsidR="00EC09EE" w:rsidRPr="00C50A5C" w:rsidRDefault="007333FF" w:rsidP="00EC09EE">
      <w:pPr>
        <w:rPr>
          <w:sz w:val="20"/>
          <w:szCs w:val="20"/>
        </w:rPr>
      </w:pPr>
      <w:r w:rsidRPr="007333FF">
        <w:rPr>
          <w:sz w:val="20"/>
          <w:szCs w:val="20"/>
          <w:lang w:val="fr-CA"/>
        </w:rPr>
        <w:pict>
          <v:rect id="_x0000_i1084" style="width:2in;height:1pt" o:hrpct="0" o:hralign="center" o:hrstd="t" o:hrnoshade="t" o:hr="t" fillcolor="black [3213]" stroked="f"/>
        </w:pict>
      </w:r>
    </w:p>
    <w:p w:rsidR="00EC09EE" w:rsidRDefault="00EC09EE" w:rsidP="00EC09EE">
      <w:pPr>
        <w:rPr>
          <w:sz w:val="20"/>
          <w:szCs w:val="20"/>
        </w:rPr>
      </w:pPr>
    </w:p>
    <w:p w:rsidR="00EC09EE" w:rsidRPr="001B157C" w:rsidRDefault="00EC09EE" w:rsidP="00EC09EE">
      <w:pPr>
        <w:rPr>
          <w:sz w:val="20"/>
          <w:szCs w:val="20"/>
          <w:u w:val="single"/>
          <w:lang w:val="fr-CA"/>
        </w:rPr>
      </w:pPr>
      <w:r w:rsidRPr="001B157C">
        <w:rPr>
          <w:sz w:val="20"/>
          <w:szCs w:val="20"/>
          <w:u w:val="single"/>
          <w:lang w:val="fr-CA"/>
        </w:rPr>
        <w:t>RÉSUMÉ DE L’AFFAIRE</w:t>
      </w:r>
    </w:p>
    <w:p w:rsidR="00EC09EE" w:rsidRDefault="00EC09EE" w:rsidP="00EC09EE">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4F1F5E" w:rsidRPr="00B6145B" w:rsidTr="004F1F5E">
        <w:tc>
          <w:tcPr>
            <w:tcW w:w="5000" w:type="pct"/>
            <w:gridSpan w:val="3"/>
          </w:tcPr>
          <w:p w:rsidR="004F1F5E" w:rsidRPr="00A1535A" w:rsidRDefault="004F1F5E" w:rsidP="004F1F5E">
            <w:pPr>
              <w:jc w:val="both"/>
              <w:rPr>
                <w:rFonts w:eastAsia="Calibri"/>
                <w:sz w:val="20"/>
                <w:lang w:val="fr-CA"/>
              </w:rPr>
            </w:pPr>
            <w:r w:rsidRPr="00A1535A">
              <w:rPr>
                <w:rFonts w:eastAsia="Calibri"/>
                <w:sz w:val="20"/>
                <w:lang w:val="fr-CA"/>
              </w:rPr>
              <w:t>Droit de la santé – Santé publique – Règlements - Le gouvernement de l'Ontario peut-il légalement interdire par règlement les médicaments génériques « de marque privée » ou doit-il obtenir l'approbation de la législature pour ce faire? - Comment un tribunal doit-il trancher la question de savoir si un règlement respecte l'objet et la finalité de sa loi habilitante? - Comment un tribunal doit-il faire la distinction entre une interdiction réglementaire et une simple condition? - À quel point un texte législatif doit-il être clair pour autoriser par règlement une entrave au droit de propriété et aux droits commerciaux? - Quel est le critère relatif à la discrimination en droit administratif et ce principe s'applique-t-il aux règlements? - Un tribunal qui examine la validité d’un règlement au regard de sa loi habilitante a-t-il une obligation de « déférence » ou de « retenue véritable »?</w:t>
            </w:r>
          </w:p>
        </w:tc>
      </w:tr>
      <w:tr w:rsidR="004F1F5E" w:rsidRPr="00B6145B" w:rsidTr="004F1F5E">
        <w:tc>
          <w:tcPr>
            <w:tcW w:w="5000" w:type="pct"/>
            <w:gridSpan w:val="3"/>
          </w:tcPr>
          <w:p w:rsidR="004F1F5E" w:rsidRPr="00A1535A" w:rsidRDefault="004F1F5E" w:rsidP="004F1F5E">
            <w:pPr>
              <w:jc w:val="both"/>
              <w:rPr>
                <w:rFonts w:eastAsia="Calibri"/>
                <w:sz w:val="20"/>
                <w:lang w:val="fr-CA"/>
              </w:rPr>
            </w:pPr>
          </w:p>
        </w:tc>
      </w:tr>
      <w:tr w:rsidR="004F1F5E" w:rsidRPr="00B6145B" w:rsidTr="004F1F5E">
        <w:tc>
          <w:tcPr>
            <w:tcW w:w="5000" w:type="pct"/>
            <w:gridSpan w:val="3"/>
          </w:tcPr>
          <w:p w:rsidR="004F1F5E" w:rsidRPr="00A1535A" w:rsidRDefault="004F1F5E" w:rsidP="004F1F5E">
            <w:pPr>
              <w:jc w:val="both"/>
              <w:rPr>
                <w:rFonts w:eastAsia="Calibri"/>
                <w:sz w:val="20"/>
                <w:lang w:val="fr-CA"/>
              </w:rPr>
            </w:pPr>
            <w:r w:rsidRPr="00A1535A">
              <w:rPr>
                <w:rFonts w:eastAsia="Calibri"/>
                <w:color w:val="000000"/>
                <w:sz w:val="20"/>
                <w:lang w:val="fr-CA"/>
              </w:rPr>
              <w:t xml:space="preserve">Shoppers Drug Mart (« Shoppers ») et les compagnies du groupe Katz sont propriétaires, franchiseurs et exploitants de pharmacies à l'échelle de l'Ontario. Elles ont demandé une ordonnance annulant les règlements de l’Ontario qui interdisaient effectivement la vente de médicaments génériques de marque privée en Ontario. </w:t>
            </w:r>
            <w:r w:rsidRPr="00A1535A">
              <w:rPr>
                <w:rFonts w:eastAsia="Calibri"/>
                <w:sz w:val="20"/>
                <w:lang w:val="fr-CA"/>
              </w:rPr>
              <w:t xml:space="preserve">Sanis Health Inc. (« Sanis ») est une filiale de Shoppers et un fabricant de médicaments génériques qui externalise la fabrication des médicaments génériques qu'elle vend principalement à Shoppers.  </w:t>
            </w:r>
          </w:p>
          <w:p w:rsidR="004F1F5E" w:rsidRPr="00A1535A" w:rsidRDefault="004F1F5E" w:rsidP="004F1F5E">
            <w:pPr>
              <w:jc w:val="both"/>
              <w:rPr>
                <w:rFonts w:eastAsia="Calibri"/>
                <w:sz w:val="20"/>
                <w:lang w:val="fr-CA"/>
              </w:rPr>
            </w:pPr>
          </w:p>
          <w:p w:rsidR="004F1F5E" w:rsidRPr="00A1535A" w:rsidRDefault="004F1F5E" w:rsidP="004F1F5E">
            <w:pPr>
              <w:jc w:val="both"/>
              <w:rPr>
                <w:rFonts w:eastAsia="Calibri"/>
                <w:sz w:val="20"/>
                <w:lang w:val="fr-CA"/>
              </w:rPr>
            </w:pPr>
            <w:r w:rsidRPr="00A1535A">
              <w:rPr>
                <w:rFonts w:eastAsia="Calibri"/>
                <w:sz w:val="20"/>
                <w:lang w:val="fr-CA"/>
              </w:rPr>
              <w:t>Le prix des médicaments génériques est réglementé par la loi provinciale. La</w:t>
            </w:r>
            <w:r w:rsidRPr="00A1535A">
              <w:rPr>
                <w:rFonts w:eastAsia="Calibri"/>
                <w:i/>
                <w:sz w:val="20"/>
                <w:lang w:val="fr-CA"/>
              </w:rPr>
              <w:t xml:space="preserve"> Loi sur l'interchangeabilité des médicaments et les honoraires de préparation</w:t>
            </w:r>
            <w:r w:rsidRPr="00A1535A">
              <w:rPr>
                <w:rFonts w:eastAsia="Calibri"/>
                <w:sz w:val="20"/>
                <w:lang w:val="fr-CA"/>
              </w:rPr>
              <w:t>, L.R.O. 1990, ch. P.23  (la « </w:t>
            </w:r>
            <w:r w:rsidRPr="00A1535A">
              <w:rPr>
                <w:rFonts w:eastAsia="Calibri"/>
                <w:i/>
                <w:sz w:val="20"/>
                <w:lang w:val="fr-CA"/>
              </w:rPr>
              <w:t>LIMHP</w:t>
            </w:r>
            <w:r w:rsidRPr="00A1535A">
              <w:rPr>
                <w:rFonts w:eastAsia="Calibri"/>
                <w:sz w:val="20"/>
                <w:lang w:val="fr-CA"/>
              </w:rPr>
              <w:t> ») autorise et oblige les pharmacies à délivrer des médicaments génériques qui ont été désignés comme étant interchangeables avec un médicament breveté. La</w:t>
            </w:r>
            <w:r w:rsidRPr="00A1535A">
              <w:rPr>
                <w:rFonts w:eastAsia="Calibri"/>
                <w:i/>
                <w:sz w:val="20"/>
                <w:lang w:val="fr-CA"/>
              </w:rPr>
              <w:t xml:space="preserve"> Loi sur le régime de médicaments gratuits de l'Ontario</w:t>
            </w:r>
            <w:r w:rsidRPr="00A1535A">
              <w:rPr>
                <w:rFonts w:eastAsia="Calibri"/>
                <w:sz w:val="20"/>
                <w:lang w:val="fr-CA"/>
              </w:rPr>
              <w:t>, L.R.O. 1990, ch. O.10 (« </w:t>
            </w:r>
            <w:r w:rsidRPr="00A1535A">
              <w:rPr>
                <w:rFonts w:eastAsia="Calibri"/>
                <w:i/>
                <w:sz w:val="20"/>
                <w:lang w:val="fr-CA"/>
              </w:rPr>
              <w:t>LRMGO</w:t>
            </w:r>
            <w:r w:rsidRPr="00A1535A">
              <w:rPr>
                <w:rFonts w:eastAsia="Calibri"/>
                <w:sz w:val="20"/>
                <w:lang w:val="fr-CA"/>
              </w:rPr>
              <w:t> ») énonce notamment les règles qui régissent la liste des médicaments qui peuvent être délivrés aux personnes admissibles – par exemple les personnes âgées – et les montants que la province versera aux pharmacies qui délivrent les médicaments.</w:t>
            </w:r>
            <w:r w:rsidRPr="00A1535A">
              <w:rPr>
                <w:rFonts w:eastAsia="Calibri"/>
                <w:color w:val="000000"/>
                <w:sz w:val="20"/>
                <w:lang w:val="fr-CA"/>
              </w:rPr>
              <w:t xml:space="preserve"> </w:t>
            </w:r>
          </w:p>
          <w:p w:rsidR="004F1F5E" w:rsidRPr="00A1535A" w:rsidRDefault="004F1F5E" w:rsidP="004F1F5E">
            <w:pPr>
              <w:spacing w:before="182"/>
              <w:jc w:val="both"/>
              <w:rPr>
                <w:color w:val="000000"/>
                <w:sz w:val="20"/>
                <w:lang w:val="fr-CA"/>
              </w:rPr>
            </w:pPr>
            <w:r w:rsidRPr="00A1535A">
              <w:rPr>
                <w:color w:val="000000"/>
                <w:sz w:val="20"/>
                <w:lang w:val="fr-CA"/>
              </w:rPr>
              <w:t xml:space="preserve">Entre 2006 et 2010, des modifications apportées à la réglementation des ventes de médicaments sur ordonnance en Ontario avaient eu pour effet de réduire les profits des pharmacies, d'abord par l'élimination des ristournes que les pharmacies recevaient des fabricants de médicaments génériques, puis par l'élimination progressive des « remises aux professionnels » qu'elles recevaient des fabricants. Les modifications législatives avaient pour but de réduire le coût des médicaments pour les consommateurs en Ontario. </w:t>
            </w:r>
          </w:p>
          <w:p w:rsidR="004F1F5E" w:rsidRPr="00A1535A" w:rsidRDefault="004F1F5E" w:rsidP="004F1F5E">
            <w:pPr>
              <w:spacing w:before="182"/>
              <w:jc w:val="both"/>
              <w:rPr>
                <w:color w:val="000000"/>
                <w:sz w:val="20"/>
                <w:lang w:val="fr-CA"/>
              </w:rPr>
            </w:pPr>
            <w:r w:rsidRPr="00A1535A">
              <w:rPr>
                <w:color w:val="000000"/>
                <w:sz w:val="20"/>
                <w:lang w:val="fr-CA"/>
              </w:rPr>
              <w:t>Les compagnies de médicaments génériques de marque privée sont liées aux pharmacies qui vendent leurs produits. Shoppers et le groupe Katz ont tenté d'utiliser leurs propres médicaments génériques de marque privée plutôt que d'acheter ces médicaments génériques d'un tiers non lié. Les modifications apportées aux règlements en 2010 leur ont effectivement interdit de le faire.</w:t>
            </w:r>
          </w:p>
          <w:p w:rsidR="004F1F5E" w:rsidRPr="00A1535A" w:rsidRDefault="004F1F5E" w:rsidP="004F1F5E">
            <w:pPr>
              <w:jc w:val="both"/>
              <w:rPr>
                <w:rFonts w:eastAsia="Calibri"/>
                <w:sz w:val="20"/>
                <w:lang w:val="fr-CA"/>
              </w:rPr>
            </w:pPr>
          </w:p>
        </w:tc>
      </w:tr>
      <w:tr w:rsidR="004F1F5E" w:rsidRPr="00B6145B" w:rsidTr="004F1F5E">
        <w:tc>
          <w:tcPr>
            <w:tcW w:w="2427" w:type="pct"/>
          </w:tcPr>
          <w:p w:rsidR="004F1F5E" w:rsidRPr="00A1535A" w:rsidRDefault="004F1F5E" w:rsidP="004F1F5E">
            <w:pPr>
              <w:jc w:val="both"/>
              <w:rPr>
                <w:rFonts w:eastAsia="Calibri"/>
                <w:sz w:val="20"/>
                <w:lang w:val="fr-CA"/>
              </w:rPr>
            </w:pPr>
            <w:r w:rsidRPr="00A1535A">
              <w:rPr>
                <w:rFonts w:eastAsia="Calibri"/>
                <w:sz w:val="20"/>
                <w:lang w:val="fr-CA"/>
              </w:rPr>
              <w:t>3 février 2011</w:t>
            </w:r>
          </w:p>
          <w:p w:rsidR="004F1F5E" w:rsidRPr="00A1535A" w:rsidRDefault="004F1F5E" w:rsidP="004F1F5E">
            <w:pPr>
              <w:jc w:val="both"/>
              <w:rPr>
                <w:rFonts w:eastAsia="Calibri"/>
                <w:sz w:val="20"/>
                <w:lang w:val="fr-CA"/>
              </w:rPr>
            </w:pPr>
            <w:r w:rsidRPr="00A1535A">
              <w:rPr>
                <w:rFonts w:eastAsia="Calibri"/>
                <w:sz w:val="20"/>
                <w:lang w:val="fr-CA"/>
              </w:rPr>
              <w:t xml:space="preserve">Cour supérieure de justice de l'Ontario </w:t>
            </w:r>
          </w:p>
          <w:p w:rsidR="004F1F5E" w:rsidRPr="00A1535A" w:rsidRDefault="004F1F5E" w:rsidP="004F1F5E">
            <w:pPr>
              <w:jc w:val="both"/>
              <w:rPr>
                <w:rFonts w:eastAsia="Calibri"/>
                <w:sz w:val="20"/>
                <w:lang w:val="fr-CA"/>
              </w:rPr>
            </w:pPr>
            <w:r w:rsidRPr="00A1535A">
              <w:rPr>
                <w:rFonts w:eastAsia="Calibri"/>
                <w:sz w:val="20"/>
                <w:lang w:val="fr-CA"/>
              </w:rPr>
              <w:t>(Cour divisionnaire)</w:t>
            </w:r>
          </w:p>
          <w:p w:rsidR="004F1F5E" w:rsidRPr="00A1535A" w:rsidRDefault="004F1F5E" w:rsidP="004F1F5E">
            <w:pPr>
              <w:jc w:val="both"/>
              <w:rPr>
                <w:rFonts w:eastAsia="Calibri"/>
                <w:sz w:val="20"/>
                <w:lang w:val="fr-CA"/>
              </w:rPr>
            </w:pPr>
            <w:r w:rsidRPr="00A1535A">
              <w:rPr>
                <w:rFonts w:eastAsia="Calibri"/>
                <w:sz w:val="20"/>
                <w:lang w:val="fr-CA"/>
              </w:rPr>
              <w:t>(Juges Whalen, Molloy et Swinton)</w:t>
            </w:r>
          </w:p>
          <w:p w:rsidR="004F1F5E" w:rsidRPr="00A1535A" w:rsidRDefault="004F1F5E" w:rsidP="004F1F5E">
            <w:pPr>
              <w:jc w:val="both"/>
              <w:rPr>
                <w:rFonts w:eastAsia="Calibri"/>
                <w:sz w:val="20"/>
                <w:lang w:val="fr-CA"/>
              </w:rPr>
            </w:pPr>
            <w:r w:rsidRPr="00A1535A">
              <w:rPr>
                <w:rFonts w:eastAsia="Calibri"/>
                <w:sz w:val="20"/>
                <w:lang w:val="fr-CA"/>
              </w:rPr>
              <w:t>2011 ONSC 615</w:t>
            </w:r>
          </w:p>
          <w:p w:rsidR="004F1F5E" w:rsidRPr="00A1535A" w:rsidRDefault="004F1F5E" w:rsidP="004F1F5E">
            <w:pPr>
              <w:jc w:val="both"/>
              <w:rPr>
                <w:rFonts w:eastAsia="Calibri"/>
                <w:sz w:val="20"/>
                <w:lang w:val="fr-CA"/>
              </w:rPr>
            </w:pPr>
          </w:p>
        </w:tc>
        <w:tc>
          <w:tcPr>
            <w:tcW w:w="243" w:type="pct"/>
          </w:tcPr>
          <w:p w:rsidR="004F1F5E" w:rsidRPr="00A1535A" w:rsidRDefault="004F1F5E" w:rsidP="004F1F5E">
            <w:pPr>
              <w:jc w:val="both"/>
              <w:rPr>
                <w:rFonts w:eastAsia="Calibri"/>
                <w:sz w:val="20"/>
                <w:lang w:val="fr-CA"/>
              </w:rPr>
            </w:pPr>
          </w:p>
        </w:tc>
        <w:tc>
          <w:tcPr>
            <w:tcW w:w="2330" w:type="pct"/>
          </w:tcPr>
          <w:p w:rsidR="004F1F5E" w:rsidRPr="00A1535A" w:rsidRDefault="004F1F5E" w:rsidP="004F1F5E">
            <w:pPr>
              <w:jc w:val="both"/>
              <w:rPr>
                <w:rFonts w:eastAsia="Calibri"/>
                <w:sz w:val="20"/>
                <w:lang w:val="fr-CA"/>
              </w:rPr>
            </w:pPr>
            <w:r w:rsidRPr="00A1535A">
              <w:rPr>
                <w:rFonts w:eastAsia="Calibri"/>
                <w:sz w:val="20"/>
                <w:lang w:val="fr-CA"/>
              </w:rPr>
              <w:t>Les règlements qui interdisent effectivement aux pharmacies de commercialiser des médicaments génériques de marque privée sont jugés invalides et inopérants</w:t>
            </w:r>
          </w:p>
          <w:p w:rsidR="004F1F5E" w:rsidRPr="00A1535A" w:rsidRDefault="004F1F5E" w:rsidP="004F1F5E">
            <w:pPr>
              <w:jc w:val="both"/>
              <w:rPr>
                <w:rFonts w:eastAsia="Calibri"/>
                <w:sz w:val="20"/>
                <w:lang w:val="fr-CA"/>
              </w:rPr>
            </w:pPr>
          </w:p>
          <w:p w:rsidR="004F1F5E" w:rsidRPr="00A1535A" w:rsidRDefault="004F1F5E" w:rsidP="004F1F5E">
            <w:pPr>
              <w:jc w:val="both"/>
              <w:rPr>
                <w:rFonts w:eastAsia="Calibri"/>
                <w:sz w:val="20"/>
                <w:lang w:val="fr-CA"/>
              </w:rPr>
            </w:pPr>
          </w:p>
        </w:tc>
      </w:tr>
      <w:tr w:rsidR="004F1F5E" w:rsidRPr="00B6145B" w:rsidTr="004F1F5E">
        <w:tc>
          <w:tcPr>
            <w:tcW w:w="2427" w:type="pct"/>
          </w:tcPr>
          <w:p w:rsidR="004F1F5E" w:rsidRPr="00A1535A" w:rsidRDefault="004F1F5E" w:rsidP="004F1F5E">
            <w:pPr>
              <w:jc w:val="both"/>
              <w:rPr>
                <w:rFonts w:eastAsia="Calibri"/>
                <w:sz w:val="20"/>
                <w:lang w:val="fr-CA"/>
              </w:rPr>
            </w:pPr>
            <w:r w:rsidRPr="00A1535A">
              <w:rPr>
                <w:rFonts w:eastAsia="Calibri"/>
                <w:sz w:val="20"/>
                <w:lang w:val="fr-CA"/>
              </w:rPr>
              <w:lastRenderedPageBreak/>
              <w:t>23 décembre 2011</w:t>
            </w:r>
          </w:p>
          <w:p w:rsidR="004F1F5E" w:rsidRPr="00A1535A" w:rsidRDefault="004F1F5E" w:rsidP="004F1F5E">
            <w:pPr>
              <w:jc w:val="both"/>
              <w:rPr>
                <w:rFonts w:eastAsia="Calibri"/>
                <w:sz w:val="20"/>
                <w:lang w:val="fr-CA"/>
              </w:rPr>
            </w:pPr>
            <w:r w:rsidRPr="00A1535A">
              <w:rPr>
                <w:rFonts w:eastAsia="Calibri"/>
                <w:sz w:val="20"/>
                <w:lang w:val="fr-CA"/>
              </w:rPr>
              <w:t>Cour d'appel de l’Ontario</w:t>
            </w:r>
          </w:p>
          <w:p w:rsidR="004F1F5E" w:rsidRPr="00A1535A" w:rsidRDefault="004F1F5E" w:rsidP="004F1F5E">
            <w:pPr>
              <w:jc w:val="both"/>
              <w:rPr>
                <w:rFonts w:eastAsia="Calibri"/>
                <w:sz w:val="20"/>
                <w:lang w:val="fr-CA"/>
              </w:rPr>
            </w:pPr>
            <w:r w:rsidRPr="00A1535A">
              <w:rPr>
                <w:rFonts w:eastAsia="Calibri"/>
                <w:sz w:val="20"/>
                <w:lang w:val="fr-CA"/>
              </w:rPr>
              <w:t>(Juges MacPherson, Epstein [dissidente] et</w:t>
            </w:r>
          </w:p>
          <w:p w:rsidR="004F1F5E" w:rsidRPr="00A1535A" w:rsidRDefault="004F1F5E" w:rsidP="004F1F5E">
            <w:pPr>
              <w:jc w:val="both"/>
              <w:rPr>
                <w:rFonts w:eastAsia="Calibri"/>
                <w:sz w:val="20"/>
                <w:lang w:val="fr-CA"/>
              </w:rPr>
            </w:pPr>
            <w:r w:rsidRPr="00A1535A">
              <w:rPr>
                <w:rFonts w:eastAsia="Calibri"/>
                <w:sz w:val="20"/>
                <w:lang w:val="fr-CA"/>
              </w:rPr>
              <w:t>Karakatsanis)</w:t>
            </w:r>
          </w:p>
          <w:p w:rsidR="004F1F5E" w:rsidRPr="00A1535A" w:rsidRDefault="004F1F5E" w:rsidP="004F1F5E">
            <w:pPr>
              <w:jc w:val="both"/>
              <w:rPr>
                <w:rFonts w:eastAsia="Calibri"/>
                <w:sz w:val="20"/>
                <w:lang w:val="fr-CA"/>
              </w:rPr>
            </w:pPr>
            <w:r w:rsidRPr="00A1535A">
              <w:rPr>
                <w:rFonts w:eastAsia="Calibri"/>
                <w:sz w:val="20"/>
                <w:lang w:val="fr-CA"/>
              </w:rPr>
              <w:t>2011 ONCA 830</w:t>
            </w:r>
          </w:p>
          <w:p w:rsidR="004F1F5E" w:rsidRPr="00A1535A" w:rsidRDefault="004F1F5E" w:rsidP="004F1F5E">
            <w:pPr>
              <w:jc w:val="both"/>
              <w:rPr>
                <w:rFonts w:eastAsia="Calibri"/>
                <w:sz w:val="20"/>
                <w:lang w:val="fr-CA"/>
              </w:rPr>
            </w:pPr>
          </w:p>
        </w:tc>
        <w:tc>
          <w:tcPr>
            <w:tcW w:w="243" w:type="pct"/>
          </w:tcPr>
          <w:p w:rsidR="004F1F5E" w:rsidRPr="00A1535A" w:rsidRDefault="004F1F5E" w:rsidP="004F1F5E">
            <w:pPr>
              <w:jc w:val="both"/>
              <w:rPr>
                <w:rFonts w:eastAsia="Calibri"/>
                <w:sz w:val="20"/>
                <w:lang w:val="fr-CA"/>
              </w:rPr>
            </w:pPr>
          </w:p>
        </w:tc>
        <w:tc>
          <w:tcPr>
            <w:tcW w:w="2330" w:type="pct"/>
          </w:tcPr>
          <w:p w:rsidR="004F1F5E" w:rsidRPr="00A1535A" w:rsidRDefault="004F1F5E" w:rsidP="004F1F5E">
            <w:pPr>
              <w:jc w:val="both"/>
              <w:rPr>
                <w:rFonts w:eastAsia="Calibri"/>
                <w:sz w:val="20"/>
                <w:lang w:val="fr-CA"/>
              </w:rPr>
            </w:pPr>
            <w:r w:rsidRPr="00A1535A">
              <w:rPr>
                <w:rFonts w:eastAsia="Calibri"/>
                <w:sz w:val="20"/>
                <w:lang w:val="fr-CA"/>
              </w:rPr>
              <w:t>Appel accueilli; les règlements sont jugés valides</w:t>
            </w:r>
          </w:p>
          <w:p w:rsidR="004F1F5E" w:rsidRPr="00A1535A" w:rsidRDefault="004F1F5E" w:rsidP="004F1F5E">
            <w:pPr>
              <w:jc w:val="both"/>
              <w:rPr>
                <w:rFonts w:eastAsia="Calibri"/>
                <w:sz w:val="20"/>
                <w:lang w:val="fr-CA"/>
              </w:rPr>
            </w:pPr>
          </w:p>
        </w:tc>
      </w:tr>
      <w:tr w:rsidR="004F1F5E" w:rsidRPr="00A1535A" w:rsidTr="004F1F5E">
        <w:tc>
          <w:tcPr>
            <w:tcW w:w="2427" w:type="pct"/>
          </w:tcPr>
          <w:p w:rsidR="004F1F5E" w:rsidRPr="00A1535A" w:rsidRDefault="004F1F5E" w:rsidP="004F1F5E">
            <w:pPr>
              <w:jc w:val="both"/>
              <w:rPr>
                <w:rFonts w:eastAsia="Calibri"/>
                <w:sz w:val="20"/>
                <w:lang w:val="fr-CA"/>
              </w:rPr>
            </w:pPr>
            <w:r w:rsidRPr="00A1535A">
              <w:rPr>
                <w:rFonts w:eastAsia="Calibri"/>
                <w:sz w:val="20"/>
                <w:lang w:val="fr-CA"/>
              </w:rPr>
              <w:t>6 février, 2012</w:t>
            </w:r>
          </w:p>
          <w:p w:rsidR="004F1F5E" w:rsidRPr="00A1535A" w:rsidRDefault="004F1F5E" w:rsidP="004F1F5E">
            <w:pPr>
              <w:jc w:val="both"/>
              <w:rPr>
                <w:rFonts w:eastAsia="Calibri"/>
                <w:sz w:val="20"/>
                <w:lang w:val="fr-CA"/>
              </w:rPr>
            </w:pPr>
            <w:r w:rsidRPr="00A1535A">
              <w:rPr>
                <w:rFonts w:eastAsia="Calibri"/>
                <w:sz w:val="20"/>
                <w:lang w:val="fr-CA"/>
              </w:rPr>
              <w:t>Cour suprême du Canada</w:t>
            </w:r>
          </w:p>
        </w:tc>
        <w:tc>
          <w:tcPr>
            <w:tcW w:w="243" w:type="pct"/>
          </w:tcPr>
          <w:p w:rsidR="004F1F5E" w:rsidRPr="00A1535A" w:rsidRDefault="004F1F5E" w:rsidP="004F1F5E">
            <w:pPr>
              <w:jc w:val="both"/>
              <w:rPr>
                <w:rFonts w:eastAsia="Calibri"/>
                <w:sz w:val="20"/>
                <w:lang w:val="fr-CA"/>
              </w:rPr>
            </w:pPr>
          </w:p>
        </w:tc>
        <w:tc>
          <w:tcPr>
            <w:tcW w:w="2330" w:type="pct"/>
          </w:tcPr>
          <w:p w:rsidR="004F1F5E" w:rsidRPr="00A1535A" w:rsidRDefault="004F1F5E" w:rsidP="004F1F5E">
            <w:pPr>
              <w:jc w:val="both"/>
              <w:rPr>
                <w:rFonts w:eastAsia="Calibri"/>
                <w:sz w:val="20"/>
                <w:lang w:val="fr-CA"/>
              </w:rPr>
            </w:pPr>
            <w:r w:rsidRPr="00A1535A">
              <w:rPr>
                <w:rFonts w:eastAsia="Calibri"/>
                <w:sz w:val="20"/>
                <w:lang w:val="fr-CA"/>
              </w:rPr>
              <w:t>Demande d'autorisation d'appel, déposée</w:t>
            </w:r>
          </w:p>
          <w:p w:rsidR="004F1F5E" w:rsidRPr="00A1535A" w:rsidRDefault="004F1F5E" w:rsidP="004F1F5E">
            <w:pPr>
              <w:jc w:val="both"/>
              <w:rPr>
                <w:rFonts w:eastAsia="Calibri"/>
                <w:sz w:val="20"/>
                <w:lang w:val="fr-CA"/>
              </w:rPr>
            </w:pPr>
          </w:p>
        </w:tc>
      </w:tr>
    </w:tbl>
    <w:p w:rsidR="00EC09EE" w:rsidRPr="00D51D89" w:rsidRDefault="00EC09EE" w:rsidP="00EC09EE">
      <w:pPr>
        <w:rPr>
          <w:sz w:val="20"/>
          <w:szCs w:val="20"/>
          <w:lang w:val="fr-CA"/>
        </w:rPr>
      </w:pPr>
    </w:p>
    <w:p w:rsidR="00EC09EE" w:rsidRDefault="007333FF" w:rsidP="00EC09EE">
      <w:pPr>
        <w:rPr>
          <w:sz w:val="20"/>
          <w:szCs w:val="20"/>
        </w:rPr>
      </w:pPr>
      <w:r w:rsidRPr="007333FF">
        <w:rPr>
          <w:sz w:val="20"/>
          <w:szCs w:val="20"/>
          <w:lang w:val="fr-CA"/>
        </w:rPr>
        <w:pict>
          <v:rect id="_x0000_i1085" style="width:2in;height:1pt" o:hrpct="0" o:hralign="center" o:hrstd="t" o:hrnoshade="t" o:hr="t" fillcolor="black [3213]" stroked="f"/>
        </w:pict>
      </w:r>
    </w:p>
    <w:p w:rsidR="00EC09EE" w:rsidRDefault="00EC09EE" w:rsidP="00EC09E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B7EA6" w:rsidRPr="000F116A" w:rsidTr="00D40817">
        <w:trPr>
          <w:cantSplit/>
        </w:trPr>
        <w:tc>
          <w:tcPr>
            <w:tcW w:w="1458" w:type="dxa"/>
          </w:tcPr>
          <w:p w:rsidR="003B7EA6" w:rsidRPr="000F116A" w:rsidRDefault="003B7EA6" w:rsidP="00D40817">
            <w:pPr>
              <w:rPr>
                <w:sz w:val="20"/>
                <w:szCs w:val="20"/>
              </w:rPr>
            </w:pPr>
            <w:r w:rsidRPr="000F116A">
              <w:rPr>
                <w:rStyle w:val="SCCFileNumberChar"/>
                <w:sz w:val="20"/>
                <w:szCs w:val="20"/>
              </w:rPr>
              <w:t>34668</w:t>
            </w:r>
          </w:p>
          <w:p w:rsidR="003B7EA6" w:rsidRPr="000F116A" w:rsidRDefault="003B7EA6" w:rsidP="00D40817">
            <w:pPr>
              <w:rPr>
                <w:b/>
                <w:sz w:val="20"/>
                <w:szCs w:val="20"/>
                <w:lang w:val="fr-CA"/>
              </w:rPr>
            </w:pPr>
          </w:p>
        </w:tc>
        <w:tc>
          <w:tcPr>
            <w:tcW w:w="8118" w:type="dxa"/>
          </w:tcPr>
          <w:p w:rsidR="003B7EA6" w:rsidRPr="000F116A" w:rsidRDefault="003B7EA6" w:rsidP="00D40817">
            <w:pPr>
              <w:jc w:val="both"/>
              <w:rPr>
                <w:sz w:val="20"/>
                <w:szCs w:val="20"/>
              </w:rPr>
            </w:pPr>
            <w:r w:rsidRPr="000F116A">
              <w:rPr>
                <w:rStyle w:val="SCCLsocChar"/>
                <w:sz w:val="20"/>
                <w:szCs w:val="20"/>
                <w:lang w:val="en-CA"/>
              </w:rPr>
              <w:t>Canadian Wheat Board v. Albionex (O</w:t>
            </w:r>
            <w:r w:rsidR="00CB1295">
              <w:rPr>
                <w:rStyle w:val="SCCLsocChar"/>
                <w:sz w:val="20"/>
                <w:szCs w:val="20"/>
                <w:lang w:val="en-CA"/>
              </w:rPr>
              <w:t>verseas) Limited, Pagnan S.p.A. and</w:t>
            </w:r>
            <w:r w:rsidRPr="000F116A">
              <w:rPr>
                <w:rStyle w:val="SCCLsocChar"/>
                <w:sz w:val="20"/>
                <w:szCs w:val="20"/>
                <w:lang w:val="en-CA"/>
              </w:rPr>
              <w:t xml:space="preserve"> ConAgra Limited</w:t>
            </w:r>
            <w:r w:rsidRPr="000F116A">
              <w:rPr>
                <w:sz w:val="20"/>
                <w:szCs w:val="20"/>
              </w:rPr>
              <w:t xml:space="preserve"> (Man.) (Civil) (By Leave)</w:t>
            </w:r>
          </w:p>
          <w:p w:rsidR="003B7EA6" w:rsidRPr="000F116A" w:rsidRDefault="003B7EA6" w:rsidP="00D40817">
            <w:pPr>
              <w:rPr>
                <w:sz w:val="20"/>
                <w:szCs w:val="20"/>
              </w:rPr>
            </w:pPr>
          </w:p>
        </w:tc>
      </w:tr>
      <w:tr w:rsidR="003B7EA6" w:rsidRPr="000F116A" w:rsidTr="00D40817">
        <w:trPr>
          <w:cantSplit/>
        </w:trPr>
        <w:tc>
          <w:tcPr>
            <w:tcW w:w="1458" w:type="dxa"/>
          </w:tcPr>
          <w:p w:rsidR="003B7EA6" w:rsidRPr="000F116A" w:rsidRDefault="003B7EA6" w:rsidP="00D40817">
            <w:pPr>
              <w:rPr>
                <w:sz w:val="20"/>
                <w:szCs w:val="20"/>
              </w:rPr>
            </w:pPr>
            <w:r w:rsidRPr="000F116A">
              <w:rPr>
                <w:sz w:val="20"/>
                <w:szCs w:val="20"/>
              </w:rPr>
              <w:t>Coram :</w:t>
            </w:r>
          </w:p>
        </w:tc>
        <w:tc>
          <w:tcPr>
            <w:tcW w:w="8118" w:type="dxa"/>
          </w:tcPr>
          <w:p w:rsidR="003B7EA6" w:rsidRPr="000F116A" w:rsidRDefault="003B7EA6" w:rsidP="00D40817">
            <w:pPr>
              <w:rPr>
                <w:sz w:val="20"/>
                <w:szCs w:val="20"/>
              </w:rPr>
            </w:pPr>
            <w:r w:rsidRPr="000F116A">
              <w:rPr>
                <w:rStyle w:val="SCCCoramChar"/>
                <w:sz w:val="20"/>
                <w:szCs w:val="20"/>
                <w:lang w:val="en-CA"/>
              </w:rPr>
              <w:t>Deschamps, Fish and Karakatsanis JJ.</w:t>
            </w:r>
          </w:p>
          <w:p w:rsidR="003B7EA6" w:rsidRPr="000F116A" w:rsidRDefault="003B7EA6" w:rsidP="00D40817">
            <w:pPr>
              <w:rPr>
                <w:sz w:val="20"/>
                <w:szCs w:val="20"/>
                <w:u w:val="single"/>
              </w:rPr>
            </w:pPr>
          </w:p>
        </w:tc>
      </w:tr>
      <w:tr w:rsidR="003B7EA6" w:rsidRPr="00B6145B" w:rsidTr="00D40817">
        <w:trPr>
          <w:cantSplit/>
        </w:trPr>
        <w:tc>
          <w:tcPr>
            <w:tcW w:w="9576" w:type="dxa"/>
            <w:gridSpan w:val="2"/>
          </w:tcPr>
          <w:p w:rsidR="003B7EA6" w:rsidRPr="000F116A" w:rsidRDefault="003B7EA6" w:rsidP="00D40817">
            <w:pPr>
              <w:pStyle w:val="SCCShortJudgment"/>
              <w:rPr>
                <w:szCs w:val="20"/>
              </w:rPr>
            </w:pPr>
            <w:r w:rsidRPr="000F116A">
              <w:rPr>
                <w:szCs w:val="20"/>
              </w:rPr>
              <w:t>The motion for an extension of time to serve and file the application for leave to appeal and the motion for an extension of time to serve and file the response of ConAgra Limited are granted. The application for leave to appeal from the judgment of the Court of Appeal of Manitoba, Numbers AI10-30-07365 and AI10-30-07368, 2011 MBCA 95, dated December 14, 2011, is dismissed with costs.</w:t>
            </w:r>
          </w:p>
          <w:p w:rsidR="003B7EA6" w:rsidRPr="000F116A" w:rsidRDefault="003B7EA6" w:rsidP="00D40817">
            <w:pPr>
              <w:pStyle w:val="SCCShortJudgment"/>
              <w:ind w:firstLine="0"/>
              <w:rPr>
                <w:szCs w:val="20"/>
              </w:rPr>
            </w:pPr>
          </w:p>
          <w:p w:rsidR="003B7EA6" w:rsidRPr="000F116A" w:rsidRDefault="003B7EA6" w:rsidP="00D40817">
            <w:pPr>
              <w:pStyle w:val="SCCShortJudgment"/>
              <w:rPr>
                <w:szCs w:val="20"/>
                <w:lang w:val="fr-CA"/>
              </w:rPr>
            </w:pPr>
            <w:r w:rsidRPr="000F116A">
              <w:rPr>
                <w:szCs w:val="20"/>
                <w:lang w:val="fr-CA"/>
              </w:rPr>
              <w:t>La requête en prorogation du délai de signification et de dépôt de la demande d’autorisation d’appel et la requête en prorogation du délai de signification et de dépôt de la réponse de ConAgra Limited sont accueillies. La demande d’autorisation d’appel de l’arrêt de la Cour d’appel du Manitoba, numéros AI10-30-07365 et AI10-30-07368, 2011 MBCA 95, daté du 14 décembre 2011, est rejetée avec dépens.</w:t>
            </w:r>
          </w:p>
        </w:tc>
      </w:tr>
    </w:tbl>
    <w:p w:rsidR="00EC09EE" w:rsidRPr="00F40E20" w:rsidRDefault="00EC09EE" w:rsidP="00EC09EE">
      <w:pPr>
        <w:rPr>
          <w:sz w:val="20"/>
          <w:szCs w:val="20"/>
          <w:lang w:val="fr-CA"/>
        </w:rPr>
      </w:pPr>
    </w:p>
    <w:p w:rsidR="00EC09EE" w:rsidRPr="001B157C" w:rsidRDefault="00EC09EE" w:rsidP="00EC09EE">
      <w:pPr>
        <w:rPr>
          <w:sz w:val="20"/>
          <w:szCs w:val="20"/>
          <w:u w:val="single"/>
        </w:rPr>
      </w:pPr>
      <w:r w:rsidRPr="001B157C">
        <w:rPr>
          <w:sz w:val="20"/>
          <w:szCs w:val="20"/>
          <w:u w:val="single"/>
        </w:rPr>
        <w:t>CASE SUMMARY</w:t>
      </w:r>
    </w:p>
    <w:p w:rsidR="00EC09EE" w:rsidRDefault="00EC09EE" w:rsidP="00EC09E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B6907" w:rsidRPr="00A1535A" w:rsidTr="005552A8">
        <w:tc>
          <w:tcPr>
            <w:tcW w:w="5000" w:type="pct"/>
            <w:gridSpan w:val="3"/>
          </w:tcPr>
          <w:p w:rsidR="001B6907" w:rsidRPr="00A1535A" w:rsidRDefault="001B6907" w:rsidP="005552A8">
            <w:pPr>
              <w:jc w:val="both"/>
              <w:rPr>
                <w:rFonts w:eastAsia="Calibri"/>
                <w:sz w:val="20"/>
              </w:rPr>
            </w:pPr>
            <w:r w:rsidRPr="00A1535A">
              <w:rPr>
                <w:rFonts w:eastAsia="Calibri"/>
                <w:sz w:val="20"/>
              </w:rPr>
              <w:t>Torts – Negligent misrepresentation – Whether the Court of Appeal erred in confirming that the applicant was liable to the respondents for the tort of negligent misrepresentation.</w:t>
            </w:r>
          </w:p>
        </w:tc>
      </w:tr>
      <w:tr w:rsidR="001B6907" w:rsidRPr="00A1535A" w:rsidTr="005552A8">
        <w:tc>
          <w:tcPr>
            <w:tcW w:w="5000" w:type="pct"/>
            <w:gridSpan w:val="3"/>
          </w:tcPr>
          <w:p w:rsidR="001B6907" w:rsidRPr="00A1535A" w:rsidRDefault="001B6907" w:rsidP="005552A8">
            <w:pPr>
              <w:jc w:val="both"/>
              <w:rPr>
                <w:rFonts w:eastAsia="Calibri"/>
                <w:sz w:val="20"/>
              </w:rPr>
            </w:pPr>
          </w:p>
        </w:tc>
      </w:tr>
      <w:tr w:rsidR="001B6907" w:rsidRPr="00A1535A" w:rsidTr="005552A8">
        <w:tc>
          <w:tcPr>
            <w:tcW w:w="5000" w:type="pct"/>
            <w:gridSpan w:val="3"/>
          </w:tcPr>
          <w:p w:rsidR="001B6907" w:rsidRPr="00A1535A" w:rsidRDefault="001B6907" w:rsidP="005552A8">
            <w:pPr>
              <w:jc w:val="both"/>
              <w:rPr>
                <w:rFonts w:eastAsia="Calibri"/>
                <w:sz w:val="20"/>
              </w:rPr>
            </w:pPr>
            <w:r w:rsidRPr="00A1535A">
              <w:rPr>
                <w:rFonts w:eastAsia="Calibri"/>
                <w:sz w:val="20"/>
              </w:rPr>
              <w:t>In 1982, frost damaged Canada’s Western Red Spring wheat and significantly degraded the crop. The applicant Canadian Wheat Board (“CWB”) and the Canadian Grain Commission (“CGC”) decided to market the wheat, finding that despite its visual degradation, it possessed “fair” milling quality and would be “quite suitable for milling purposes”. The respondent Pagnan S.p.A (“Pagnan”), an Italian corporation, purchased a large quantity of the wheat from the respondent ConAgra (“Agro”), an accredited CWB exporter, and sold it to the respondent Albionex (Overseas) Ltd. (“Albionex”) (although, later Pagnan repurchased the cargo). When the cargo of wheat was delivered, it was found to be inferior and not of fair milling quality. Pagnan and Albionex commenced an action against Agro for breach of contract and against the CWB for the tort of negligent misrepresentation, based on the representations it made with respect to the characteristics and quality of the wheat. Agro cross-claimed against the CWB alleging that it had also relied on those representations. The trial began in 2007, and in 2009, Agro and the CWB were held liable. Agro and the CWB appealed that decision. The Court of Appeal dismissed the appeal.</w:t>
            </w:r>
          </w:p>
          <w:p w:rsidR="001B6907" w:rsidRPr="00A1535A" w:rsidRDefault="001B6907" w:rsidP="005552A8">
            <w:pPr>
              <w:jc w:val="both"/>
              <w:rPr>
                <w:rFonts w:eastAsia="Calibri"/>
                <w:sz w:val="20"/>
              </w:rPr>
            </w:pPr>
          </w:p>
        </w:tc>
      </w:tr>
      <w:tr w:rsidR="001B6907" w:rsidRPr="00A1535A" w:rsidTr="005552A8">
        <w:tc>
          <w:tcPr>
            <w:tcW w:w="2427" w:type="pct"/>
          </w:tcPr>
          <w:p w:rsidR="001B6907" w:rsidRPr="00A1535A" w:rsidRDefault="001B6907" w:rsidP="005552A8">
            <w:pPr>
              <w:jc w:val="both"/>
              <w:rPr>
                <w:rFonts w:eastAsia="Calibri"/>
                <w:sz w:val="20"/>
              </w:rPr>
            </w:pPr>
            <w:r w:rsidRPr="00A1535A">
              <w:rPr>
                <w:rFonts w:eastAsia="Calibri"/>
                <w:sz w:val="20"/>
              </w:rPr>
              <w:t>July 17, 2009</w:t>
            </w:r>
          </w:p>
          <w:p w:rsidR="001B6907" w:rsidRPr="00A1535A" w:rsidRDefault="001B6907" w:rsidP="005552A8">
            <w:pPr>
              <w:jc w:val="both"/>
              <w:rPr>
                <w:rFonts w:eastAsia="Calibri"/>
                <w:sz w:val="20"/>
              </w:rPr>
            </w:pPr>
            <w:r w:rsidRPr="00A1535A">
              <w:rPr>
                <w:rFonts w:eastAsia="Calibri"/>
                <w:sz w:val="20"/>
              </w:rPr>
              <w:t>Court of Queen’s Bench of Manitoba</w:t>
            </w:r>
          </w:p>
          <w:p w:rsidR="001B6907" w:rsidRPr="00A1535A" w:rsidRDefault="001B6907" w:rsidP="005552A8">
            <w:pPr>
              <w:jc w:val="both"/>
              <w:rPr>
                <w:rFonts w:eastAsia="Calibri"/>
                <w:sz w:val="20"/>
              </w:rPr>
            </w:pPr>
            <w:r w:rsidRPr="00A1535A">
              <w:rPr>
                <w:rFonts w:eastAsia="Calibri"/>
                <w:sz w:val="20"/>
              </w:rPr>
              <w:t>(Duval J.)</w:t>
            </w:r>
          </w:p>
          <w:p w:rsidR="001B6907" w:rsidRPr="00A1535A" w:rsidRDefault="001B6907" w:rsidP="005552A8">
            <w:pPr>
              <w:jc w:val="both"/>
              <w:rPr>
                <w:rFonts w:eastAsia="Calibri"/>
                <w:sz w:val="20"/>
              </w:rPr>
            </w:pPr>
            <w:r w:rsidRPr="00A1535A">
              <w:rPr>
                <w:rFonts w:eastAsia="Calibri"/>
                <w:sz w:val="20"/>
              </w:rPr>
              <w:t>2009 MBQB 200</w:t>
            </w:r>
          </w:p>
          <w:p w:rsidR="001B6907" w:rsidRPr="00A1535A" w:rsidRDefault="001B6907" w:rsidP="005552A8">
            <w:pPr>
              <w:jc w:val="both"/>
              <w:rPr>
                <w:rFonts w:eastAsia="Calibri"/>
                <w:sz w:val="20"/>
              </w:rPr>
            </w:pPr>
          </w:p>
        </w:tc>
        <w:tc>
          <w:tcPr>
            <w:tcW w:w="243" w:type="pct"/>
          </w:tcPr>
          <w:p w:rsidR="001B6907" w:rsidRPr="00A1535A" w:rsidRDefault="001B6907" w:rsidP="005552A8">
            <w:pPr>
              <w:jc w:val="both"/>
              <w:rPr>
                <w:rFonts w:eastAsia="Calibri"/>
                <w:sz w:val="20"/>
              </w:rPr>
            </w:pPr>
          </w:p>
        </w:tc>
        <w:tc>
          <w:tcPr>
            <w:tcW w:w="2330" w:type="pct"/>
          </w:tcPr>
          <w:p w:rsidR="001B6907" w:rsidRPr="00A1535A" w:rsidRDefault="001B6907" w:rsidP="005552A8">
            <w:pPr>
              <w:jc w:val="both"/>
              <w:rPr>
                <w:rFonts w:eastAsia="Calibri"/>
                <w:sz w:val="20"/>
              </w:rPr>
            </w:pPr>
            <w:r w:rsidRPr="00A1535A">
              <w:rPr>
                <w:rFonts w:eastAsia="Calibri"/>
                <w:sz w:val="20"/>
              </w:rPr>
              <w:t>Applicant held liable for negligent misrepresentation</w:t>
            </w:r>
          </w:p>
          <w:p w:rsidR="001B6907" w:rsidRPr="00A1535A" w:rsidRDefault="001B6907" w:rsidP="005552A8">
            <w:pPr>
              <w:jc w:val="both"/>
              <w:rPr>
                <w:rFonts w:eastAsia="Calibri"/>
                <w:sz w:val="20"/>
              </w:rPr>
            </w:pPr>
          </w:p>
        </w:tc>
      </w:tr>
      <w:tr w:rsidR="001B6907" w:rsidRPr="00A1535A" w:rsidTr="005552A8">
        <w:tc>
          <w:tcPr>
            <w:tcW w:w="2427" w:type="pct"/>
          </w:tcPr>
          <w:p w:rsidR="001B6907" w:rsidRPr="00A1535A" w:rsidRDefault="001B6907" w:rsidP="005552A8">
            <w:pPr>
              <w:jc w:val="both"/>
              <w:rPr>
                <w:rFonts w:eastAsia="Calibri"/>
                <w:sz w:val="20"/>
              </w:rPr>
            </w:pPr>
            <w:r w:rsidRPr="00A1535A">
              <w:rPr>
                <w:rFonts w:eastAsia="Calibri"/>
                <w:sz w:val="20"/>
              </w:rPr>
              <w:lastRenderedPageBreak/>
              <w:t>December 14, 2011</w:t>
            </w:r>
          </w:p>
          <w:p w:rsidR="001B6907" w:rsidRPr="00A1535A" w:rsidRDefault="001B6907" w:rsidP="005552A8">
            <w:pPr>
              <w:jc w:val="both"/>
              <w:rPr>
                <w:rFonts w:eastAsia="Calibri"/>
                <w:sz w:val="20"/>
              </w:rPr>
            </w:pPr>
            <w:r w:rsidRPr="00A1535A">
              <w:rPr>
                <w:rFonts w:eastAsia="Calibri"/>
                <w:sz w:val="20"/>
              </w:rPr>
              <w:t>Court of Appeal of Manitoba</w:t>
            </w:r>
          </w:p>
          <w:p w:rsidR="001B6907" w:rsidRPr="00A1535A" w:rsidRDefault="001B6907" w:rsidP="005552A8">
            <w:pPr>
              <w:jc w:val="both"/>
              <w:rPr>
                <w:rFonts w:eastAsia="Calibri"/>
                <w:sz w:val="20"/>
              </w:rPr>
            </w:pPr>
            <w:r w:rsidRPr="00A1535A">
              <w:rPr>
                <w:rFonts w:eastAsia="Calibri"/>
                <w:sz w:val="20"/>
              </w:rPr>
              <w:t>(Scott C.J. and Hamilton and Chartier JJ.A.)</w:t>
            </w:r>
          </w:p>
          <w:p w:rsidR="001B6907" w:rsidRPr="00A1535A" w:rsidRDefault="001B6907" w:rsidP="005552A8">
            <w:pPr>
              <w:jc w:val="both"/>
              <w:rPr>
                <w:rFonts w:eastAsia="Calibri"/>
                <w:sz w:val="20"/>
              </w:rPr>
            </w:pPr>
            <w:r w:rsidRPr="00A1535A">
              <w:rPr>
                <w:rFonts w:eastAsia="Calibri"/>
                <w:sz w:val="20"/>
              </w:rPr>
              <w:t>2011 MBCA 95</w:t>
            </w:r>
          </w:p>
          <w:p w:rsidR="001B6907" w:rsidRPr="00A1535A" w:rsidRDefault="001B6907" w:rsidP="005552A8">
            <w:pPr>
              <w:jc w:val="both"/>
              <w:rPr>
                <w:rFonts w:eastAsia="Calibri"/>
                <w:sz w:val="20"/>
              </w:rPr>
            </w:pPr>
          </w:p>
        </w:tc>
        <w:tc>
          <w:tcPr>
            <w:tcW w:w="243" w:type="pct"/>
          </w:tcPr>
          <w:p w:rsidR="001B6907" w:rsidRPr="00A1535A" w:rsidRDefault="001B6907" w:rsidP="005552A8">
            <w:pPr>
              <w:jc w:val="both"/>
              <w:rPr>
                <w:rFonts w:eastAsia="Calibri"/>
                <w:sz w:val="20"/>
              </w:rPr>
            </w:pPr>
          </w:p>
        </w:tc>
        <w:tc>
          <w:tcPr>
            <w:tcW w:w="2330" w:type="pct"/>
          </w:tcPr>
          <w:p w:rsidR="001B6907" w:rsidRPr="00A1535A" w:rsidRDefault="001B6907" w:rsidP="005552A8">
            <w:pPr>
              <w:jc w:val="both"/>
              <w:rPr>
                <w:rFonts w:eastAsia="Calibri"/>
                <w:sz w:val="20"/>
              </w:rPr>
            </w:pPr>
            <w:r w:rsidRPr="00A1535A">
              <w:rPr>
                <w:rFonts w:eastAsia="Calibri"/>
                <w:sz w:val="20"/>
              </w:rPr>
              <w:t>Appeal dismissed</w:t>
            </w:r>
          </w:p>
          <w:p w:rsidR="001B6907" w:rsidRPr="00A1535A" w:rsidRDefault="001B6907" w:rsidP="005552A8">
            <w:pPr>
              <w:jc w:val="both"/>
              <w:rPr>
                <w:rFonts w:eastAsia="Calibri"/>
                <w:sz w:val="20"/>
              </w:rPr>
            </w:pPr>
          </w:p>
        </w:tc>
      </w:tr>
      <w:tr w:rsidR="001B6907" w:rsidRPr="00A1535A" w:rsidTr="005552A8">
        <w:tc>
          <w:tcPr>
            <w:tcW w:w="2427" w:type="pct"/>
          </w:tcPr>
          <w:p w:rsidR="001B6907" w:rsidRPr="00A1535A" w:rsidRDefault="001B6907" w:rsidP="005552A8">
            <w:pPr>
              <w:jc w:val="both"/>
              <w:rPr>
                <w:rFonts w:eastAsia="Calibri"/>
                <w:sz w:val="20"/>
              </w:rPr>
            </w:pPr>
            <w:r w:rsidRPr="00A1535A">
              <w:rPr>
                <w:rFonts w:eastAsia="Calibri"/>
                <w:sz w:val="20"/>
              </w:rPr>
              <w:t>April 27, 2012</w:t>
            </w:r>
          </w:p>
          <w:p w:rsidR="001B6907" w:rsidRPr="00A1535A" w:rsidRDefault="001B6907" w:rsidP="005552A8">
            <w:pPr>
              <w:jc w:val="both"/>
              <w:rPr>
                <w:rFonts w:eastAsia="Calibri"/>
                <w:sz w:val="20"/>
              </w:rPr>
            </w:pPr>
            <w:r w:rsidRPr="00A1535A">
              <w:rPr>
                <w:rFonts w:eastAsia="Calibri"/>
                <w:sz w:val="20"/>
              </w:rPr>
              <w:t>Supreme Court of Canada</w:t>
            </w:r>
          </w:p>
        </w:tc>
        <w:tc>
          <w:tcPr>
            <w:tcW w:w="243" w:type="pct"/>
          </w:tcPr>
          <w:p w:rsidR="001B6907" w:rsidRPr="00A1535A" w:rsidRDefault="001B6907" w:rsidP="005552A8">
            <w:pPr>
              <w:jc w:val="both"/>
              <w:rPr>
                <w:rFonts w:eastAsia="Calibri"/>
                <w:sz w:val="20"/>
              </w:rPr>
            </w:pPr>
          </w:p>
        </w:tc>
        <w:tc>
          <w:tcPr>
            <w:tcW w:w="2330" w:type="pct"/>
          </w:tcPr>
          <w:p w:rsidR="001B6907" w:rsidRPr="00A1535A" w:rsidRDefault="001B6907" w:rsidP="005552A8">
            <w:pPr>
              <w:jc w:val="both"/>
              <w:rPr>
                <w:rFonts w:eastAsia="Calibri"/>
                <w:sz w:val="20"/>
              </w:rPr>
            </w:pPr>
            <w:r w:rsidRPr="00A1535A">
              <w:rPr>
                <w:rFonts w:eastAsia="Calibri"/>
                <w:sz w:val="20"/>
              </w:rPr>
              <w:t>Motion for extension of time and application for leave to appeal filed</w:t>
            </w:r>
          </w:p>
        </w:tc>
      </w:tr>
    </w:tbl>
    <w:p w:rsidR="00EC09EE" w:rsidRDefault="00EC09EE" w:rsidP="00EC09EE">
      <w:pPr>
        <w:rPr>
          <w:sz w:val="20"/>
          <w:szCs w:val="20"/>
        </w:rPr>
      </w:pPr>
    </w:p>
    <w:p w:rsidR="00EC09EE" w:rsidRPr="00C50A5C" w:rsidRDefault="007333FF" w:rsidP="00EC09EE">
      <w:pPr>
        <w:rPr>
          <w:sz w:val="20"/>
          <w:szCs w:val="20"/>
        </w:rPr>
      </w:pPr>
      <w:r w:rsidRPr="007333FF">
        <w:rPr>
          <w:sz w:val="20"/>
          <w:szCs w:val="20"/>
          <w:lang w:val="fr-CA"/>
        </w:rPr>
        <w:pict>
          <v:rect id="_x0000_i1086" style="width:2in;height:1pt" o:hrpct="0" o:hralign="center" o:hrstd="t" o:hrnoshade="t" o:hr="t" fillcolor="black [3213]" stroked="f"/>
        </w:pict>
      </w:r>
    </w:p>
    <w:p w:rsidR="00EC09EE" w:rsidRDefault="00EC09EE" w:rsidP="00EC09EE">
      <w:pPr>
        <w:rPr>
          <w:sz w:val="20"/>
          <w:szCs w:val="20"/>
        </w:rPr>
      </w:pPr>
    </w:p>
    <w:p w:rsidR="00EC09EE" w:rsidRPr="001B157C" w:rsidRDefault="00EC09EE" w:rsidP="00EC09EE">
      <w:pPr>
        <w:rPr>
          <w:sz w:val="20"/>
          <w:szCs w:val="20"/>
          <w:u w:val="single"/>
          <w:lang w:val="fr-CA"/>
        </w:rPr>
      </w:pPr>
      <w:r w:rsidRPr="001B157C">
        <w:rPr>
          <w:sz w:val="20"/>
          <w:szCs w:val="20"/>
          <w:u w:val="single"/>
          <w:lang w:val="fr-CA"/>
        </w:rPr>
        <w:t>RÉSUMÉ DE L’AFFAIRE</w:t>
      </w:r>
    </w:p>
    <w:p w:rsidR="00EC09EE" w:rsidRDefault="00EC09EE" w:rsidP="00EC09EE">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1B6907" w:rsidRPr="00B6145B" w:rsidTr="005552A8">
        <w:tc>
          <w:tcPr>
            <w:tcW w:w="5000" w:type="pct"/>
            <w:gridSpan w:val="3"/>
          </w:tcPr>
          <w:p w:rsidR="001B6907" w:rsidRPr="00A1535A" w:rsidRDefault="001B6907" w:rsidP="005552A8">
            <w:pPr>
              <w:jc w:val="both"/>
              <w:rPr>
                <w:rFonts w:eastAsia="Calibri"/>
                <w:sz w:val="20"/>
                <w:lang w:val="fr-CA"/>
              </w:rPr>
            </w:pPr>
            <w:r w:rsidRPr="00A1535A">
              <w:rPr>
                <w:rFonts w:eastAsia="Calibri"/>
                <w:sz w:val="20"/>
                <w:lang w:val="fr-CA"/>
              </w:rPr>
              <w:t>Responsabilité délictuelle – Déclaration inexacte faite par négligence – La Cour d'appel a-t-elle eu tort de confirmer que la demanderesse était responsable à l'égard des intimées au titre du délit civil de déclaration inexacte faite par négligence?</w:t>
            </w:r>
          </w:p>
        </w:tc>
      </w:tr>
      <w:tr w:rsidR="001B6907" w:rsidRPr="00B6145B" w:rsidTr="005552A8">
        <w:tc>
          <w:tcPr>
            <w:tcW w:w="5000" w:type="pct"/>
            <w:gridSpan w:val="3"/>
          </w:tcPr>
          <w:p w:rsidR="001B6907" w:rsidRPr="00A1535A" w:rsidRDefault="001B6907" w:rsidP="005552A8">
            <w:pPr>
              <w:jc w:val="both"/>
              <w:rPr>
                <w:rFonts w:eastAsia="Calibri"/>
                <w:sz w:val="20"/>
                <w:lang w:val="fr-CA"/>
              </w:rPr>
            </w:pPr>
          </w:p>
        </w:tc>
      </w:tr>
      <w:tr w:rsidR="001B6907" w:rsidRPr="00A1535A" w:rsidTr="005552A8">
        <w:tc>
          <w:tcPr>
            <w:tcW w:w="5000" w:type="pct"/>
            <w:gridSpan w:val="3"/>
          </w:tcPr>
          <w:p w:rsidR="001B6907" w:rsidRPr="00A1535A" w:rsidRDefault="001B6907" w:rsidP="005552A8">
            <w:pPr>
              <w:jc w:val="both"/>
              <w:rPr>
                <w:rFonts w:eastAsia="Calibri"/>
                <w:sz w:val="20"/>
                <w:lang w:val="fr-CA"/>
              </w:rPr>
            </w:pPr>
            <w:r w:rsidRPr="00A1535A">
              <w:rPr>
                <w:rFonts w:eastAsia="Calibri"/>
                <w:sz w:val="20"/>
                <w:lang w:val="fr-CA"/>
              </w:rPr>
              <w:t>En 1982, le gel a endommagé le blé roux de printemps de l'Ouest canadien et a considérablement dégradé la récolte. La Commission canadienne du blé (« CCB ») demanderesse et la Commission canadienne des grains (« CCG ») ont décidé de commercialiser le blé, concluant que malgré sa dégradation visuelle, il possédait une « assez bonne » qualité meunière et qu'il serait [</w:t>
            </w:r>
            <w:r w:rsidRPr="00A1535A">
              <w:rPr>
                <w:rFonts w:eastAsia="Calibri"/>
                <w:smallCaps/>
                <w:sz w:val="20"/>
                <w:lang w:val="fr-CA"/>
              </w:rPr>
              <w:t>traduction</w:t>
            </w:r>
            <w:r w:rsidRPr="00A1535A">
              <w:rPr>
                <w:rFonts w:eastAsia="Calibri"/>
                <w:sz w:val="20"/>
                <w:lang w:val="fr-CA"/>
              </w:rPr>
              <w:t>] « tout à fait convenable pour la mouture ». L'intimée Pagnan S.p.A (« Pagnan »), une société par actions italienne, a acheté une quantité importante de ce blé de l'intimée ConAgra (« Agro »), un exportateur agréé par la CCG et l'a vendu à l'intimée Albionex (Overseas) Ltd. (« Albionex ») (même si Pagnan a racheté la cargaison par la suite). Lorsque la cargaison de blé a été livrée, elle s'est révélée de qualité inférieure et non pas d’assez bonne qualité meunière. Pagnan et Albionex ont intenté une action contre Agro en violation de contrat et contre la CCB pour délit civil de déclaration inexacte faite par négligence, compte tenu des déclarations qu'elle avait faites à l'égard des caractéristiques et de la qualité du blé. Agro a introduit une demande entre défendeurs contre la CCB, alléguant qu'elle s'était elle-aussi appuyée sur ces déclarations. Le procès a débuté en 2007 et en 2009, Agro et la CCB ont été tenues responsables. Agro et la CCB ont porté cette décision en appel. La Cour d'appel a rejeté l'appel.</w:t>
            </w:r>
          </w:p>
          <w:p w:rsidR="001B6907" w:rsidRPr="00A1535A" w:rsidRDefault="001B6907" w:rsidP="005552A8">
            <w:pPr>
              <w:jc w:val="both"/>
              <w:rPr>
                <w:rFonts w:eastAsia="Calibri"/>
                <w:sz w:val="20"/>
                <w:lang w:val="fr-CA"/>
              </w:rPr>
            </w:pPr>
          </w:p>
        </w:tc>
      </w:tr>
      <w:tr w:rsidR="001B6907" w:rsidRPr="00B6145B" w:rsidTr="005552A8">
        <w:tc>
          <w:tcPr>
            <w:tcW w:w="2427" w:type="pct"/>
          </w:tcPr>
          <w:p w:rsidR="001B6907" w:rsidRPr="00A1535A" w:rsidRDefault="001B6907" w:rsidP="005552A8">
            <w:pPr>
              <w:jc w:val="both"/>
              <w:rPr>
                <w:rFonts w:eastAsia="Calibri"/>
                <w:sz w:val="20"/>
                <w:lang w:val="fr-CA"/>
              </w:rPr>
            </w:pPr>
            <w:r w:rsidRPr="00A1535A">
              <w:rPr>
                <w:rFonts w:eastAsia="Calibri"/>
                <w:sz w:val="20"/>
                <w:lang w:val="fr-CA"/>
              </w:rPr>
              <w:t>17 juillet 2009</w:t>
            </w:r>
          </w:p>
          <w:p w:rsidR="001B6907" w:rsidRPr="00A1535A" w:rsidRDefault="001B6907" w:rsidP="005552A8">
            <w:pPr>
              <w:jc w:val="both"/>
              <w:rPr>
                <w:rFonts w:eastAsia="Calibri"/>
                <w:sz w:val="20"/>
                <w:lang w:val="fr-CA"/>
              </w:rPr>
            </w:pPr>
            <w:r w:rsidRPr="00A1535A">
              <w:rPr>
                <w:rFonts w:eastAsia="Calibri"/>
                <w:sz w:val="20"/>
                <w:lang w:val="fr-CA"/>
              </w:rPr>
              <w:t xml:space="preserve">Cour du Banc de la Reine du Manitoba </w:t>
            </w:r>
          </w:p>
          <w:p w:rsidR="001B6907" w:rsidRPr="00A1535A" w:rsidRDefault="001B6907" w:rsidP="005552A8">
            <w:pPr>
              <w:jc w:val="both"/>
              <w:rPr>
                <w:rFonts w:eastAsia="Calibri"/>
                <w:sz w:val="20"/>
                <w:lang w:val="fr-CA"/>
              </w:rPr>
            </w:pPr>
            <w:r w:rsidRPr="00A1535A">
              <w:rPr>
                <w:rFonts w:eastAsia="Calibri"/>
                <w:sz w:val="20"/>
                <w:lang w:val="fr-CA"/>
              </w:rPr>
              <w:t>(Juge Duval)</w:t>
            </w:r>
          </w:p>
          <w:p w:rsidR="001B6907" w:rsidRPr="00A1535A" w:rsidRDefault="001B6907" w:rsidP="005552A8">
            <w:pPr>
              <w:jc w:val="both"/>
              <w:rPr>
                <w:rFonts w:eastAsia="Calibri"/>
                <w:sz w:val="20"/>
                <w:lang w:val="fr-CA"/>
              </w:rPr>
            </w:pPr>
            <w:r w:rsidRPr="00A1535A">
              <w:rPr>
                <w:rFonts w:eastAsia="Calibri"/>
                <w:sz w:val="20"/>
                <w:lang w:val="fr-CA"/>
              </w:rPr>
              <w:t>2009 MBQB 200</w:t>
            </w:r>
          </w:p>
          <w:p w:rsidR="001B6907" w:rsidRPr="00A1535A" w:rsidRDefault="001B6907" w:rsidP="005552A8">
            <w:pPr>
              <w:jc w:val="both"/>
              <w:rPr>
                <w:rFonts w:eastAsia="Calibri"/>
                <w:sz w:val="20"/>
                <w:lang w:val="fr-CA"/>
              </w:rPr>
            </w:pPr>
          </w:p>
        </w:tc>
        <w:tc>
          <w:tcPr>
            <w:tcW w:w="243" w:type="pct"/>
          </w:tcPr>
          <w:p w:rsidR="001B6907" w:rsidRPr="00A1535A" w:rsidRDefault="001B6907" w:rsidP="005552A8">
            <w:pPr>
              <w:jc w:val="both"/>
              <w:rPr>
                <w:rFonts w:eastAsia="Calibri"/>
                <w:sz w:val="20"/>
                <w:lang w:val="fr-CA"/>
              </w:rPr>
            </w:pPr>
          </w:p>
        </w:tc>
        <w:tc>
          <w:tcPr>
            <w:tcW w:w="2330" w:type="pct"/>
          </w:tcPr>
          <w:p w:rsidR="001B6907" w:rsidRPr="00A1535A" w:rsidRDefault="001B6907" w:rsidP="005552A8">
            <w:pPr>
              <w:jc w:val="both"/>
              <w:rPr>
                <w:rFonts w:eastAsia="Calibri"/>
                <w:sz w:val="20"/>
                <w:lang w:val="fr-CA"/>
              </w:rPr>
            </w:pPr>
            <w:r w:rsidRPr="00A1535A">
              <w:rPr>
                <w:rFonts w:eastAsia="Calibri"/>
                <w:sz w:val="20"/>
                <w:lang w:val="fr-CA"/>
              </w:rPr>
              <w:t>Demanderesse tenue responsable de déclaration inexacte faite par négligence</w:t>
            </w:r>
          </w:p>
          <w:p w:rsidR="001B6907" w:rsidRPr="00A1535A" w:rsidRDefault="001B6907" w:rsidP="005552A8">
            <w:pPr>
              <w:jc w:val="both"/>
              <w:rPr>
                <w:rFonts w:eastAsia="Calibri"/>
                <w:sz w:val="20"/>
                <w:lang w:val="fr-CA"/>
              </w:rPr>
            </w:pPr>
          </w:p>
        </w:tc>
      </w:tr>
      <w:tr w:rsidR="001B6907" w:rsidRPr="00A1535A" w:rsidTr="005552A8">
        <w:tc>
          <w:tcPr>
            <w:tcW w:w="2427" w:type="pct"/>
          </w:tcPr>
          <w:p w:rsidR="001B6907" w:rsidRPr="00A1535A" w:rsidRDefault="001B6907" w:rsidP="005552A8">
            <w:pPr>
              <w:jc w:val="both"/>
              <w:rPr>
                <w:rFonts w:eastAsia="Calibri"/>
                <w:sz w:val="20"/>
                <w:lang w:val="fr-CA"/>
              </w:rPr>
            </w:pPr>
            <w:r w:rsidRPr="00A1535A">
              <w:rPr>
                <w:rFonts w:eastAsia="Calibri"/>
                <w:sz w:val="20"/>
                <w:lang w:val="fr-CA"/>
              </w:rPr>
              <w:t>14 décembre 2011</w:t>
            </w:r>
          </w:p>
          <w:p w:rsidR="001B6907" w:rsidRPr="00A1535A" w:rsidRDefault="001B6907" w:rsidP="005552A8">
            <w:pPr>
              <w:jc w:val="both"/>
              <w:rPr>
                <w:rFonts w:eastAsia="Calibri"/>
                <w:sz w:val="20"/>
                <w:lang w:val="fr-CA"/>
              </w:rPr>
            </w:pPr>
            <w:r w:rsidRPr="00A1535A">
              <w:rPr>
                <w:rFonts w:eastAsia="Calibri"/>
                <w:sz w:val="20"/>
                <w:lang w:val="fr-CA"/>
              </w:rPr>
              <w:t xml:space="preserve">Cour d'appel du Manitoba </w:t>
            </w:r>
          </w:p>
          <w:p w:rsidR="001B6907" w:rsidRPr="00A1535A" w:rsidRDefault="001B6907" w:rsidP="005552A8">
            <w:pPr>
              <w:jc w:val="both"/>
              <w:rPr>
                <w:rFonts w:eastAsia="Calibri"/>
                <w:sz w:val="20"/>
                <w:lang w:val="fr-CA"/>
              </w:rPr>
            </w:pPr>
            <w:r w:rsidRPr="00A1535A">
              <w:rPr>
                <w:rFonts w:eastAsia="Calibri"/>
                <w:sz w:val="20"/>
                <w:lang w:val="fr-CA"/>
              </w:rPr>
              <w:t>(Juge en chef Scott, juges Hamilton et Chartier)</w:t>
            </w:r>
          </w:p>
          <w:p w:rsidR="001B6907" w:rsidRPr="00A1535A" w:rsidRDefault="001B6907" w:rsidP="005552A8">
            <w:pPr>
              <w:jc w:val="both"/>
              <w:rPr>
                <w:rFonts w:eastAsia="Calibri"/>
                <w:sz w:val="20"/>
                <w:lang w:val="fr-CA"/>
              </w:rPr>
            </w:pPr>
            <w:r w:rsidRPr="00A1535A">
              <w:rPr>
                <w:rFonts w:eastAsia="Calibri"/>
                <w:sz w:val="20"/>
                <w:lang w:val="fr-CA"/>
              </w:rPr>
              <w:t>2011 MBCA 95</w:t>
            </w:r>
          </w:p>
          <w:p w:rsidR="001B6907" w:rsidRPr="00A1535A" w:rsidRDefault="001B6907" w:rsidP="005552A8">
            <w:pPr>
              <w:jc w:val="both"/>
              <w:rPr>
                <w:rFonts w:eastAsia="Calibri"/>
                <w:sz w:val="20"/>
                <w:lang w:val="fr-CA"/>
              </w:rPr>
            </w:pPr>
          </w:p>
        </w:tc>
        <w:tc>
          <w:tcPr>
            <w:tcW w:w="243" w:type="pct"/>
          </w:tcPr>
          <w:p w:rsidR="001B6907" w:rsidRPr="00A1535A" w:rsidRDefault="001B6907" w:rsidP="005552A8">
            <w:pPr>
              <w:jc w:val="both"/>
              <w:rPr>
                <w:rFonts w:eastAsia="Calibri"/>
                <w:sz w:val="20"/>
                <w:lang w:val="fr-CA"/>
              </w:rPr>
            </w:pPr>
          </w:p>
        </w:tc>
        <w:tc>
          <w:tcPr>
            <w:tcW w:w="2330" w:type="pct"/>
          </w:tcPr>
          <w:p w:rsidR="001B6907" w:rsidRPr="00A1535A" w:rsidRDefault="001B6907" w:rsidP="005552A8">
            <w:pPr>
              <w:jc w:val="both"/>
              <w:rPr>
                <w:rFonts w:eastAsia="Calibri"/>
                <w:sz w:val="20"/>
                <w:lang w:val="fr-CA"/>
              </w:rPr>
            </w:pPr>
            <w:r w:rsidRPr="00A1535A">
              <w:rPr>
                <w:rFonts w:eastAsia="Calibri"/>
                <w:sz w:val="20"/>
                <w:lang w:val="fr-CA"/>
              </w:rPr>
              <w:t>Appel rejeté</w:t>
            </w:r>
          </w:p>
          <w:p w:rsidR="001B6907" w:rsidRPr="00A1535A" w:rsidRDefault="001B6907" w:rsidP="005552A8">
            <w:pPr>
              <w:jc w:val="both"/>
              <w:rPr>
                <w:rFonts w:eastAsia="Calibri"/>
                <w:sz w:val="20"/>
                <w:lang w:val="fr-CA"/>
              </w:rPr>
            </w:pPr>
          </w:p>
        </w:tc>
      </w:tr>
      <w:tr w:rsidR="001B6907" w:rsidRPr="00B6145B" w:rsidTr="005552A8">
        <w:tc>
          <w:tcPr>
            <w:tcW w:w="2427" w:type="pct"/>
          </w:tcPr>
          <w:p w:rsidR="001B6907" w:rsidRPr="00A1535A" w:rsidRDefault="001B6907" w:rsidP="005552A8">
            <w:pPr>
              <w:jc w:val="both"/>
              <w:rPr>
                <w:rFonts w:eastAsia="Calibri"/>
                <w:sz w:val="20"/>
                <w:lang w:val="fr-CA"/>
              </w:rPr>
            </w:pPr>
            <w:r w:rsidRPr="00A1535A">
              <w:rPr>
                <w:rFonts w:eastAsia="Calibri"/>
                <w:sz w:val="20"/>
                <w:lang w:val="fr-CA"/>
              </w:rPr>
              <w:t>27 avril 2012</w:t>
            </w:r>
          </w:p>
          <w:p w:rsidR="001B6907" w:rsidRPr="00A1535A" w:rsidRDefault="001B6907" w:rsidP="005552A8">
            <w:pPr>
              <w:jc w:val="both"/>
              <w:rPr>
                <w:rFonts w:eastAsia="Calibri"/>
                <w:sz w:val="20"/>
                <w:lang w:val="fr-CA"/>
              </w:rPr>
            </w:pPr>
            <w:r w:rsidRPr="00A1535A">
              <w:rPr>
                <w:rFonts w:eastAsia="Calibri"/>
                <w:sz w:val="20"/>
                <w:lang w:val="fr-CA"/>
              </w:rPr>
              <w:t>Cour suprême du Canada</w:t>
            </w:r>
          </w:p>
        </w:tc>
        <w:tc>
          <w:tcPr>
            <w:tcW w:w="243" w:type="pct"/>
          </w:tcPr>
          <w:p w:rsidR="001B6907" w:rsidRPr="00A1535A" w:rsidRDefault="001B6907" w:rsidP="005552A8">
            <w:pPr>
              <w:jc w:val="both"/>
              <w:rPr>
                <w:rFonts w:eastAsia="Calibri"/>
                <w:sz w:val="20"/>
                <w:lang w:val="fr-CA"/>
              </w:rPr>
            </w:pPr>
          </w:p>
        </w:tc>
        <w:tc>
          <w:tcPr>
            <w:tcW w:w="2330" w:type="pct"/>
          </w:tcPr>
          <w:p w:rsidR="001B6907" w:rsidRPr="00A1535A" w:rsidRDefault="001B6907" w:rsidP="005552A8">
            <w:pPr>
              <w:jc w:val="both"/>
              <w:rPr>
                <w:rFonts w:eastAsia="Calibri"/>
                <w:sz w:val="20"/>
                <w:lang w:val="fr-CA"/>
              </w:rPr>
            </w:pPr>
            <w:r w:rsidRPr="00A1535A">
              <w:rPr>
                <w:rFonts w:eastAsia="Calibri"/>
                <w:sz w:val="20"/>
                <w:lang w:val="fr-CA"/>
              </w:rPr>
              <w:t>Requête en prorogation de délai et demande d'autorisation d'appel, déposées</w:t>
            </w:r>
          </w:p>
        </w:tc>
      </w:tr>
    </w:tbl>
    <w:p w:rsidR="00EC09EE" w:rsidRPr="001B6907" w:rsidRDefault="00EC09EE" w:rsidP="00EC09EE">
      <w:pPr>
        <w:rPr>
          <w:sz w:val="20"/>
          <w:szCs w:val="20"/>
          <w:lang w:val="fr-CA"/>
        </w:rPr>
      </w:pPr>
    </w:p>
    <w:p w:rsidR="00EC09EE" w:rsidRDefault="007333FF" w:rsidP="00EC09EE">
      <w:pPr>
        <w:rPr>
          <w:sz w:val="20"/>
          <w:szCs w:val="20"/>
        </w:rPr>
      </w:pPr>
      <w:r w:rsidRPr="007333FF">
        <w:rPr>
          <w:sz w:val="20"/>
          <w:szCs w:val="20"/>
          <w:lang w:val="fr-CA"/>
        </w:rPr>
        <w:pict>
          <v:rect id="_x0000_i1087" style="width:2in;height:1pt" o:hrpct="0" o:hralign="center" o:hrstd="t" o:hrnoshade="t" o:hr="t" fillcolor="black [3213]" stroked="f"/>
        </w:pict>
      </w:r>
    </w:p>
    <w:p w:rsidR="00EC09EE" w:rsidRDefault="00EC09EE" w:rsidP="00EC09E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E46AB" w:rsidRPr="000F116A" w:rsidTr="00D40817">
        <w:trPr>
          <w:cantSplit/>
        </w:trPr>
        <w:tc>
          <w:tcPr>
            <w:tcW w:w="1458" w:type="dxa"/>
          </w:tcPr>
          <w:p w:rsidR="007E46AB" w:rsidRPr="000F116A" w:rsidRDefault="007E46AB" w:rsidP="00D40817">
            <w:pPr>
              <w:rPr>
                <w:sz w:val="20"/>
                <w:szCs w:val="20"/>
              </w:rPr>
            </w:pPr>
            <w:r w:rsidRPr="000F116A">
              <w:rPr>
                <w:rStyle w:val="SCCFileNumberChar"/>
                <w:sz w:val="20"/>
                <w:szCs w:val="20"/>
              </w:rPr>
              <w:t>34671</w:t>
            </w:r>
          </w:p>
          <w:p w:rsidR="007E46AB" w:rsidRPr="000F116A" w:rsidRDefault="007E46AB" w:rsidP="00D40817">
            <w:pPr>
              <w:rPr>
                <w:b/>
                <w:sz w:val="20"/>
                <w:szCs w:val="20"/>
                <w:lang w:val="fr-CA"/>
              </w:rPr>
            </w:pPr>
          </w:p>
        </w:tc>
        <w:tc>
          <w:tcPr>
            <w:tcW w:w="8118" w:type="dxa"/>
          </w:tcPr>
          <w:p w:rsidR="007E46AB" w:rsidRPr="000F116A" w:rsidRDefault="007E46AB" w:rsidP="00D40817">
            <w:pPr>
              <w:rPr>
                <w:sz w:val="20"/>
                <w:szCs w:val="20"/>
              </w:rPr>
            </w:pPr>
            <w:r w:rsidRPr="000F116A">
              <w:rPr>
                <w:rStyle w:val="SCCLsocChar"/>
                <w:sz w:val="20"/>
                <w:szCs w:val="20"/>
                <w:lang w:val="en-CA"/>
              </w:rPr>
              <w:t>Barry Lupyrypa v. Her Majesty the Queen</w:t>
            </w:r>
            <w:r w:rsidRPr="000F116A">
              <w:rPr>
                <w:sz w:val="20"/>
                <w:szCs w:val="20"/>
              </w:rPr>
              <w:t xml:space="preserve"> (Alta.) (Criminal) (By Leave)</w:t>
            </w:r>
          </w:p>
          <w:p w:rsidR="007E46AB" w:rsidRPr="000F116A" w:rsidRDefault="007E46AB" w:rsidP="00D40817">
            <w:pPr>
              <w:rPr>
                <w:sz w:val="20"/>
                <w:szCs w:val="20"/>
              </w:rPr>
            </w:pPr>
          </w:p>
        </w:tc>
      </w:tr>
      <w:tr w:rsidR="007E46AB" w:rsidRPr="000F116A" w:rsidTr="00D40817">
        <w:trPr>
          <w:cantSplit/>
        </w:trPr>
        <w:tc>
          <w:tcPr>
            <w:tcW w:w="1458" w:type="dxa"/>
          </w:tcPr>
          <w:p w:rsidR="007E46AB" w:rsidRPr="000F116A" w:rsidRDefault="007E46AB" w:rsidP="00D40817">
            <w:pPr>
              <w:rPr>
                <w:sz w:val="20"/>
                <w:szCs w:val="20"/>
              </w:rPr>
            </w:pPr>
            <w:r w:rsidRPr="000F116A">
              <w:rPr>
                <w:sz w:val="20"/>
                <w:szCs w:val="20"/>
              </w:rPr>
              <w:t>Coram :</w:t>
            </w:r>
          </w:p>
        </w:tc>
        <w:tc>
          <w:tcPr>
            <w:tcW w:w="8118" w:type="dxa"/>
          </w:tcPr>
          <w:p w:rsidR="007E46AB" w:rsidRPr="000F116A" w:rsidRDefault="007E46AB" w:rsidP="00D40817">
            <w:pPr>
              <w:rPr>
                <w:sz w:val="20"/>
                <w:szCs w:val="20"/>
              </w:rPr>
            </w:pPr>
            <w:r w:rsidRPr="000F116A">
              <w:rPr>
                <w:rStyle w:val="SCCCoramChar"/>
                <w:sz w:val="20"/>
                <w:szCs w:val="20"/>
                <w:lang w:val="en-CA"/>
              </w:rPr>
              <w:t>McLachlin C.J. and Rothstein and Moldaver JJ.</w:t>
            </w:r>
          </w:p>
          <w:p w:rsidR="007E46AB" w:rsidRPr="000F116A" w:rsidRDefault="007E46AB" w:rsidP="00D40817">
            <w:pPr>
              <w:rPr>
                <w:sz w:val="20"/>
                <w:szCs w:val="20"/>
                <w:u w:val="single"/>
              </w:rPr>
            </w:pPr>
          </w:p>
        </w:tc>
      </w:tr>
      <w:tr w:rsidR="007E46AB" w:rsidRPr="00B6145B" w:rsidTr="00D40817">
        <w:trPr>
          <w:cantSplit/>
        </w:trPr>
        <w:tc>
          <w:tcPr>
            <w:tcW w:w="9576" w:type="dxa"/>
            <w:gridSpan w:val="2"/>
          </w:tcPr>
          <w:p w:rsidR="007E46AB" w:rsidRPr="000F116A" w:rsidRDefault="007E46AB" w:rsidP="00D40817">
            <w:pPr>
              <w:pStyle w:val="SCCShortJudgment"/>
              <w:rPr>
                <w:szCs w:val="20"/>
              </w:rPr>
            </w:pPr>
            <w:r w:rsidRPr="000F116A">
              <w:rPr>
                <w:szCs w:val="20"/>
              </w:rPr>
              <w:lastRenderedPageBreak/>
              <w:t>The motion for an extension of time to serve and file the application for leave to appeal is granted.  The application for leave to appeal from the judgment of the Court of Appeal of Alberta (Edmonton), Number 0903-0168-A, 2011 ABCA 324, dated November 23, 2011, is dismissed without costs.</w:t>
            </w:r>
          </w:p>
          <w:p w:rsidR="007E46AB" w:rsidRPr="000F116A" w:rsidRDefault="007E46AB" w:rsidP="00D40817">
            <w:pPr>
              <w:pStyle w:val="SCCShortJudgment"/>
              <w:ind w:firstLine="0"/>
              <w:rPr>
                <w:szCs w:val="20"/>
              </w:rPr>
            </w:pPr>
          </w:p>
          <w:p w:rsidR="007E46AB" w:rsidRPr="000F116A" w:rsidRDefault="007E46AB" w:rsidP="00D40817">
            <w:pPr>
              <w:pStyle w:val="SCCShortJudgment"/>
              <w:rPr>
                <w:szCs w:val="20"/>
                <w:lang w:val="fr-CA"/>
              </w:rPr>
            </w:pPr>
            <w:r w:rsidRPr="000F116A">
              <w:rPr>
                <w:szCs w:val="20"/>
                <w:lang w:val="fr-CA"/>
              </w:rPr>
              <w:t>La requête en prorogation du délai de signification et de dépôt de la demande d’autorisation d’appel est accueillie. La demande d’autorisation d’appel de l’arrêt de la Cour d’appel de l’Alberta (Edmonton), numéro 0903-0168-A, 2011 ABCA 324, daté du 23 novembre 2011, est rejetée sans dépens.</w:t>
            </w:r>
          </w:p>
        </w:tc>
      </w:tr>
    </w:tbl>
    <w:p w:rsidR="00EC09EE" w:rsidRPr="00F40E20" w:rsidRDefault="00EC09EE" w:rsidP="00EC09EE">
      <w:pPr>
        <w:rPr>
          <w:sz w:val="20"/>
          <w:szCs w:val="20"/>
          <w:lang w:val="fr-CA"/>
        </w:rPr>
      </w:pPr>
    </w:p>
    <w:p w:rsidR="00EC09EE" w:rsidRPr="001B157C" w:rsidRDefault="00EC09EE" w:rsidP="00EC09EE">
      <w:pPr>
        <w:rPr>
          <w:sz w:val="20"/>
          <w:szCs w:val="20"/>
          <w:u w:val="single"/>
        </w:rPr>
      </w:pPr>
      <w:r w:rsidRPr="001B157C">
        <w:rPr>
          <w:sz w:val="20"/>
          <w:szCs w:val="20"/>
          <w:u w:val="single"/>
        </w:rPr>
        <w:t>CASE SUMMARY</w:t>
      </w:r>
    </w:p>
    <w:p w:rsidR="00EC09EE" w:rsidRDefault="00EC09EE" w:rsidP="00EC09E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43B72" w:rsidRPr="00A1535A" w:rsidTr="005552A8">
        <w:tc>
          <w:tcPr>
            <w:tcW w:w="5000" w:type="pct"/>
            <w:gridSpan w:val="3"/>
          </w:tcPr>
          <w:p w:rsidR="00643B72" w:rsidRPr="00A1535A" w:rsidRDefault="00643B72" w:rsidP="005552A8">
            <w:pPr>
              <w:jc w:val="both"/>
              <w:rPr>
                <w:rFonts w:eastAsia="Calibri"/>
                <w:sz w:val="20"/>
              </w:rPr>
            </w:pPr>
            <w:r w:rsidRPr="00A1535A">
              <w:rPr>
                <w:rFonts w:eastAsia="Calibri"/>
                <w:i/>
                <w:sz w:val="20"/>
              </w:rPr>
              <w:t>Canadian Charter of Rights and Freedoms</w:t>
            </w:r>
            <w:r w:rsidRPr="00A1535A">
              <w:rPr>
                <w:rFonts w:eastAsia="Calibri"/>
                <w:sz w:val="20"/>
              </w:rPr>
              <w:t xml:space="preserve"> – Whether the wording in the indictment was sufficient  </w:t>
            </w:r>
            <w:r w:rsidRPr="00A1535A">
              <w:rPr>
                <w:rFonts w:eastAsia="Calibri"/>
                <w:sz w:val="20"/>
              </w:rPr>
              <w:noBreakHyphen/>
              <w:t xml:space="preserve"> Sufficiency of particulars in the indictment – Validity of indictment </w:t>
            </w:r>
            <w:r w:rsidRPr="00A1535A">
              <w:rPr>
                <w:rFonts w:eastAsia="Calibri"/>
                <w:sz w:val="20"/>
              </w:rPr>
              <w:noBreakHyphen/>
              <w:t xml:space="preserve"> Right to life, liberty and security of the person – Arbitrary detention – Right to be informed of reasons for arrest – Right to counsel </w:t>
            </w:r>
            <w:r w:rsidRPr="00A1535A">
              <w:rPr>
                <w:rFonts w:eastAsia="Calibri"/>
                <w:sz w:val="20"/>
              </w:rPr>
              <w:noBreakHyphen/>
              <w:t xml:space="preserve"> Whether the applicant was arbitrarily detained on February 11, 2006 and were his s. 7, s. 9 and s. 24 </w:t>
            </w:r>
            <w:r w:rsidRPr="00A1535A">
              <w:rPr>
                <w:rFonts w:eastAsia="Calibri"/>
                <w:i/>
                <w:sz w:val="20"/>
              </w:rPr>
              <w:t>Charter rights</w:t>
            </w:r>
            <w:r w:rsidRPr="00A1535A">
              <w:rPr>
                <w:rFonts w:eastAsia="Calibri"/>
                <w:sz w:val="20"/>
              </w:rPr>
              <w:t xml:space="preserve"> violated – Whether the applicant’s s. 10(a) and s. 10(b) </w:t>
            </w:r>
            <w:r w:rsidRPr="00A1535A">
              <w:rPr>
                <w:rFonts w:eastAsia="Calibri"/>
                <w:i/>
                <w:sz w:val="20"/>
              </w:rPr>
              <w:t>Charter rights</w:t>
            </w:r>
            <w:r w:rsidRPr="00A1535A">
              <w:rPr>
                <w:rFonts w:eastAsia="Calibri"/>
                <w:sz w:val="20"/>
              </w:rPr>
              <w:t xml:space="preserve"> were infringed – Was the RCMP constable in the lawful execution of his duty and did he have reasonable grounds to believe that he was “assaulted” by the applicant ant based on the totality of the facts – Whether the RCMP constable withheld critical information from the justice of the peace </w:t>
            </w:r>
            <w:r w:rsidRPr="00A1535A">
              <w:rPr>
                <w:rFonts w:eastAsia="Calibri"/>
                <w:sz w:val="20"/>
              </w:rPr>
              <w:noBreakHyphen/>
              <w:t xml:space="preserve"> Whether the information was sworn outside the statutory limitation of s. 786(2) of the </w:t>
            </w:r>
            <w:r w:rsidRPr="00A1535A">
              <w:rPr>
                <w:rFonts w:eastAsia="Calibri"/>
                <w:i/>
                <w:sz w:val="20"/>
              </w:rPr>
              <w:t>Criminal Code</w:t>
            </w:r>
            <w:r w:rsidRPr="00A1535A">
              <w:rPr>
                <w:rFonts w:eastAsia="Calibri"/>
                <w:sz w:val="20"/>
              </w:rPr>
              <w:t xml:space="preserve"> for a hybrid offence – Whether the applicant has the sufficient </w:t>
            </w:r>
            <w:r w:rsidRPr="00A1535A">
              <w:rPr>
                <w:rFonts w:eastAsia="Calibri"/>
                <w:i/>
                <w:sz w:val="20"/>
              </w:rPr>
              <w:t>mens rea</w:t>
            </w:r>
            <w:r w:rsidRPr="00A1535A">
              <w:rPr>
                <w:rFonts w:eastAsia="Calibri"/>
                <w:sz w:val="20"/>
              </w:rPr>
              <w:t xml:space="preserve"> to allegedly commit the offences charged – Whether the applicant was  treated fairly and impartially by the Crown and the Court – Whether there are issues of public importance raised.</w:t>
            </w:r>
          </w:p>
        </w:tc>
      </w:tr>
      <w:tr w:rsidR="00643B72" w:rsidRPr="00A1535A" w:rsidTr="005552A8">
        <w:tc>
          <w:tcPr>
            <w:tcW w:w="5000" w:type="pct"/>
            <w:gridSpan w:val="3"/>
          </w:tcPr>
          <w:p w:rsidR="00643B72" w:rsidRPr="00A1535A" w:rsidRDefault="00643B72" w:rsidP="005552A8">
            <w:pPr>
              <w:jc w:val="both"/>
              <w:rPr>
                <w:rFonts w:eastAsia="Calibri"/>
                <w:sz w:val="20"/>
              </w:rPr>
            </w:pPr>
          </w:p>
        </w:tc>
      </w:tr>
      <w:tr w:rsidR="00643B72" w:rsidRPr="00A1535A" w:rsidTr="005552A8">
        <w:tc>
          <w:tcPr>
            <w:tcW w:w="5000" w:type="pct"/>
            <w:gridSpan w:val="3"/>
          </w:tcPr>
          <w:p w:rsidR="00643B72" w:rsidRPr="00A1535A" w:rsidRDefault="00643B72" w:rsidP="005552A8">
            <w:pPr>
              <w:jc w:val="both"/>
              <w:rPr>
                <w:rFonts w:eastAsia="Calibri"/>
                <w:sz w:val="20"/>
              </w:rPr>
            </w:pPr>
            <w:r w:rsidRPr="00A1535A">
              <w:rPr>
                <w:rFonts w:eastAsia="Calibri"/>
                <w:sz w:val="20"/>
              </w:rPr>
              <w:t>On February 11, 2006, the applicant was involved in a confrontation with an RCMP constable near St. Albert. The RCMP constable swore an information against the applicant charging him with assault of a peace officer and obstruction of a peace officer. The trial judge dismissed the applicant’s application to quash the indictment. The appeal was dismissed.</w:t>
            </w:r>
          </w:p>
          <w:p w:rsidR="00643B72" w:rsidRPr="00A1535A" w:rsidRDefault="00643B72" w:rsidP="005552A8">
            <w:pPr>
              <w:jc w:val="both"/>
              <w:rPr>
                <w:rFonts w:eastAsia="Calibri"/>
                <w:sz w:val="20"/>
              </w:rPr>
            </w:pPr>
          </w:p>
        </w:tc>
      </w:tr>
      <w:tr w:rsidR="00643B72" w:rsidRPr="00A1535A" w:rsidTr="005552A8">
        <w:tc>
          <w:tcPr>
            <w:tcW w:w="2427" w:type="pct"/>
          </w:tcPr>
          <w:p w:rsidR="00643B72" w:rsidRPr="00A1535A" w:rsidRDefault="00643B72" w:rsidP="005552A8">
            <w:pPr>
              <w:jc w:val="both"/>
              <w:rPr>
                <w:rFonts w:eastAsia="Calibri"/>
                <w:sz w:val="20"/>
              </w:rPr>
            </w:pPr>
            <w:r w:rsidRPr="00A1535A">
              <w:rPr>
                <w:rFonts w:eastAsia="Calibri"/>
                <w:sz w:val="20"/>
              </w:rPr>
              <w:t>June 5, 2009</w:t>
            </w:r>
          </w:p>
          <w:p w:rsidR="00643B72" w:rsidRPr="00A1535A" w:rsidRDefault="00643B72" w:rsidP="005552A8">
            <w:pPr>
              <w:jc w:val="both"/>
              <w:rPr>
                <w:rFonts w:eastAsia="Calibri"/>
                <w:sz w:val="20"/>
              </w:rPr>
            </w:pPr>
            <w:r w:rsidRPr="00A1535A">
              <w:rPr>
                <w:rFonts w:eastAsia="Calibri"/>
                <w:sz w:val="20"/>
              </w:rPr>
              <w:t>Court of Queen’s Bench of Alberta</w:t>
            </w:r>
          </w:p>
          <w:p w:rsidR="00643B72" w:rsidRPr="00A1535A" w:rsidRDefault="00643B72" w:rsidP="005552A8">
            <w:pPr>
              <w:jc w:val="both"/>
              <w:rPr>
                <w:rFonts w:eastAsia="Calibri"/>
                <w:sz w:val="20"/>
              </w:rPr>
            </w:pPr>
            <w:r w:rsidRPr="00A1535A">
              <w:rPr>
                <w:rFonts w:eastAsia="Calibri"/>
                <w:sz w:val="20"/>
              </w:rPr>
              <w:t>(Thomas J.)</w:t>
            </w:r>
          </w:p>
          <w:p w:rsidR="00643B72" w:rsidRPr="00A1535A" w:rsidRDefault="00643B72" w:rsidP="005552A8">
            <w:pPr>
              <w:jc w:val="both"/>
              <w:rPr>
                <w:rFonts w:eastAsia="Calibri"/>
                <w:sz w:val="20"/>
              </w:rPr>
            </w:pPr>
          </w:p>
        </w:tc>
        <w:tc>
          <w:tcPr>
            <w:tcW w:w="243" w:type="pct"/>
          </w:tcPr>
          <w:p w:rsidR="00643B72" w:rsidRPr="00A1535A" w:rsidRDefault="00643B72" w:rsidP="005552A8">
            <w:pPr>
              <w:jc w:val="both"/>
              <w:rPr>
                <w:rFonts w:eastAsia="Calibri"/>
                <w:sz w:val="20"/>
              </w:rPr>
            </w:pPr>
          </w:p>
        </w:tc>
        <w:tc>
          <w:tcPr>
            <w:tcW w:w="2330" w:type="pct"/>
          </w:tcPr>
          <w:p w:rsidR="00643B72" w:rsidRPr="00A1535A" w:rsidRDefault="00643B72" w:rsidP="005552A8">
            <w:pPr>
              <w:jc w:val="both"/>
              <w:rPr>
                <w:rFonts w:eastAsia="Calibri"/>
                <w:sz w:val="20"/>
              </w:rPr>
            </w:pPr>
            <w:r w:rsidRPr="00A1535A">
              <w:rPr>
                <w:rFonts w:eastAsia="Calibri"/>
                <w:sz w:val="20"/>
              </w:rPr>
              <w:t>Applicant’s application to quash the indictment dismissed</w:t>
            </w:r>
          </w:p>
          <w:p w:rsidR="00643B72" w:rsidRPr="00A1535A" w:rsidRDefault="00643B72" w:rsidP="005552A8">
            <w:pPr>
              <w:jc w:val="both"/>
              <w:rPr>
                <w:rFonts w:eastAsia="Calibri"/>
                <w:sz w:val="20"/>
              </w:rPr>
            </w:pPr>
          </w:p>
          <w:p w:rsidR="00643B72" w:rsidRPr="00A1535A" w:rsidRDefault="00643B72" w:rsidP="005552A8">
            <w:pPr>
              <w:jc w:val="both"/>
              <w:rPr>
                <w:rFonts w:eastAsia="Calibri"/>
                <w:sz w:val="20"/>
              </w:rPr>
            </w:pPr>
          </w:p>
        </w:tc>
      </w:tr>
      <w:tr w:rsidR="00643B72" w:rsidRPr="00A1535A" w:rsidTr="005552A8">
        <w:tc>
          <w:tcPr>
            <w:tcW w:w="2427" w:type="pct"/>
          </w:tcPr>
          <w:p w:rsidR="00643B72" w:rsidRPr="00A1535A" w:rsidRDefault="00643B72" w:rsidP="005552A8">
            <w:pPr>
              <w:jc w:val="both"/>
              <w:rPr>
                <w:rFonts w:eastAsia="Calibri"/>
                <w:sz w:val="20"/>
              </w:rPr>
            </w:pPr>
            <w:r w:rsidRPr="00A1535A">
              <w:rPr>
                <w:rFonts w:eastAsia="Calibri"/>
                <w:sz w:val="20"/>
              </w:rPr>
              <w:t>November 23, 2011</w:t>
            </w:r>
          </w:p>
          <w:p w:rsidR="00643B72" w:rsidRPr="00A1535A" w:rsidRDefault="00643B72" w:rsidP="005552A8">
            <w:pPr>
              <w:jc w:val="both"/>
              <w:rPr>
                <w:rFonts w:eastAsia="Calibri"/>
                <w:sz w:val="20"/>
              </w:rPr>
            </w:pPr>
            <w:r w:rsidRPr="00A1535A">
              <w:rPr>
                <w:rFonts w:eastAsia="Calibri"/>
                <w:sz w:val="20"/>
              </w:rPr>
              <w:t>Court of Appeal of Alberta (Edmonton)</w:t>
            </w:r>
          </w:p>
          <w:p w:rsidR="00643B72" w:rsidRPr="00A1535A" w:rsidRDefault="00643B72" w:rsidP="005552A8">
            <w:pPr>
              <w:jc w:val="both"/>
              <w:rPr>
                <w:rFonts w:eastAsia="Calibri"/>
                <w:sz w:val="20"/>
              </w:rPr>
            </w:pPr>
            <w:r w:rsidRPr="00A1535A">
              <w:rPr>
                <w:rFonts w:eastAsia="Calibri"/>
                <w:sz w:val="20"/>
              </w:rPr>
              <w:t>(Picard, Martin, Watson JJ.A.)</w:t>
            </w:r>
          </w:p>
          <w:p w:rsidR="00643B72" w:rsidRPr="00A1535A" w:rsidRDefault="00643B72" w:rsidP="005552A8">
            <w:pPr>
              <w:jc w:val="both"/>
              <w:rPr>
                <w:rFonts w:eastAsia="Calibri"/>
                <w:sz w:val="20"/>
              </w:rPr>
            </w:pPr>
            <w:r w:rsidRPr="00A1535A">
              <w:rPr>
                <w:rFonts w:eastAsia="Calibri"/>
                <w:sz w:val="20"/>
              </w:rPr>
              <w:t>Neutral citation: 2011 ABCA 324</w:t>
            </w:r>
          </w:p>
          <w:p w:rsidR="00643B72" w:rsidRPr="00A1535A" w:rsidRDefault="00643B72" w:rsidP="005552A8">
            <w:pPr>
              <w:jc w:val="both"/>
              <w:rPr>
                <w:rFonts w:eastAsia="Calibri"/>
                <w:sz w:val="20"/>
              </w:rPr>
            </w:pPr>
          </w:p>
        </w:tc>
        <w:tc>
          <w:tcPr>
            <w:tcW w:w="243" w:type="pct"/>
          </w:tcPr>
          <w:p w:rsidR="00643B72" w:rsidRPr="00A1535A" w:rsidRDefault="00643B72" w:rsidP="005552A8">
            <w:pPr>
              <w:jc w:val="both"/>
              <w:rPr>
                <w:rFonts w:eastAsia="Calibri"/>
                <w:sz w:val="20"/>
              </w:rPr>
            </w:pPr>
          </w:p>
        </w:tc>
        <w:tc>
          <w:tcPr>
            <w:tcW w:w="2330" w:type="pct"/>
          </w:tcPr>
          <w:p w:rsidR="00643B72" w:rsidRPr="00A1535A" w:rsidRDefault="00643B72" w:rsidP="005552A8">
            <w:pPr>
              <w:jc w:val="both"/>
              <w:rPr>
                <w:rFonts w:eastAsia="Calibri"/>
                <w:sz w:val="20"/>
              </w:rPr>
            </w:pPr>
            <w:r w:rsidRPr="00A1535A">
              <w:rPr>
                <w:rFonts w:eastAsia="Calibri"/>
                <w:sz w:val="20"/>
              </w:rPr>
              <w:t>Appeal dismissed</w:t>
            </w:r>
          </w:p>
          <w:p w:rsidR="00643B72" w:rsidRPr="00A1535A" w:rsidRDefault="00643B72" w:rsidP="005552A8">
            <w:pPr>
              <w:jc w:val="both"/>
              <w:rPr>
                <w:rFonts w:eastAsia="Calibri"/>
                <w:sz w:val="20"/>
              </w:rPr>
            </w:pPr>
          </w:p>
        </w:tc>
      </w:tr>
      <w:tr w:rsidR="00643B72" w:rsidRPr="00A1535A" w:rsidTr="005552A8">
        <w:tc>
          <w:tcPr>
            <w:tcW w:w="2427" w:type="pct"/>
          </w:tcPr>
          <w:p w:rsidR="00643B72" w:rsidRPr="00A1535A" w:rsidRDefault="00643B72" w:rsidP="005552A8">
            <w:pPr>
              <w:jc w:val="both"/>
              <w:rPr>
                <w:rFonts w:eastAsia="Calibri"/>
                <w:sz w:val="20"/>
              </w:rPr>
            </w:pPr>
            <w:r w:rsidRPr="00A1535A">
              <w:rPr>
                <w:rFonts w:eastAsia="Calibri"/>
                <w:sz w:val="20"/>
              </w:rPr>
              <w:t>February 6, 2012</w:t>
            </w:r>
          </w:p>
          <w:p w:rsidR="00643B72" w:rsidRPr="00A1535A" w:rsidRDefault="00643B72" w:rsidP="005552A8">
            <w:pPr>
              <w:jc w:val="both"/>
              <w:rPr>
                <w:rFonts w:eastAsia="Calibri"/>
                <w:sz w:val="20"/>
              </w:rPr>
            </w:pPr>
            <w:r w:rsidRPr="00A1535A">
              <w:rPr>
                <w:rFonts w:eastAsia="Calibri"/>
                <w:sz w:val="20"/>
              </w:rPr>
              <w:t>Supreme Court of Canada</w:t>
            </w:r>
          </w:p>
          <w:p w:rsidR="00643B72" w:rsidRPr="00A1535A" w:rsidRDefault="00643B72" w:rsidP="005552A8">
            <w:pPr>
              <w:jc w:val="both"/>
              <w:rPr>
                <w:rFonts w:eastAsia="Calibri"/>
                <w:sz w:val="20"/>
              </w:rPr>
            </w:pPr>
          </w:p>
        </w:tc>
        <w:tc>
          <w:tcPr>
            <w:tcW w:w="243" w:type="pct"/>
          </w:tcPr>
          <w:p w:rsidR="00643B72" w:rsidRPr="00A1535A" w:rsidRDefault="00643B72" w:rsidP="005552A8">
            <w:pPr>
              <w:jc w:val="both"/>
              <w:rPr>
                <w:rFonts w:eastAsia="Calibri"/>
                <w:sz w:val="20"/>
              </w:rPr>
            </w:pPr>
          </w:p>
        </w:tc>
        <w:tc>
          <w:tcPr>
            <w:tcW w:w="2330" w:type="pct"/>
          </w:tcPr>
          <w:p w:rsidR="00643B72" w:rsidRPr="00A1535A" w:rsidRDefault="00643B72" w:rsidP="005552A8">
            <w:pPr>
              <w:jc w:val="both"/>
              <w:rPr>
                <w:rFonts w:eastAsia="Calibri"/>
                <w:sz w:val="20"/>
              </w:rPr>
            </w:pPr>
            <w:r w:rsidRPr="00A1535A">
              <w:rPr>
                <w:rFonts w:eastAsia="Calibri"/>
                <w:sz w:val="20"/>
              </w:rPr>
              <w:t>Motion for an extension of time to serve and file the application for leave to appeal and application for leave to appeal filed</w:t>
            </w:r>
          </w:p>
        </w:tc>
      </w:tr>
    </w:tbl>
    <w:p w:rsidR="00EC09EE" w:rsidRDefault="00EC09EE" w:rsidP="00EC09EE">
      <w:pPr>
        <w:rPr>
          <w:sz w:val="20"/>
          <w:szCs w:val="20"/>
        </w:rPr>
      </w:pPr>
    </w:p>
    <w:p w:rsidR="00EC09EE" w:rsidRPr="00C50A5C" w:rsidRDefault="007333FF" w:rsidP="00EC09EE">
      <w:pPr>
        <w:rPr>
          <w:sz w:val="20"/>
          <w:szCs w:val="20"/>
        </w:rPr>
      </w:pPr>
      <w:r w:rsidRPr="007333FF">
        <w:rPr>
          <w:sz w:val="20"/>
          <w:szCs w:val="20"/>
          <w:lang w:val="fr-CA"/>
        </w:rPr>
        <w:pict>
          <v:rect id="_x0000_i1088" style="width:2in;height:1pt" o:hrpct="0" o:hralign="center" o:hrstd="t" o:hrnoshade="t" o:hr="t" fillcolor="black [3213]" stroked="f"/>
        </w:pict>
      </w:r>
    </w:p>
    <w:p w:rsidR="00EC09EE" w:rsidRDefault="00EC09EE" w:rsidP="00EC09EE">
      <w:pPr>
        <w:rPr>
          <w:sz w:val="20"/>
          <w:szCs w:val="20"/>
        </w:rPr>
      </w:pPr>
    </w:p>
    <w:p w:rsidR="00EC09EE" w:rsidRPr="001B157C" w:rsidRDefault="00EC09EE" w:rsidP="00EC09EE">
      <w:pPr>
        <w:rPr>
          <w:sz w:val="20"/>
          <w:szCs w:val="20"/>
          <w:u w:val="single"/>
          <w:lang w:val="fr-CA"/>
        </w:rPr>
      </w:pPr>
      <w:r w:rsidRPr="001B157C">
        <w:rPr>
          <w:sz w:val="20"/>
          <w:szCs w:val="20"/>
          <w:u w:val="single"/>
          <w:lang w:val="fr-CA"/>
        </w:rPr>
        <w:t>RÉSUMÉ DE L’AFFAIRE</w:t>
      </w:r>
    </w:p>
    <w:p w:rsidR="00EC09EE" w:rsidRDefault="00EC09EE" w:rsidP="00EC09EE">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643B72" w:rsidRPr="00B6145B" w:rsidTr="005552A8">
        <w:tc>
          <w:tcPr>
            <w:tcW w:w="5000" w:type="pct"/>
            <w:gridSpan w:val="3"/>
          </w:tcPr>
          <w:p w:rsidR="00643B72" w:rsidRPr="00A1535A" w:rsidRDefault="00643B72" w:rsidP="005552A8">
            <w:pPr>
              <w:jc w:val="both"/>
              <w:rPr>
                <w:rFonts w:eastAsia="Calibri"/>
                <w:sz w:val="20"/>
                <w:lang w:val="fr-CA"/>
              </w:rPr>
            </w:pPr>
            <w:r w:rsidRPr="00A1535A">
              <w:rPr>
                <w:rFonts w:eastAsia="Calibri"/>
                <w:i/>
                <w:sz w:val="20"/>
                <w:lang w:val="fr-CA"/>
              </w:rPr>
              <w:t xml:space="preserve">Charte canadienne des droits et libertés </w:t>
            </w:r>
            <w:r w:rsidRPr="00A1535A">
              <w:rPr>
                <w:rFonts w:eastAsia="Calibri"/>
                <w:sz w:val="20"/>
                <w:lang w:val="fr-CA"/>
              </w:rPr>
              <w:t>– Le libellé de l'acte d'accusation était</w:t>
            </w:r>
            <w:r w:rsidRPr="00A1535A">
              <w:rPr>
                <w:rFonts w:eastAsia="Calibri"/>
                <w:sz w:val="20"/>
                <w:lang w:val="fr-CA"/>
              </w:rPr>
              <w:noBreakHyphen/>
              <w:t xml:space="preserve">il suffisant? </w:t>
            </w:r>
            <w:r w:rsidRPr="00A1535A">
              <w:rPr>
                <w:rFonts w:eastAsia="Calibri"/>
                <w:sz w:val="20"/>
                <w:lang w:val="fr-CA"/>
              </w:rPr>
              <w:noBreakHyphen/>
              <w:t xml:space="preserve"> Suffisance des détails dans l’acte d'accusation – Validité de l'acte d'accusation </w:t>
            </w:r>
            <w:r w:rsidRPr="00A1535A">
              <w:rPr>
                <w:rFonts w:eastAsia="Calibri"/>
                <w:sz w:val="20"/>
                <w:lang w:val="fr-CA"/>
              </w:rPr>
              <w:noBreakHyphen/>
              <w:t xml:space="preserve"> Droit à la vie, à la liberté et à la sécurité de la personne – Détention arbitraire – Droit d'être informé des motifs de son arrestation – Droit à l'assistance d'un avocat </w:t>
            </w:r>
            <w:r w:rsidRPr="00A1535A">
              <w:rPr>
                <w:rFonts w:eastAsia="Calibri"/>
                <w:sz w:val="20"/>
                <w:lang w:val="fr-CA"/>
              </w:rPr>
              <w:noBreakHyphen/>
              <w:t xml:space="preserve"> Le demandeur a</w:t>
            </w:r>
            <w:r w:rsidRPr="00A1535A">
              <w:rPr>
                <w:rFonts w:eastAsia="Calibri"/>
                <w:sz w:val="20"/>
                <w:lang w:val="fr-CA"/>
              </w:rPr>
              <w:noBreakHyphen/>
              <w:t>t</w:t>
            </w:r>
            <w:r w:rsidRPr="00A1535A">
              <w:rPr>
                <w:rFonts w:eastAsia="Calibri"/>
                <w:sz w:val="20"/>
                <w:lang w:val="fr-CA"/>
              </w:rPr>
              <w:noBreakHyphen/>
              <w:t xml:space="preserve">il été arbitrairement détenu le 11 février 2006 et les droits que lui garantissent les art. 7, 9 et 24 de la </w:t>
            </w:r>
            <w:r w:rsidRPr="00A1535A">
              <w:rPr>
                <w:rFonts w:eastAsia="Calibri"/>
                <w:i/>
                <w:sz w:val="20"/>
                <w:lang w:val="fr-CA"/>
              </w:rPr>
              <w:t>Charte</w:t>
            </w:r>
            <w:r w:rsidRPr="00A1535A">
              <w:rPr>
                <w:rFonts w:eastAsia="Calibri"/>
                <w:sz w:val="20"/>
                <w:lang w:val="fr-CA"/>
              </w:rPr>
              <w:t xml:space="preserve"> ont</w:t>
            </w:r>
            <w:r w:rsidRPr="00A1535A">
              <w:rPr>
                <w:rFonts w:eastAsia="Calibri"/>
                <w:sz w:val="20"/>
                <w:lang w:val="fr-CA"/>
              </w:rPr>
              <w:noBreakHyphen/>
              <w:t>ils été violés? – Y a</w:t>
            </w:r>
            <w:r w:rsidRPr="00A1535A">
              <w:rPr>
                <w:rFonts w:eastAsia="Calibri"/>
                <w:sz w:val="20"/>
                <w:lang w:val="fr-CA"/>
              </w:rPr>
              <w:noBreakHyphen/>
              <w:t>t</w:t>
            </w:r>
            <w:r w:rsidRPr="00A1535A">
              <w:rPr>
                <w:rFonts w:eastAsia="Calibri"/>
                <w:sz w:val="20"/>
                <w:lang w:val="fr-CA"/>
              </w:rPr>
              <w:noBreakHyphen/>
              <w:t>il eu atteinte aux droits garantis au demandeur par les al. 10</w:t>
            </w:r>
            <w:r w:rsidRPr="00A1535A">
              <w:rPr>
                <w:rFonts w:eastAsia="Calibri"/>
                <w:i/>
                <w:sz w:val="20"/>
                <w:lang w:val="fr-CA"/>
              </w:rPr>
              <w:t>a</w:t>
            </w:r>
            <w:r w:rsidRPr="00A1535A">
              <w:rPr>
                <w:rFonts w:eastAsia="Calibri"/>
                <w:sz w:val="20"/>
                <w:lang w:val="fr-CA"/>
              </w:rPr>
              <w:t>) et 10</w:t>
            </w:r>
            <w:r w:rsidRPr="00A1535A">
              <w:rPr>
                <w:rFonts w:eastAsia="Calibri"/>
                <w:i/>
                <w:sz w:val="20"/>
                <w:lang w:val="fr-CA"/>
              </w:rPr>
              <w:t>b</w:t>
            </w:r>
            <w:r w:rsidRPr="00A1535A">
              <w:rPr>
                <w:rFonts w:eastAsia="Calibri"/>
                <w:sz w:val="20"/>
                <w:lang w:val="fr-CA"/>
              </w:rPr>
              <w:t xml:space="preserve">) de la </w:t>
            </w:r>
            <w:r w:rsidRPr="00A1535A">
              <w:rPr>
                <w:rFonts w:eastAsia="Calibri"/>
                <w:i/>
                <w:sz w:val="20"/>
                <w:lang w:val="fr-CA"/>
              </w:rPr>
              <w:t>Charte</w:t>
            </w:r>
            <w:r w:rsidRPr="00A1535A">
              <w:rPr>
                <w:rFonts w:eastAsia="Calibri"/>
                <w:sz w:val="20"/>
                <w:lang w:val="fr-CA"/>
              </w:rPr>
              <w:t>? – L’agent de la GRC était</w:t>
            </w:r>
            <w:r w:rsidRPr="00A1535A">
              <w:rPr>
                <w:rFonts w:eastAsia="Calibri"/>
                <w:sz w:val="20"/>
                <w:lang w:val="fr-CA"/>
              </w:rPr>
              <w:noBreakHyphen/>
              <w:t>il dans l'exercice légitime de ses fonctions et avait</w:t>
            </w:r>
            <w:r w:rsidRPr="00A1535A">
              <w:rPr>
                <w:rFonts w:eastAsia="Calibri"/>
                <w:sz w:val="20"/>
                <w:lang w:val="fr-CA"/>
              </w:rPr>
              <w:noBreakHyphen/>
              <w:t>il des motifs raisonnables de croire qu'il avait été « agressé » par le demandeur, et ce, sur le fondement de la totalité des faits? – L'agent de la GRC a</w:t>
            </w:r>
            <w:r w:rsidRPr="00A1535A">
              <w:rPr>
                <w:rFonts w:eastAsia="Calibri"/>
                <w:sz w:val="20"/>
                <w:lang w:val="fr-CA"/>
              </w:rPr>
              <w:noBreakHyphen/>
              <w:t>t</w:t>
            </w:r>
            <w:r w:rsidRPr="00A1535A">
              <w:rPr>
                <w:rFonts w:eastAsia="Calibri"/>
                <w:sz w:val="20"/>
                <w:lang w:val="fr-CA"/>
              </w:rPr>
              <w:noBreakHyphen/>
              <w:t xml:space="preserve">il privé le juge de paix de renseignements cruciaux? </w:t>
            </w:r>
            <w:r w:rsidRPr="00A1535A">
              <w:rPr>
                <w:rFonts w:eastAsia="Calibri"/>
                <w:sz w:val="20"/>
                <w:lang w:val="fr-CA"/>
              </w:rPr>
              <w:noBreakHyphen/>
              <w:t xml:space="preserve"> La dénonciation a</w:t>
            </w:r>
            <w:r w:rsidRPr="00A1535A">
              <w:rPr>
                <w:rFonts w:eastAsia="Calibri"/>
                <w:sz w:val="20"/>
                <w:lang w:val="fr-CA"/>
              </w:rPr>
              <w:noBreakHyphen/>
              <w:t>t</w:t>
            </w:r>
            <w:r w:rsidRPr="00A1535A">
              <w:rPr>
                <w:rFonts w:eastAsia="Calibri"/>
                <w:sz w:val="20"/>
                <w:lang w:val="fr-CA"/>
              </w:rPr>
              <w:noBreakHyphen/>
              <w:t xml:space="preserve">elle été faite sous serment en dehors des délais </w:t>
            </w:r>
            <w:r w:rsidRPr="00A1535A">
              <w:rPr>
                <w:rFonts w:eastAsia="Calibri"/>
                <w:sz w:val="20"/>
                <w:lang w:val="fr-CA"/>
              </w:rPr>
              <w:lastRenderedPageBreak/>
              <w:t xml:space="preserve">prévus au par. 786(2) du </w:t>
            </w:r>
            <w:r w:rsidRPr="00A1535A">
              <w:rPr>
                <w:rFonts w:eastAsia="Calibri"/>
                <w:i/>
                <w:sz w:val="20"/>
                <w:lang w:val="fr-CA"/>
              </w:rPr>
              <w:t>Code criminel</w:t>
            </w:r>
            <w:r w:rsidRPr="00A1535A">
              <w:rPr>
                <w:rFonts w:eastAsia="Calibri"/>
                <w:sz w:val="20"/>
                <w:lang w:val="fr-CA"/>
              </w:rPr>
              <w:t xml:space="preserve"> pour une infraction mixte? – Le demandeur avait</w:t>
            </w:r>
            <w:r w:rsidRPr="00A1535A">
              <w:rPr>
                <w:rFonts w:eastAsia="Calibri"/>
                <w:sz w:val="20"/>
                <w:lang w:val="fr-CA"/>
              </w:rPr>
              <w:noBreakHyphen/>
              <w:t xml:space="preserve">il la </w:t>
            </w:r>
            <w:r w:rsidRPr="00A1535A">
              <w:rPr>
                <w:rFonts w:eastAsia="Calibri"/>
                <w:i/>
                <w:sz w:val="20"/>
                <w:lang w:val="fr-CA"/>
              </w:rPr>
              <w:t>mens rea</w:t>
            </w:r>
            <w:r w:rsidRPr="00A1535A">
              <w:rPr>
                <w:rFonts w:eastAsia="Calibri"/>
                <w:sz w:val="20"/>
                <w:lang w:val="fr-CA"/>
              </w:rPr>
              <w:t xml:space="preserve"> suffisante pour avoir commis, comme on l’allègue, les infractions dont il est accusé? – Le demandeur a</w:t>
            </w:r>
            <w:r w:rsidRPr="00A1535A">
              <w:rPr>
                <w:rFonts w:eastAsia="Calibri"/>
                <w:sz w:val="20"/>
                <w:lang w:val="fr-CA"/>
              </w:rPr>
              <w:noBreakHyphen/>
              <w:t>t</w:t>
            </w:r>
            <w:r w:rsidRPr="00A1535A">
              <w:rPr>
                <w:rFonts w:eastAsia="Calibri"/>
                <w:sz w:val="20"/>
                <w:lang w:val="fr-CA"/>
              </w:rPr>
              <w:noBreakHyphen/>
              <w:t>il été traité équitablement et de façon impartiale par le ministère public et le tribunal? – L'affaire soulève</w:t>
            </w:r>
            <w:r w:rsidRPr="00A1535A">
              <w:rPr>
                <w:rFonts w:eastAsia="Calibri"/>
                <w:sz w:val="20"/>
                <w:lang w:val="fr-CA"/>
              </w:rPr>
              <w:noBreakHyphen/>
              <w:t>t</w:t>
            </w:r>
            <w:r w:rsidRPr="00A1535A">
              <w:rPr>
                <w:rFonts w:eastAsia="Calibri"/>
                <w:sz w:val="20"/>
                <w:lang w:val="fr-CA"/>
              </w:rPr>
              <w:noBreakHyphen/>
              <w:t>elle des questions d'importance pour le public?</w:t>
            </w:r>
          </w:p>
        </w:tc>
      </w:tr>
      <w:tr w:rsidR="00643B72" w:rsidRPr="00B6145B" w:rsidTr="005552A8">
        <w:tc>
          <w:tcPr>
            <w:tcW w:w="5000" w:type="pct"/>
            <w:gridSpan w:val="3"/>
          </w:tcPr>
          <w:p w:rsidR="00643B72" w:rsidRPr="00A1535A" w:rsidRDefault="00643B72" w:rsidP="005552A8">
            <w:pPr>
              <w:jc w:val="both"/>
              <w:rPr>
                <w:rFonts w:eastAsia="Calibri"/>
                <w:sz w:val="20"/>
                <w:lang w:val="fr-CA"/>
              </w:rPr>
            </w:pPr>
          </w:p>
        </w:tc>
      </w:tr>
      <w:tr w:rsidR="00643B72" w:rsidRPr="00A1535A" w:rsidTr="005552A8">
        <w:tc>
          <w:tcPr>
            <w:tcW w:w="5000" w:type="pct"/>
            <w:gridSpan w:val="3"/>
          </w:tcPr>
          <w:p w:rsidR="00643B72" w:rsidRPr="00A1535A" w:rsidRDefault="00643B72" w:rsidP="005552A8">
            <w:pPr>
              <w:jc w:val="both"/>
              <w:rPr>
                <w:rFonts w:eastAsia="Calibri"/>
                <w:sz w:val="20"/>
                <w:lang w:val="fr-CA"/>
              </w:rPr>
            </w:pPr>
            <w:r w:rsidRPr="00A1535A">
              <w:rPr>
                <w:rFonts w:eastAsia="Calibri"/>
                <w:sz w:val="20"/>
                <w:lang w:val="fr-CA"/>
              </w:rPr>
              <w:t>Le 11 février 2006, le demandeur a été impliqué dans un affrontement avec un agent de la GRC près de St. Albert. L'agent de la GRC a fait une dénonciation sous serment contre le demandeur, l'accusant de voies de fait à l'égard d'un agent de la paix et d'entrave à un agent de la paix. Le juge de première instance a rejeté la demande d'annulation de l'acte d'accusation présentée par le demandeur. L'appel a été rejeté.</w:t>
            </w:r>
          </w:p>
          <w:p w:rsidR="00643B72" w:rsidRPr="00A1535A" w:rsidRDefault="00643B72" w:rsidP="005552A8">
            <w:pPr>
              <w:jc w:val="both"/>
              <w:rPr>
                <w:rFonts w:eastAsia="Calibri"/>
                <w:sz w:val="20"/>
                <w:lang w:val="fr-CA"/>
              </w:rPr>
            </w:pPr>
          </w:p>
        </w:tc>
      </w:tr>
      <w:tr w:rsidR="00643B72" w:rsidRPr="00B6145B" w:rsidTr="005552A8">
        <w:tc>
          <w:tcPr>
            <w:tcW w:w="2427" w:type="pct"/>
          </w:tcPr>
          <w:p w:rsidR="00643B72" w:rsidRPr="00A1535A" w:rsidRDefault="00643B72" w:rsidP="005552A8">
            <w:pPr>
              <w:jc w:val="both"/>
              <w:rPr>
                <w:rFonts w:eastAsia="Calibri"/>
                <w:sz w:val="20"/>
                <w:lang w:val="fr-CA"/>
              </w:rPr>
            </w:pPr>
            <w:r w:rsidRPr="00A1535A">
              <w:rPr>
                <w:rFonts w:eastAsia="Calibri"/>
                <w:sz w:val="20"/>
                <w:lang w:val="fr-CA"/>
              </w:rPr>
              <w:t>5 juin 2009</w:t>
            </w:r>
          </w:p>
          <w:p w:rsidR="00643B72" w:rsidRPr="00A1535A" w:rsidRDefault="00643B72" w:rsidP="005552A8">
            <w:pPr>
              <w:jc w:val="both"/>
              <w:rPr>
                <w:rFonts w:eastAsia="Calibri"/>
                <w:sz w:val="20"/>
                <w:lang w:val="fr-CA"/>
              </w:rPr>
            </w:pPr>
            <w:r w:rsidRPr="00A1535A">
              <w:rPr>
                <w:rFonts w:eastAsia="Calibri"/>
                <w:sz w:val="20"/>
                <w:lang w:val="fr-CA"/>
              </w:rPr>
              <w:t>Cour du Banc de la Reine de l'Alberta</w:t>
            </w:r>
          </w:p>
          <w:p w:rsidR="00643B72" w:rsidRPr="00A1535A" w:rsidRDefault="00643B72" w:rsidP="005552A8">
            <w:pPr>
              <w:jc w:val="both"/>
              <w:rPr>
                <w:rFonts w:eastAsia="Calibri"/>
                <w:sz w:val="20"/>
                <w:lang w:val="fr-CA"/>
              </w:rPr>
            </w:pPr>
            <w:r w:rsidRPr="00A1535A">
              <w:rPr>
                <w:rFonts w:eastAsia="Calibri"/>
                <w:sz w:val="20"/>
                <w:lang w:val="fr-CA"/>
              </w:rPr>
              <w:t>(Juge Thomas)</w:t>
            </w:r>
          </w:p>
          <w:p w:rsidR="00643B72" w:rsidRPr="00A1535A" w:rsidRDefault="00643B72" w:rsidP="005552A8">
            <w:pPr>
              <w:jc w:val="both"/>
              <w:rPr>
                <w:rFonts w:eastAsia="Calibri"/>
                <w:sz w:val="20"/>
                <w:lang w:val="fr-CA"/>
              </w:rPr>
            </w:pPr>
          </w:p>
        </w:tc>
        <w:tc>
          <w:tcPr>
            <w:tcW w:w="243" w:type="pct"/>
          </w:tcPr>
          <w:p w:rsidR="00643B72" w:rsidRPr="00A1535A" w:rsidRDefault="00643B72" w:rsidP="005552A8">
            <w:pPr>
              <w:jc w:val="both"/>
              <w:rPr>
                <w:rFonts w:eastAsia="Calibri"/>
                <w:sz w:val="20"/>
                <w:lang w:val="fr-CA"/>
              </w:rPr>
            </w:pPr>
          </w:p>
        </w:tc>
        <w:tc>
          <w:tcPr>
            <w:tcW w:w="2330" w:type="pct"/>
          </w:tcPr>
          <w:p w:rsidR="00643B72" w:rsidRPr="00A1535A" w:rsidRDefault="00643B72" w:rsidP="005552A8">
            <w:pPr>
              <w:jc w:val="both"/>
              <w:rPr>
                <w:rFonts w:eastAsia="Calibri"/>
                <w:sz w:val="20"/>
                <w:lang w:val="fr-CA"/>
              </w:rPr>
            </w:pPr>
            <w:r w:rsidRPr="00A1535A">
              <w:rPr>
                <w:rFonts w:eastAsia="Calibri"/>
                <w:sz w:val="20"/>
                <w:lang w:val="fr-CA"/>
              </w:rPr>
              <w:t>Demande d'annulation de l’acte d'accusation présentée par le demandeur, rejetée</w:t>
            </w:r>
          </w:p>
          <w:p w:rsidR="00643B72" w:rsidRPr="00A1535A" w:rsidRDefault="00643B72" w:rsidP="005552A8">
            <w:pPr>
              <w:jc w:val="both"/>
              <w:rPr>
                <w:rFonts w:eastAsia="Calibri"/>
                <w:sz w:val="20"/>
                <w:lang w:val="fr-CA"/>
              </w:rPr>
            </w:pPr>
          </w:p>
        </w:tc>
      </w:tr>
      <w:tr w:rsidR="00643B72" w:rsidRPr="00A1535A" w:rsidTr="005552A8">
        <w:tc>
          <w:tcPr>
            <w:tcW w:w="2427" w:type="pct"/>
          </w:tcPr>
          <w:p w:rsidR="00643B72" w:rsidRPr="00A1535A" w:rsidRDefault="00643B72" w:rsidP="005552A8">
            <w:pPr>
              <w:jc w:val="both"/>
              <w:rPr>
                <w:rFonts w:eastAsia="Calibri"/>
                <w:sz w:val="20"/>
                <w:lang w:val="fr-CA"/>
              </w:rPr>
            </w:pPr>
            <w:r w:rsidRPr="00A1535A">
              <w:rPr>
                <w:rFonts w:eastAsia="Calibri"/>
                <w:sz w:val="20"/>
                <w:lang w:val="fr-CA"/>
              </w:rPr>
              <w:t>23 novembre 2011</w:t>
            </w:r>
          </w:p>
          <w:p w:rsidR="00643B72" w:rsidRPr="00A1535A" w:rsidRDefault="00643B72" w:rsidP="005552A8">
            <w:pPr>
              <w:jc w:val="both"/>
              <w:rPr>
                <w:rFonts w:eastAsia="Calibri"/>
                <w:sz w:val="20"/>
                <w:lang w:val="fr-CA"/>
              </w:rPr>
            </w:pPr>
            <w:r w:rsidRPr="00A1535A">
              <w:rPr>
                <w:rFonts w:eastAsia="Calibri"/>
                <w:sz w:val="20"/>
                <w:lang w:val="fr-CA"/>
              </w:rPr>
              <w:t>Cour d'appel de l'Alberta (Edmonton)</w:t>
            </w:r>
          </w:p>
          <w:p w:rsidR="00643B72" w:rsidRPr="00A1535A" w:rsidRDefault="00643B72" w:rsidP="005552A8">
            <w:pPr>
              <w:jc w:val="both"/>
              <w:rPr>
                <w:rFonts w:eastAsia="Calibri"/>
                <w:sz w:val="20"/>
                <w:lang w:val="fr-CA"/>
              </w:rPr>
            </w:pPr>
            <w:r w:rsidRPr="00A1535A">
              <w:rPr>
                <w:rFonts w:eastAsia="Calibri"/>
                <w:sz w:val="20"/>
                <w:lang w:val="fr-CA"/>
              </w:rPr>
              <w:t>(Juges Picard, Martin et Watson)</w:t>
            </w:r>
          </w:p>
          <w:p w:rsidR="00643B72" w:rsidRPr="00A1535A" w:rsidRDefault="00643B72" w:rsidP="005552A8">
            <w:pPr>
              <w:jc w:val="both"/>
              <w:rPr>
                <w:rFonts w:eastAsia="Calibri"/>
                <w:sz w:val="20"/>
                <w:lang w:val="fr-CA"/>
              </w:rPr>
            </w:pPr>
            <w:r w:rsidRPr="00A1535A">
              <w:rPr>
                <w:rFonts w:eastAsia="Calibri"/>
                <w:sz w:val="20"/>
                <w:lang w:val="fr-CA"/>
              </w:rPr>
              <w:t>Référence neutre : 2011 ABCA 324</w:t>
            </w:r>
          </w:p>
          <w:p w:rsidR="00643B72" w:rsidRPr="00A1535A" w:rsidRDefault="00643B72" w:rsidP="005552A8">
            <w:pPr>
              <w:jc w:val="both"/>
              <w:rPr>
                <w:rFonts w:eastAsia="Calibri"/>
                <w:sz w:val="20"/>
                <w:lang w:val="fr-CA"/>
              </w:rPr>
            </w:pPr>
          </w:p>
        </w:tc>
        <w:tc>
          <w:tcPr>
            <w:tcW w:w="243" w:type="pct"/>
          </w:tcPr>
          <w:p w:rsidR="00643B72" w:rsidRPr="00A1535A" w:rsidRDefault="00643B72" w:rsidP="005552A8">
            <w:pPr>
              <w:jc w:val="both"/>
              <w:rPr>
                <w:rFonts w:eastAsia="Calibri"/>
                <w:sz w:val="20"/>
                <w:lang w:val="fr-CA"/>
              </w:rPr>
            </w:pPr>
          </w:p>
        </w:tc>
        <w:tc>
          <w:tcPr>
            <w:tcW w:w="2330" w:type="pct"/>
          </w:tcPr>
          <w:p w:rsidR="00643B72" w:rsidRPr="00A1535A" w:rsidRDefault="00643B72" w:rsidP="005552A8">
            <w:pPr>
              <w:jc w:val="both"/>
              <w:rPr>
                <w:rFonts w:eastAsia="Calibri"/>
                <w:sz w:val="20"/>
                <w:lang w:val="fr-CA"/>
              </w:rPr>
            </w:pPr>
            <w:r w:rsidRPr="00A1535A">
              <w:rPr>
                <w:rFonts w:eastAsia="Calibri"/>
                <w:sz w:val="20"/>
                <w:lang w:val="fr-CA"/>
              </w:rPr>
              <w:t>Appel rejeté</w:t>
            </w:r>
          </w:p>
          <w:p w:rsidR="00643B72" w:rsidRPr="00A1535A" w:rsidRDefault="00643B72" w:rsidP="005552A8">
            <w:pPr>
              <w:jc w:val="both"/>
              <w:rPr>
                <w:rFonts w:eastAsia="Calibri"/>
                <w:sz w:val="20"/>
                <w:lang w:val="fr-CA"/>
              </w:rPr>
            </w:pPr>
          </w:p>
        </w:tc>
      </w:tr>
      <w:tr w:rsidR="00643B72" w:rsidRPr="00B6145B" w:rsidTr="005552A8">
        <w:tc>
          <w:tcPr>
            <w:tcW w:w="2427" w:type="pct"/>
          </w:tcPr>
          <w:p w:rsidR="00643B72" w:rsidRPr="00A1535A" w:rsidRDefault="00643B72" w:rsidP="005552A8">
            <w:pPr>
              <w:jc w:val="both"/>
              <w:rPr>
                <w:rFonts w:eastAsia="Calibri"/>
                <w:sz w:val="20"/>
                <w:lang w:val="fr-CA"/>
              </w:rPr>
            </w:pPr>
            <w:r w:rsidRPr="00A1535A">
              <w:rPr>
                <w:rFonts w:eastAsia="Calibri"/>
                <w:sz w:val="20"/>
                <w:lang w:val="fr-CA"/>
              </w:rPr>
              <w:t>6 février 2012</w:t>
            </w:r>
          </w:p>
          <w:p w:rsidR="00643B72" w:rsidRPr="00A1535A" w:rsidRDefault="00643B72" w:rsidP="005552A8">
            <w:pPr>
              <w:jc w:val="both"/>
              <w:rPr>
                <w:rFonts w:eastAsia="Calibri"/>
                <w:sz w:val="20"/>
                <w:lang w:val="fr-CA"/>
              </w:rPr>
            </w:pPr>
            <w:r w:rsidRPr="00A1535A">
              <w:rPr>
                <w:rFonts w:eastAsia="Calibri"/>
                <w:sz w:val="20"/>
                <w:lang w:val="fr-CA"/>
              </w:rPr>
              <w:t>Cour suprême du Canada</w:t>
            </w:r>
          </w:p>
          <w:p w:rsidR="00643B72" w:rsidRPr="00A1535A" w:rsidRDefault="00643B72" w:rsidP="005552A8">
            <w:pPr>
              <w:jc w:val="both"/>
              <w:rPr>
                <w:rFonts w:eastAsia="Calibri"/>
                <w:sz w:val="20"/>
                <w:lang w:val="fr-CA"/>
              </w:rPr>
            </w:pPr>
          </w:p>
        </w:tc>
        <w:tc>
          <w:tcPr>
            <w:tcW w:w="243" w:type="pct"/>
          </w:tcPr>
          <w:p w:rsidR="00643B72" w:rsidRPr="00A1535A" w:rsidRDefault="00643B72" w:rsidP="005552A8">
            <w:pPr>
              <w:jc w:val="both"/>
              <w:rPr>
                <w:rFonts w:eastAsia="Calibri"/>
                <w:sz w:val="20"/>
                <w:lang w:val="fr-CA"/>
              </w:rPr>
            </w:pPr>
          </w:p>
        </w:tc>
        <w:tc>
          <w:tcPr>
            <w:tcW w:w="2330" w:type="pct"/>
          </w:tcPr>
          <w:p w:rsidR="00643B72" w:rsidRPr="00A1535A" w:rsidRDefault="00643B72" w:rsidP="005552A8">
            <w:pPr>
              <w:jc w:val="both"/>
              <w:rPr>
                <w:rFonts w:eastAsia="Calibri"/>
                <w:sz w:val="20"/>
                <w:lang w:val="fr-CA"/>
              </w:rPr>
            </w:pPr>
            <w:r w:rsidRPr="00A1535A">
              <w:rPr>
                <w:rFonts w:eastAsia="Calibri"/>
                <w:sz w:val="20"/>
                <w:lang w:val="fr-CA"/>
              </w:rPr>
              <w:t xml:space="preserve">Requête en prorogation du délai de signification et de dépôt de la demande d'autorisation d'appel et demande d'autorisation d'appel, déposées </w:t>
            </w:r>
          </w:p>
        </w:tc>
      </w:tr>
    </w:tbl>
    <w:p w:rsidR="00EC09EE" w:rsidRPr="00643B72" w:rsidRDefault="00EC09EE" w:rsidP="00EC09EE">
      <w:pPr>
        <w:rPr>
          <w:sz w:val="20"/>
          <w:szCs w:val="20"/>
          <w:lang w:val="fr-CA"/>
        </w:rPr>
      </w:pPr>
    </w:p>
    <w:p w:rsidR="00EC09EE" w:rsidRDefault="007333FF" w:rsidP="00EC09EE">
      <w:pPr>
        <w:rPr>
          <w:sz w:val="20"/>
          <w:szCs w:val="20"/>
        </w:rPr>
      </w:pPr>
      <w:r w:rsidRPr="007333FF">
        <w:rPr>
          <w:sz w:val="20"/>
          <w:szCs w:val="20"/>
          <w:lang w:val="fr-CA"/>
        </w:rPr>
        <w:pict>
          <v:rect id="_x0000_i1089" style="width:2in;height:1pt" o:hrpct="0" o:hralign="center" o:hrstd="t" o:hrnoshade="t" o:hr="t" fillcolor="black [3213]" stroked="f"/>
        </w:pict>
      </w:r>
    </w:p>
    <w:p w:rsidR="00EC09EE" w:rsidRDefault="00EC09EE" w:rsidP="00EC09E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E46AB" w:rsidRPr="000F116A" w:rsidTr="00D40817">
        <w:trPr>
          <w:cantSplit/>
        </w:trPr>
        <w:tc>
          <w:tcPr>
            <w:tcW w:w="1458" w:type="dxa"/>
          </w:tcPr>
          <w:p w:rsidR="007E46AB" w:rsidRPr="000F116A" w:rsidRDefault="007E46AB" w:rsidP="00D40817">
            <w:pPr>
              <w:rPr>
                <w:sz w:val="20"/>
                <w:szCs w:val="20"/>
              </w:rPr>
            </w:pPr>
            <w:r w:rsidRPr="000F116A">
              <w:rPr>
                <w:rStyle w:val="SCCFileNumberChar"/>
                <w:sz w:val="20"/>
                <w:szCs w:val="20"/>
              </w:rPr>
              <w:t>34695</w:t>
            </w:r>
          </w:p>
          <w:p w:rsidR="007E46AB" w:rsidRPr="000F116A" w:rsidRDefault="007E46AB" w:rsidP="00D40817">
            <w:pPr>
              <w:rPr>
                <w:b/>
                <w:sz w:val="20"/>
                <w:szCs w:val="20"/>
                <w:lang w:val="fr-CA"/>
              </w:rPr>
            </w:pPr>
          </w:p>
        </w:tc>
        <w:tc>
          <w:tcPr>
            <w:tcW w:w="8118" w:type="dxa"/>
          </w:tcPr>
          <w:p w:rsidR="007E46AB" w:rsidRPr="000F116A" w:rsidRDefault="007E46AB" w:rsidP="00D40817">
            <w:pPr>
              <w:rPr>
                <w:sz w:val="20"/>
                <w:szCs w:val="20"/>
              </w:rPr>
            </w:pPr>
            <w:r w:rsidRPr="000F116A">
              <w:rPr>
                <w:rStyle w:val="SCCLsocChar"/>
                <w:sz w:val="20"/>
                <w:szCs w:val="20"/>
                <w:lang w:val="en-CA"/>
              </w:rPr>
              <w:t>Mohamad Tohl v. Her Majesty the Queen</w:t>
            </w:r>
            <w:r w:rsidRPr="000F116A">
              <w:rPr>
                <w:sz w:val="20"/>
                <w:szCs w:val="20"/>
              </w:rPr>
              <w:t xml:space="preserve"> (Ont.) (Criminal) (By Leave)</w:t>
            </w:r>
          </w:p>
          <w:p w:rsidR="007E46AB" w:rsidRPr="000F116A" w:rsidRDefault="007E46AB" w:rsidP="00D40817">
            <w:pPr>
              <w:rPr>
                <w:sz w:val="20"/>
                <w:szCs w:val="20"/>
              </w:rPr>
            </w:pPr>
          </w:p>
        </w:tc>
      </w:tr>
      <w:tr w:rsidR="007E46AB" w:rsidRPr="000F116A" w:rsidTr="00D40817">
        <w:trPr>
          <w:cantSplit/>
        </w:trPr>
        <w:tc>
          <w:tcPr>
            <w:tcW w:w="1458" w:type="dxa"/>
          </w:tcPr>
          <w:p w:rsidR="007E46AB" w:rsidRPr="000F116A" w:rsidRDefault="007E46AB" w:rsidP="00D40817">
            <w:pPr>
              <w:rPr>
                <w:sz w:val="20"/>
                <w:szCs w:val="20"/>
              </w:rPr>
            </w:pPr>
            <w:r w:rsidRPr="000F116A">
              <w:rPr>
                <w:sz w:val="20"/>
                <w:szCs w:val="20"/>
              </w:rPr>
              <w:t>Coram :</w:t>
            </w:r>
          </w:p>
        </w:tc>
        <w:tc>
          <w:tcPr>
            <w:tcW w:w="8118" w:type="dxa"/>
          </w:tcPr>
          <w:p w:rsidR="007E46AB" w:rsidRPr="000F116A" w:rsidRDefault="007E46AB" w:rsidP="00D40817">
            <w:pPr>
              <w:rPr>
                <w:sz w:val="20"/>
                <w:szCs w:val="20"/>
              </w:rPr>
            </w:pPr>
            <w:r w:rsidRPr="000F116A">
              <w:rPr>
                <w:rStyle w:val="SCCCoramChar"/>
                <w:sz w:val="20"/>
                <w:szCs w:val="20"/>
                <w:lang w:val="en-CA"/>
              </w:rPr>
              <w:t>McLachlin C.J. and Rothstein and Moldaver JJ.</w:t>
            </w:r>
          </w:p>
          <w:p w:rsidR="007E46AB" w:rsidRPr="000F116A" w:rsidRDefault="007E46AB" w:rsidP="00D40817">
            <w:pPr>
              <w:rPr>
                <w:sz w:val="20"/>
                <w:szCs w:val="20"/>
                <w:u w:val="single"/>
              </w:rPr>
            </w:pPr>
          </w:p>
        </w:tc>
      </w:tr>
      <w:tr w:rsidR="007E46AB" w:rsidRPr="00B6145B" w:rsidTr="00D40817">
        <w:trPr>
          <w:cantSplit/>
        </w:trPr>
        <w:tc>
          <w:tcPr>
            <w:tcW w:w="9576" w:type="dxa"/>
            <w:gridSpan w:val="2"/>
          </w:tcPr>
          <w:p w:rsidR="007E46AB" w:rsidRPr="000F116A" w:rsidRDefault="007E46AB" w:rsidP="00D40817">
            <w:pPr>
              <w:pStyle w:val="SCCShortJudgment"/>
              <w:rPr>
                <w:szCs w:val="20"/>
              </w:rPr>
            </w:pPr>
            <w:r w:rsidRPr="000F116A">
              <w:rPr>
                <w:szCs w:val="20"/>
              </w:rPr>
              <w:t>The application for leave to appeal from the judgment of the Court of Appeal for Ontario, Number C52458, 2012 ONCA 9, dated January 6, 2012, is dismissed without costs.</w:t>
            </w:r>
          </w:p>
          <w:p w:rsidR="007E46AB" w:rsidRPr="000F116A" w:rsidRDefault="007E46AB" w:rsidP="00D40817">
            <w:pPr>
              <w:pStyle w:val="SCCShortJudgment"/>
              <w:ind w:firstLine="0"/>
              <w:rPr>
                <w:szCs w:val="20"/>
              </w:rPr>
            </w:pPr>
          </w:p>
          <w:p w:rsidR="007E46AB" w:rsidRPr="000F116A" w:rsidRDefault="007E46AB" w:rsidP="00D40817">
            <w:pPr>
              <w:pStyle w:val="SCCShortJudgment"/>
              <w:rPr>
                <w:szCs w:val="20"/>
                <w:lang w:val="fr-CA"/>
              </w:rPr>
            </w:pPr>
            <w:r w:rsidRPr="000F116A">
              <w:rPr>
                <w:szCs w:val="20"/>
                <w:lang w:val="fr-CA"/>
              </w:rPr>
              <w:t>La demande d’autorisation d’appel de l’arrêt de la Cour d’appel de l’Ontario, numéro C52458, 2012 ONCA 9, daté du 6 janvier 2012, est rejetée sans dépens.</w:t>
            </w:r>
          </w:p>
        </w:tc>
      </w:tr>
    </w:tbl>
    <w:p w:rsidR="00EC09EE" w:rsidRPr="00F40E20" w:rsidRDefault="00EC09EE" w:rsidP="00EC09EE">
      <w:pPr>
        <w:rPr>
          <w:sz w:val="20"/>
          <w:szCs w:val="20"/>
          <w:lang w:val="fr-CA"/>
        </w:rPr>
      </w:pPr>
    </w:p>
    <w:p w:rsidR="00EC09EE" w:rsidRPr="001B157C" w:rsidRDefault="00EC09EE" w:rsidP="00EC09EE">
      <w:pPr>
        <w:rPr>
          <w:sz w:val="20"/>
          <w:szCs w:val="20"/>
          <w:u w:val="single"/>
        </w:rPr>
      </w:pPr>
      <w:r w:rsidRPr="001B157C">
        <w:rPr>
          <w:sz w:val="20"/>
          <w:szCs w:val="20"/>
          <w:u w:val="single"/>
        </w:rPr>
        <w:t>CASE SUMMARY</w:t>
      </w:r>
    </w:p>
    <w:p w:rsidR="00EC09EE" w:rsidRDefault="00EC09EE" w:rsidP="00EC09E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43B72" w:rsidRPr="00A1535A" w:rsidTr="005552A8">
        <w:tc>
          <w:tcPr>
            <w:tcW w:w="5000" w:type="pct"/>
            <w:gridSpan w:val="3"/>
          </w:tcPr>
          <w:p w:rsidR="00643B72" w:rsidRPr="00A1535A" w:rsidRDefault="00643B72" w:rsidP="005552A8">
            <w:pPr>
              <w:jc w:val="both"/>
              <w:rPr>
                <w:rFonts w:eastAsia="Calibri"/>
                <w:sz w:val="20"/>
              </w:rPr>
            </w:pPr>
            <w:r w:rsidRPr="00A1535A">
              <w:rPr>
                <w:rFonts w:eastAsia="Calibri"/>
                <w:sz w:val="20"/>
              </w:rPr>
              <w:t>Criminal law – Search and seizure – Narcotics – Possession for purpose of trafficking – Possession of proceeds of crime – Whether a search warrant affiant can rely on stale-dated facts obtained during the course of a prior investigation which led to the suspect’s arrest, without any regard for its current accuracy or for the particular premises targeted – What is the temporal nexus required for the issuance of a search warrant, and in particular, for information relating to prior disreputable conduct? – Whether an affiant can rely on information obtained in relation to a prior arrest or charge of the same suspect to establish the requisite grounds to believe that evidence will be found in the place to be searched.</w:t>
            </w:r>
          </w:p>
        </w:tc>
      </w:tr>
      <w:tr w:rsidR="00643B72" w:rsidRPr="00A1535A" w:rsidTr="005552A8">
        <w:tc>
          <w:tcPr>
            <w:tcW w:w="5000" w:type="pct"/>
            <w:gridSpan w:val="3"/>
          </w:tcPr>
          <w:p w:rsidR="00643B72" w:rsidRPr="00A1535A" w:rsidRDefault="00643B72" w:rsidP="005552A8">
            <w:pPr>
              <w:jc w:val="both"/>
              <w:rPr>
                <w:rFonts w:eastAsia="Calibri"/>
                <w:sz w:val="20"/>
              </w:rPr>
            </w:pPr>
          </w:p>
        </w:tc>
      </w:tr>
      <w:tr w:rsidR="00643B72" w:rsidRPr="00A1535A" w:rsidTr="005552A8">
        <w:tc>
          <w:tcPr>
            <w:tcW w:w="5000" w:type="pct"/>
            <w:gridSpan w:val="3"/>
          </w:tcPr>
          <w:p w:rsidR="00643B72" w:rsidRPr="00A1535A" w:rsidRDefault="00643B72" w:rsidP="005552A8">
            <w:pPr>
              <w:jc w:val="both"/>
              <w:rPr>
                <w:rFonts w:eastAsia="Calibri"/>
                <w:sz w:val="20"/>
              </w:rPr>
            </w:pPr>
            <w:r w:rsidRPr="00A1535A">
              <w:rPr>
                <w:rFonts w:eastAsia="Calibri"/>
                <w:sz w:val="20"/>
              </w:rPr>
              <w:t xml:space="preserve">The applicant, Mr. Tohl, was convicted of possession of cocaine and marihuana for the purposes of trafficking, and of possession of proceeds of crime. He appealed his convictions, arguing that (1) there were insufficient grounds to issue the search warrant in respect of his residence, and (2) that the search warrant which had been issued in Quebec had been endorsed in Ontario without the proper record being placed before the endorsing justice of the peace. The Court </w:t>
            </w:r>
            <w:r w:rsidRPr="00A1535A">
              <w:rPr>
                <w:rFonts w:eastAsia="Calibri"/>
                <w:sz w:val="20"/>
              </w:rPr>
              <w:lastRenderedPageBreak/>
              <w:t>of Appeal rejected both arguments and dismissed the appeal.</w:t>
            </w:r>
          </w:p>
          <w:p w:rsidR="00643B72" w:rsidRPr="00A1535A" w:rsidRDefault="00643B72" w:rsidP="005552A8">
            <w:pPr>
              <w:jc w:val="both"/>
              <w:rPr>
                <w:rFonts w:eastAsia="Calibri"/>
                <w:sz w:val="20"/>
              </w:rPr>
            </w:pPr>
          </w:p>
        </w:tc>
      </w:tr>
      <w:tr w:rsidR="00643B72" w:rsidRPr="00A1535A" w:rsidTr="005552A8">
        <w:tc>
          <w:tcPr>
            <w:tcW w:w="2427" w:type="pct"/>
          </w:tcPr>
          <w:p w:rsidR="00643B72" w:rsidRPr="00A1535A" w:rsidRDefault="00643B72" w:rsidP="005552A8">
            <w:pPr>
              <w:jc w:val="both"/>
              <w:rPr>
                <w:rFonts w:eastAsia="Calibri"/>
                <w:sz w:val="20"/>
              </w:rPr>
            </w:pPr>
            <w:r w:rsidRPr="00A1535A">
              <w:rPr>
                <w:rFonts w:eastAsia="Calibri"/>
                <w:sz w:val="20"/>
              </w:rPr>
              <w:lastRenderedPageBreak/>
              <w:t>June 25, 2010</w:t>
            </w:r>
          </w:p>
          <w:p w:rsidR="00643B72" w:rsidRPr="00A1535A" w:rsidRDefault="00643B72" w:rsidP="005552A8">
            <w:pPr>
              <w:jc w:val="both"/>
              <w:rPr>
                <w:rFonts w:eastAsia="Calibri"/>
                <w:sz w:val="20"/>
              </w:rPr>
            </w:pPr>
            <w:r w:rsidRPr="00A1535A">
              <w:rPr>
                <w:rFonts w:eastAsia="Calibri"/>
                <w:sz w:val="20"/>
              </w:rPr>
              <w:t>Ontario Superior Court of Justice</w:t>
            </w:r>
          </w:p>
          <w:p w:rsidR="00643B72" w:rsidRPr="00A1535A" w:rsidRDefault="00643B72" w:rsidP="005552A8">
            <w:pPr>
              <w:jc w:val="both"/>
              <w:rPr>
                <w:rFonts w:eastAsia="Calibri"/>
                <w:sz w:val="20"/>
              </w:rPr>
            </w:pPr>
            <w:r w:rsidRPr="00A1535A">
              <w:rPr>
                <w:rFonts w:eastAsia="Calibri"/>
                <w:sz w:val="20"/>
              </w:rPr>
              <w:t>(Charbonneau J.)</w:t>
            </w:r>
          </w:p>
          <w:p w:rsidR="00643B72" w:rsidRPr="00A1535A" w:rsidRDefault="00643B72" w:rsidP="005552A8">
            <w:pPr>
              <w:jc w:val="both"/>
              <w:rPr>
                <w:rFonts w:eastAsia="Calibri"/>
                <w:sz w:val="20"/>
              </w:rPr>
            </w:pPr>
          </w:p>
        </w:tc>
        <w:tc>
          <w:tcPr>
            <w:tcW w:w="243" w:type="pct"/>
          </w:tcPr>
          <w:p w:rsidR="00643B72" w:rsidRPr="00A1535A" w:rsidRDefault="00643B72" w:rsidP="005552A8">
            <w:pPr>
              <w:jc w:val="both"/>
              <w:rPr>
                <w:rFonts w:eastAsia="Calibri"/>
                <w:sz w:val="20"/>
              </w:rPr>
            </w:pPr>
          </w:p>
        </w:tc>
        <w:tc>
          <w:tcPr>
            <w:tcW w:w="2330" w:type="pct"/>
          </w:tcPr>
          <w:p w:rsidR="00643B72" w:rsidRPr="00A1535A" w:rsidRDefault="00643B72" w:rsidP="005552A8">
            <w:pPr>
              <w:jc w:val="both"/>
              <w:rPr>
                <w:rFonts w:eastAsia="Calibri"/>
                <w:sz w:val="20"/>
              </w:rPr>
            </w:pPr>
            <w:r w:rsidRPr="00A1535A">
              <w:rPr>
                <w:rFonts w:eastAsia="Calibri"/>
                <w:sz w:val="20"/>
              </w:rPr>
              <w:t>Applicant convicted of possession of cocaine and marihuana for purposes of trafficking, and of possession of proceeds of crime</w:t>
            </w:r>
          </w:p>
          <w:p w:rsidR="00643B72" w:rsidRPr="00A1535A" w:rsidRDefault="00643B72" w:rsidP="005552A8">
            <w:pPr>
              <w:jc w:val="both"/>
              <w:rPr>
                <w:rFonts w:eastAsia="Calibri"/>
                <w:sz w:val="20"/>
              </w:rPr>
            </w:pPr>
          </w:p>
        </w:tc>
      </w:tr>
      <w:tr w:rsidR="00643B72" w:rsidRPr="00A1535A" w:rsidTr="005552A8">
        <w:tc>
          <w:tcPr>
            <w:tcW w:w="2427" w:type="pct"/>
          </w:tcPr>
          <w:p w:rsidR="00643B72" w:rsidRPr="00A1535A" w:rsidRDefault="00643B72" w:rsidP="005552A8">
            <w:pPr>
              <w:jc w:val="both"/>
              <w:rPr>
                <w:rFonts w:eastAsia="Calibri"/>
                <w:sz w:val="20"/>
              </w:rPr>
            </w:pPr>
            <w:r w:rsidRPr="00A1535A">
              <w:rPr>
                <w:rFonts w:eastAsia="Calibri"/>
                <w:sz w:val="20"/>
              </w:rPr>
              <w:t>January 6, 2012</w:t>
            </w:r>
          </w:p>
          <w:p w:rsidR="00643B72" w:rsidRPr="00A1535A" w:rsidRDefault="00643B72" w:rsidP="005552A8">
            <w:pPr>
              <w:jc w:val="both"/>
              <w:rPr>
                <w:rFonts w:eastAsia="Calibri"/>
                <w:sz w:val="20"/>
              </w:rPr>
            </w:pPr>
            <w:r w:rsidRPr="00A1535A">
              <w:rPr>
                <w:rFonts w:eastAsia="Calibri"/>
                <w:sz w:val="20"/>
              </w:rPr>
              <w:t>Court of Appeal for Ontario</w:t>
            </w:r>
          </w:p>
          <w:p w:rsidR="00643B72" w:rsidRPr="00A1535A" w:rsidRDefault="00643B72" w:rsidP="005552A8">
            <w:pPr>
              <w:jc w:val="both"/>
              <w:rPr>
                <w:rFonts w:eastAsia="Calibri"/>
                <w:sz w:val="20"/>
              </w:rPr>
            </w:pPr>
            <w:r w:rsidRPr="00A1535A">
              <w:rPr>
                <w:rFonts w:eastAsia="Calibri"/>
                <w:sz w:val="20"/>
              </w:rPr>
              <w:t>(Sharpe, Blair and Rouleau JJ.A.)</w:t>
            </w:r>
          </w:p>
          <w:p w:rsidR="00643B72" w:rsidRPr="00A1535A" w:rsidRDefault="00643B72" w:rsidP="005552A8">
            <w:pPr>
              <w:jc w:val="both"/>
              <w:rPr>
                <w:rFonts w:eastAsia="Calibri"/>
                <w:sz w:val="20"/>
              </w:rPr>
            </w:pPr>
            <w:r w:rsidRPr="00A1535A">
              <w:rPr>
                <w:rFonts w:eastAsia="Calibri"/>
                <w:sz w:val="20"/>
              </w:rPr>
              <w:t>2012 ONCA 9</w:t>
            </w:r>
          </w:p>
          <w:p w:rsidR="00643B72" w:rsidRPr="00A1535A" w:rsidRDefault="00643B72" w:rsidP="005552A8">
            <w:pPr>
              <w:jc w:val="both"/>
              <w:rPr>
                <w:rFonts w:eastAsia="Calibri"/>
                <w:sz w:val="20"/>
                <w:lang w:val="fr-CA"/>
              </w:rPr>
            </w:pPr>
          </w:p>
        </w:tc>
        <w:tc>
          <w:tcPr>
            <w:tcW w:w="243" w:type="pct"/>
          </w:tcPr>
          <w:p w:rsidR="00643B72" w:rsidRPr="00A1535A" w:rsidRDefault="00643B72" w:rsidP="005552A8">
            <w:pPr>
              <w:jc w:val="both"/>
              <w:rPr>
                <w:rFonts w:eastAsia="Calibri"/>
                <w:sz w:val="20"/>
                <w:lang w:val="fr-CA"/>
              </w:rPr>
            </w:pPr>
          </w:p>
        </w:tc>
        <w:tc>
          <w:tcPr>
            <w:tcW w:w="2330" w:type="pct"/>
          </w:tcPr>
          <w:p w:rsidR="00643B72" w:rsidRPr="00A1535A" w:rsidRDefault="00643B72" w:rsidP="005552A8">
            <w:pPr>
              <w:jc w:val="both"/>
              <w:rPr>
                <w:rFonts w:eastAsia="Calibri"/>
                <w:sz w:val="20"/>
              </w:rPr>
            </w:pPr>
            <w:r w:rsidRPr="00A1535A">
              <w:rPr>
                <w:rFonts w:eastAsia="Calibri"/>
                <w:sz w:val="20"/>
              </w:rPr>
              <w:t>Appeal dismissed</w:t>
            </w:r>
          </w:p>
          <w:p w:rsidR="00643B72" w:rsidRPr="00A1535A" w:rsidRDefault="00643B72" w:rsidP="005552A8">
            <w:pPr>
              <w:jc w:val="both"/>
              <w:rPr>
                <w:rFonts w:eastAsia="Calibri"/>
                <w:sz w:val="20"/>
              </w:rPr>
            </w:pPr>
          </w:p>
        </w:tc>
      </w:tr>
      <w:tr w:rsidR="00643B72" w:rsidRPr="00A1535A" w:rsidTr="005552A8">
        <w:tc>
          <w:tcPr>
            <w:tcW w:w="2427" w:type="pct"/>
          </w:tcPr>
          <w:p w:rsidR="00643B72" w:rsidRPr="00A1535A" w:rsidRDefault="00643B72" w:rsidP="005552A8">
            <w:pPr>
              <w:jc w:val="both"/>
              <w:rPr>
                <w:rFonts w:eastAsia="Calibri"/>
                <w:sz w:val="20"/>
              </w:rPr>
            </w:pPr>
            <w:r w:rsidRPr="00A1535A">
              <w:rPr>
                <w:rFonts w:eastAsia="Calibri"/>
                <w:sz w:val="20"/>
              </w:rPr>
              <w:t>March 5, 2012</w:t>
            </w:r>
          </w:p>
          <w:p w:rsidR="00643B72" w:rsidRPr="00A1535A" w:rsidRDefault="00643B72" w:rsidP="005552A8">
            <w:pPr>
              <w:jc w:val="both"/>
              <w:rPr>
                <w:rFonts w:eastAsia="Calibri"/>
                <w:sz w:val="20"/>
              </w:rPr>
            </w:pPr>
            <w:r w:rsidRPr="00A1535A">
              <w:rPr>
                <w:rFonts w:eastAsia="Calibri"/>
                <w:sz w:val="20"/>
              </w:rPr>
              <w:t>Supreme Court of Canada</w:t>
            </w:r>
          </w:p>
        </w:tc>
        <w:tc>
          <w:tcPr>
            <w:tcW w:w="243" w:type="pct"/>
          </w:tcPr>
          <w:p w:rsidR="00643B72" w:rsidRPr="00A1535A" w:rsidRDefault="00643B72" w:rsidP="005552A8">
            <w:pPr>
              <w:jc w:val="both"/>
              <w:rPr>
                <w:rFonts w:eastAsia="Calibri"/>
                <w:sz w:val="20"/>
              </w:rPr>
            </w:pPr>
          </w:p>
        </w:tc>
        <w:tc>
          <w:tcPr>
            <w:tcW w:w="2330" w:type="pct"/>
          </w:tcPr>
          <w:p w:rsidR="00643B72" w:rsidRPr="00A1535A" w:rsidRDefault="00643B72" w:rsidP="005552A8">
            <w:pPr>
              <w:jc w:val="both"/>
              <w:rPr>
                <w:rFonts w:eastAsia="Calibri"/>
                <w:sz w:val="20"/>
              </w:rPr>
            </w:pPr>
            <w:r w:rsidRPr="00A1535A">
              <w:rPr>
                <w:rFonts w:eastAsia="Calibri"/>
                <w:sz w:val="20"/>
              </w:rPr>
              <w:t>Application for leave to appeal filed</w:t>
            </w:r>
          </w:p>
        </w:tc>
      </w:tr>
    </w:tbl>
    <w:p w:rsidR="00EC09EE" w:rsidRDefault="00EC09EE" w:rsidP="00EC09EE">
      <w:pPr>
        <w:rPr>
          <w:sz w:val="20"/>
          <w:szCs w:val="20"/>
        </w:rPr>
      </w:pPr>
    </w:p>
    <w:p w:rsidR="00EC09EE" w:rsidRPr="00C50A5C" w:rsidRDefault="007333FF" w:rsidP="00EC09EE">
      <w:pPr>
        <w:rPr>
          <w:sz w:val="20"/>
          <w:szCs w:val="20"/>
        </w:rPr>
      </w:pPr>
      <w:r w:rsidRPr="007333FF">
        <w:rPr>
          <w:sz w:val="20"/>
          <w:szCs w:val="20"/>
          <w:lang w:val="fr-CA"/>
        </w:rPr>
        <w:pict>
          <v:rect id="_x0000_i1090" style="width:2in;height:1pt" o:hrpct="0" o:hralign="center" o:hrstd="t" o:hrnoshade="t" o:hr="t" fillcolor="black [3213]" stroked="f"/>
        </w:pict>
      </w:r>
    </w:p>
    <w:p w:rsidR="00EC09EE" w:rsidRDefault="00EC09EE" w:rsidP="00EC09EE">
      <w:pPr>
        <w:rPr>
          <w:sz w:val="20"/>
          <w:szCs w:val="20"/>
        </w:rPr>
      </w:pPr>
    </w:p>
    <w:p w:rsidR="00EC09EE" w:rsidRPr="001B157C" w:rsidRDefault="00EC09EE" w:rsidP="00EC09EE">
      <w:pPr>
        <w:rPr>
          <w:sz w:val="20"/>
          <w:szCs w:val="20"/>
          <w:u w:val="single"/>
          <w:lang w:val="fr-CA"/>
        </w:rPr>
      </w:pPr>
      <w:r w:rsidRPr="001B157C">
        <w:rPr>
          <w:sz w:val="20"/>
          <w:szCs w:val="20"/>
          <w:u w:val="single"/>
          <w:lang w:val="fr-CA"/>
        </w:rPr>
        <w:t>RÉSUMÉ DE L’AFFAIRE</w:t>
      </w:r>
    </w:p>
    <w:p w:rsidR="00EC09EE" w:rsidRDefault="00EC09EE" w:rsidP="00EC09EE">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643B72" w:rsidRPr="00B6145B" w:rsidTr="005552A8">
        <w:tc>
          <w:tcPr>
            <w:tcW w:w="5000" w:type="pct"/>
            <w:gridSpan w:val="3"/>
          </w:tcPr>
          <w:p w:rsidR="00643B72" w:rsidRPr="00A1535A" w:rsidRDefault="00643B72" w:rsidP="005552A8">
            <w:pPr>
              <w:jc w:val="both"/>
              <w:rPr>
                <w:rFonts w:eastAsia="Calibri"/>
                <w:sz w:val="20"/>
                <w:lang w:val="fr-CA"/>
              </w:rPr>
            </w:pPr>
            <w:r w:rsidRPr="00A1535A">
              <w:rPr>
                <w:rFonts w:eastAsia="Calibri"/>
                <w:sz w:val="20"/>
                <w:lang w:val="fr-CA"/>
              </w:rPr>
              <w:t>Droit criminel – Fouilles et perquisitions – Stupéfiants – Possession en vue du trafic – Possession de produits de la criminalité – Le déposant d'un mandat de perquisition peut-il s'appuyer sur des faits périmés obtenus dans le cadre d'une enquête antérieure qui a mené à l'arrestation du suspect, sans égard à son exactitude actuelle ou aux locaux particuliers ciblés? – Quel est le lien temporel nécessaire pour la délivrance d'un mandat de perquisition, particulièrement en ce qui a trait aux renseignements relatifs à un comportement répréhensible antérieur? – Le déposant peut-il s'appuyer sur des renseignements obtenus en lien avec une arrestation du même suspect ou avec une accusation antérieure portée contre lui pour établir les motifs nécessaires de croire que des éléments de preuve seront trouvés dans l'endroit à perquisitionner?</w:t>
            </w:r>
          </w:p>
        </w:tc>
      </w:tr>
      <w:tr w:rsidR="00643B72" w:rsidRPr="00B6145B" w:rsidTr="005552A8">
        <w:tc>
          <w:tcPr>
            <w:tcW w:w="5000" w:type="pct"/>
            <w:gridSpan w:val="3"/>
          </w:tcPr>
          <w:p w:rsidR="00643B72" w:rsidRPr="00A1535A" w:rsidRDefault="00643B72" w:rsidP="005552A8">
            <w:pPr>
              <w:jc w:val="both"/>
              <w:rPr>
                <w:rFonts w:eastAsia="Calibri"/>
                <w:sz w:val="20"/>
                <w:lang w:val="fr-CA"/>
              </w:rPr>
            </w:pPr>
          </w:p>
        </w:tc>
      </w:tr>
      <w:tr w:rsidR="00643B72" w:rsidRPr="00B6145B" w:rsidTr="005552A8">
        <w:tc>
          <w:tcPr>
            <w:tcW w:w="5000" w:type="pct"/>
            <w:gridSpan w:val="3"/>
          </w:tcPr>
          <w:p w:rsidR="00643B72" w:rsidRPr="00A1535A" w:rsidRDefault="00643B72" w:rsidP="005552A8">
            <w:pPr>
              <w:jc w:val="both"/>
              <w:rPr>
                <w:rFonts w:eastAsia="Calibri"/>
                <w:sz w:val="20"/>
                <w:lang w:val="fr-CA"/>
              </w:rPr>
            </w:pPr>
            <w:r w:rsidRPr="00A1535A">
              <w:rPr>
                <w:rFonts w:eastAsia="Calibri"/>
                <w:sz w:val="20"/>
                <w:lang w:val="fr-CA"/>
              </w:rPr>
              <w:t>Le demandeur, M. Tohl, a été déclaré coupable de possession de cocaïne et de marijuana aux fins d'en faire le trafic et de possession de produits de la criminalité. Il a interjeté appel de ces déclarations de culpabilité, plaidant (1) qu'il n’y avait pas suffisamment de motifs pour délivrer le mandat de perquisition de sa résidence et (2) que le mandat de perquisition qui avait été délivré au Québec avait été visé en Ontario sans que le dossier n'ait été porté à la connaissance du juge de paix qui l'a visé. La Cour d'appel a rejeté les deux arguments et a rejeté l'appel.</w:t>
            </w:r>
          </w:p>
          <w:p w:rsidR="00643B72" w:rsidRPr="00A1535A" w:rsidRDefault="00643B72" w:rsidP="005552A8">
            <w:pPr>
              <w:jc w:val="both"/>
              <w:rPr>
                <w:rFonts w:eastAsia="Calibri"/>
                <w:sz w:val="20"/>
                <w:lang w:val="fr-CA"/>
              </w:rPr>
            </w:pPr>
          </w:p>
        </w:tc>
      </w:tr>
      <w:tr w:rsidR="00643B72" w:rsidRPr="00B6145B" w:rsidTr="005552A8">
        <w:tc>
          <w:tcPr>
            <w:tcW w:w="2427" w:type="pct"/>
          </w:tcPr>
          <w:p w:rsidR="00643B72" w:rsidRPr="00A1535A" w:rsidRDefault="00643B72" w:rsidP="005552A8">
            <w:pPr>
              <w:jc w:val="both"/>
              <w:rPr>
                <w:rFonts w:eastAsia="Calibri"/>
                <w:sz w:val="20"/>
                <w:lang w:val="fr-CA"/>
              </w:rPr>
            </w:pPr>
            <w:r w:rsidRPr="00A1535A">
              <w:rPr>
                <w:rFonts w:eastAsia="Calibri"/>
                <w:sz w:val="20"/>
                <w:lang w:val="fr-CA"/>
              </w:rPr>
              <w:t>25 juin 2010</w:t>
            </w:r>
          </w:p>
          <w:p w:rsidR="00643B72" w:rsidRPr="00A1535A" w:rsidRDefault="00643B72" w:rsidP="005552A8">
            <w:pPr>
              <w:jc w:val="both"/>
              <w:rPr>
                <w:rFonts w:eastAsia="Calibri"/>
                <w:sz w:val="20"/>
                <w:lang w:val="fr-CA"/>
              </w:rPr>
            </w:pPr>
            <w:r w:rsidRPr="00A1535A">
              <w:rPr>
                <w:rFonts w:eastAsia="Calibri"/>
                <w:sz w:val="20"/>
                <w:lang w:val="fr-CA"/>
              </w:rPr>
              <w:t xml:space="preserve">Cour supérieure de justice de l'Ontario </w:t>
            </w:r>
          </w:p>
          <w:p w:rsidR="00643B72" w:rsidRPr="00A1535A" w:rsidRDefault="00643B72" w:rsidP="005552A8">
            <w:pPr>
              <w:jc w:val="both"/>
              <w:rPr>
                <w:rFonts w:eastAsia="Calibri"/>
                <w:sz w:val="20"/>
                <w:lang w:val="fr-CA"/>
              </w:rPr>
            </w:pPr>
            <w:r w:rsidRPr="00A1535A">
              <w:rPr>
                <w:rFonts w:eastAsia="Calibri"/>
                <w:sz w:val="20"/>
                <w:lang w:val="fr-CA"/>
              </w:rPr>
              <w:t>(Juge Charbonneau)</w:t>
            </w:r>
          </w:p>
          <w:p w:rsidR="00643B72" w:rsidRPr="00A1535A" w:rsidRDefault="00643B72" w:rsidP="005552A8">
            <w:pPr>
              <w:jc w:val="both"/>
              <w:rPr>
                <w:rFonts w:eastAsia="Calibri"/>
                <w:sz w:val="20"/>
                <w:lang w:val="fr-CA"/>
              </w:rPr>
            </w:pPr>
          </w:p>
        </w:tc>
        <w:tc>
          <w:tcPr>
            <w:tcW w:w="243" w:type="pct"/>
          </w:tcPr>
          <w:p w:rsidR="00643B72" w:rsidRPr="00A1535A" w:rsidRDefault="00643B72" w:rsidP="005552A8">
            <w:pPr>
              <w:jc w:val="both"/>
              <w:rPr>
                <w:rFonts w:eastAsia="Calibri"/>
                <w:sz w:val="20"/>
                <w:lang w:val="fr-CA"/>
              </w:rPr>
            </w:pPr>
          </w:p>
        </w:tc>
        <w:tc>
          <w:tcPr>
            <w:tcW w:w="2330" w:type="pct"/>
          </w:tcPr>
          <w:p w:rsidR="00643B72" w:rsidRPr="00A1535A" w:rsidRDefault="00643B72" w:rsidP="005552A8">
            <w:pPr>
              <w:jc w:val="both"/>
              <w:rPr>
                <w:rFonts w:eastAsia="Calibri"/>
                <w:sz w:val="20"/>
                <w:lang w:val="fr-CA"/>
              </w:rPr>
            </w:pPr>
            <w:r w:rsidRPr="00A1535A">
              <w:rPr>
                <w:rFonts w:eastAsia="Calibri"/>
                <w:sz w:val="20"/>
                <w:lang w:val="fr-CA"/>
              </w:rPr>
              <w:t>Demandeur déclaré coupable de possession de cocaïne et de marijuana aux fins d’en faire de trafic et de possession de produits de la criminalité</w:t>
            </w:r>
          </w:p>
          <w:p w:rsidR="00643B72" w:rsidRPr="00A1535A" w:rsidRDefault="00643B72" w:rsidP="005552A8">
            <w:pPr>
              <w:jc w:val="both"/>
              <w:rPr>
                <w:rFonts w:eastAsia="Calibri"/>
                <w:sz w:val="20"/>
                <w:lang w:val="fr-CA"/>
              </w:rPr>
            </w:pPr>
          </w:p>
        </w:tc>
      </w:tr>
      <w:tr w:rsidR="00643B72" w:rsidRPr="00A1535A" w:rsidTr="005552A8">
        <w:tc>
          <w:tcPr>
            <w:tcW w:w="2427" w:type="pct"/>
          </w:tcPr>
          <w:p w:rsidR="00643B72" w:rsidRPr="00A1535A" w:rsidRDefault="00643B72" w:rsidP="005552A8">
            <w:pPr>
              <w:jc w:val="both"/>
              <w:rPr>
                <w:rFonts w:eastAsia="Calibri"/>
                <w:sz w:val="20"/>
                <w:lang w:val="fr-CA"/>
              </w:rPr>
            </w:pPr>
            <w:r w:rsidRPr="00A1535A">
              <w:rPr>
                <w:rFonts w:eastAsia="Calibri"/>
                <w:sz w:val="20"/>
                <w:lang w:val="fr-CA"/>
              </w:rPr>
              <w:t>6 janvier 2012</w:t>
            </w:r>
          </w:p>
          <w:p w:rsidR="00643B72" w:rsidRPr="00A1535A" w:rsidRDefault="00643B72" w:rsidP="005552A8">
            <w:pPr>
              <w:jc w:val="both"/>
              <w:rPr>
                <w:rFonts w:eastAsia="Calibri"/>
                <w:sz w:val="20"/>
                <w:lang w:val="fr-CA"/>
              </w:rPr>
            </w:pPr>
            <w:r w:rsidRPr="00A1535A">
              <w:rPr>
                <w:rFonts w:eastAsia="Calibri"/>
                <w:sz w:val="20"/>
                <w:lang w:val="fr-CA"/>
              </w:rPr>
              <w:t xml:space="preserve">Cour d'appel de l'Ontario </w:t>
            </w:r>
          </w:p>
          <w:p w:rsidR="00643B72" w:rsidRPr="00A1535A" w:rsidRDefault="00643B72" w:rsidP="005552A8">
            <w:pPr>
              <w:jc w:val="both"/>
              <w:rPr>
                <w:rFonts w:eastAsia="Calibri"/>
                <w:sz w:val="20"/>
                <w:lang w:val="fr-CA"/>
              </w:rPr>
            </w:pPr>
            <w:r w:rsidRPr="00A1535A">
              <w:rPr>
                <w:rFonts w:eastAsia="Calibri"/>
                <w:sz w:val="20"/>
                <w:lang w:val="fr-CA"/>
              </w:rPr>
              <w:t>(Juges Sharpe, Blair et Rouleau)</w:t>
            </w:r>
          </w:p>
          <w:p w:rsidR="00643B72" w:rsidRPr="00A1535A" w:rsidRDefault="00643B72" w:rsidP="005552A8">
            <w:pPr>
              <w:jc w:val="both"/>
              <w:rPr>
                <w:rFonts w:eastAsia="Calibri"/>
                <w:sz w:val="20"/>
                <w:lang w:val="fr-CA"/>
              </w:rPr>
            </w:pPr>
            <w:r w:rsidRPr="00A1535A">
              <w:rPr>
                <w:rFonts w:eastAsia="Calibri"/>
                <w:sz w:val="20"/>
                <w:lang w:val="fr-CA"/>
              </w:rPr>
              <w:t>2012 ONCA 9</w:t>
            </w:r>
          </w:p>
          <w:p w:rsidR="00643B72" w:rsidRPr="00A1535A" w:rsidRDefault="00643B72" w:rsidP="005552A8">
            <w:pPr>
              <w:jc w:val="both"/>
              <w:rPr>
                <w:rFonts w:eastAsia="Calibri"/>
                <w:sz w:val="20"/>
                <w:lang w:val="fr-CA"/>
              </w:rPr>
            </w:pPr>
          </w:p>
        </w:tc>
        <w:tc>
          <w:tcPr>
            <w:tcW w:w="243" w:type="pct"/>
          </w:tcPr>
          <w:p w:rsidR="00643B72" w:rsidRPr="00A1535A" w:rsidRDefault="00643B72" w:rsidP="005552A8">
            <w:pPr>
              <w:jc w:val="both"/>
              <w:rPr>
                <w:rFonts w:eastAsia="Calibri"/>
                <w:sz w:val="20"/>
                <w:lang w:val="fr-CA"/>
              </w:rPr>
            </w:pPr>
          </w:p>
        </w:tc>
        <w:tc>
          <w:tcPr>
            <w:tcW w:w="2330" w:type="pct"/>
          </w:tcPr>
          <w:p w:rsidR="00643B72" w:rsidRPr="00A1535A" w:rsidRDefault="00643B72" w:rsidP="005552A8">
            <w:pPr>
              <w:jc w:val="both"/>
              <w:rPr>
                <w:rFonts w:eastAsia="Calibri"/>
                <w:sz w:val="20"/>
                <w:lang w:val="fr-CA"/>
              </w:rPr>
            </w:pPr>
            <w:r w:rsidRPr="00A1535A">
              <w:rPr>
                <w:rFonts w:eastAsia="Calibri"/>
                <w:sz w:val="20"/>
                <w:lang w:val="fr-CA"/>
              </w:rPr>
              <w:t>Appel rejeté</w:t>
            </w:r>
          </w:p>
          <w:p w:rsidR="00643B72" w:rsidRPr="00A1535A" w:rsidRDefault="00643B72" w:rsidP="005552A8">
            <w:pPr>
              <w:jc w:val="both"/>
              <w:rPr>
                <w:rFonts w:eastAsia="Calibri"/>
                <w:sz w:val="20"/>
                <w:lang w:val="fr-CA"/>
              </w:rPr>
            </w:pPr>
          </w:p>
        </w:tc>
      </w:tr>
      <w:tr w:rsidR="00643B72" w:rsidRPr="00A1535A" w:rsidTr="005552A8">
        <w:tc>
          <w:tcPr>
            <w:tcW w:w="2427" w:type="pct"/>
          </w:tcPr>
          <w:p w:rsidR="00643B72" w:rsidRPr="00A1535A" w:rsidRDefault="00643B72" w:rsidP="005552A8">
            <w:pPr>
              <w:jc w:val="both"/>
              <w:rPr>
                <w:rFonts w:eastAsia="Calibri"/>
                <w:sz w:val="20"/>
                <w:lang w:val="fr-CA"/>
              </w:rPr>
            </w:pPr>
            <w:r w:rsidRPr="00A1535A">
              <w:rPr>
                <w:rFonts w:eastAsia="Calibri"/>
                <w:sz w:val="20"/>
                <w:lang w:val="fr-CA"/>
              </w:rPr>
              <w:t>5 mars 2012</w:t>
            </w:r>
          </w:p>
          <w:p w:rsidR="00643B72" w:rsidRPr="00A1535A" w:rsidRDefault="00643B72" w:rsidP="005552A8">
            <w:pPr>
              <w:jc w:val="both"/>
              <w:rPr>
                <w:rFonts w:eastAsia="Calibri"/>
                <w:sz w:val="20"/>
                <w:lang w:val="fr-CA"/>
              </w:rPr>
            </w:pPr>
            <w:r w:rsidRPr="00A1535A">
              <w:rPr>
                <w:rFonts w:eastAsia="Calibri"/>
                <w:sz w:val="20"/>
                <w:lang w:val="fr-CA"/>
              </w:rPr>
              <w:t>Cour suprême du Canada</w:t>
            </w:r>
          </w:p>
        </w:tc>
        <w:tc>
          <w:tcPr>
            <w:tcW w:w="243" w:type="pct"/>
          </w:tcPr>
          <w:p w:rsidR="00643B72" w:rsidRPr="00A1535A" w:rsidRDefault="00643B72" w:rsidP="005552A8">
            <w:pPr>
              <w:jc w:val="both"/>
              <w:rPr>
                <w:rFonts w:eastAsia="Calibri"/>
                <w:sz w:val="20"/>
                <w:lang w:val="fr-CA"/>
              </w:rPr>
            </w:pPr>
          </w:p>
        </w:tc>
        <w:tc>
          <w:tcPr>
            <w:tcW w:w="2330" w:type="pct"/>
          </w:tcPr>
          <w:p w:rsidR="00643B72" w:rsidRPr="00A1535A" w:rsidRDefault="00643B72" w:rsidP="005552A8">
            <w:pPr>
              <w:jc w:val="both"/>
              <w:rPr>
                <w:rFonts w:eastAsia="Calibri"/>
                <w:sz w:val="20"/>
                <w:lang w:val="fr-CA"/>
              </w:rPr>
            </w:pPr>
            <w:r w:rsidRPr="00A1535A">
              <w:rPr>
                <w:rFonts w:eastAsia="Calibri"/>
                <w:sz w:val="20"/>
                <w:lang w:val="fr-CA"/>
              </w:rPr>
              <w:t>Demande d'autorisation d'appel, déposée</w:t>
            </w:r>
          </w:p>
        </w:tc>
      </w:tr>
    </w:tbl>
    <w:p w:rsidR="00EC09EE" w:rsidRDefault="00EC09EE" w:rsidP="00EC09EE">
      <w:pPr>
        <w:rPr>
          <w:sz w:val="20"/>
          <w:szCs w:val="20"/>
        </w:rPr>
      </w:pPr>
    </w:p>
    <w:p w:rsidR="00EC09EE" w:rsidRDefault="007333FF" w:rsidP="00EC09EE">
      <w:pPr>
        <w:rPr>
          <w:sz w:val="20"/>
          <w:szCs w:val="20"/>
        </w:rPr>
      </w:pPr>
      <w:r w:rsidRPr="007333FF">
        <w:rPr>
          <w:sz w:val="20"/>
          <w:szCs w:val="20"/>
          <w:lang w:val="fr-CA"/>
        </w:rPr>
        <w:pict>
          <v:rect id="_x0000_i1091" style="width:2in;height:1pt" o:hrpct="0" o:hralign="center" o:hrstd="t" o:hrnoshade="t" o:hr="t" fillcolor="black [3213]" stroked="f"/>
        </w:pict>
      </w:r>
    </w:p>
    <w:p w:rsidR="00EC09EE" w:rsidRDefault="00EC09EE" w:rsidP="00EC09EE">
      <w:pPr>
        <w:rPr>
          <w:sz w:val="20"/>
          <w:szCs w:val="20"/>
        </w:rPr>
      </w:pPr>
    </w:p>
    <w:p w:rsidR="00694072" w:rsidRDefault="00694072">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94072" w:rsidRPr="000F116A" w:rsidTr="00D40817">
        <w:trPr>
          <w:cantSplit/>
        </w:trPr>
        <w:tc>
          <w:tcPr>
            <w:tcW w:w="1458" w:type="dxa"/>
          </w:tcPr>
          <w:p w:rsidR="00694072" w:rsidRPr="000F116A" w:rsidRDefault="00694072" w:rsidP="00D40817">
            <w:pPr>
              <w:rPr>
                <w:sz w:val="20"/>
                <w:szCs w:val="20"/>
              </w:rPr>
            </w:pPr>
            <w:r w:rsidRPr="000F116A">
              <w:rPr>
                <w:rStyle w:val="SCCFileNumberChar"/>
                <w:sz w:val="20"/>
                <w:szCs w:val="20"/>
              </w:rPr>
              <w:lastRenderedPageBreak/>
              <w:t>34718</w:t>
            </w:r>
          </w:p>
          <w:p w:rsidR="00694072" w:rsidRPr="000F116A" w:rsidRDefault="00694072" w:rsidP="00D40817">
            <w:pPr>
              <w:rPr>
                <w:b/>
                <w:sz w:val="20"/>
                <w:szCs w:val="20"/>
                <w:lang w:val="fr-CA"/>
              </w:rPr>
            </w:pPr>
          </w:p>
        </w:tc>
        <w:tc>
          <w:tcPr>
            <w:tcW w:w="8118" w:type="dxa"/>
          </w:tcPr>
          <w:p w:rsidR="00694072" w:rsidRPr="000F116A" w:rsidRDefault="00694072" w:rsidP="00D40817">
            <w:pPr>
              <w:rPr>
                <w:sz w:val="20"/>
                <w:szCs w:val="20"/>
              </w:rPr>
            </w:pPr>
            <w:r w:rsidRPr="000F116A">
              <w:rPr>
                <w:rStyle w:val="SCCLsocChar"/>
                <w:sz w:val="20"/>
                <w:szCs w:val="20"/>
                <w:lang w:val="en-CA"/>
              </w:rPr>
              <w:t>Jamie Robert Kokotailo v. Her Majesty the Queen</w:t>
            </w:r>
            <w:r w:rsidRPr="000F116A">
              <w:rPr>
                <w:sz w:val="20"/>
                <w:szCs w:val="20"/>
              </w:rPr>
              <w:t xml:space="preserve"> (B.C.) (Criminal) (By Leave)</w:t>
            </w:r>
          </w:p>
          <w:p w:rsidR="00694072" w:rsidRPr="000F116A" w:rsidRDefault="00694072" w:rsidP="00D40817">
            <w:pPr>
              <w:rPr>
                <w:sz w:val="20"/>
                <w:szCs w:val="20"/>
              </w:rPr>
            </w:pPr>
          </w:p>
        </w:tc>
      </w:tr>
      <w:tr w:rsidR="00694072" w:rsidRPr="000F116A" w:rsidTr="00D40817">
        <w:trPr>
          <w:cantSplit/>
        </w:trPr>
        <w:tc>
          <w:tcPr>
            <w:tcW w:w="1458" w:type="dxa"/>
          </w:tcPr>
          <w:p w:rsidR="00694072" w:rsidRPr="000F116A" w:rsidRDefault="00694072" w:rsidP="00D40817">
            <w:pPr>
              <w:rPr>
                <w:sz w:val="20"/>
                <w:szCs w:val="20"/>
              </w:rPr>
            </w:pPr>
            <w:r w:rsidRPr="000F116A">
              <w:rPr>
                <w:sz w:val="20"/>
                <w:szCs w:val="20"/>
              </w:rPr>
              <w:t>Coram :</w:t>
            </w:r>
          </w:p>
        </w:tc>
        <w:tc>
          <w:tcPr>
            <w:tcW w:w="8118" w:type="dxa"/>
          </w:tcPr>
          <w:p w:rsidR="00694072" w:rsidRPr="000F116A" w:rsidRDefault="00694072" w:rsidP="00D40817">
            <w:pPr>
              <w:rPr>
                <w:sz w:val="20"/>
                <w:szCs w:val="20"/>
              </w:rPr>
            </w:pPr>
            <w:r w:rsidRPr="000F116A">
              <w:rPr>
                <w:rStyle w:val="SCCCoramChar"/>
                <w:sz w:val="20"/>
                <w:szCs w:val="20"/>
                <w:lang w:val="en-CA"/>
              </w:rPr>
              <w:t>McLachlin C.J. and Rothstein and Moldaver JJ.</w:t>
            </w:r>
          </w:p>
          <w:p w:rsidR="00694072" w:rsidRPr="000F116A" w:rsidRDefault="00694072" w:rsidP="00D40817">
            <w:pPr>
              <w:rPr>
                <w:sz w:val="20"/>
                <w:szCs w:val="20"/>
                <w:u w:val="single"/>
              </w:rPr>
            </w:pPr>
          </w:p>
        </w:tc>
      </w:tr>
      <w:tr w:rsidR="00694072" w:rsidRPr="00B6145B" w:rsidTr="00D40817">
        <w:trPr>
          <w:cantSplit/>
        </w:trPr>
        <w:tc>
          <w:tcPr>
            <w:tcW w:w="9576" w:type="dxa"/>
            <w:gridSpan w:val="2"/>
          </w:tcPr>
          <w:p w:rsidR="00694072" w:rsidRPr="000F116A" w:rsidRDefault="00694072" w:rsidP="00D40817">
            <w:pPr>
              <w:pStyle w:val="SCCShortJudgment"/>
              <w:rPr>
                <w:szCs w:val="20"/>
              </w:rPr>
            </w:pPr>
            <w:r w:rsidRPr="000F116A">
              <w:rPr>
                <w:szCs w:val="20"/>
              </w:rPr>
              <w:t>The motion for an extension of time to serve and file the application for leave to appeal is granted.  The application for leave to appeal from the judgment of the Court of Appeal for British Columbia (Vancouver), Number CA037454, 2011 BCCA 465, dated November 22, 2011, is dismissed without costs.</w:t>
            </w:r>
          </w:p>
          <w:p w:rsidR="00694072" w:rsidRPr="000F116A" w:rsidRDefault="00694072" w:rsidP="00D40817">
            <w:pPr>
              <w:pStyle w:val="SCCShortJudgment"/>
              <w:ind w:firstLine="0"/>
              <w:rPr>
                <w:szCs w:val="20"/>
              </w:rPr>
            </w:pPr>
          </w:p>
          <w:p w:rsidR="00694072" w:rsidRPr="000F116A" w:rsidRDefault="00694072" w:rsidP="00D40817">
            <w:pPr>
              <w:pStyle w:val="SCCShortJudgment"/>
              <w:rPr>
                <w:szCs w:val="20"/>
                <w:lang w:val="fr-CA"/>
              </w:rPr>
            </w:pPr>
            <w:r w:rsidRPr="000F116A">
              <w:rPr>
                <w:szCs w:val="20"/>
                <w:lang w:val="fr-CA"/>
              </w:rPr>
              <w:t>La requête en prorogation du délai de signification et de dépôt de la demande d’autorisation d’appel est accueillie. La demande d’autorisation d’appel de l’arrêt de la Cour d’appel de la Colombie-Britannique (Vancouver), numéro CA037454, 2011 BCCA 465, daté du 22 novembre 2011, est rejetée sans dépens.</w:t>
            </w:r>
          </w:p>
        </w:tc>
      </w:tr>
    </w:tbl>
    <w:p w:rsidR="00EC09EE" w:rsidRPr="00694072" w:rsidRDefault="00EC09EE" w:rsidP="00EC09EE">
      <w:pPr>
        <w:rPr>
          <w:sz w:val="20"/>
          <w:szCs w:val="20"/>
          <w:lang w:val="fr-CA"/>
        </w:rPr>
      </w:pPr>
    </w:p>
    <w:p w:rsidR="00EC09EE" w:rsidRPr="001B157C" w:rsidRDefault="00EC09EE" w:rsidP="00EC09EE">
      <w:pPr>
        <w:rPr>
          <w:sz w:val="20"/>
          <w:szCs w:val="20"/>
          <w:u w:val="single"/>
        </w:rPr>
      </w:pPr>
      <w:r w:rsidRPr="001B157C">
        <w:rPr>
          <w:sz w:val="20"/>
          <w:szCs w:val="20"/>
          <w:u w:val="single"/>
        </w:rPr>
        <w:t>CASE SUMMARY</w:t>
      </w:r>
    </w:p>
    <w:p w:rsidR="00EC09EE" w:rsidRDefault="00EC09EE" w:rsidP="00EC09EE">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643B72" w:rsidRPr="00A1535A" w:rsidTr="005552A8">
        <w:tc>
          <w:tcPr>
            <w:tcW w:w="5000" w:type="pct"/>
            <w:gridSpan w:val="3"/>
          </w:tcPr>
          <w:p w:rsidR="00643B72" w:rsidRPr="00A1535A" w:rsidRDefault="00643B72" w:rsidP="005552A8">
            <w:pPr>
              <w:jc w:val="both"/>
              <w:rPr>
                <w:rFonts w:eastAsia="Calibri"/>
                <w:sz w:val="20"/>
              </w:rPr>
            </w:pPr>
            <w:r w:rsidRPr="00A1535A">
              <w:rPr>
                <w:rFonts w:eastAsia="Calibri"/>
                <w:sz w:val="20"/>
              </w:rPr>
              <w:t>Criminal Law – Offences – Elements of offence – Murder – Common sense inference of intent – Circumstances in which a jury may find intent to commit murder by applying the common sense inference that a sane and sober person intends the natural and probable consequences of his or her acts – Whether jury charge erred by failing to instruct the jury that they could draw a common sense inference of intent only if satisfied, on examining all the evidence, that it was proper to do so.</w:t>
            </w:r>
          </w:p>
        </w:tc>
      </w:tr>
      <w:tr w:rsidR="00643B72" w:rsidRPr="00A1535A" w:rsidTr="005552A8">
        <w:tc>
          <w:tcPr>
            <w:tcW w:w="5000" w:type="pct"/>
            <w:gridSpan w:val="3"/>
          </w:tcPr>
          <w:p w:rsidR="00643B72" w:rsidRPr="00A1535A" w:rsidRDefault="00643B72" w:rsidP="005552A8">
            <w:pPr>
              <w:jc w:val="both"/>
              <w:rPr>
                <w:rFonts w:eastAsia="Calibri"/>
                <w:sz w:val="20"/>
              </w:rPr>
            </w:pPr>
          </w:p>
        </w:tc>
      </w:tr>
      <w:tr w:rsidR="00643B72" w:rsidRPr="00A1535A" w:rsidTr="005552A8">
        <w:tc>
          <w:tcPr>
            <w:tcW w:w="5000" w:type="pct"/>
            <w:gridSpan w:val="3"/>
          </w:tcPr>
          <w:p w:rsidR="00643B72" w:rsidRPr="00A1535A" w:rsidRDefault="00643B72" w:rsidP="005552A8">
            <w:pPr>
              <w:jc w:val="both"/>
              <w:rPr>
                <w:rFonts w:eastAsia="Calibri"/>
                <w:sz w:val="20"/>
              </w:rPr>
            </w:pPr>
            <w:r w:rsidRPr="00A1535A">
              <w:rPr>
                <w:rFonts w:eastAsia="Calibri"/>
                <w:sz w:val="20"/>
              </w:rPr>
              <w:t xml:space="preserve">The applicant was convicted by a jury of the first-degree murder of his wife. The applicant stabbed his wife in a fit of rage in their home, shortly after she returned from spending the weekend with a man with whom she was having an extra-marital affair. </w:t>
            </w:r>
            <w:r w:rsidRPr="00A1535A">
              <w:rPr>
                <w:rFonts w:eastAsia="Calibri"/>
                <w:color w:val="000000"/>
                <w:sz w:val="20"/>
              </w:rPr>
              <w:t>The applicant testified that shortly before the stabbing, while he and his wife were engaged in a discussion about saving their marriage, she insulted him with remarks that enraged him.  He testified that he had no memory of the attack.</w:t>
            </w:r>
            <w:r w:rsidRPr="00A1535A">
              <w:rPr>
                <w:rFonts w:eastAsia="Calibri"/>
                <w:sz w:val="20"/>
              </w:rPr>
              <w:t xml:space="preserve"> The only issue at trial was intent for murder. There was no evidence that at the time of the murder, the applicant suffered a mental disorder or was under the influence of alcohol or drugs.  The trial judge instructed the jurors in part that they may, as a matter of common sense, draw an inference that a sane and sober person intends the natural and probable consequences of his or her voluntary actions. He also instructed the jury that in addition to any reasonable inferences they may draw from the act itself, they may consider any other evidence which may have some bearing on the question of intent.  </w:t>
            </w:r>
          </w:p>
          <w:p w:rsidR="00643B72" w:rsidRPr="00A1535A" w:rsidRDefault="00643B72" w:rsidP="005552A8">
            <w:pPr>
              <w:jc w:val="both"/>
              <w:rPr>
                <w:rFonts w:eastAsia="Calibri"/>
                <w:sz w:val="20"/>
              </w:rPr>
            </w:pPr>
          </w:p>
        </w:tc>
      </w:tr>
      <w:tr w:rsidR="00643B72" w:rsidRPr="00A1535A" w:rsidTr="005552A8">
        <w:tblPrEx>
          <w:tblCellMar>
            <w:bottom w:w="0" w:type="dxa"/>
          </w:tblCellMar>
        </w:tblPrEx>
        <w:tc>
          <w:tcPr>
            <w:tcW w:w="2390" w:type="pct"/>
          </w:tcPr>
          <w:p w:rsidR="00643B72" w:rsidRPr="00A1535A" w:rsidRDefault="00643B72" w:rsidP="005552A8">
            <w:pPr>
              <w:jc w:val="both"/>
              <w:rPr>
                <w:rFonts w:eastAsia="Calibri"/>
                <w:sz w:val="20"/>
              </w:rPr>
            </w:pPr>
            <w:r w:rsidRPr="00A1535A">
              <w:rPr>
                <w:rFonts w:eastAsia="Calibri"/>
                <w:sz w:val="20"/>
              </w:rPr>
              <w:t>August 6, 2009</w:t>
            </w:r>
          </w:p>
          <w:p w:rsidR="00643B72" w:rsidRPr="00A1535A" w:rsidRDefault="00643B72" w:rsidP="005552A8">
            <w:pPr>
              <w:jc w:val="both"/>
              <w:rPr>
                <w:rFonts w:eastAsia="Calibri"/>
                <w:sz w:val="20"/>
              </w:rPr>
            </w:pPr>
            <w:r w:rsidRPr="00A1535A">
              <w:rPr>
                <w:rFonts w:eastAsia="Calibri"/>
                <w:sz w:val="20"/>
              </w:rPr>
              <w:t>Supreme Court of British Columbia</w:t>
            </w:r>
          </w:p>
          <w:p w:rsidR="00643B72" w:rsidRPr="00A1535A" w:rsidRDefault="00643B72" w:rsidP="005552A8">
            <w:pPr>
              <w:jc w:val="both"/>
              <w:rPr>
                <w:rFonts w:eastAsia="Calibri"/>
                <w:sz w:val="20"/>
              </w:rPr>
            </w:pPr>
            <w:r w:rsidRPr="00A1535A">
              <w:rPr>
                <w:rFonts w:eastAsia="Calibri"/>
                <w:sz w:val="20"/>
              </w:rPr>
              <w:t>(Bernard J.)</w:t>
            </w:r>
          </w:p>
          <w:p w:rsidR="00643B72" w:rsidRPr="00A1535A" w:rsidRDefault="00643B72" w:rsidP="005552A8">
            <w:pPr>
              <w:jc w:val="both"/>
              <w:rPr>
                <w:rFonts w:eastAsia="Calibri"/>
                <w:sz w:val="20"/>
              </w:rPr>
            </w:pPr>
            <w:r w:rsidRPr="00A1535A">
              <w:rPr>
                <w:rFonts w:eastAsia="Calibri"/>
                <w:sz w:val="20"/>
              </w:rPr>
              <w:t xml:space="preserve"> </w:t>
            </w:r>
          </w:p>
        </w:tc>
        <w:tc>
          <w:tcPr>
            <w:tcW w:w="270" w:type="pct"/>
          </w:tcPr>
          <w:p w:rsidR="00643B72" w:rsidRPr="00A1535A" w:rsidRDefault="00643B72" w:rsidP="005552A8">
            <w:pPr>
              <w:jc w:val="both"/>
              <w:rPr>
                <w:rFonts w:eastAsia="Calibri"/>
                <w:sz w:val="20"/>
              </w:rPr>
            </w:pPr>
          </w:p>
        </w:tc>
        <w:tc>
          <w:tcPr>
            <w:tcW w:w="2340" w:type="pct"/>
          </w:tcPr>
          <w:p w:rsidR="00643B72" w:rsidRPr="00A1535A" w:rsidRDefault="00643B72" w:rsidP="005552A8">
            <w:pPr>
              <w:jc w:val="both"/>
              <w:rPr>
                <w:rFonts w:eastAsia="Calibri"/>
                <w:sz w:val="20"/>
              </w:rPr>
            </w:pPr>
            <w:r w:rsidRPr="00A1535A">
              <w:rPr>
                <w:rFonts w:eastAsia="Calibri"/>
                <w:sz w:val="20"/>
              </w:rPr>
              <w:t>Conviction by jury of first degree murder</w:t>
            </w:r>
          </w:p>
          <w:p w:rsidR="00643B72" w:rsidRPr="00A1535A" w:rsidRDefault="00643B72" w:rsidP="005552A8">
            <w:pPr>
              <w:jc w:val="both"/>
              <w:rPr>
                <w:rFonts w:eastAsia="Calibri"/>
                <w:sz w:val="20"/>
              </w:rPr>
            </w:pPr>
          </w:p>
        </w:tc>
      </w:tr>
      <w:tr w:rsidR="00643B72" w:rsidRPr="00A1535A" w:rsidTr="005552A8">
        <w:tblPrEx>
          <w:tblCellMar>
            <w:bottom w:w="0" w:type="dxa"/>
          </w:tblCellMar>
        </w:tblPrEx>
        <w:tc>
          <w:tcPr>
            <w:tcW w:w="2390" w:type="pct"/>
          </w:tcPr>
          <w:p w:rsidR="00643B72" w:rsidRPr="00A1535A" w:rsidRDefault="00643B72" w:rsidP="005552A8">
            <w:pPr>
              <w:jc w:val="both"/>
              <w:rPr>
                <w:rFonts w:eastAsia="Calibri"/>
                <w:sz w:val="20"/>
              </w:rPr>
            </w:pPr>
            <w:r w:rsidRPr="00A1535A">
              <w:rPr>
                <w:rFonts w:eastAsia="Calibri"/>
                <w:sz w:val="20"/>
              </w:rPr>
              <w:t>November 22, 2011</w:t>
            </w:r>
          </w:p>
          <w:p w:rsidR="00643B72" w:rsidRPr="00A1535A" w:rsidRDefault="00643B72" w:rsidP="005552A8">
            <w:pPr>
              <w:jc w:val="both"/>
              <w:rPr>
                <w:rFonts w:eastAsia="Calibri"/>
                <w:sz w:val="20"/>
              </w:rPr>
            </w:pPr>
            <w:r w:rsidRPr="00A1535A">
              <w:rPr>
                <w:rFonts w:eastAsia="Calibri"/>
                <w:sz w:val="20"/>
              </w:rPr>
              <w:t>Court of Appeal for British Columbia (Vancouver)</w:t>
            </w:r>
          </w:p>
          <w:p w:rsidR="00643B72" w:rsidRPr="00A1535A" w:rsidRDefault="00643B72" w:rsidP="005552A8">
            <w:pPr>
              <w:jc w:val="both"/>
              <w:rPr>
                <w:rFonts w:eastAsia="Calibri"/>
                <w:sz w:val="20"/>
              </w:rPr>
            </w:pPr>
            <w:r w:rsidRPr="00A1535A">
              <w:rPr>
                <w:rFonts w:eastAsia="Calibri"/>
                <w:sz w:val="20"/>
              </w:rPr>
              <w:t>(Prowse, Frankel, Hinkson JJ.A.)</w:t>
            </w:r>
          </w:p>
          <w:p w:rsidR="00643B72" w:rsidRPr="00A1535A" w:rsidRDefault="00643B72" w:rsidP="005552A8">
            <w:pPr>
              <w:jc w:val="both"/>
              <w:rPr>
                <w:rFonts w:eastAsia="Calibri"/>
                <w:sz w:val="20"/>
              </w:rPr>
            </w:pPr>
          </w:p>
        </w:tc>
        <w:tc>
          <w:tcPr>
            <w:tcW w:w="270" w:type="pct"/>
          </w:tcPr>
          <w:p w:rsidR="00643B72" w:rsidRPr="00A1535A" w:rsidRDefault="00643B72" w:rsidP="005552A8">
            <w:pPr>
              <w:jc w:val="both"/>
              <w:rPr>
                <w:rFonts w:eastAsia="Calibri"/>
                <w:sz w:val="20"/>
              </w:rPr>
            </w:pPr>
          </w:p>
        </w:tc>
        <w:tc>
          <w:tcPr>
            <w:tcW w:w="2340" w:type="pct"/>
          </w:tcPr>
          <w:p w:rsidR="00643B72" w:rsidRPr="00A1535A" w:rsidRDefault="00643B72" w:rsidP="005552A8">
            <w:pPr>
              <w:jc w:val="both"/>
              <w:rPr>
                <w:rFonts w:eastAsia="Calibri"/>
                <w:sz w:val="20"/>
              </w:rPr>
            </w:pPr>
            <w:r w:rsidRPr="00A1535A">
              <w:rPr>
                <w:rFonts w:eastAsia="Calibri"/>
                <w:sz w:val="20"/>
              </w:rPr>
              <w:t>Appeal from conviction dismissed</w:t>
            </w:r>
          </w:p>
          <w:p w:rsidR="00643B72" w:rsidRPr="00A1535A" w:rsidRDefault="00643B72" w:rsidP="005552A8">
            <w:pPr>
              <w:jc w:val="both"/>
              <w:rPr>
                <w:rFonts w:eastAsia="Calibri"/>
                <w:sz w:val="20"/>
              </w:rPr>
            </w:pPr>
          </w:p>
        </w:tc>
      </w:tr>
      <w:tr w:rsidR="00643B72" w:rsidRPr="00A1535A" w:rsidTr="005552A8">
        <w:tblPrEx>
          <w:tblCellMar>
            <w:bottom w:w="0" w:type="dxa"/>
          </w:tblCellMar>
        </w:tblPrEx>
        <w:tc>
          <w:tcPr>
            <w:tcW w:w="2390" w:type="pct"/>
          </w:tcPr>
          <w:p w:rsidR="00643B72" w:rsidRPr="00A1535A" w:rsidRDefault="00643B72" w:rsidP="005552A8">
            <w:pPr>
              <w:jc w:val="both"/>
              <w:rPr>
                <w:rFonts w:eastAsia="Calibri"/>
                <w:sz w:val="20"/>
              </w:rPr>
            </w:pPr>
            <w:r w:rsidRPr="00A1535A">
              <w:rPr>
                <w:rFonts w:eastAsia="Calibri"/>
                <w:sz w:val="20"/>
              </w:rPr>
              <w:t>March 15, 2012</w:t>
            </w:r>
          </w:p>
          <w:p w:rsidR="00643B72" w:rsidRPr="00A1535A" w:rsidRDefault="00643B72" w:rsidP="005552A8">
            <w:pPr>
              <w:jc w:val="both"/>
              <w:rPr>
                <w:rFonts w:eastAsia="Calibri"/>
                <w:sz w:val="20"/>
              </w:rPr>
            </w:pPr>
            <w:r w:rsidRPr="00A1535A">
              <w:rPr>
                <w:rFonts w:eastAsia="Calibri"/>
                <w:sz w:val="20"/>
              </w:rPr>
              <w:t>Supreme Court of Canada</w:t>
            </w:r>
          </w:p>
          <w:p w:rsidR="00643B72" w:rsidRPr="00A1535A" w:rsidRDefault="00643B72" w:rsidP="005552A8">
            <w:pPr>
              <w:jc w:val="both"/>
              <w:rPr>
                <w:rFonts w:eastAsia="Calibri"/>
                <w:sz w:val="20"/>
              </w:rPr>
            </w:pPr>
          </w:p>
        </w:tc>
        <w:tc>
          <w:tcPr>
            <w:tcW w:w="270" w:type="pct"/>
          </w:tcPr>
          <w:p w:rsidR="00643B72" w:rsidRPr="00A1535A" w:rsidRDefault="00643B72" w:rsidP="005552A8">
            <w:pPr>
              <w:jc w:val="both"/>
              <w:rPr>
                <w:rFonts w:eastAsia="Calibri"/>
                <w:sz w:val="20"/>
              </w:rPr>
            </w:pPr>
          </w:p>
        </w:tc>
        <w:tc>
          <w:tcPr>
            <w:tcW w:w="2340" w:type="pct"/>
          </w:tcPr>
          <w:p w:rsidR="00643B72" w:rsidRPr="00A1535A" w:rsidRDefault="00643B72" w:rsidP="005552A8">
            <w:pPr>
              <w:jc w:val="both"/>
              <w:rPr>
                <w:rFonts w:eastAsia="Calibri"/>
                <w:sz w:val="20"/>
              </w:rPr>
            </w:pPr>
            <w:r w:rsidRPr="00A1535A">
              <w:rPr>
                <w:rFonts w:eastAsia="Calibri"/>
                <w:sz w:val="20"/>
              </w:rPr>
              <w:t>Application for extension of time to serve and file application for leave to appeal and Application leave to appeal filed</w:t>
            </w:r>
          </w:p>
        </w:tc>
      </w:tr>
    </w:tbl>
    <w:p w:rsidR="00EC09EE" w:rsidRDefault="00EC09EE" w:rsidP="00EC09EE">
      <w:pPr>
        <w:rPr>
          <w:sz w:val="20"/>
          <w:szCs w:val="20"/>
        </w:rPr>
      </w:pPr>
    </w:p>
    <w:p w:rsidR="00EC09EE" w:rsidRPr="00C50A5C" w:rsidRDefault="007333FF" w:rsidP="00EC09EE">
      <w:pPr>
        <w:rPr>
          <w:sz w:val="20"/>
          <w:szCs w:val="20"/>
        </w:rPr>
      </w:pPr>
      <w:r w:rsidRPr="007333FF">
        <w:rPr>
          <w:sz w:val="20"/>
          <w:szCs w:val="20"/>
          <w:lang w:val="fr-CA"/>
        </w:rPr>
        <w:pict>
          <v:rect id="_x0000_i1092" style="width:2in;height:1pt" o:hrpct="0" o:hralign="center" o:hrstd="t" o:hrnoshade="t" o:hr="t" fillcolor="black [3213]" stroked="f"/>
        </w:pict>
      </w:r>
    </w:p>
    <w:p w:rsidR="00EC09EE" w:rsidRDefault="00EC09EE" w:rsidP="00EC09EE">
      <w:pPr>
        <w:rPr>
          <w:sz w:val="20"/>
          <w:szCs w:val="20"/>
        </w:rPr>
      </w:pPr>
    </w:p>
    <w:p w:rsidR="00EC09EE" w:rsidRPr="001B157C" w:rsidRDefault="00EC09EE" w:rsidP="00EC09EE">
      <w:pPr>
        <w:rPr>
          <w:sz w:val="20"/>
          <w:szCs w:val="20"/>
          <w:u w:val="single"/>
          <w:lang w:val="fr-CA"/>
        </w:rPr>
      </w:pPr>
      <w:r w:rsidRPr="001B157C">
        <w:rPr>
          <w:sz w:val="20"/>
          <w:szCs w:val="20"/>
          <w:u w:val="single"/>
          <w:lang w:val="fr-CA"/>
        </w:rPr>
        <w:t>RÉSUMÉ DE L’AFFAIRE</w:t>
      </w:r>
    </w:p>
    <w:p w:rsidR="00EC09EE" w:rsidRDefault="00EC09EE" w:rsidP="00EC09EE">
      <w:pPr>
        <w:rPr>
          <w:sz w:val="20"/>
          <w:szCs w:val="20"/>
        </w:rPr>
      </w:pPr>
    </w:p>
    <w:tbl>
      <w:tblPr>
        <w:tblW w:w="4952" w:type="pct"/>
        <w:tblLayout w:type="fixed"/>
        <w:tblCellMar>
          <w:left w:w="0" w:type="dxa"/>
          <w:bottom w:w="99" w:type="dxa"/>
          <w:right w:w="0" w:type="dxa"/>
        </w:tblCellMar>
        <w:tblLook w:val="00A0"/>
      </w:tblPr>
      <w:tblGrid>
        <w:gridCol w:w="4554"/>
        <w:gridCol w:w="514"/>
        <w:gridCol w:w="4459"/>
      </w:tblGrid>
      <w:tr w:rsidR="00643B72" w:rsidRPr="00B6145B" w:rsidTr="005552A8">
        <w:tc>
          <w:tcPr>
            <w:tcW w:w="5000" w:type="pct"/>
            <w:gridSpan w:val="3"/>
          </w:tcPr>
          <w:p w:rsidR="00643B72" w:rsidRPr="00A1535A" w:rsidRDefault="00643B72" w:rsidP="005552A8">
            <w:pPr>
              <w:jc w:val="both"/>
              <w:rPr>
                <w:rFonts w:eastAsia="Calibri"/>
                <w:sz w:val="20"/>
                <w:lang w:val="fr-CA"/>
              </w:rPr>
            </w:pPr>
            <w:r w:rsidRPr="00A1535A">
              <w:rPr>
                <w:rFonts w:eastAsia="Calibri"/>
                <w:sz w:val="20"/>
                <w:lang w:val="fr-CA"/>
              </w:rPr>
              <w:t xml:space="preserve">Droit criminel – Infractions – Éléments de l'infraction – Meurtre – Déduction de l'intention conforme au bon sens – Situations dans lesquelles un jury peut conclure à l'intention de commettre un meurtre en appliquant la déduction conforme au bon sens selon laquelle une personne saine et sobre veut les conséquences naturelles et probables de ses actes – Dans l'exposé au jury, le juge a-t-il eu tort de ne pas dire au jury qu'il ne pouvait tirer une déduction de </w:t>
            </w:r>
            <w:r w:rsidRPr="00A1535A">
              <w:rPr>
                <w:rFonts w:eastAsia="Calibri"/>
                <w:sz w:val="20"/>
                <w:lang w:val="fr-CA"/>
              </w:rPr>
              <w:lastRenderedPageBreak/>
              <w:t>l'intention conforme au bon sens que s'il était convaincu, ayant examiné toute la preuve, qu'il pouvait le faire?</w:t>
            </w:r>
          </w:p>
        </w:tc>
      </w:tr>
      <w:tr w:rsidR="00643B72" w:rsidRPr="00B6145B" w:rsidTr="005552A8">
        <w:tc>
          <w:tcPr>
            <w:tcW w:w="5000" w:type="pct"/>
            <w:gridSpan w:val="3"/>
          </w:tcPr>
          <w:p w:rsidR="00643B72" w:rsidRPr="00A1535A" w:rsidRDefault="00643B72" w:rsidP="005552A8">
            <w:pPr>
              <w:jc w:val="both"/>
              <w:rPr>
                <w:rFonts w:eastAsia="Calibri"/>
                <w:sz w:val="20"/>
                <w:lang w:val="fr-CA"/>
              </w:rPr>
            </w:pPr>
          </w:p>
        </w:tc>
      </w:tr>
      <w:tr w:rsidR="00643B72" w:rsidRPr="00B6145B" w:rsidTr="005552A8">
        <w:tc>
          <w:tcPr>
            <w:tcW w:w="5000" w:type="pct"/>
            <w:gridSpan w:val="3"/>
          </w:tcPr>
          <w:p w:rsidR="00643B72" w:rsidRPr="00A1535A" w:rsidRDefault="00643B72" w:rsidP="005552A8">
            <w:pPr>
              <w:jc w:val="both"/>
              <w:rPr>
                <w:rFonts w:eastAsia="Calibri"/>
                <w:sz w:val="20"/>
                <w:lang w:val="fr-CA"/>
              </w:rPr>
            </w:pPr>
            <w:r w:rsidRPr="00A1535A">
              <w:rPr>
                <w:rFonts w:eastAsia="Calibri"/>
                <w:sz w:val="20"/>
                <w:lang w:val="fr-CA"/>
              </w:rPr>
              <w:t>Un jury a déclaré le demandeur coupable du meurtre au premier degré de son épouse. Le demandeur a poignardé son épouse dans un accès de rage à leur domicile, peu de temps après qu'elle est rentrée à la maison après avoir passé la fin de semaine avec un homme avec qui elle avait une relation extraconjugale.</w:t>
            </w:r>
            <w:r w:rsidRPr="00A1535A">
              <w:rPr>
                <w:rFonts w:eastAsia="Calibri"/>
                <w:color w:val="000000"/>
                <w:sz w:val="20"/>
                <w:lang w:val="fr-CA"/>
              </w:rPr>
              <w:t xml:space="preserve"> Dans son témoignage, le demandeur a affirmé que peu de temps avant l'incident, pendant que lui et son épouse discutaient de la manière dont ils pouvaient sauver leur mariage, son épouse l'avait insulté par des remarques qui l’avaient enragé. Dans son témoignage, il affirme ne pas se souvenir de l'agression.</w:t>
            </w:r>
            <w:r w:rsidRPr="00A1535A">
              <w:rPr>
                <w:rFonts w:eastAsia="Calibri"/>
                <w:sz w:val="20"/>
                <w:lang w:val="fr-CA"/>
              </w:rPr>
              <w:t xml:space="preserve"> La seule question en litige au procès portait sur l'intention de commettre un meurtre. Il n'y avait aucune preuve selon laquelle, au moment du meurtre, le demandeur souffrait d'un trouble mental ou qu'il était sous l'influence de l'alcool ou de la drogue. Dans son exposé, le juge du procès a notamment dit au jury qu'il était conforme au bon sens de conclure qu’une personne saine et sobre veut les conséquences naturelles et probables de ses actes volontaires. Il a également dit au jury qu'en plus des déductions raisonnables qu'il pouvait tirer de l'acte lui-même, il pouvait considérer toute autre preuve susceptible d'avoir une incidence sur la question de l'intention.  </w:t>
            </w:r>
          </w:p>
          <w:p w:rsidR="00643B72" w:rsidRPr="00A1535A" w:rsidRDefault="00643B72" w:rsidP="005552A8">
            <w:pPr>
              <w:jc w:val="both"/>
              <w:rPr>
                <w:rFonts w:eastAsia="Calibri"/>
                <w:sz w:val="20"/>
                <w:lang w:val="fr-CA"/>
              </w:rPr>
            </w:pPr>
          </w:p>
        </w:tc>
      </w:tr>
      <w:tr w:rsidR="00643B72" w:rsidRPr="00B6145B" w:rsidTr="005552A8">
        <w:tblPrEx>
          <w:tblCellMar>
            <w:bottom w:w="0" w:type="dxa"/>
          </w:tblCellMar>
        </w:tblPrEx>
        <w:tc>
          <w:tcPr>
            <w:tcW w:w="2390" w:type="pct"/>
          </w:tcPr>
          <w:p w:rsidR="00643B72" w:rsidRPr="00A1535A" w:rsidRDefault="00643B72" w:rsidP="005552A8">
            <w:pPr>
              <w:jc w:val="both"/>
              <w:rPr>
                <w:rFonts w:eastAsia="Calibri"/>
                <w:sz w:val="20"/>
                <w:lang w:val="fr-CA"/>
              </w:rPr>
            </w:pPr>
            <w:r w:rsidRPr="00A1535A">
              <w:rPr>
                <w:rFonts w:eastAsia="Calibri"/>
                <w:sz w:val="20"/>
                <w:lang w:val="fr-CA"/>
              </w:rPr>
              <w:t>6 août 2009</w:t>
            </w:r>
          </w:p>
          <w:p w:rsidR="00643B72" w:rsidRPr="00A1535A" w:rsidRDefault="00643B72" w:rsidP="005552A8">
            <w:pPr>
              <w:jc w:val="both"/>
              <w:rPr>
                <w:rFonts w:eastAsia="Calibri"/>
                <w:sz w:val="20"/>
                <w:lang w:val="fr-CA"/>
              </w:rPr>
            </w:pPr>
            <w:r w:rsidRPr="00A1535A">
              <w:rPr>
                <w:rFonts w:eastAsia="Calibri"/>
                <w:sz w:val="20"/>
                <w:lang w:val="fr-CA"/>
              </w:rPr>
              <w:t xml:space="preserve">Cour suprême de la Colombie-Britannique </w:t>
            </w:r>
          </w:p>
          <w:p w:rsidR="00643B72" w:rsidRPr="00A1535A" w:rsidRDefault="00643B72" w:rsidP="005552A8">
            <w:pPr>
              <w:jc w:val="both"/>
              <w:rPr>
                <w:rFonts w:eastAsia="Calibri"/>
                <w:sz w:val="20"/>
                <w:lang w:val="fr-CA"/>
              </w:rPr>
            </w:pPr>
            <w:r w:rsidRPr="00A1535A">
              <w:rPr>
                <w:rFonts w:eastAsia="Calibri"/>
                <w:sz w:val="20"/>
                <w:lang w:val="fr-CA"/>
              </w:rPr>
              <w:t>(Juge Bernard)</w:t>
            </w:r>
          </w:p>
          <w:p w:rsidR="00643B72" w:rsidRPr="00A1535A" w:rsidRDefault="00643B72" w:rsidP="005552A8">
            <w:pPr>
              <w:jc w:val="both"/>
              <w:rPr>
                <w:rFonts w:eastAsia="Calibri"/>
                <w:sz w:val="20"/>
                <w:lang w:val="fr-CA"/>
              </w:rPr>
            </w:pPr>
            <w:r w:rsidRPr="00A1535A">
              <w:rPr>
                <w:rFonts w:eastAsia="Calibri"/>
                <w:sz w:val="20"/>
                <w:lang w:val="fr-CA"/>
              </w:rPr>
              <w:t xml:space="preserve"> </w:t>
            </w:r>
          </w:p>
        </w:tc>
        <w:tc>
          <w:tcPr>
            <w:tcW w:w="270" w:type="pct"/>
          </w:tcPr>
          <w:p w:rsidR="00643B72" w:rsidRPr="00A1535A" w:rsidRDefault="00643B72" w:rsidP="005552A8">
            <w:pPr>
              <w:jc w:val="both"/>
              <w:rPr>
                <w:rFonts w:eastAsia="Calibri"/>
                <w:sz w:val="20"/>
                <w:lang w:val="fr-CA"/>
              </w:rPr>
            </w:pPr>
          </w:p>
        </w:tc>
        <w:tc>
          <w:tcPr>
            <w:tcW w:w="2340" w:type="pct"/>
          </w:tcPr>
          <w:p w:rsidR="00643B72" w:rsidRPr="00A1535A" w:rsidRDefault="00643B72" w:rsidP="005552A8">
            <w:pPr>
              <w:jc w:val="both"/>
              <w:rPr>
                <w:rFonts w:eastAsia="Calibri"/>
                <w:sz w:val="20"/>
                <w:lang w:val="fr-CA"/>
              </w:rPr>
            </w:pPr>
            <w:r w:rsidRPr="00A1535A">
              <w:rPr>
                <w:rFonts w:eastAsia="Calibri"/>
                <w:sz w:val="20"/>
                <w:lang w:val="fr-CA"/>
              </w:rPr>
              <w:t>Déclaration par un jury de culpabilité de meurtre au premier degré</w:t>
            </w:r>
          </w:p>
          <w:p w:rsidR="00643B72" w:rsidRPr="00A1535A" w:rsidRDefault="00643B72" w:rsidP="005552A8">
            <w:pPr>
              <w:jc w:val="both"/>
              <w:rPr>
                <w:rFonts w:eastAsia="Calibri"/>
                <w:sz w:val="20"/>
                <w:lang w:val="fr-CA"/>
              </w:rPr>
            </w:pPr>
          </w:p>
        </w:tc>
      </w:tr>
      <w:tr w:rsidR="00643B72" w:rsidRPr="00B6145B" w:rsidTr="005552A8">
        <w:tblPrEx>
          <w:tblCellMar>
            <w:bottom w:w="0" w:type="dxa"/>
          </w:tblCellMar>
        </w:tblPrEx>
        <w:tc>
          <w:tcPr>
            <w:tcW w:w="2390" w:type="pct"/>
          </w:tcPr>
          <w:p w:rsidR="00643B72" w:rsidRPr="00A1535A" w:rsidRDefault="00643B72" w:rsidP="005552A8">
            <w:pPr>
              <w:jc w:val="both"/>
              <w:rPr>
                <w:rFonts w:eastAsia="Calibri"/>
                <w:sz w:val="20"/>
                <w:lang w:val="fr-CA"/>
              </w:rPr>
            </w:pPr>
            <w:r w:rsidRPr="00A1535A">
              <w:rPr>
                <w:rFonts w:eastAsia="Calibri"/>
                <w:sz w:val="20"/>
                <w:lang w:val="fr-CA"/>
              </w:rPr>
              <w:t>22 novembre 2011</w:t>
            </w:r>
          </w:p>
          <w:p w:rsidR="00643B72" w:rsidRPr="00A1535A" w:rsidRDefault="00643B72" w:rsidP="005552A8">
            <w:pPr>
              <w:jc w:val="both"/>
              <w:rPr>
                <w:rFonts w:eastAsia="Calibri"/>
                <w:sz w:val="20"/>
                <w:lang w:val="fr-CA"/>
              </w:rPr>
            </w:pPr>
            <w:r w:rsidRPr="00A1535A">
              <w:rPr>
                <w:rFonts w:eastAsia="Calibri"/>
                <w:sz w:val="20"/>
                <w:lang w:val="fr-CA"/>
              </w:rPr>
              <w:t>Cour d'appel de la Colombie-Britannique (Vancouver)</w:t>
            </w:r>
          </w:p>
          <w:p w:rsidR="00643B72" w:rsidRPr="00A1535A" w:rsidRDefault="00643B72" w:rsidP="005552A8">
            <w:pPr>
              <w:jc w:val="both"/>
              <w:rPr>
                <w:rFonts w:eastAsia="Calibri"/>
                <w:sz w:val="20"/>
                <w:lang w:val="fr-CA"/>
              </w:rPr>
            </w:pPr>
            <w:r w:rsidRPr="00A1535A">
              <w:rPr>
                <w:rFonts w:eastAsia="Calibri"/>
                <w:sz w:val="20"/>
                <w:lang w:val="fr-CA"/>
              </w:rPr>
              <w:t>(Juges Prowse, Frankel et Hinkson)</w:t>
            </w:r>
          </w:p>
          <w:p w:rsidR="00643B72" w:rsidRPr="00A1535A" w:rsidRDefault="00643B72" w:rsidP="005552A8">
            <w:pPr>
              <w:jc w:val="both"/>
              <w:rPr>
                <w:rFonts w:eastAsia="Calibri"/>
                <w:sz w:val="20"/>
                <w:lang w:val="fr-CA"/>
              </w:rPr>
            </w:pPr>
          </w:p>
        </w:tc>
        <w:tc>
          <w:tcPr>
            <w:tcW w:w="270" w:type="pct"/>
          </w:tcPr>
          <w:p w:rsidR="00643B72" w:rsidRPr="00A1535A" w:rsidRDefault="00643B72" w:rsidP="005552A8">
            <w:pPr>
              <w:jc w:val="both"/>
              <w:rPr>
                <w:rFonts w:eastAsia="Calibri"/>
                <w:sz w:val="20"/>
                <w:lang w:val="fr-CA"/>
              </w:rPr>
            </w:pPr>
          </w:p>
        </w:tc>
        <w:tc>
          <w:tcPr>
            <w:tcW w:w="2340" w:type="pct"/>
          </w:tcPr>
          <w:p w:rsidR="00643B72" w:rsidRPr="00A1535A" w:rsidRDefault="00643B72" w:rsidP="005552A8">
            <w:pPr>
              <w:jc w:val="both"/>
              <w:rPr>
                <w:rFonts w:eastAsia="Calibri"/>
                <w:sz w:val="20"/>
                <w:lang w:val="fr-CA"/>
              </w:rPr>
            </w:pPr>
            <w:r w:rsidRPr="00A1535A">
              <w:rPr>
                <w:rFonts w:eastAsia="Calibri"/>
                <w:sz w:val="20"/>
                <w:lang w:val="fr-CA"/>
              </w:rPr>
              <w:t>Appel de la déclaration de culpabilité, rejeté</w:t>
            </w:r>
          </w:p>
          <w:p w:rsidR="00643B72" w:rsidRPr="00A1535A" w:rsidRDefault="00643B72" w:rsidP="005552A8">
            <w:pPr>
              <w:jc w:val="both"/>
              <w:rPr>
                <w:rFonts w:eastAsia="Calibri"/>
                <w:sz w:val="20"/>
                <w:lang w:val="fr-CA"/>
              </w:rPr>
            </w:pPr>
          </w:p>
        </w:tc>
      </w:tr>
      <w:tr w:rsidR="00643B72" w:rsidRPr="00B6145B" w:rsidTr="005552A8">
        <w:tblPrEx>
          <w:tblCellMar>
            <w:bottom w:w="0" w:type="dxa"/>
          </w:tblCellMar>
        </w:tblPrEx>
        <w:tc>
          <w:tcPr>
            <w:tcW w:w="2390" w:type="pct"/>
          </w:tcPr>
          <w:p w:rsidR="00643B72" w:rsidRPr="00A1535A" w:rsidRDefault="00643B72" w:rsidP="005552A8">
            <w:pPr>
              <w:jc w:val="both"/>
              <w:rPr>
                <w:rFonts w:eastAsia="Calibri"/>
                <w:sz w:val="20"/>
                <w:lang w:val="fr-CA"/>
              </w:rPr>
            </w:pPr>
            <w:r w:rsidRPr="00A1535A">
              <w:rPr>
                <w:rFonts w:eastAsia="Calibri"/>
                <w:sz w:val="20"/>
                <w:lang w:val="fr-CA"/>
              </w:rPr>
              <w:t>15 mars 2012</w:t>
            </w:r>
          </w:p>
          <w:p w:rsidR="00643B72" w:rsidRPr="00A1535A" w:rsidRDefault="00643B72" w:rsidP="005552A8">
            <w:pPr>
              <w:jc w:val="both"/>
              <w:rPr>
                <w:rFonts w:eastAsia="Calibri"/>
                <w:sz w:val="20"/>
                <w:lang w:val="fr-CA"/>
              </w:rPr>
            </w:pPr>
            <w:r w:rsidRPr="00A1535A">
              <w:rPr>
                <w:rFonts w:eastAsia="Calibri"/>
                <w:sz w:val="20"/>
                <w:lang w:val="fr-CA"/>
              </w:rPr>
              <w:t>Cour suprême du Canada</w:t>
            </w:r>
          </w:p>
          <w:p w:rsidR="00643B72" w:rsidRPr="00A1535A" w:rsidRDefault="00643B72" w:rsidP="005552A8">
            <w:pPr>
              <w:jc w:val="both"/>
              <w:rPr>
                <w:rFonts w:eastAsia="Calibri"/>
                <w:sz w:val="20"/>
                <w:lang w:val="fr-CA"/>
              </w:rPr>
            </w:pPr>
          </w:p>
        </w:tc>
        <w:tc>
          <w:tcPr>
            <w:tcW w:w="270" w:type="pct"/>
          </w:tcPr>
          <w:p w:rsidR="00643B72" w:rsidRPr="00A1535A" w:rsidRDefault="00643B72" w:rsidP="005552A8">
            <w:pPr>
              <w:jc w:val="both"/>
              <w:rPr>
                <w:rFonts w:eastAsia="Calibri"/>
                <w:sz w:val="20"/>
                <w:lang w:val="fr-CA"/>
              </w:rPr>
            </w:pPr>
          </w:p>
        </w:tc>
        <w:tc>
          <w:tcPr>
            <w:tcW w:w="2340" w:type="pct"/>
          </w:tcPr>
          <w:p w:rsidR="00643B72" w:rsidRPr="00A1535A" w:rsidRDefault="00643B72" w:rsidP="005552A8">
            <w:pPr>
              <w:jc w:val="both"/>
              <w:rPr>
                <w:rFonts w:eastAsia="Calibri"/>
                <w:sz w:val="20"/>
                <w:lang w:val="fr-CA"/>
              </w:rPr>
            </w:pPr>
            <w:r w:rsidRPr="00A1535A">
              <w:rPr>
                <w:rFonts w:eastAsia="Calibri"/>
                <w:sz w:val="20"/>
                <w:lang w:val="fr-CA"/>
              </w:rPr>
              <w:t>Demande de prorogation du délai de signification et de dépôt de la demande d'autorisation d'appel et demande d'autorisation d'appel, déposées</w:t>
            </w:r>
          </w:p>
        </w:tc>
      </w:tr>
    </w:tbl>
    <w:p w:rsidR="00EC09EE" w:rsidRPr="00643B72" w:rsidRDefault="00EC09EE" w:rsidP="00EC09EE">
      <w:pPr>
        <w:rPr>
          <w:sz w:val="20"/>
          <w:szCs w:val="20"/>
          <w:lang w:val="fr-CA"/>
        </w:rPr>
      </w:pPr>
    </w:p>
    <w:p w:rsidR="00EC09EE" w:rsidRDefault="007333FF" w:rsidP="00EC09EE">
      <w:pPr>
        <w:rPr>
          <w:sz w:val="20"/>
          <w:szCs w:val="20"/>
        </w:rPr>
      </w:pPr>
      <w:r w:rsidRPr="007333FF">
        <w:rPr>
          <w:sz w:val="20"/>
          <w:szCs w:val="20"/>
          <w:lang w:val="fr-CA"/>
        </w:rPr>
        <w:pict>
          <v:rect id="_x0000_i1093" style="width:2in;height:1pt" o:hrpct="0" o:hralign="center" o:hrstd="t" o:hrnoshade="t" o:hr="t" fillcolor="black [3213]" stroked="f"/>
        </w:pict>
      </w:r>
    </w:p>
    <w:p w:rsidR="00EC09EE" w:rsidRDefault="00EC09EE" w:rsidP="00EC09E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94072" w:rsidRPr="00694072" w:rsidTr="00D40817">
        <w:trPr>
          <w:cantSplit/>
        </w:trPr>
        <w:tc>
          <w:tcPr>
            <w:tcW w:w="1458" w:type="dxa"/>
          </w:tcPr>
          <w:p w:rsidR="00694072" w:rsidRPr="00694072" w:rsidRDefault="00694072" w:rsidP="00D40817">
            <w:pPr>
              <w:rPr>
                <w:sz w:val="20"/>
                <w:szCs w:val="20"/>
              </w:rPr>
            </w:pPr>
            <w:r w:rsidRPr="00694072">
              <w:rPr>
                <w:rStyle w:val="SCCFileNumberChar"/>
                <w:sz w:val="20"/>
                <w:szCs w:val="20"/>
              </w:rPr>
              <w:t>34758</w:t>
            </w:r>
          </w:p>
          <w:p w:rsidR="00694072" w:rsidRPr="00694072" w:rsidRDefault="00694072" w:rsidP="00D40817">
            <w:pPr>
              <w:rPr>
                <w:b/>
                <w:sz w:val="20"/>
                <w:szCs w:val="20"/>
                <w:lang w:val="fr-CA"/>
              </w:rPr>
            </w:pPr>
          </w:p>
        </w:tc>
        <w:tc>
          <w:tcPr>
            <w:tcW w:w="8118" w:type="dxa"/>
          </w:tcPr>
          <w:p w:rsidR="00694072" w:rsidRPr="00694072" w:rsidRDefault="002E361D" w:rsidP="00D40817">
            <w:pPr>
              <w:rPr>
                <w:sz w:val="20"/>
                <w:szCs w:val="20"/>
              </w:rPr>
            </w:pPr>
            <w:r>
              <w:rPr>
                <w:rStyle w:val="SCCLsocChar"/>
                <w:sz w:val="20"/>
                <w:szCs w:val="20"/>
                <w:lang w:val="en-CA"/>
              </w:rPr>
              <w:t>Marcy White and</w:t>
            </w:r>
            <w:r w:rsidR="00694072" w:rsidRPr="00694072">
              <w:rPr>
                <w:rStyle w:val="SCCLsocChar"/>
                <w:sz w:val="20"/>
                <w:szCs w:val="20"/>
                <w:lang w:val="en-CA"/>
              </w:rPr>
              <w:t xml:space="preserve"> Andrew Trossman v. Gordon Watters</w:t>
            </w:r>
            <w:r w:rsidR="00694072" w:rsidRPr="00694072">
              <w:rPr>
                <w:sz w:val="20"/>
                <w:szCs w:val="20"/>
              </w:rPr>
              <w:t xml:space="preserve"> (Que.) (Civil) (By Leave)</w:t>
            </w:r>
          </w:p>
          <w:p w:rsidR="00694072" w:rsidRPr="00694072" w:rsidRDefault="00694072" w:rsidP="00D40817">
            <w:pPr>
              <w:rPr>
                <w:sz w:val="20"/>
                <w:szCs w:val="20"/>
              </w:rPr>
            </w:pPr>
          </w:p>
        </w:tc>
      </w:tr>
      <w:tr w:rsidR="00694072" w:rsidRPr="00694072" w:rsidTr="00D40817">
        <w:trPr>
          <w:cantSplit/>
        </w:trPr>
        <w:tc>
          <w:tcPr>
            <w:tcW w:w="1458" w:type="dxa"/>
          </w:tcPr>
          <w:p w:rsidR="00694072" w:rsidRPr="00694072" w:rsidRDefault="00694072" w:rsidP="00D40817">
            <w:pPr>
              <w:rPr>
                <w:sz w:val="20"/>
                <w:szCs w:val="20"/>
              </w:rPr>
            </w:pPr>
            <w:r w:rsidRPr="00694072">
              <w:rPr>
                <w:sz w:val="20"/>
                <w:szCs w:val="20"/>
              </w:rPr>
              <w:t>Coram :</w:t>
            </w:r>
          </w:p>
        </w:tc>
        <w:tc>
          <w:tcPr>
            <w:tcW w:w="8118" w:type="dxa"/>
          </w:tcPr>
          <w:p w:rsidR="00694072" w:rsidRPr="00694072" w:rsidRDefault="00694072" w:rsidP="00D40817">
            <w:pPr>
              <w:rPr>
                <w:sz w:val="20"/>
                <w:szCs w:val="20"/>
              </w:rPr>
            </w:pPr>
            <w:r w:rsidRPr="00694072">
              <w:rPr>
                <w:rStyle w:val="SCCCoramChar"/>
                <w:sz w:val="20"/>
                <w:szCs w:val="20"/>
                <w:lang w:val="en-CA"/>
              </w:rPr>
              <w:t>Deschamps, Fish and Karakatsanis JJ.</w:t>
            </w:r>
          </w:p>
          <w:p w:rsidR="00694072" w:rsidRPr="00694072" w:rsidRDefault="00694072" w:rsidP="00D40817">
            <w:pPr>
              <w:rPr>
                <w:sz w:val="20"/>
                <w:szCs w:val="20"/>
                <w:u w:val="single"/>
              </w:rPr>
            </w:pPr>
          </w:p>
        </w:tc>
      </w:tr>
      <w:tr w:rsidR="00694072" w:rsidRPr="00B6145B" w:rsidTr="00D40817">
        <w:trPr>
          <w:cantSplit/>
        </w:trPr>
        <w:tc>
          <w:tcPr>
            <w:tcW w:w="9576" w:type="dxa"/>
            <w:gridSpan w:val="2"/>
          </w:tcPr>
          <w:p w:rsidR="00694072" w:rsidRPr="00694072" w:rsidRDefault="00694072" w:rsidP="00D40817">
            <w:pPr>
              <w:pStyle w:val="SCCShortJudgment"/>
              <w:rPr>
                <w:szCs w:val="20"/>
              </w:rPr>
            </w:pPr>
            <w:r w:rsidRPr="00694072">
              <w:rPr>
                <w:szCs w:val="20"/>
              </w:rPr>
              <w:t>The motion to expedite the application for leave to appeal is granted. The application for leave to appeal from the judgment of the Court of Appeal of Quebec (Montréal), Number 500-09-020928-107, 2012 QCCA 257,  dated February 9, 2012, is dismissed with costs.</w:t>
            </w:r>
          </w:p>
          <w:p w:rsidR="00694072" w:rsidRPr="00694072" w:rsidRDefault="00694072" w:rsidP="00D40817">
            <w:pPr>
              <w:pStyle w:val="SCCShortJudgment"/>
              <w:ind w:firstLine="0"/>
              <w:rPr>
                <w:szCs w:val="20"/>
              </w:rPr>
            </w:pPr>
          </w:p>
          <w:p w:rsidR="00694072" w:rsidRPr="00694072" w:rsidRDefault="00694072" w:rsidP="00D40817">
            <w:pPr>
              <w:pStyle w:val="SCCShortJudgment"/>
              <w:rPr>
                <w:szCs w:val="20"/>
                <w:lang w:val="fr-CA"/>
              </w:rPr>
            </w:pPr>
            <w:r w:rsidRPr="00694072">
              <w:rPr>
                <w:szCs w:val="20"/>
                <w:lang w:val="fr-CA"/>
              </w:rPr>
              <w:t>La requête visant à accélérer la procédure de la demande d’autorisation d’appel est accueillie. La demande d’autorisation d’appel de l’arrêt de la Cour d’appel du Québec (Montréal), numéro 500-09-020928-107, 2012 QCCA 257, daté du 9 février 2012, est rejetée avec dépens.</w:t>
            </w:r>
          </w:p>
        </w:tc>
      </w:tr>
    </w:tbl>
    <w:p w:rsidR="00EC09EE" w:rsidRPr="00F40E20" w:rsidRDefault="00EC09EE" w:rsidP="00EC09EE">
      <w:pPr>
        <w:rPr>
          <w:sz w:val="20"/>
          <w:szCs w:val="20"/>
          <w:lang w:val="fr-CA"/>
        </w:rPr>
      </w:pPr>
    </w:p>
    <w:p w:rsidR="00EC09EE" w:rsidRPr="001B157C" w:rsidRDefault="00EC09EE" w:rsidP="00EC09EE">
      <w:pPr>
        <w:rPr>
          <w:sz w:val="20"/>
          <w:szCs w:val="20"/>
          <w:u w:val="single"/>
        </w:rPr>
      </w:pPr>
      <w:r w:rsidRPr="001B157C">
        <w:rPr>
          <w:sz w:val="20"/>
          <w:szCs w:val="20"/>
          <w:u w:val="single"/>
        </w:rPr>
        <w:t>CASE SUMMARY</w:t>
      </w:r>
    </w:p>
    <w:p w:rsidR="00EC09EE" w:rsidRDefault="00EC09EE" w:rsidP="00EC09E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21706" w:rsidRPr="00A1535A" w:rsidTr="005552A8">
        <w:tc>
          <w:tcPr>
            <w:tcW w:w="5000" w:type="pct"/>
            <w:gridSpan w:val="3"/>
          </w:tcPr>
          <w:p w:rsidR="00E21706" w:rsidRPr="00A1535A" w:rsidRDefault="00E21706" w:rsidP="005552A8">
            <w:pPr>
              <w:jc w:val="both"/>
              <w:rPr>
                <w:rFonts w:eastAsia="Calibri"/>
                <w:sz w:val="20"/>
              </w:rPr>
            </w:pPr>
            <w:r w:rsidRPr="00A1535A">
              <w:rPr>
                <w:rFonts w:eastAsia="Calibri"/>
                <w:sz w:val="20"/>
              </w:rPr>
              <w:t xml:space="preserve">Civil liability — Professional liability — Damages — Quantum — Whether physician to a patient in the 1970’s committed fault under art. 1053 of the </w:t>
            </w:r>
            <w:r w:rsidRPr="00A1535A">
              <w:rPr>
                <w:rFonts w:eastAsia="Calibri"/>
                <w:i/>
                <w:sz w:val="20"/>
              </w:rPr>
              <w:t>Civil Code of Lower Canada</w:t>
            </w:r>
            <w:r w:rsidRPr="00A1535A">
              <w:rPr>
                <w:rFonts w:eastAsia="Calibri"/>
                <w:sz w:val="20"/>
              </w:rPr>
              <w:t xml:space="preserve"> by failing to warn extended family members of a risk of genetic illness — Existence and scope of a physician’s obligation to inform a patient’s family members of genetic risks –– Whether trial judge committed reviewable error in assessing quantum of damages</w:t>
            </w:r>
          </w:p>
        </w:tc>
      </w:tr>
      <w:tr w:rsidR="00E21706" w:rsidRPr="00A1535A" w:rsidTr="005552A8">
        <w:tc>
          <w:tcPr>
            <w:tcW w:w="5000" w:type="pct"/>
            <w:gridSpan w:val="3"/>
          </w:tcPr>
          <w:p w:rsidR="00E21706" w:rsidRPr="00A1535A" w:rsidRDefault="00E21706" w:rsidP="005552A8">
            <w:pPr>
              <w:jc w:val="both"/>
              <w:rPr>
                <w:rFonts w:eastAsia="Calibri"/>
                <w:sz w:val="20"/>
              </w:rPr>
            </w:pPr>
          </w:p>
        </w:tc>
      </w:tr>
      <w:tr w:rsidR="00E21706" w:rsidRPr="00A1535A" w:rsidTr="005552A8">
        <w:tc>
          <w:tcPr>
            <w:tcW w:w="5000" w:type="pct"/>
            <w:gridSpan w:val="3"/>
          </w:tcPr>
          <w:p w:rsidR="00E21706" w:rsidRPr="00A1535A" w:rsidRDefault="00E21706" w:rsidP="005552A8">
            <w:pPr>
              <w:jc w:val="both"/>
              <w:rPr>
                <w:rFonts w:eastAsia="Calibri"/>
                <w:sz w:val="20"/>
              </w:rPr>
            </w:pPr>
            <w:r w:rsidRPr="00A1535A">
              <w:rPr>
                <w:rFonts w:eastAsia="Calibri"/>
                <w:sz w:val="20"/>
              </w:rPr>
              <w:t xml:space="preserve">The applicants are the parents of a child born with a severely debilitating, genetic, neurological disorder that is inherited by 50% of male children born of women who carry the gene in issue.  The respondent was a neurologist in the 1970s and the physician to Marcy White’s second cousin.  Marcy White’s second cousin was diagnosed as having </w:t>
            </w:r>
            <w:r w:rsidRPr="00A1535A">
              <w:rPr>
                <w:rFonts w:eastAsia="Calibri"/>
                <w:sz w:val="20"/>
              </w:rPr>
              <w:lastRenderedPageBreak/>
              <w:t>a different neurological disease that also is inherited by boys through a maternal gene but in fact he had the same disease as the applicants’ child.  At issue is whether the respondent had a duty to warn his patient’s extended family that they carry a gene placing their male children at risk of illness.  The genetic linkage in issue descends through two sisters, one of whom was Tracy White’s grandmother and the other the grandmother of the child under the respondent’s care. The respondent advised his patient’s father of the genetic disorder that he diagnosed and urged the father to notify extended family members.  The applicants sued the respondent, alleging that he failed to take further reasonable steps that would have endured that the extended family became aware of the risk and that, but for his fault, they would have known of the risk of having a sick child and terminated the pregnancy.</w:t>
            </w:r>
          </w:p>
          <w:p w:rsidR="00E21706" w:rsidRPr="00A1535A" w:rsidRDefault="00E21706" w:rsidP="005552A8">
            <w:pPr>
              <w:jc w:val="both"/>
              <w:rPr>
                <w:rFonts w:eastAsia="Calibri"/>
                <w:sz w:val="20"/>
              </w:rPr>
            </w:pPr>
          </w:p>
        </w:tc>
      </w:tr>
      <w:tr w:rsidR="00E21706" w:rsidRPr="00A1535A" w:rsidTr="005552A8">
        <w:tc>
          <w:tcPr>
            <w:tcW w:w="2427" w:type="pct"/>
          </w:tcPr>
          <w:p w:rsidR="00E21706" w:rsidRPr="00A1535A" w:rsidRDefault="00E21706" w:rsidP="005552A8">
            <w:pPr>
              <w:jc w:val="both"/>
              <w:rPr>
                <w:rFonts w:eastAsia="Calibri"/>
                <w:sz w:val="20"/>
              </w:rPr>
            </w:pPr>
            <w:r w:rsidRPr="00A1535A">
              <w:rPr>
                <w:rFonts w:eastAsia="Calibri"/>
                <w:sz w:val="20"/>
              </w:rPr>
              <w:lastRenderedPageBreak/>
              <w:t>July 5, 2010</w:t>
            </w:r>
          </w:p>
          <w:p w:rsidR="00E21706" w:rsidRPr="00A1535A" w:rsidRDefault="00E21706" w:rsidP="005552A8">
            <w:pPr>
              <w:jc w:val="both"/>
              <w:rPr>
                <w:rFonts w:eastAsia="Calibri"/>
                <w:sz w:val="20"/>
              </w:rPr>
            </w:pPr>
            <w:r w:rsidRPr="00A1535A">
              <w:rPr>
                <w:rFonts w:eastAsia="Calibri"/>
                <w:sz w:val="20"/>
              </w:rPr>
              <w:t>Superior Court of Quebec</w:t>
            </w:r>
          </w:p>
          <w:p w:rsidR="00E21706" w:rsidRPr="00A1535A" w:rsidRDefault="00E21706" w:rsidP="005552A8">
            <w:pPr>
              <w:jc w:val="both"/>
              <w:rPr>
                <w:rFonts w:eastAsia="Calibri"/>
                <w:sz w:val="20"/>
              </w:rPr>
            </w:pPr>
            <w:r w:rsidRPr="00A1535A">
              <w:rPr>
                <w:rFonts w:eastAsia="Calibri"/>
                <w:sz w:val="20"/>
              </w:rPr>
              <w:t xml:space="preserve">(Riordan J.)  </w:t>
            </w:r>
          </w:p>
          <w:p w:rsidR="00E21706" w:rsidRPr="00A1535A" w:rsidRDefault="00E21706" w:rsidP="005552A8">
            <w:pPr>
              <w:jc w:val="both"/>
              <w:rPr>
                <w:rFonts w:eastAsia="Calibri"/>
                <w:sz w:val="20"/>
              </w:rPr>
            </w:pPr>
            <w:r w:rsidRPr="00A1535A">
              <w:rPr>
                <w:rFonts w:eastAsia="Calibri"/>
                <w:sz w:val="20"/>
              </w:rPr>
              <w:t>2010 QCCS 3309</w:t>
            </w:r>
          </w:p>
          <w:p w:rsidR="00E21706" w:rsidRPr="00A1535A" w:rsidRDefault="00E21706" w:rsidP="005552A8">
            <w:pPr>
              <w:jc w:val="both"/>
              <w:rPr>
                <w:rFonts w:eastAsia="Calibri"/>
                <w:sz w:val="20"/>
              </w:rPr>
            </w:pPr>
          </w:p>
        </w:tc>
        <w:tc>
          <w:tcPr>
            <w:tcW w:w="243" w:type="pct"/>
          </w:tcPr>
          <w:p w:rsidR="00E21706" w:rsidRPr="00A1535A" w:rsidRDefault="00E21706" w:rsidP="005552A8">
            <w:pPr>
              <w:jc w:val="both"/>
              <w:rPr>
                <w:rFonts w:eastAsia="Calibri"/>
                <w:sz w:val="20"/>
              </w:rPr>
            </w:pPr>
          </w:p>
        </w:tc>
        <w:tc>
          <w:tcPr>
            <w:tcW w:w="2330" w:type="pct"/>
          </w:tcPr>
          <w:p w:rsidR="00E21706" w:rsidRPr="00A1535A" w:rsidRDefault="00E21706" w:rsidP="005552A8">
            <w:pPr>
              <w:jc w:val="both"/>
              <w:rPr>
                <w:rFonts w:eastAsia="Calibri"/>
                <w:sz w:val="20"/>
              </w:rPr>
            </w:pPr>
            <w:r w:rsidRPr="00A1535A">
              <w:rPr>
                <w:rFonts w:eastAsia="Calibri"/>
                <w:sz w:val="20"/>
              </w:rPr>
              <w:t xml:space="preserve">Respondent and Dr. Naomi Fitch ordered to pay $6,000,276 to the applicants, apportioned 75% and 25% respectively; Other actions dismissed  </w:t>
            </w:r>
          </w:p>
          <w:p w:rsidR="00E21706" w:rsidRPr="00A1535A" w:rsidRDefault="00E21706" w:rsidP="005552A8">
            <w:pPr>
              <w:jc w:val="both"/>
              <w:rPr>
                <w:rFonts w:eastAsia="Calibri"/>
                <w:sz w:val="20"/>
              </w:rPr>
            </w:pPr>
          </w:p>
        </w:tc>
      </w:tr>
      <w:tr w:rsidR="00E21706" w:rsidRPr="00A1535A" w:rsidTr="005552A8">
        <w:tc>
          <w:tcPr>
            <w:tcW w:w="2427" w:type="pct"/>
          </w:tcPr>
          <w:p w:rsidR="00E21706" w:rsidRPr="00A1535A" w:rsidRDefault="00E21706" w:rsidP="005552A8">
            <w:pPr>
              <w:jc w:val="both"/>
              <w:rPr>
                <w:rFonts w:eastAsia="Calibri"/>
                <w:sz w:val="20"/>
              </w:rPr>
            </w:pPr>
            <w:r w:rsidRPr="00A1535A">
              <w:rPr>
                <w:rFonts w:eastAsia="Calibri"/>
                <w:sz w:val="20"/>
              </w:rPr>
              <w:t>February 9, 2012</w:t>
            </w:r>
          </w:p>
          <w:p w:rsidR="00E21706" w:rsidRPr="00A1535A" w:rsidRDefault="00E21706" w:rsidP="005552A8">
            <w:pPr>
              <w:jc w:val="both"/>
              <w:rPr>
                <w:rFonts w:eastAsia="Calibri"/>
                <w:sz w:val="20"/>
              </w:rPr>
            </w:pPr>
            <w:r w:rsidRPr="00A1535A">
              <w:rPr>
                <w:rFonts w:eastAsia="Calibri"/>
                <w:sz w:val="20"/>
              </w:rPr>
              <w:t>Court of Appeal of Quebec (Montréal)</w:t>
            </w:r>
          </w:p>
          <w:p w:rsidR="00E21706" w:rsidRPr="00A1535A" w:rsidRDefault="00E21706" w:rsidP="005552A8">
            <w:pPr>
              <w:jc w:val="both"/>
              <w:rPr>
                <w:rFonts w:eastAsia="Calibri"/>
                <w:sz w:val="20"/>
                <w:lang w:val="fr-CA"/>
              </w:rPr>
            </w:pPr>
            <w:r w:rsidRPr="00A1535A">
              <w:rPr>
                <w:rFonts w:eastAsia="Calibri"/>
                <w:sz w:val="20"/>
                <w:lang w:val="fr-CA"/>
              </w:rPr>
              <w:t>(Thibault, Rochette, Kasirer JJ.A.)</w:t>
            </w:r>
          </w:p>
          <w:p w:rsidR="00E21706" w:rsidRPr="00A1535A" w:rsidRDefault="00E21706" w:rsidP="005552A8">
            <w:pPr>
              <w:jc w:val="both"/>
              <w:rPr>
                <w:rFonts w:eastAsia="Calibri"/>
                <w:sz w:val="20"/>
              </w:rPr>
            </w:pPr>
            <w:r w:rsidRPr="00A1535A">
              <w:rPr>
                <w:rFonts w:eastAsia="Calibri"/>
                <w:sz w:val="20"/>
              </w:rPr>
              <w:t xml:space="preserve">2012 QCCA 257; 500-09-020928-107 (500-17-025581-052) </w:t>
            </w:r>
          </w:p>
          <w:p w:rsidR="00E21706" w:rsidRPr="00A1535A" w:rsidRDefault="00E21706" w:rsidP="005552A8">
            <w:pPr>
              <w:jc w:val="both"/>
              <w:rPr>
                <w:rFonts w:eastAsia="Calibri"/>
                <w:sz w:val="20"/>
              </w:rPr>
            </w:pPr>
          </w:p>
        </w:tc>
        <w:tc>
          <w:tcPr>
            <w:tcW w:w="243" w:type="pct"/>
          </w:tcPr>
          <w:p w:rsidR="00E21706" w:rsidRPr="00A1535A" w:rsidRDefault="00E21706" w:rsidP="005552A8">
            <w:pPr>
              <w:jc w:val="both"/>
              <w:rPr>
                <w:rFonts w:eastAsia="Calibri"/>
                <w:sz w:val="20"/>
              </w:rPr>
            </w:pPr>
          </w:p>
        </w:tc>
        <w:tc>
          <w:tcPr>
            <w:tcW w:w="2330" w:type="pct"/>
          </w:tcPr>
          <w:p w:rsidR="00E21706" w:rsidRPr="00A1535A" w:rsidRDefault="00E21706" w:rsidP="005552A8">
            <w:pPr>
              <w:jc w:val="both"/>
              <w:rPr>
                <w:rFonts w:eastAsia="Calibri"/>
                <w:sz w:val="20"/>
              </w:rPr>
            </w:pPr>
            <w:r w:rsidRPr="00A1535A">
              <w:rPr>
                <w:rFonts w:eastAsia="Calibri"/>
                <w:sz w:val="20"/>
              </w:rPr>
              <w:t>Appeal allowed, applicants’ action against respondent dismissed</w:t>
            </w:r>
          </w:p>
          <w:p w:rsidR="00E21706" w:rsidRPr="00A1535A" w:rsidRDefault="00E21706" w:rsidP="005552A8">
            <w:pPr>
              <w:jc w:val="both"/>
              <w:rPr>
                <w:rFonts w:eastAsia="Calibri"/>
                <w:sz w:val="20"/>
              </w:rPr>
            </w:pPr>
          </w:p>
        </w:tc>
      </w:tr>
      <w:tr w:rsidR="00E21706" w:rsidRPr="00A1535A" w:rsidTr="005552A8">
        <w:tc>
          <w:tcPr>
            <w:tcW w:w="2427" w:type="pct"/>
          </w:tcPr>
          <w:p w:rsidR="00E21706" w:rsidRPr="00A1535A" w:rsidRDefault="00E21706" w:rsidP="005552A8">
            <w:pPr>
              <w:jc w:val="both"/>
              <w:rPr>
                <w:rFonts w:eastAsia="Calibri"/>
                <w:sz w:val="20"/>
              </w:rPr>
            </w:pPr>
            <w:r w:rsidRPr="00A1535A">
              <w:rPr>
                <w:rFonts w:eastAsia="Calibri"/>
                <w:sz w:val="20"/>
              </w:rPr>
              <w:t>April 5, 2012</w:t>
            </w:r>
          </w:p>
          <w:p w:rsidR="00E21706" w:rsidRPr="00A1535A" w:rsidRDefault="00E21706" w:rsidP="005552A8">
            <w:pPr>
              <w:jc w:val="both"/>
              <w:rPr>
                <w:rFonts w:eastAsia="Calibri"/>
                <w:sz w:val="20"/>
              </w:rPr>
            </w:pPr>
            <w:r w:rsidRPr="00A1535A">
              <w:rPr>
                <w:rFonts w:eastAsia="Calibri"/>
                <w:sz w:val="20"/>
              </w:rPr>
              <w:t>Supreme Court of Canada</w:t>
            </w:r>
          </w:p>
          <w:p w:rsidR="00E21706" w:rsidRPr="00A1535A" w:rsidRDefault="00E21706" w:rsidP="005552A8">
            <w:pPr>
              <w:jc w:val="both"/>
              <w:rPr>
                <w:rFonts w:eastAsia="Calibri"/>
                <w:sz w:val="20"/>
              </w:rPr>
            </w:pPr>
          </w:p>
        </w:tc>
        <w:tc>
          <w:tcPr>
            <w:tcW w:w="243" w:type="pct"/>
          </w:tcPr>
          <w:p w:rsidR="00E21706" w:rsidRPr="00A1535A" w:rsidRDefault="00E21706" w:rsidP="005552A8">
            <w:pPr>
              <w:jc w:val="both"/>
              <w:rPr>
                <w:rFonts w:eastAsia="Calibri"/>
                <w:sz w:val="20"/>
              </w:rPr>
            </w:pPr>
          </w:p>
        </w:tc>
        <w:tc>
          <w:tcPr>
            <w:tcW w:w="2330" w:type="pct"/>
          </w:tcPr>
          <w:p w:rsidR="00E21706" w:rsidRPr="00A1535A" w:rsidRDefault="00E21706" w:rsidP="005552A8">
            <w:pPr>
              <w:jc w:val="both"/>
              <w:rPr>
                <w:rFonts w:eastAsia="Calibri"/>
                <w:sz w:val="20"/>
              </w:rPr>
            </w:pPr>
            <w:r w:rsidRPr="00A1535A">
              <w:rPr>
                <w:rFonts w:eastAsia="Calibri"/>
                <w:sz w:val="20"/>
              </w:rPr>
              <w:t>Application for leave to appeal filed</w:t>
            </w:r>
          </w:p>
          <w:p w:rsidR="00E21706" w:rsidRPr="00A1535A" w:rsidRDefault="00E21706" w:rsidP="005552A8">
            <w:pPr>
              <w:jc w:val="both"/>
              <w:rPr>
                <w:rFonts w:eastAsia="Calibri"/>
                <w:sz w:val="20"/>
              </w:rPr>
            </w:pPr>
          </w:p>
        </w:tc>
      </w:tr>
      <w:tr w:rsidR="00E21706" w:rsidRPr="00A1535A" w:rsidTr="005552A8">
        <w:tc>
          <w:tcPr>
            <w:tcW w:w="2427" w:type="pct"/>
          </w:tcPr>
          <w:p w:rsidR="00E21706" w:rsidRPr="00A1535A" w:rsidRDefault="00E21706" w:rsidP="005552A8">
            <w:pPr>
              <w:jc w:val="both"/>
              <w:rPr>
                <w:rFonts w:eastAsia="Calibri"/>
                <w:sz w:val="20"/>
              </w:rPr>
            </w:pPr>
            <w:r w:rsidRPr="00A1535A">
              <w:rPr>
                <w:rFonts w:eastAsia="Calibri"/>
                <w:sz w:val="20"/>
              </w:rPr>
              <w:t>May 15, 2012</w:t>
            </w:r>
          </w:p>
          <w:p w:rsidR="00E21706" w:rsidRPr="00A1535A" w:rsidRDefault="00E21706" w:rsidP="005552A8">
            <w:pPr>
              <w:jc w:val="both"/>
              <w:rPr>
                <w:rFonts w:eastAsia="Calibri"/>
                <w:sz w:val="20"/>
              </w:rPr>
            </w:pPr>
            <w:r w:rsidRPr="00A1535A">
              <w:rPr>
                <w:rFonts w:eastAsia="Calibri"/>
                <w:sz w:val="20"/>
              </w:rPr>
              <w:t>Supreme Court of Canada</w:t>
            </w:r>
          </w:p>
        </w:tc>
        <w:tc>
          <w:tcPr>
            <w:tcW w:w="243" w:type="pct"/>
          </w:tcPr>
          <w:p w:rsidR="00E21706" w:rsidRPr="00A1535A" w:rsidRDefault="00E21706" w:rsidP="005552A8">
            <w:pPr>
              <w:jc w:val="both"/>
              <w:rPr>
                <w:rFonts w:eastAsia="Calibri"/>
                <w:sz w:val="20"/>
              </w:rPr>
            </w:pPr>
          </w:p>
        </w:tc>
        <w:tc>
          <w:tcPr>
            <w:tcW w:w="2330" w:type="pct"/>
          </w:tcPr>
          <w:p w:rsidR="00E21706" w:rsidRPr="00A1535A" w:rsidRDefault="00E21706" w:rsidP="005552A8">
            <w:pPr>
              <w:jc w:val="both"/>
              <w:rPr>
                <w:rFonts w:eastAsia="Calibri"/>
                <w:sz w:val="20"/>
              </w:rPr>
            </w:pPr>
            <w:r w:rsidRPr="00A1535A">
              <w:rPr>
                <w:rFonts w:eastAsia="Calibri"/>
                <w:sz w:val="20"/>
              </w:rPr>
              <w:t>Motion to expedite application for leave to appeal filed</w:t>
            </w:r>
          </w:p>
        </w:tc>
      </w:tr>
    </w:tbl>
    <w:p w:rsidR="00EC09EE" w:rsidRDefault="00EC09EE" w:rsidP="00EC09EE">
      <w:pPr>
        <w:rPr>
          <w:sz w:val="20"/>
          <w:szCs w:val="20"/>
        </w:rPr>
      </w:pPr>
    </w:p>
    <w:p w:rsidR="00EC09EE" w:rsidRPr="00C50A5C" w:rsidRDefault="007333FF" w:rsidP="00EC09EE">
      <w:pPr>
        <w:rPr>
          <w:sz w:val="20"/>
          <w:szCs w:val="20"/>
        </w:rPr>
      </w:pPr>
      <w:r w:rsidRPr="007333FF">
        <w:rPr>
          <w:sz w:val="20"/>
          <w:szCs w:val="20"/>
          <w:lang w:val="fr-CA"/>
        </w:rPr>
        <w:pict>
          <v:rect id="_x0000_i1094" style="width:2in;height:1pt" o:hrpct="0" o:hralign="center" o:hrstd="t" o:hrnoshade="t" o:hr="t" fillcolor="black [3213]" stroked="f"/>
        </w:pict>
      </w:r>
    </w:p>
    <w:p w:rsidR="00EC09EE" w:rsidRDefault="00EC09EE" w:rsidP="00EC09EE">
      <w:pPr>
        <w:rPr>
          <w:sz w:val="20"/>
          <w:szCs w:val="20"/>
        </w:rPr>
      </w:pPr>
    </w:p>
    <w:p w:rsidR="00EC09EE" w:rsidRPr="001B157C" w:rsidRDefault="00EC09EE" w:rsidP="00EC09EE">
      <w:pPr>
        <w:rPr>
          <w:sz w:val="20"/>
          <w:szCs w:val="20"/>
          <w:u w:val="single"/>
          <w:lang w:val="fr-CA"/>
        </w:rPr>
      </w:pPr>
      <w:r w:rsidRPr="001B157C">
        <w:rPr>
          <w:sz w:val="20"/>
          <w:szCs w:val="20"/>
          <w:u w:val="single"/>
          <w:lang w:val="fr-CA"/>
        </w:rPr>
        <w:t>RÉSUMÉ DE L’AFFAIRE</w:t>
      </w:r>
    </w:p>
    <w:p w:rsidR="00EC09EE" w:rsidRDefault="00EC09EE" w:rsidP="00EC09EE">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21706" w:rsidRPr="00B6145B" w:rsidTr="005552A8">
        <w:tc>
          <w:tcPr>
            <w:tcW w:w="5000" w:type="pct"/>
            <w:gridSpan w:val="3"/>
          </w:tcPr>
          <w:p w:rsidR="00E21706" w:rsidRPr="00A1535A" w:rsidRDefault="00E21706" w:rsidP="005552A8">
            <w:pPr>
              <w:jc w:val="both"/>
              <w:rPr>
                <w:rFonts w:eastAsia="Calibri"/>
                <w:sz w:val="20"/>
                <w:lang w:val="fr-CA"/>
              </w:rPr>
            </w:pPr>
            <w:r w:rsidRPr="00A1535A">
              <w:rPr>
                <w:rFonts w:eastAsia="Calibri"/>
                <w:sz w:val="20"/>
                <w:lang w:val="fr-CA"/>
              </w:rPr>
              <w:t xml:space="preserve">Responsabilité civile — Responsabilité professionnelle — Dommages-intérêts — Quantum — Le médecin qui a traité un patient dans les années 1970 a-t-il commis une faute aux termes de l’art. 1053 du </w:t>
            </w:r>
            <w:r w:rsidRPr="00A1535A">
              <w:rPr>
                <w:rFonts w:eastAsia="Calibri"/>
                <w:i/>
                <w:sz w:val="20"/>
                <w:lang w:val="fr-CA"/>
              </w:rPr>
              <w:t>Code civil du Bas-Canada</w:t>
            </w:r>
            <w:r w:rsidRPr="00A1535A">
              <w:rPr>
                <w:rFonts w:eastAsia="Calibri"/>
                <w:sz w:val="20"/>
                <w:lang w:val="fr-CA"/>
              </w:rPr>
              <w:t xml:space="preserve"> en n’ayant pas averti les membres de la famille élargie d’un risque de maladie génétique? — Existence et portée de l’obligation du médecin d’informer les membres de la famille d’un patient de risques génétiques –– Le juge de première instance a-t-il commis une erreur susceptible de révision dans son évaluation du quantum des dommages-intérêts?</w:t>
            </w:r>
          </w:p>
        </w:tc>
      </w:tr>
      <w:tr w:rsidR="00E21706" w:rsidRPr="00B6145B" w:rsidTr="005552A8">
        <w:tc>
          <w:tcPr>
            <w:tcW w:w="5000" w:type="pct"/>
            <w:gridSpan w:val="3"/>
          </w:tcPr>
          <w:p w:rsidR="00E21706" w:rsidRPr="00A1535A" w:rsidRDefault="00E21706" w:rsidP="005552A8">
            <w:pPr>
              <w:jc w:val="both"/>
              <w:rPr>
                <w:rFonts w:eastAsia="Calibri"/>
                <w:sz w:val="20"/>
                <w:lang w:val="fr-CA"/>
              </w:rPr>
            </w:pPr>
          </w:p>
        </w:tc>
      </w:tr>
      <w:tr w:rsidR="00E21706" w:rsidRPr="00B6145B" w:rsidTr="005552A8">
        <w:tc>
          <w:tcPr>
            <w:tcW w:w="5000" w:type="pct"/>
            <w:gridSpan w:val="3"/>
          </w:tcPr>
          <w:p w:rsidR="00E21706" w:rsidRPr="00A1535A" w:rsidRDefault="00E21706" w:rsidP="005552A8">
            <w:pPr>
              <w:jc w:val="both"/>
              <w:rPr>
                <w:rFonts w:eastAsia="Calibri"/>
                <w:sz w:val="20"/>
                <w:lang w:val="fr-CA"/>
              </w:rPr>
            </w:pPr>
            <w:r w:rsidRPr="00A1535A">
              <w:rPr>
                <w:rFonts w:eastAsia="Calibri"/>
                <w:sz w:val="20"/>
                <w:lang w:val="fr-CA"/>
              </w:rPr>
              <w:t>Les demandeurs sont les parents d’un enfant né avec un trouble neurologique génétique gravement débilitant transmis à 50 % des enfants de sexe masculin nés de femmes qui portent le gène en cause. L’intimé était neurologue dans les années 1970 et le médecin du  cousin au deuxième degré de Marcy White.  On a diagnostiqué chez le cousin au deuxième degré de Marcy White une maladie neurologique différente qui est également transmise héréditairement aux garçons par un gène maternel, mais en fait, il avait la même maladie que l’enfant des demandeurs. La question en litige est de savoir si l’intimé avait une obligation de mettre en garde les membres de la famille élargie de son patient qu’ils portent un gène qui met leurs enfants de sexe masculin à risque d’avoir la maladie. La liaison génétique en cause descend par deux sœurs, dont l’une était la grand-mère de Tracy White et l’autre était la grand-mère de l’enfant qui était sous les soins de l’intimé. L’intimé a informé le père de son patient du trouble génétique qu’il avait diagnostiqué et a fortement encouragé le père à en informer les membres de la famille élargie. Les demandeurs ont poursuivi l’intimé, alléguant qu’il avait omis de prendre d’autres mesures raisonnables qui auraient garanti que les membres de la famille élargie prennent connaissance du risque et que, n’eut été de sa faute, ils auraient connu le risque d’avoir un enfant malade et interrompu la grossesse.</w:t>
            </w:r>
          </w:p>
          <w:p w:rsidR="00E21706" w:rsidRPr="00A1535A" w:rsidRDefault="00E21706" w:rsidP="005552A8">
            <w:pPr>
              <w:jc w:val="both"/>
              <w:rPr>
                <w:rFonts w:eastAsia="Calibri"/>
                <w:sz w:val="20"/>
                <w:lang w:val="fr-CA"/>
              </w:rPr>
            </w:pPr>
          </w:p>
        </w:tc>
      </w:tr>
      <w:tr w:rsidR="00E21706" w:rsidRPr="00B6145B" w:rsidTr="005552A8">
        <w:tc>
          <w:tcPr>
            <w:tcW w:w="2427" w:type="pct"/>
          </w:tcPr>
          <w:p w:rsidR="00E21706" w:rsidRPr="00A1535A" w:rsidRDefault="00E21706" w:rsidP="005552A8">
            <w:pPr>
              <w:jc w:val="both"/>
              <w:rPr>
                <w:rFonts w:eastAsia="Calibri"/>
                <w:sz w:val="20"/>
                <w:lang w:val="fr-CA"/>
              </w:rPr>
            </w:pPr>
            <w:r w:rsidRPr="00A1535A">
              <w:rPr>
                <w:rFonts w:eastAsia="Calibri"/>
                <w:sz w:val="20"/>
                <w:lang w:val="fr-CA"/>
              </w:rPr>
              <w:lastRenderedPageBreak/>
              <w:t>5 juillet 2010</w:t>
            </w:r>
          </w:p>
          <w:p w:rsidR="00E21706" w:rsidRPr="00A1535A" w:rsidRDefault="00E21706" w:rsidP="005552A8">
            <w:pPr>
              <w:jc w:val="both"/>
              <w:rPr>
                <w:rFonts w:eastAsia="Calibri"/>
                <w:sz w:val="20"/>
                <w:lang w:val="fr-CA"/>
              </w:rPr>
            </w:pPr>
            <w:r w:rsidRPr="00A1535A">
              <w:rPr>
                <w:rFonts w:eastAsia="Calibri"/>
                <w:sz w:val="20"/>
                <w:lang w:val="fr-CA"/>
              </w:rPr>
              <w:t>Cour supérieure du Québec</w:t>
            </w:r>
          </w:p>
          <w:p w:rsidR="00E21706" w:rsidRPr="00A1535A" w:rsidRDefault="00E21706" w:rsidP="005552A8">
            <w:pPr>
              <w:jc w:val="both"/>
              <w:rPr>
                <w:rFonts w:eastAsia="Calibri"/>
                <w:sz w:val="20"/>
                <w:lang w:val="fr-CA"/>
              </w:rPr>
            </w:pPr>
            <w:r w:rsidRPr="00A1535A">
              <w:rPr>
                <w:rFonts w:eastAsia="Calibri"/>
                <w:sz w:val="20"/>
                <w:lang w:val="fr-CA"/>
              </w:rPr>
              <w:t xml:space="preserve">(Juge Riordan)  </w:t>
            </w:r>
          </w:p>
          <w:p w:rsidR="00E21706" w:rsidRPr="00A1535A" w:rsidRDefault="00E21706" w:rsidP="005552A8">
            <w:pPr>
              <w:jc w:val="both"/>
              <w:rPr>
                <w:rFonts w:eastAsia="Calibri"/>
                <w:sz w:val="20"/>
                <w:lang w:val="fr-CA"/>
              </w:rPr>
            </w:pPr>
            <w:r w:rsidRPr="00A1535A">
              <w:rPr>
                <w:rFonts w:eastAsia="Calibri"/>
                <w:sz w:val="20"/>
                <w:lang w:val="fr-CA"/>
              </w:rPr>
              <w:t>2010 QCCS 3309</w:t>
            </w:r>
          </w:p>
          <w:p w:rsidR="00E21706" w:rsidRPr="00A1535A" w:rsidRDefault="00E21706" w:rsidP="005552A8">
            <w:pPr>
              <w:jc w:val="both"/>
              <w:rPr>
                <w:rFonts w:eastAsia="Calibri"/>
                <w:sz w:val="20"/>
                <w:lang w:val="fr-CA"/>
              </w:rPr>
            </w:pPr>
          </w:p>
        </w:tc>
        <w:tc>
          <w:tcPr>
            <w:tcW w:w="243" w:type="pct"/>
          </w:tcPr>
          <w:p w:rsidR="00E21706" w:rsidRPr="00A1535A" w:rsidRDefault="00E21706" w:rsidP="005552A8">
            <w:pPr>
              <w:jc w:val="both"/>
              <w:rPr>
                <w:rFonts w:eastAsia="Calibri"/>
                <w:sz w:val="20"/>
                <w:lang w:val="fr-CA"/>
              </w:rPr>
            </w:pPr>
          </w:p>
        </w:tc>
        <w:tc>
          <w:tcPr>
            <w:tcW w:w="2330" w:type="pct"/>
          </w:tcPr>
          <w:p w:rsidR="00E21706" w:rsidRPr="00A1535A" w:rsidRDefault="00E21706" w:rsidP="005552A8">
            <w:pPr>
              <w:jc w:val="both"/>
              <w:rPr>
                <w:rFonts w:eastAsia="Calibri"/>
                <w:sz w:val="20"/>
                <w:lang w:val="fr-CA"/>
              </w:rPr>
            </w:pPr>
            <w:r w:rsidRPr="00A1535A">
              <w:rPr>
                <w:rFonts w:eastAsia="Calibri"/>
                <w:sz w:val="20"/>
                <w:lang w:val="fr-CA"/>
              </w:rPr>
              <w:t xml:space="preserve">L’intimé et la docteure Naomi Fitch condamnés à payer la somme de 6 000 276 $ aux demandeurs, dans une proportion de 75 % et 25 % respectivement; autres actions rejetées  </w:t>
            </w:r>
          </w:p>
          <w:p w:rsidR="00E21706" w:rsidRPr="00A1535A" w:rsidRDefault="00E21706" w:rsidP="005552A8">
            <w:pPr>
              <w:jc w:val="both"/>
              <w:rPr>
                <w:rFonts w:eastAsia="Calibri"/>
                <w:sz w:val="20"/>
                <w:lang w:val="fr-CA"/>
              </w:rPr>
            </w:pPr>
          </w:p>
        </w:tc>
      </w:tr>
      <w:tr w:rsidR="00E21706" w:rsidRPr="00B6145B" w:rsidTr="005552A8">
        <w:tc>
          <w:tcPr>
            <w:tcW w:w="2427" w:type="pct"/>
          </w:tcPr>
          <w:p w:rsidR="00E21706" w:rsidRPr="00A1535A" w:rsidRDefault="00E21706" w:rsidP="005552A8">
            <w:pPr>
              <w:jc w:val="both"/>
              <w:rPr>
                <w:rFonts w:eastAsia="Calibri"/>
                <w:sz w:val="20"/>
                <w:lang w:val="fr-CA"/>
              </w:rPr>
            </w:pPr>
            <w:r w:rsidRPr="00A1535A">
              <w:rPr>
                <w:rFonts w:eastAsia="Calibri"/>
                <w:sz w:val="20"/>
                <w:lang w:val="fr-CA"/>
              </w:rPr>
              <w:t>9 février 2012</w:t>
            </w:r>
          </w:p>
          <w:p w:rsidR="00E21706" w:rsidRPr="00A1535A" w:rsidRDefault="00E21706" w:rsidP="005552A8">
            <w:pPr>
              <w:jc w:val="both"/>
              <w:rPr>
                <w:rFonts w:eastAsia="Calibri"/>
                <w:sz w:val="20"/>
                <w:lang w:val="fr-CA"/>
              </w:rPr>
            </w:pPr>
            <w:r w:rsidRPr="00A1535A">
              <w:rPr>
                <w:rFonts w:eastAsia="Calibri"/>
                <w:sz w:val="20"/>
                <w:lang w:val="fr-CA"/>
              </w:rPr>
              <w:t>Cour d’appel du Québec (Montréal)</w:t>
            </w:r>
          </w:p>
          <w:p w:rsidR="00E21706" w:rsidRPr="00A1535A" w:rsidRDefault="00E21706" w:rsidP="005552A8">
            <w:pPr>
              <w:jc w:val="both"/>
              <w:rPr>
                <w:rFonts w:eastAsia="Calibri"/>
                <w:sz w:val="20"/>
                <w:lang w:val="fr-CA"/>
              </w:rPr>
            </w:pPr>
            <w:r w:rsidRPr="00A1535A">
              <w:rPr>
                <w:rFonts w:eastAsia="Calibri"/>
                <w:sz w:val="20"/>
                <w:lang w:val="fr-CA"/>
              </w:rPr>
              <w:t>(Juges Thibault, Rochette et Kasirer)</w:t>
            </w:r>
          </w:p>
          <w:p w:rsidR="00E21706" w:rsidRPr="00A1535A" w:rsidRDefault="00E21706" w:rsidP="005552A8">
            <w:pPr>
              <w:jc w:val="both"/>
              <w:rPr>
                <w:rFonts w:eastAsia="Calibri"/>
                <w:sz w:val="20"/>
                <w:lang w:val="fr-CA"/>
              </w:rPr>
            </w:pPr>
            <w:r w:rsidRPr="00A1535A">
              <w:rPr>
                <w:rFonts w:eastAsia="Calibri"/>
                <w:sz w:val="20"/>
                <w:lang w:val="fr-CA"/>
              </w:rPr>
              <w:t xml:space="preserve">2012 QCCA 257; 500-09-020928-107 (500-17-025581-052) </w:t>
            </w:r>
          </w:p>
          <w:p w:rsidR="00E21706" w:rsidRPr="00A1535A" w:rsidRDefault="00E21706" w:rsidP="005552A8">
            <w:pPr>
              <w:jc w:val="both"/>
              <w:rPr>
                <w:rFonts w:eastAsia="Calibri"/>
                <w:sz w:val="20"/>
                <w:lang w:val="fr-CA"/>
              </w:rPr>
            </w:pPr>
          </w:p>
        </w:tc>
        <w:tc>
          <w:tcPr>
            <w:tcW w:w="243" w:type="pct"/>
          </w:tcPr>
          <w:p w:rsidR="00E21706" w:rsidRPr="00A1535A" w:rsidRDefault="00E21706" w:rsidP="005552A8">
            <w:pPr>
              <w:jc w:val="both"/>
              <w:rPr>
                <w:rFonts w:eastAsia="Calibri"/>
                <w:sz w:val="20"/>
                <w:lang w:val="fr-CA"/>
              </w:rPr>
            </w:pPr>
          </w:p>
        </w:tc>
        <w:tc>
          <w:tcPr>
            <w:tcW w:w="2330" w:type="pct"/>
          </w:tcPr>
          <w:p w:rsidR="00E21706" w:rsidRPr="00A1535A" w:rsidRDefault="00E21706" w:rsidP="005552A8">
            <w:pPr>
              <w:jc w:val="both"/>
              <w:rPr>
                <w:rFonts w:eastAsia="Calibri"/>
                <w:sz w:val="20"/>
                <w:lang w:val="fr-CA"/>
              </w:rPr>
            </w:pPr>
            <w:r w:rsidRPr="00A1535A">
              <w:rPr>
                <w:rFonts w:eastAsia="Calibri"/>
                <w:sz w:val="20"/>
                <w:lang w:val="fr-CA"/>
              </w:rPr>
              <w:t>Appel accueilli, action des demandeurs contre l’intimé, rejetée</w:t>
            </w:r>
          </w:p>
          <w:p w:rsidR="00E21706" w:rsidRPr="00A1535A" w:rsidRDefault="00E21706" w:rsidP="005552A8">
            <w:pPr>
              <w:jc w:val="both"/>
              <w:rPr>
                <w:rFonts w:eastAsia="Calibri"/>
                <w:sz w:val="20"/>
                <w:lang w:val="fr-CA"/>
              </w:rPr>
            </w:pPr>
          </w:p>
        </w:tc>
      </w:tr>
      <w:tr w:rsidR="00E21706" w:rsidRPr="00A1535A" w:rsidTr="005552A8">
        <w:tc>
          <w:tcPr>
            <w:tcW w:w="2427" w:type="pct"/>
          </w:tcPr>
          <w:p w:rsidR="00E21706" w:rsidRPr="00A1535A" w:rsidRDefault="00E21706" w:rsidP="005552A8">
            <w:pPr>
              <w:jc w:val="both"/>
              <w:rPr>
                <w:rFonts w:eastAsia="Calibri"/>
                <w:sz w:val="20"/>
                <w:lang w:val="fr-CA"/>
              </w:rPr>
            </w:pPr>
            <w:r w:rsidRPr="00A1535A">
              <w:rPr>
                <w:rFonts w:eastAsia="Calibri"/>
                <w:sz w:val="20"/>
                <w:lang w:val="fr-CA"/>
              </w:rPr>
              <w:t>5 avril 2012</w:t>
            </w:r>
          </w:p>
          <w:p w:rsidR="00E21706" w:rsidRPr="00A1535A" w:rsidRDefault="00E21706" w:rsidP="005552A8">
            <w:pPr>
              <w:jc w:val="both"/>
              <w:rPr>
                <w:rFonts w:eastAsia="Calibri"/>
                <w:sz w:val="20"/>
                <w:lang w:val="fr-CA"/>
              </w:rPr>
            </w:pPr>
            <w:r w:rsidRPr="00A1535A">
              <w:rPr>
                <w:rFonts w:eastAsia="Calibri"/>
                <w:sz w:val="20"/>
                <w:lang w:val="fr-CA"/>
              </w:rPr>
              <w:t>Cour suprême du Canada</w:t>
            </w:r>
          </w:p>
          <w:p w:rsidR="00E21706" w:rsidRPr="00A1535A" w:rsidRDefault="00E21706" w:rsidP="005552A8">
            <w:pPr>
              <w:jc w:val="both"/>
              <w:rPr>
                <w:rFonts w:eastAsia="Calibri"/>
                <w:sz w:val="20"/>
                <w:lang w:val="fr-CA"/>
              </w:rPr>
            </w:pPr>
          </w:p>
        </w:tc>
        <w:tc>
          <w:tcPr>
            <w:tcW w:w="243" w:type="pct"/>
          </w:tcPr>
          <w:p w:rsidR="00E21706" w:rsidRPr="00A1535A" w:rsidRDefault="00E21706" w:rsidP="005552A8">
            <w:pPr>
              <w:jc w:val="both"/>
              <w:rPr>
                <w:rFonts w:eastAsia="Calibri"/>
                <w:sz w:val="20"/>
                <w:lang w:val="fr-CA"/>
              </w:rPr>
            </w:pPr>
          </w:p>
        </w:tc>
        <w:tc>
          <w:tcPr>
            <w:tcW w:w="2330" w:type="pct"/>
          </w:tcPr>
          <w:p w:rsidR="00E21706" w:rsidRPr="00A1535A" w:rsidRDefault="00E21706" w:rsidP="005552A8">
            <w:pPr>
              <w:jc w:val="both"/>
              <w:rPr>
                <w:rFonts w:eastAsia="Calibri"/>
                <w:sz w:val="20"/>
                <w:lang w:val="fr-CA"/>
              </w:rPr>
            </w:pPr>
            <w:r w:rsidRPr="00A1535A">
              <w:rPr>
                <w:rFonts w:eastAsia="Calibri"/>
                <w:sz w:val="20"/>
                <w:lang w:val="fr-CA"/>
              </w:rPr>
              <w:t>Demande d’autorisation d’appel, déposée</w:t>
            </w:r>
          </w:p>
          <w:p w:rsidR="00E21706" w:rsidRPr="00A1535A" w:rsidRDefault="00E21706" w:rsidP="005552A8">
            <w:pPr>
              <w:jc w:val="both"/>
              <w:rPr>
                <w:rFonts w:eastAsia="Calibri"/>
                <w:sz w:val="20"/>
                <w:lang w:val="fr-CA"/>
              </w:rPr>
            </w:pPr>
          </w:p>
        </w:tc>
      </w:tr>
      <w:tr w:rsidR="00E21706" w:rsidRPr="003D3AF4" w:rsidTr="005552A8">
        <w:tc>
          <w:tcPr>
            <w:tcW w:w="2427" w:type="pct"/>
          </w:tcPr>
          <w:p w:rsidR="00E21706" w:rsidRPr="00A1535A" w:rsidRDefault="00E21706" w:rsidP="005552A8">
            <w:pPr>
              <w:jc w:val="both"/>
              <w:rPr>
                <w:rFonts w:eastAsia="Calibri"/>
                <w:sz w:val="20"/>
                <w:lang w:val="fr-CA"/>
              </w:rPr>
            </w:pPr>
            <w:r w:rsidRPr="00A1535A">
              <w:rPr>
                <w:rFonts w:eastAsia="Calibri"/>
                <w:sz w:val="20"/>
                <w:lang w:val="fr-CA"/>
              </w:rPr>
              <w:t>15 mai 2012</w:t>
            </w:r>
          </w:p>
          <w:p w:rsidR="00E21706" w:rsidRPr="00A1535A" w:rsidRDefault="00E21706" w:rsidP="005552A8">
            <w:pPr>
              <w:jc w:val="both"/>
              <w:rPr>
                <w:rFonts w:eastAsia="Calibri"/>
                <w:sz w:val="20"/>
                <w:lang w:val="fr-CA"/>
              </w:rPr>
            </w:pPr>
            <w:r w:rsidRPr="00A1535A">
              <w:rPr>
                <w:rFonts w:eastAsia="Calibri"/>
                <w:sz w:val="20"/>
                <w:lang w:val="fr-CA"/>
              </w:rPr>
              <w:t>Cour suprême du Canada</w:t>
            </w:r>
          </w:p>
        </w:tc>
        <w:tc>
          <w:tcPr>
            <w:tcW w:w="243" w:type="pct"/>
          </w:tcPr>
          <w:p w:rsidR="00E21706" w:rsidRPr="00A1535A" w:rsidRDefault="00E21706" w:rsidP="005552A8">
            <w:pPr>
              <w:jc w:val="both"/>
              <w:rPr>
                <w:rFonts w:eastAsia="Calibri"/>
                <w:sz w:val="20"/>
                <w:lang w:val="fr-CA"/>
              </w:rPr>
            </w:pPr>
          </w:p>
        </w:tc>
        <w:tc>
          <w:tcPr>
            <w:tcW w:w="2330" w:type="pct"/>
          </w:tcPr>
          <w:p w:rsidR="00E21706" w:rsidRPr="00A1535A" w:rsidRDefault="00E21706" w:rsidP="005552A8">
            <w:pPr>
              <w:jc w:val="both"/>
              <w:rPr>
                <w:rFonts w:eastAsia="Calibri"/>
                <w:sz w:val="20"/>
                <w:lang w:val="fr-CA"/>
              </w:rPr>
            </w:pPr>
            <w:r w:rsidRPr="00A1535A">
              <w:rPr>
                <w:rFonts w:eastAsia="Calibri"/>
                <w:sz w:val="20"/>
                <w:lang w:val="fr-CA"/>
              </w:rPr>
              <w:t xml:space="preserve">Requête </w:t>
            </w:r>
            <w:r w:rsidRPr="00A1535A">
              <w:rPr>
                <w:rFonts w:eastAsia="Calibri"/>
                <w:bCs/>
                <w:sz w:val="20"/>
                <w:lang w:val="fr-CA"/>
              </w:rPr>
              <w:t>visant à accélérer la procédure de demande d</w:t>
            </w:r>
            <w:r w:rsidRPr="00A1535A">
              <w:rPr>
                <w:rFonts w:eastAsia="Calibri"/>
                <w:bCs/>
                <w:sz w:val="20"/>
                <w:lang w:val="fr-CA"/>
              </w:rPr>
              <w:sym w:font="WP TypographicSymbols" w:char="003D"/>
            </w:r>
            <w:r w:rsidRPr="00A1535A">
              <w:rPr>
                <w:rFonts w:eastAsia="Calibri"/>
                <w:bCs/>
                <w:sz w:val="20"/>
                <w:lang w:val="fr-CA"/>
              </w:rPr>
              <w:t>autorisation d</w:t>
            </w:r>
            <w:r w:rsidRPr="00A1535A">
              <w:rPr>
                <w:rFonts w:eastAsia="Calibri"/>
                <w:bCs/>
                <w:sz w:val="20"/>
                <w:lang w:val="fr-CA"/>
              </w:rPr>
              <w:sym w:font="WP TypographicSymbols" w:char="003D"/>
            </w:r>
            <w:r w:rsidRPr="00A1535A">
              <w:rPr>
                <w:rFonts w:eastAsia="Calibri"/>
                <w:bCs/>
                <w:sz w:val="20"/>
                <w:lang w:val="fr-CA"/>
              </w:rPr>
              <w:t>appel, déposée</w:t>
            </w:r>
          </w:p>
        </w:tc>
      </w:tr>
    </w:tbl>
    <w:p w:rsidR="00EC09EE" w:rsidRPr="00E21706" w:rsidRDefault="00EC09EE" w:rsidP="00EC09EE">
      <w:pPr>
        <w:rPr>
          <w:sz w:val="20"/>
          <w:szCs w:val="20"/>
          <w:lang w:val="fr-CA"/>
        </w:rPr>
      </w:pPr>
    </w:p>
    <w:p w:rsidR="00EC09EE" w:rsidRDefault="007333FF" w:rsidP="00EC09EE">
      <w:pPr>
        <w:rPr>
          <w:sz w:val="20"/>
          <w:szCs w:val="20"/>
        </w:rPr>
      </w:pPr>
      <w:r w:rsidRPr="007333FF">
        <w:rPr>
          <w:sz w:val="20"/>
          <w:szCs w:val="20"/>
          <w:lang w:val="fr-CA"/>
        </w:rPr>
        <w:pict>
          <v:rect id="_x0000_i1095" style="width:2in;height:1pt" o:hrpct="0" o:hralign="center" o:hrstd="t" o:hrnoshade="t" o:hr="t" fillcolor="black [3213]" stroked="f"/>
        </w:pict>
      </w:r>
    </w:p>
    <w:p w:rsidR="00EC09EE" w:rsidRDefault="00EC09EE" w:rsidP="00EC09E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C0656" w:rsidRPr="008A028C" w:rsidTr="00D40817">
        <w:trPr>
          <w:cantSplit/>
        </w:trPr>
        <w:tc>
          <w:tcPr>
            <w:tcW w:w="1458" w:type="dxa"/>
          </w:tcPr>
          <w:p w:rsidR="00EC0656" w:rsidRPr="008A028C" w:rsidRDefault="00EC0656" w:rsidP="00D40817">
            <w:pPr>
              <w:rPr>
                <w:sz w:val="20"/>
                <w:szCs w:val="20"/>
              </w:rPr>
            </w:pPr>
            <w:r w:rsidRPr="008A028C">
              <w:rPr>
                <w:rStyle w:val="SCCFileNumberChar"/>
                <w:sz w:val="20"/>
                <w:szCs w:val="20"/>
              </w:rPr>
              <w:t>34772</w:t>
            </w:r>
          </w:p>
          <w:p w:rsidR="00EC0656" w:rsidRPr="008A028C" w:rsidRDefault="00EC0656" w:rsidP="00D40817">
            <w:pPr>
              <w:rPr>
                <w:b/>
                <w:sz w:val="20"/>
                <w:szCs w:val="20"/>
                <w:lang w:val="fr-CA"/>
              </w:rPr>
            </w:pPr>
          </w:p>
        </w:tc>
        <w:tc>
          <w:tcPr>
            <w:tcW w:w="8118" w:type="dxa"/>
          </w:tcPr>
          <w:p w:rsidR="00EC0656" w:rsidRPr="008A028C" w:rsidRDefault="00EC0656" w:rsidP="00D40817">
            <w:pPr>
              <w:rPr>
                <w:sz w:val="20"/>
                <w:szCs w:val="20"/>
              </w:rPr>
            </w:pPr>
            <w:r w:rsidRPr="00EC0656">
              <w:rPr>
                <w:rStyle w:val="SCCLsocChar"/>
                <w:sz w:val="20"/>
                <w:szCs w:val="20"/>
                <w:lang w:val="en-CA"/>
              </w:rPr>
              <w:t>Bradley Francis Gray v. Her Majesty the Queen</w:t>
            </w:r>
            <w:r w:rsidRPr="008A028C">
              <w:rPr>
                <w:sz w:val="20"/>
                <w:szCs w:val="20"/>
              </w:rPr>
              <w:t xml:space="preserve"> (Alta.) (Criminal) (By Leave)</w:t>
            </w:r>
          </w:p>
          <w:p w:rsidR="00EC0656" w:rsidRPr="008A028C" w:rsidRDefault="00EC0656" w:rsidP="00D40817">
            <w:pPr>
              <w:rPr>
                <w:sz w:val="20"/>
                <w:szCs w:val="20"/>
              </w:rPr>
            </w:pPr>
          </w:p>
        </w:tc>
      </w:tr>
      <w:tr w:rsidR="00EC0656" w:rsidRPr="008A028C" w:rsidTr="00D40817">
        <w:trPr>
          <w:cantSplit/>
        </w:trPr>
        <w:tc>
          <w:tcPr>
            <w:tcW w:w="1458" w:type="dxa"/>
          </w:tcPr>
          <w:p w:rsidR="00EC0656" w:rsidRPr="008A028C" w:rsidRDefault="00EC0656" w:rsidP="00D40817">
            <w:pPr>
              <w:rPr>
                <w:sz w:val="20"/>
                <w:szCs w:val="20"/>
              </w:rPr>
            </w:pPr>
            <w:r w:rsidRPr="008A028C">
              <w:rPr>
                <w:sz w:val="20"/>
                <w:szCs w:val="20"/>
              </w:rPr>
              <w:t>Coram :</w:t>
            </w:r>
          </w:p>
        </w:tc>
        <w:tc>
          <w:tcPr>
            <w:tcW w:w="8118" w:type="dxa"/>
          </w:tcPr>
          <w:p w:rsidR="00EC0656" w:rsidRPr="008A028C" w:rsidRDefault="00EC0656" w:rsidP="00D40817">
            <w:pPr>
              <w:rPr>
                <w:sz w:val="20"/>
                <w:szCs w:val="20"/>
              </w:rPr>
            </w:pPr>
            <w:r w:rsidRPr="00EC0656">
              <w:rPr>
                <w:rStyle w:val="SCCCoramChar"/>
                <w:sz w:val="20"/>
                <w:szCs w:val="20"/>
                <w:lang w:val="en-CA"/>
              </w:rPr>
              <w:t>Deschamps, Fish and Karakatsanis JJ.</w:t>
            </w:r>
          </w:p>
          <w:p w:rsidR="00EC0656" w:rsidRPr="008A028C" w:rsidRDefault="00EC0656" w:rsidP="00D40817">
            <w:pPr>
              <w:rPr>
                <w:sz w:val="20"/>
                <w:szCs w:val="20"/>
                <w:u w:val="single"/>
              </w:rPr>
            </w:pPr>
          </w:p>
        </w:tc>
      </w:tr>
      <w:tr w:rsidR="00EC0656" w:rsidRPr="00B6145B" w:rsidTr="00D40817">
        <w:trPr>
          <w:cantSplit/>
        </w:trPr>
        <w:tc>
          <w:tcPr>
            <w:tcW w:w="9576" w:type="dxa"/>
            <w:gridSpan w:val="2"/>
          </w:tcPr>
          <w:p w:rsidR="00EC0656" w:rsidRPr="008A028C" w:rsidRDefault="00EC0656" w:rsidP="00D40817">
            <w:pPr>
              <w:pStyle w:val="SCCShortJudgment"/>
              <w:rPr>
                <w:szCs w:val="20"/>
              </w:rPr>
            </w:pPr>
            <w:r w:rsidRPr="008A028C">
              <w:rPr>
                <w:szCs w:val="20"/>
              </w:rPr>
              <w:t>The application for leave to appeal from the judgment of the Court of Appeal of Alberta (Calgary), Number 0901-0338-A, 2012 ABCA 51, dated February 16, 2012, is dismissed without costs.</w:t>
            </w:r>
          </w:p>
          <w:p w:rsidR="00EC0656" w:rsidRPr="008A028C" w:rsidRDefault="00EC0656" w:rsidP="00D40817">
            <w:pPr>
              <w:pStyle w:val="SCCShortJudgment"/>
              <w:ind w:firstLine="0"/>
              <w:rPr>
                <w:szCs w:val="20"/>
              </w:rPr>
            </w:pPr>
          </w:p>
          <w:p w:rsidR="00EC0656" w:rsidRPr="008A028C" w:rsidRDefault="00EC0656" w:rsidP="00D40817">
            <w:pPr>
              <w:pStyle w:val="SCCShortJudgment"/>
              <w:rPr>
                <w:szCs w:val="20"/>
                <w:lang w:val="fr-CA"/>
              </w:rPr>
            </w:pPr>
            <w:r w:rsidRPr="008A028C">
              <w:rPr>
                <w:szCs w:val="20"/>
                <w:lang w:val="fr-CA"/>
              </w:rPr>
              <w:t>La demande d’autorisation d’appel de l’arrêt de la Cour d’appel de l’Alberta (Calgary), numéro 0901-0338-A, 2012 ABCA 51, daté du 16 février 2012, est rejetée sans dépens.</w:t>
            </w:r>
          </w:p>
        </w:tc>
      </w:tr>
    </w:tbl>
    <w:p w:rsidR="00EC09EE" w:rsidRPr="00F40E20" w:rsidRDefault="00EC09EE" w:rsidP="00EC09EE">
      <w:pPr>
        <w:rPr>
          <w:sz w:val="20"/>
          <w:szCs w:val="20"/>
          <w:lang w:val="fr-CA"/>
        </w:rPr>
      </w:pPr>
    </w:p>
    <w:p w:rsidR="00EC09EE" w:rsidRPr="001B157C" w:rsidRDefault="00EC09EE" w:rsidP="00EC09EE">
      <w:pPr>
        <w:rPr>
          <w:sz w:val="20"/>
          <w:szCs w:val="20"/>
          <w:u w:val="single"/>
        </w:rPr>
      </w:pPr>
      <w:r w:rsidRPr="001B157C">
        <w:rPr>
          <w:sz w:val="20"/>
          <w:szCs w:val="20"/>
          <w:u w:val="single"/>
        </w:rPr>
        <w:t>CASE SUMMARY</w:t>
      </w:r>
    </w:p>
    <w:p w:rsidR="00EC09EE" w:rsidRDefault="00EC09EE" w:rsidP="00EC09E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552A8" w:rsidRPr="00A1535A" w:rsidTr="005552A8">
        <w:tc>
          <w:tcPr>
            <w:tcW w:w="5000" w:type="pct"/>
            <w:gridSpan w:val="3"/>
          </w:tcPr>
          <w:p w:rsidR="005552A8" w:rsidRPr="00A1535A" w:rsidRDefault="005552A8" w:rsidP="005552A8">
            <w:pPr>
              <w:jc w:val="both"/>
              <w:rPr>
                <w:rFonts w:eastAsia="Calibri"/>
                <w:sz w:val="20"/>
              </w:rPr>
            </w:pPr>
            <w:r w:rsidRPr="00A1535A">
              <w:rPr>
                <w:rFonts w:eastAsia="Calibri"/>
                <w:sz w:val="20"/>
              </w:rPr>
              <w:t>Criminal law – Charge to Jury – Failure to charge jury on credibility – Whether failure to do so is fatal – Whether the Court of Appeal erred in finding that the trial judge’s failure to charge the jury on credibility was not fatal – Whether the Court of Appeal erred in finding that even if the omission was fatal, it could be cured by counsel’s submissions – Whether there are issues of public importance raised.</w:t>
            </w:r>
          </w:p>
        </w:tc>
      </w:tr>
      <w:tr w:rsidR="005552A8" w:rsidRPr="00A1535A" w:rsidTr="005552A8">
        <w:tc>
          <w:tcPr>
            <w:tcW w:w="5000" w:type="pct"/>
            <w:gridSpan w:val="3"/>
          </w:tcPr>
          <w:p w:rsidR="005552A8" w:rsidRPr="00A1535A" w:rsidRDefault="005552A8" w:rsidP="005552A8">
            <w:pPr>
              <w:jc w:val="both"/>
              <w:rPr>
                <w:rFonts w:eastAsia="Calibri"/>
                <w:sz w:val="20"/>
              </w:rPr>
            </w:pPr>
          </w:p>
        </w:tc>
      </w:tr>
      <w:tr w:rsidR="005552A8" w:rsidRPr="00A1535A" w:rsidTr="005552A8">
        <w:tc>
          <w:tcPr>
            <w:tcW w:w="5000" w:type="pct"/>
            <w:gridSpan w:val="3"/>
          </w:tcPr>
          <w:p w:rsidR="005552A8" w:rsidRPr="00A1535A" w:rsidRDefault="005552A8" w:rsidP="005552A8">
            <w:pPr>
              <w:jc w:val="both"/>
              <w:rPr>
                <w:rFonts w:eastAsia="Calibri"/>
                <w:sz w:val="20"/>
              </w:rPr>
            </w:pPr>
            <w:r w:rsidRPr="00A1535A">
              <w:rPr>
                <w:rFonts w:eastAsia="Calibri"/>
                <w:sz w:val="20"/>
              </w:rPr>
              <w:t>On the evening of June 23, 2008, George Many Shots, was beaten and later died in the hospital. Mr. Panther Bone was beaten and suffered a broken wrist, broken cheek bone, broken ribs and extensive cuts and bruising. The theory of the Crown was that the applicant had attacked and beaten both men. The Crown relied upon the evidence of Panther Bone and the applicant’s friend, Mr. Lavoie. The defence argued that Many Shots was fighting with Panther Bone and had sustained his injuries as a result of the fight. After a trial by judge and jury, the applicant was convicted of second degree murder of Many Shots and aggravated assault of Panther Bone. The Court of Appeal allowed the appeal from the conviction for second degree murder, substituted a conviction for manslaughter and also dismissed the appeal against conviction for aggravated assault.</w:t>
            </w:r>
          </w:p>
          <w:p w:rsidR="005552A8" w:rsidRPr="00A1535A" w:rsidRDefault="005552A8" w:rsidP="005552A8">
            <w:pPr>
              <w:jc w:val="both"/>
              <w:rPr>
                <w:rFonts w:eastAsia="Calibri"/>
                <w:sz w:val="20"/>
              </w:rPr>
            </w:pPr>
          </w:p>
        </w:tc>
      </w:tr>
      <w:tr w:rsidR="005552A8" w:rsidRPr="00A1535A" w:rsidTr="005552A8">
        <w:tc>
          <w:tcPr>
            <w:tcW w:w="2427" w:type="pct"/>
          </w:tcPr>
          <w:p w:rsidR="005552A8" w:rsidRPr="00A1535A" w:rsidRDefault="005552A8" w:rsidP="005552A8">
            <w:pPr>
              <w:jc w:val="both"/>
              <w:rPr>
                <w:rFonts w:eastAsia="Calibri"/>
                <w:sz w:val="20"/>
              </w:rPr>
            </w:pPr>
            <w:r w:rsidRPr="00A1535A">
              <w:rPr>
                <w:rFonts w:eastAsia="Calibri"/>
                <w:sz w:val="20"/>
              </w:rPr>
              <w:t>November 27, 2009</w:t>
            </w:r>
          </w:p>
          <w:p w:rsidR="005552A8" w:rsidRPr="00A1535A" w:rsidRDefault="005552A8" w:rsidP="005552A8">
            <w:pPr>
              <w:jc w:val="both"/>
              <w:rPr>
                <w:rFonts w:eastAsia="Calibri"/>
                <w:sz w:val="20"/>
              </w:rPr>
            </w:pPr>
            <w:r w:rsidRPr="00A1535A">
              <w:rPr>
                <w:rFonts w:eastAsia="Calibri"/>
                <w:sz w:val="20"/>
              </w:rPr>
              <w:t>Court of Queen’s Bench of Alberta</w:t>
            </w:r>
          </w:p>
          <w:p w:rsidR="005552A8" w:rsidRPr="00A1535A" w:rsidRDefault="005552A8" w:rsidP="005552A8">
            <w:pPr>
              <w:jc w:val="both"/>
              <w:rPr>
                <w:rFonts w:eastAsia="Calibri"/>
                <w:sz w:val="20"/>
              </w:rPr>
            </w:pPr>
            <w:r w:rsidRPr="00A1535A">
              <w:rPr>
                <w:rFonts w:eastAsia="Calibri"/>
                <w:sz w:val="20"/>
              </w:rPr>
              <w:t>(Miller J.)</w:t>
            </w:r>
          </w:p>
          <w:p w:rsidR="005552A8" w:rsidRPr="00A1535A" w:rsidRDefault="005552A8" w:rsidP="005552A8">
            <w:pPr>
              <w:jc w:val="both"/>
              <w:rPr>
                <w:rFonts w:eastAsia="Calibri"/>
                <w:sz w:val="20"/>
              </w:rPr>
            </w:pPr>
          </w:p>
        </w:tc>
        <w:tc>
          <w:tcPr>
            <w:tcW w:w="243" w:type="pct"/>
          </w:tcPr>
          <w:p w:rsidR="005552A8" w:rsidRPr="00A1535A" w:rsidRDefault="005552A8" w:rsidP="005552A8">
            <w:pPr>
              <w:jc w:val="both"/>
              <w:rPr>
                <w:rFonts w:eastAsia="Calibri"/>
                <w:sz w:val="20"/>
              </w:rPr>
            </w:pPr>
          </w:p>
        </w:tc>
        <w:tc>
          <w:tcPr>
            <w:tcW w:w="2330" w:type="pct"/>
          </w:tcPr>
          <w:p w:rsidR="005552A8" w:rsidRPr="00A1535A" w:rsidRDefault="005552A8" w:rsidP="005552A8">
            <w:pPr>
              <w:jc w:val="both"/>
              <w:rPr>
                <w:rFonts w:eastAsia="Calibri"/>
                <w:sz w:val="20"/>
              </w:rPr>
            </w:pPr>
            <w:r w:rsidRPr="00A1535A">
              <w:rPr>
                <w:rFonts w:eastAsia="Calibri"/>
                <w:sz w:val="20"/>
              </w:rPr>
              <w:t>Conviction: second degree murder and aggravated assault</w:t>
            </w:r>
          </w:p>
          <w:p w:rsidR="005552A8" w:rsidRPr="00A1535A" w:rsidRDefault="005552A8" w:rsidP="005552A8">
            <w:pPr>
              <w:jc w:val="both"/>
              <w:rPr>
                <w:rFonts w:eastAsia="Calibri"/>
                <w:sz w:val="20"/>
              </w:rPr>
            </w:pPr>
          </w:p>
          <w:p w:rsidR="005552A8" w:rsidRPr="00A1535A" w:rsidRDefault="005552A8" w:rsidP="005552A8">
            <w:pPr>
              <w:jc w:val="both"/>
              <w:rPr>
                <w:rFonts w:eastAsia="Calibri"/>
                <w:sz w:val="20"/>
              </w:rPr>
            </w:pPr>
          </w:p>
        </w:tc>
      </w:tr>
      <w:tr w:rsidR="005552A8" w:rsidRPr="00A1535A" w:rsidTr="005552A8">
        <w:tc>
          <w:tcPr>
            <w:tcW w:w="2427" w:type="pct"/>
          </w:tcPr>
          <w:p w:rsidR="005552A8" w:rsidRPr="00A1535A" w:rsidRDefault="005552A8" w:rsidP="005552A8">
            <w:pPr>
              <w:jc w:val="both"/>
              <w:rPr>
                <w:rFonts w:eastAsia="Calibri"/>
                <w:sz w:val="20"/>
              </w:rPr>
            </w:pPr>
            <w:r w:rsidRPr="00A1535A">
              <w:rPr>
                <w:rFonts w:eastAsia="Calibri"/>
                <w:sz w:val="20"/>
              </w:rPr>
              <w:lastRenderedPageBreak/>
              <w:t>February 16, 2012</w:t>
            </w:r>
          </w:p>
          <w:p w:rsidR="005552A8" w:rsidRPr="00A1535A" w:rsidRDefault="005552A8" w:rsidP="005552A8">
            <w:pPr>
              <w:jc w:val="both"/>
              <w:rPr>
                <w:rFonts w:eastAsia="Calibri"/>
                <w:sz w:val="20"/>
              </w:rPr>
            </w:pPr>
            <w:r w:rsidRPr="00A1535A">
              <w:rPr>
                <w:rFonts w:eastAsia="Calibri"/>
                <w:sz w:val="20"/>
              </w:rPr>
              <w:t>Court of Appeal of Alberta (Calgary)</w:t>
            </w:r>
          </w:p>
          <w:p w:rsidR="005552A8" w:rsidRPr="00A1535A" w:rsidRDefault="005552A8" w:rsidP="005552A8">
            <w:pPr>
              <w:jc w:val="both"/>
              <w:rPr>
                <w:rFonts w:eastAsia="Calibri"/>
                <w:sz w:val="20"/>
              </w:rPr>
            </w:pPr>
            <w:r w:rsidRPr="00A1535A">
              <w:rPr>
                <w:rFonts w:eastAsia="Calibri"/>
                <w:sz w:val="20"/>
              </w:rPr>
              <w:t>(Costigan, Martin, Strekaf JJ.A.)</w:t>
            </w:r>
          </w:p>
          <w:p w:rsidR="005552A8" w:rsidRPr="00A1535A" w:rsidRDefault="005552A8" w:rsidP="005552A8">
            <w:pPr>
              <w:jc w:val="both"/>
              <w:rPr>
                <w:rFonts w:eastAsia="Calibri"/>
                <w:sz w:val="20"/>
              </w:rPr>
            </w:pPr>
            <w:r w:rsidRPr="00A1535A">
              <w:rPr>
                <w:rFonts w:eastAsia="Calibri"/>
                <w:sz w:val="20"/>
              </w:rPr>
              <w:t>Neutral citation: 2012 ABCA 51</w:t>
            </w:r>
          </w:p>
          <w:p w:rsidR="005552A8" w:rsidRPr="00A1535A" w:rsidRDefault="005552A8" w:rsidP="005552A8">
            <w:pPr>
              <w:jc w:val="both"/>
              <w:rPr>
                <w:rFonts w:eastAsia="Calibri"/>
                <w:sz w:val="20"/>
              </w:rPr>
            </w:pPr>
          </w:p>
        </w:tc>
        <w:tc>
          <w:tcPr>
            <w:tcW w:w="243" w:type="pct"/>
          </w:tcPr>
          <w:p w:rsidR="005552A8" w:rsidRPr="00A1535A" w:rsidRDefault="005552A8" w:rsidP="005552A8">
            <w:pPr>
              <w:jc w:val="both"/>
              <w:rPr>
                <w:rFonts w:eastAsia="Calibri"/>
                <w:sz w:val="20"/>
              </w:rPr>
            </w:pPr>
          </w:p>
        </w:tc>
        <w:tc>
          <w:tcPr>
            <w:tcW w:w="2330" w:type="pct"/>
          </w:tcPr>
          <w:p w:rsidR="005552A8" w:rsidRPr="00A1535A" w:rsidRDefault="005552A8" w:rsidP="005552A8">
            <w:pPr>
              <w:jc w:val="both"/>
              <w:rPr>
                <w:rFonts w:eastAsia="Calibri"/>
                <w:sz w:val="20"/>
              </w:rPr>
            </w:pPr>
            <w:r w:rsidRPr="00A1535A">
              <w:rPr>
                <w:rFonts w:eastAsia="Calibri"/>
                <w:sz w:val="20"/>
              </w:rPr>
              <w:t>Appeal against conviction for second degree murder allowed; conviction for manslaughter substituted; appeal against conviction for aggravated assault dismissed</w:t>
            </w:r>
          </w:p>
          <w:p w:rsidR="005552A8" w:rsidRPr="00A1535A" w:rsidRDefault="005552A8" w:rsidP="005552A8">
            <w:pPr>
              <w:jc w:val="both"/>
              <w:rPr>
                <w:rFonts w:eastAsia="Calibri"/>
                <w:sz w:val="20"/>
              </w:rPr>
            </w:pPr>
          </w:p>
        </w:tc>
      </w:tr>
      <w:tr w:rsidR="005552A8" w:rsidRPr="00A1535A" w:rsidTr="005552A8">
        <w:tc>
          <w:tcPr>
            <w:tcW w:w="2427" w:type="pct"/>
          </w:tcPr>
          <w:p w:rsidR="005552A8" w:rsidRPr="00A1535A" w:rsidRDefault="005552A8" w:rsidP="005552A8">
            <w:pPr>
              <w:jc w:val="both"/>
              <w:rPr>
                <w:rFonts w:eastAsia="Calibri"/>
                <w:sz w:val="20"/>
              </w:rPr>
            </w:pPr>
            <w:r w:rsidRPr="00A1535A">
              <w:rPr>
                <w:rFonts w:eastAsia="Calibri"/>
                <w:sz w:val="20"/>
              </w:rPr>
              <w:t>April 16, 2012</w:t>
            </w:r>
          </w:p>
          <w:p w:rsidR="005552A8" w:rsidRPr="00A1535A" w:rsidRDefault="005552A8" w:rsidP="005552A8">
            <w:pPr>
              <w:jc w:val="both"/>
              <w:rPr>
                <w:rFonts w:eastAsia="Calibri"/>
                <w:sz w:val="20"/>
              </w:rPr>
            </w:pPr>
            <w:r w:rsidRPr="00A1535A">
              <w:rPr>
                <w:rFonts w:eastAsia="Calibri"/>
                <w:sz w:val="20"/>
              </w:rPr>
              <w:t>Supreme Court of Canada</w:t>
            </w:r>
          </w:p>
        </w:tc>
        <w:tc>
          <w:tcPr>
            <w:tcW w:w="243" w:type="pct"/>
          </w:tcPr>
          <w:p w:rsidR="005552A8" w:rsidRPr="00A1535A" w:rsidRDefault="005552A8" w:rsidP="005552A8">
            <w:pPr>
              <w:jc w:val="both"/>
              <w:rPr>
                <w:rFonts w:eastAsia="Calibri"/>
                <w:sz w:val="20"/>
              </w:rPr>
            </w:pPr>
          </w:p>
        </w:tc>
        <w:tc>
          <w:tcPr>
            <w:tcW w:w="2330" w:type="pct"/>
          </w:tcPr>
          <w:p w:rsidR="005552A8" w:rsidRPr="00A1535A" w:rsidRDefault="005552A8" w:rsidP="005552A8">
            <w:pPr>
              <w:jc w:val="both"/>
              <w:rPr>
                <w:rFonts w:eastAsia="Calibri"/>
                <w:sz w:val="20"/>
              </w:rPr>
            </w:pPr>
            <w:r w:rsidRPr="00A1535A">
              <w:rPr>
                <w:rFonts w:eastAsia="Calibri"/>
                <w:sz w:val="20"/>
              </w:rPr>
              <w:t>Application for leave to appeal filed</w:t>
            </w:r>
          </w:p>
          <w:p w:rsidR="005552A8" w:rsidRPr="00A1535A" w:rsidRDefault="005552A8" w:rsidP="005552A8">
            <w:pPr>
              <w:jc w:val="both"/>
              <w:rPr>
                <w:rFonts w:eastAsia="Calibri"/>
                <w:sz w:val="20"/>
              </w:rPr>
            </w:pPr>
          </w:p>
        </w:tc>
      </w:tr>
    </w:tbl>
    <w:p w:rsidR="00EC09EE" w:rsidRDefault="00EC09EE" w:rsidP="00EC09EE">
      <w:pPr>
        <w:rPr>
          <w:sz w:val="20"/>
          <w:szCs w:val="20"/>
        </w:rPr>
      </w:pPr>
    </w:p>
    <w:p w:rsidR="00EC09EE" w:rsidRPr="00C50A5C" w:rsidRDefault="007333FF" w:rsidP="00EC09EE">
      <w:pPr>
        <w:rPr>
          <w:sz w:val="20"/>
          <w:szCs w:val="20"/>
        </w:rPr>
      </w:pPr>
      <w:r w:rsidRPr="007333FF">
        <w:rPr>
          <w:sz w:val="20"/>
          <w:szCs w:val="20"/>
          <w:lang w:val="fr-CA"/>
        </w:rPr>
        <w:pict>
          <v:rect id="_x0000_i1096" style="width:2in;height:1pt" o:hrpct="0" o:hralign="center" o:hrstd="t" o:hrnoshade="t" o:hr="t" fillcolor="black [3213]" stroked="f"/>
        </w:pict>
      </w:r>
    </w:p>
    <w:p w:rsidR="00EC09EE" w:rsidRDefault="00EC09EE" w:rsidP="00EC09EE">
      <w:pPr>
        <w:rPr>
          <w:sz w:val="20"/>
          <w:szCs w:val="20"/>
        </w:rPr>
      </w:pPr>
    </w:p>
    <w:p w:rsidR="00EC09EE" w:rsidRPr="001B157C" w:rsidRDefault="00EC09EE" w:rsidP="00EC09EE">
      <w:pPr>
        <w:rPr>
          <w:sz w:val="20"/>
          <w:szCs w:val="20"/>
          <w:u w:val="single"/>
          <w:lang w:val="fr-CA"/>
        </w:rPr>
      </w:pPr>
      <w:r w:rsidRPr="001B157C">
        <w:rPr>
          <w:sz w:val="20"/>
          <w:szCs w:val="20"/>
          <w:u w:val="single"/>
          <w:lang w:val="fr-CA"/>
        </w:rPr>
        <w:t>RÉSUMÉ DE L’AFFAIRE</w:t>
      </w:r>
    </w:p>
    <w:p w:rsidR="00EC09EE" w:rsidRDefault="00EC09EE" w:rsidP="00EC09EE">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5552A8" w:rsidRPr="00B6145B" w:rsidTr="005552A8">
        <w:tc>
          <w:tcPr>
            <w:tcW w:w="5000" w:type="pct"/>
            <w:gridSpan w:val="3"/>
          </w:tcPr>
          <w:p w:rsidR="005552A8" w:rsidRPr="00A1535A" w:rsidRDefault="005552A8" w:rsidP="005552A8">
            <w:pPr>
              <w:jc w:val="both"/>
              <w:rPr>
                <w:rFonts w:eastAsia="Calibri"/>
                <w:sz w:val="20"/>
                <w:lang w:val="fr-CA"/>
              </w:rPr>
            </w:pPr>
            <w:r w:rsidRPr="00A1535A">
              <w:rPr>
                <w:rFonts w:eastAsia="Calibri"/>
                <w:sz w:val="20"/>
                <w:lang w:val="fr-CA"/>
              </w:rPr>
              <w:t>Droit criminel – Exposé au jury – Omission d'avoir donné au jury des directives sur la crédibilité – Cette omission est-elle fatale? – La Cour d'appel a-t-elle eu tort de conclure que l'omission du juge de première instance de donner au jury des directives sur la crédibilité n'était pas fatale? – La Cour d'appel a-t-elle eu tort de conclure que même si l'omission était fatale, elle pouvait être rectifiée par les observations de l'avocat? – L'affaire soulève-t-elle des questions d'importance pour le public?</w:t>
            </w:r>
          </w:p>
        </w:tc>
      </w:tr>
      <w:tr w:rsidR="005552A8" w:rsidRPr="00B6145B" w:rsidTr="005552A8">
        <w:tc>
          <w:tcPr>
            <w:tcW w:w="5000" w:type="pct"/>
            <w:gridSpan w:val="3"/>
          </w:tcPr>
          <w:p w:rsidR="005552A8" w:rsidRPr="00A1535A" w:rsidRDefault="005552A8" w:rsidP="005552A8">
            <w:pPr>
              <w:jc w:val="both"/>
              <w:rPr>
                <w:rFonts w:eastAsia="Calibri"/>
                <w:sz w:val="20"/>
                <w:lang w:val="fr-CA"/>
              </w:rPr>
            </w:pPr>
          </w:p>
        </w:tc>
      </w:tr>
      <w:tr w:rsidR="005552A8" w:rsidRPr="00B6145B" w:rsidTr="005552A8">
        <w:tc>
          <w:tcPr>
            <w:tcW w:w="5000" w:type="pct"/>
            <w:gridSpan w:val="3"/>
          </w:tcPr>
          <w:p w:rsidR="005552A8" w:rsidRPr="00A1535A" w:rsidRDefault="005552A8" w:rsidP="005552A8">
            <w:pPr>
              <w:jc w:val="both"/>
              <w:rPr>
                <w:rFonts w:eastAsia="Calibri"/>
                <w:sz w:val="20"/>
                <w:lang w:val="fr-CA"/>
              </w:rPr>
            </w:pPr>
            <w:r w:rsidRPr="00A1535A">
              <w:rPr>
                <w:rFonts w:eastAsia="Calibri"/>
                <w:sz w:val="20"/>
                <w:lang w:val="fr-CA"/>
              </w:rPr>
              <w:t>Dans la soirée du 23 juin 2008, George Many Shots a été battu et il est décédé plus tard à l'hôpital. Monsieur Panther Bone a été battu et a subi une fracture du poignet, une fracture de l'os zygomatique, des fractures aux côtes et d'importantes lacérations et ecchymoses. Selon le ministère public, le demandeur avait attaqué et battu les deux hommes. Le ministère public s'est appuyé sur les témoignages de Panther Bone et de l'ami du demandeur, M. Lavoie. La défense a plaidé que M. Many Shots s’était battu avec Panther Bone et qu'il avait subi ses blessures des suites de la bagarre. Au terme d'un procès devant juge et jury, le demandeur a été déclaré coupable de meurtre au deuxième degré de M. Many Shots et de voies de faits graves contre Panther Bone. La Cour d'appel a accueilli l'appel de la déclaration de culpabilité de meurtre au deuxième degré et y a substitué une déclaration de culpabilité d’homicide involontaire coupable; la Cour d’appel a rejeté l'appel de la déclaration de culpabilité de voies de fait graves.</w:t>
            </w:r>
          </w:p>
          <w:p w:rsidR="005552A8" w:rsidRPr="00A1535A" w:rsidRDefault="005552A8" w:rsidP="005552A8">
            <w:pPr>
              <w:jc w:val="both"/>
              <w:rPr>
                <w:rFonts w:eastAsia="Calibri"/>
                <w:sz w:val="20"/>
                <w:lang w:val="fr-CA"/>
              </w:rPr>
            </w:pPr>
          </w:p>
        </w:tc>
      </w:tr>
      <w:tr w:rsidR="005552A8" w:rsidRPr="00B6145B" w:rsidTr="005552A8">
        <w:tc>
          <w:tcPr>
            <w:tcW w:w="2427" w:type="pct"/>
          </w:tcPr>
          <w:p w:rsidR="005552A8" w:rsidRPr="00A1535A" w:rsidRDefault="005552A8" w:rsidP="005552A8">
            <w:pPr>
              <w:jc w:val="both"/>
              <w:rPr>
                <w:rFonts w:eastAsia="Calibri"/>
                <w:sz w:val="20"/>
                <w:lang w:val="fr-CA"/>
              </w:rPr>
            </w:pPr>
            <w:r w:rsidRPr="00A1535A">
              <w:rPr>
                <w:rFonts w:eastAsia="Calibri"/>
                <w:sz w:val="20"/>
                <w:lang w:val="fr-CA"/>
              </w:rPr>
              <w:t>27 novembre 2009</w:t>
            </w:r>
          </w:p>
          <w:p w:rsidR="005552A8" w:rsidRPr="00A1535A" w:rsidRDefault="005552A8" w:rsidP="005552A8">
            <w:pPr>
              <w:jc w:val="both"/>
              <w:rPr>
                <w:rFonts w:eastAsia="Calibri"/>
                <w:sz w:val="20"/>
                <w:lang w:val="fr-CA"/>
              </w:rPr>
            </w:pPr>
            <w:r w:rsidRPr="00A1535A">
              <w:rPr>
                <w:rFonts w:eastAsia="Calibri"/>
                <w:sz w:val="20"/>
                <w:lang w:val="fr-CA"/>
              </w:rPr>
              <w:t>Cour de Banc de la Reine de l'Alberta</w:t>
            </w:r>
          </w:p>
          <w:p w:rsidR="005552A8" w:rsidRPr="00A1535A" w:rsidRDefault="005552A8" w:rsidP="005552A8">
            <w:pPr>
              <w:jc w:val="both"/>
              <w:rPr>
                <w:rFonts w:eastAsia="Calibri"/>
                <w:sz w:val="20"/>
                <w:lang w:val="fr-CA"/>
              </w:rPr>
            </w:pPr>
            <w:r w:rsidRPr="00A1535A">
              <w:rPr>
                <w:rFonts w:eastAsia="Calibri"/>
                <w:sz w:val="20"/>
                <w:lang w:val="fr-CA"/>
              </w:rPr>
              <w:t>(Juge Miller)</w:t>
            </w:r>
          </w:p>
          <w:p w:rsidR="005552A8" w:rsidRPr="00A1535A" w:rsidRDefault="005552A8" w:rsidP="005552A8">
            <w:pPr>
              <w:jc w:val="both"/>
              <w:rPr>
                <w:rFonts w:eastAsia="Calibri"/>
                <w:sz w:val="20"/>
                <w:lang w:val="fr-CA"/>
              </w:rPr>
            </w:pPr>
          </w:p>
        </w:tc>
        <w:tc>
          <w:tcPr>
            <w:tcW w:w="243" w:type="pct"/>
          </w:tcPr>
          <w:p w:rsidR="005552A8" w:rsidRPr="00A1535A" w:rsidRDefault="005552A8" w:rsidP="005552A8">
            <w:pPr>
              <w:jc w:val="both"/>
              <w:rPr>
                <w:rFonts w:eastAsia="Calibri"/>
                <w:sz w:val="20"/>
                <w:lang w:val="fr-CA"/>
              </w:rPr>
            </w:pPr>
          </w:p>
        </w:tc>
        <w:tc>
          <w:tcPr>
            <w:tcW w:w="2330" w:type="pct"/>
          </w:tcPr>
          <w:p w:rsidR="005552A8" w:rsidRPr="00A1535A" w:rsidRDefault="005552A8" w:rsidP="005552A8">
            <w:pPr>
              <w:jc w:val="both"/>
              <w:rPr>
                <w:rFonts w:eastAsia="Calibri"/>
                <w:sz w:val="20"/>
                <w:lang w:val="fr-CA"/>
              </w:rPr>
            </w:pPr>
            <w:r w:rsidRPr="00A1535A">
              <w:rPr>
                <w:rFonts w:eastAsia="Calibri"/>
                <w:sz w:val="20"/>
                <w:lang w:val="fr-CA"/>
              </w:rPr>
              <w:t>Déclaration de culpabilité : meurtre au deuxième degré et voies de fait graves</w:t>
            </w:r>
          </w:p>
          <w:p w:rsidR="005552A8" w:rsidRPr="00A1535A" w:rsidRDefault="005552A8" w:rsidP="005552A8">
            <w:pPr>
              <w:jc w:val="both"/>
              <w:rPr>
                <w:rFonts w:eastAsia="Calibri"/>
                <w:sz w:val="20"/>
                <w:lang w:val="fr-CA"/>
              </w:rPr>
            </w:pPr>
          </w:p>
        </w:tc>
      </w:tr>
      <w:tr w:rsidR="005552A8" w:rsidRPr="00B6145B" w:rsidTr="005552A8">
        <w:tc>
          <w:tcPr>
            <w:tcW w:w="2427" w:type="pct"/>
          </w:tcPr>
          <w:p w:rsidR="005552A8" w:rsidRPr="00A1535A" w:rsidRDefault="005552A8" w:rsidP="005552A8">
            <w:pPr>
              <w:jc w:val="both"/>
              <w:rPr>
                <w:rFonts w:eastAsia="Calibri"/>
                <w:sz w:val="20"/>
                <w:lang w:val="fr-CA"/>
              </w:rPr>
            </w:pPr>
            <w:r w:rsidRPr="00A1535A">
              <w:rPr>
                <w:rFonts w:eastAsia="Calibri"/>
                <w:sz w:val="20"/>
                <w:lang w:val="fr-CA"/>
              </w:rPr>
              <w:t>16 février 2012</w:t>
            </w:r>
          </w:p>
          <w:p w:rsidR="005552A8" w:rsidRPr="00A1535A" w:rsidRDefault="005552A8" w:rsidP="005552A8">
            <w:pPr>
              <w:jc w:val="both"/>
              <w:rPr>
                <w:rFonts w:eastAsia="Calibri"/>
                <w:sz w:val="20"/>
                <w:lang w:val="fr-CA"/>
              </w:rPr>
            </w:pPr>
            <w:r w:rsidRPr="00A1535A">
              <w:rPr>
                <w:rFonts w:eastAsia="Calibri"/>
                <w:sz w:val="20"/>
                <w:lang w:val="fr-CA"/>
              </w:rPr>
              <w:t>Cour d'appel de l’Alberta (Calgary)</w:t>
            </w:r>
          </w:p>
          <w:p w:rsidR="005552A8" w:rsidRPr="00A1535A" w:rsidRDefault="005552A8" w:rsidP="005552A8">
            <w:pPr>
              <w:jc w:val="both"/>
              <w:rPr>
                <w:rFonts w:eastAsia="Calibri"/>
                <w:sz w:val="20"/>
                <w:lang w:val="fr-CA"/>
              </w:rPr>
            </w:pPr>
            <w:r w:rsidRPr="00A1535A">
              <w:rPr>
                <w:rFonts w:eastAsia="Calibri"/>
                <w:sz w:val="20"/>
                <w:lang w:val="fr-CA"/>
              </w:rPr>
              <w:t>(Juges Costigan, Martin et Strekaf)</w:t>
            </w:r>
          </w:p>
          <w:p w:rsidR="005552A8" w:rsidRPr="00A1535A" w:rsidRDefault="005552A8" w:rsidP="005552A8">
            <w:pPr>
              <w:jc w:val="both"/>
              <w:rPr>
                <w:rFonts w:eastAsia="Calibri"/>
                <w:sz w:val="20"/>
                <w:lang w:val="fr-CA"/>
              </w:rPr>
            </w:pPr>
            <w:r w:rsidRPr="00A1535A">
              <w:rPr>
                <w:rFonts w:eastAsia="Calibri"/>
                <w:sz w:val="20"/>
                <w:lang w:val="fr-CA"/>
              </w:rPr>
              <w:t>Référence neutre : 2012 ABCA 51</w:t>
            </w:r>
          </w:p>
          <w:p w:rsidR="005552A8" w:rsidRPr="00A1535A" w:rsidRDefault="005552A8" w:rsidP="005552A8">
            <w:pPr>
              <w:jc w:val="both"/>
              <w:rPr>
                <w:rFonts w:eastAsia="Calibri"/>
                <w:sz w:val="20"/>
                <w:lang w:val="fr-CA"/>
              </w:rPr>
            </w:pPr>
          </w:p>
        </w:tc>
        <w:tc>
          <w:tcPr>
            <w:tcW w:w="243" w:type="pct"/>
          </w:tcPr>
          <w:p w:rsidR="005552A8" w:rsidRPr="00A1535A" w:rsidRDefault="005552A8" w:rsidP="005552A8">
            <w:pPr>
              <w:jc w:val="both"/>
              <w:rPr>
                <w:rFonts w:eastAsia="Calibri"/>
                <w:sz w:val="20"/>
                <w:lang w:val="fr-CA"/>
              </w:rPr>
            </w:pPr>
          </w:p>
        </w:tc>
        <w:tc>
          <w:tcPr>
            <w:tcW w:w="2330" w:type="pct"/>
          </w:tcPr>
          <w:p w:rsidR="005552A8" w:rsidRPr="00A1535A" w:rsidRDefault="005552A8" w:rsidP="005552A8">
            <w:pPr>
              <w:jc w:val="both"/>
              <w:rPr>
                <w:rFonts w:eastAsia="Calibri"/>
                <w:sz w:val="20"/>
                <w:lang w:val="fr-CA"/>
              </w:rPr>
            </w:pPr>
            <w:r w:rsidRPr="00A1535A">
              <w:rPr>
                <w:rFonts w:eastAsia="Calibri"/>
                <w:sz w:val="20"/>
                <w:lang w:val="fr-CA"/>
              </w:rPr>
              <w:t>Appel de la déclaration de culpabilité de meurtre au deuxième degré, accueilli; déclaration de culpabilité d'homicide involontaire coupable substituée au premier verdict; appel de la déclaration de culpabilité de voies de fait grave, rejeté</w:t>
            </w:r>
          </w:p>
          <w:p w:rsidR="005552A8" w:rsidRPr="00A1535A" w:rsidRDefault="005552A8" w:rsidP="005552A8">
            <w:pPr>
              <w:jc w:val="both"/>
              <w:rPr>
                <w:rFonts w:eastAsia="Calibri"/>
                <w:sz w:val="20"/>
                <w:lang w:val="fr-CA"/>
              </w:rPr>
            </w:pPr>
          </w:p>
        </w:tc>
      </w:tr>
      <w:tr w:rsidR="005552A8" w:rsidRPr="00A1535A" w:rsidTr="005552A8">
        <w:tc>
          <w:tcPr>
            <w:tcW w:w="2427" w:type="pct"/>
          </w:tcPr>
          <w:p w:rsidR="005552A8" w:rsidRPr="00A1535A" w:rsidRDefault="005552A8" w:rsidP="005552A8">
            <w:pPr>
              <w:jc w:val="both"/>
              <w:rPr>
                <w:rFonts w:eastAsia="Calibri"/>
                <w:sz w:val="20"/>
                <w:lang w:val="fr-CA"/>
              </w:rPr>
            </w:pPr>
            <w:r w:rsidRPr="00A1535A">
              <w:rPr>
                <w:rFonts w:eastAsia="Calibri"/>
                <w:sz w:val="20"/>
                <w:lang w:val="fr-CA"/>
              </w:rPr>
              <w:t>16 avril 2012</w:t>
            </w:r>
          </w:p>
          <w:p w:rsidR="005552A8" w:rsidRPr="00A1535A" w:rsidRDefault="005552A8" w:rsidP="005552A8">
            <w:pPr>
              <w:jc w:val="both"/>
              <w:rPr>
                <w:rFonts w:eastAsia="Calibri"/>
                <w:sz w:val="20"/>
                <w:lang w:val="fr-CA"/>
              </w:rPr>
            </w:pPr>
            <w:r w:rsidRPr="00A1535A">
              <w:rPr>
                <w:rFonts w:eastAsia="Calibri"/>
                <w:sz w:val="20"/>
                <w:lang w:val="fr-CA"/>
              </w:rPr>
              <w:t>Cour suprême du Canada</w:t>
            </w:r>
          </w:p>
        </w:tc>
        <w:tc>
          <w:tcPr>
            <w:tcW w:w="243" w:type="pct"/>
          </w:tcPr>
          <w:p w:rsidR="005552A8" w:rsidRPr="00A1535A" w:rsidRDefault="005552A8" w:rsidP="005552A8">
            <w:pPr>
              <w:jc w:val="both"/>
              <w:rPr>
                <w:rFonts w:eastAsia="Calibri"/>
                <w:sz w:val="20"/>
                <w:lang w:val="fr-CA"/>
              </w:rPr>
            </w:pPr>
          </w:p>
        </w:tc>
        <w:tc>
          <w:tcPr>
            <w:tcW w:w="2330" w:type="pct"/>
          </w:tcPr>
          <w:p w:rsidR="005552A8" w:rsidRPr="00A1535A" w:rsidRDefault="005552A8" w:rsidP="005552A8">
            <w:pPr>
              <w:jc w:val="both"/>
              <w:rPr>
                <w:rFonts w:eastAsia="Calibri"/>
                <w:sz w:val="20"/>
                <w:lang w:val="fr-CA"/>
              </w:rPr>
            </w:pPr>
            <w:r w:rsidRPr="00A1535A">
              <w:rPr>
                <w:rFonts w:eastAsia="Calibri"/>
                <w:sz w:val="20"/>
                <w:lang w:val="fr-CA"/>
              </w:rPr>
              <w:t>Demande d'autorisation d'appel, déposée</w:t>
            </w:r>
          </w:p>
          <w:p w:rsidR="005552A8" w:rsidRPr="00A1535A" w:rsidRDefault="005552A8" w:rsidP="005552A8">
            <w:pPr>
              <w:jc w:val="both"/>
              <w:rPr>
                <w:rFonts w:eastAsia="Calibri"/>
                <w:sz w:val="20"/>
                <w:lang w:val="fr-CA"/>
              </w:rPr>
            </w:pPr>
          </w:p>
        </w:tc>
      </w:tr>
    </w:tbl>
    <w:p w:rsidR="00EC09EE" w:rsidRDefault="00EC09EE" w:rsidP="00EC09EE">
      <w:pPr>
        <w:rPr>
          <w:sz w:val="20"/>
          <w:szCs w:val="20"/>
        </w:rPr>
      </w:pPr>
    </w:p>
    <w:p w:rsidR="00EC09EE" w:rsidRDefault="007333FF" w:rsidP="00EC09EE">
      <w:pPr>
        <w:rPr>
          <w:sz w:val="20"/>
          <w:szCs w:val="20"/>
        </w:rPr>
      </w:pPr>
      <w:r w:rsidRPr="007333FF">
        <w:rPr>
          <w:sz w:val="20"/>
          <w:szCs w:val="20"/>
          <w:lang w:val="fr-CA"/>
        </w:rPr>
        <w:pict>
          <v:rect id="_x0000_i1097" style="width:2in;height:1pt" o:hrpct="0" o:hralign="center" o:hrstd="t" o:hrnoshade="t" o:hr="t" fillcolor="black [3213]" stroked="f"/>
        </w:pict>
      </w:r>
    </w:p>
    <w:p w:rsidR="00EC09EE" w:rsidRDefault="00EC09EE" w:rsidP="00EC09E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C0656" w:rsidRPr="00B6145B" w:rsidTr="00D40817">
        <w:trPr>
          <w:cantSplit/>
        </w:trPr>
        <w:tc>
          <w:tcPr>
            <w:tcW w:w="1458" w:type="dxa"/>
          </w:tcPr>
          <w:p w:rsidR="00EC0656" w:rsidRPr="008A028C" w:rsidRDefault="00EC0656" w:rsidP="00D40817">
            <w:pPr>
              <w:rPr>
                <w:sz w:val="20"/>
                <w:szCs w:val="20"/>
              </w:rPr>
            </w:pPr>
            <w:r w:rsidRPr="008A028C">
              <w:rPr>
                <w:rStyle w:val="SCCFileNumberChar"/>
                <w:sz w:val="20"/>
                <w:szCs w:val="20"/>
              </w:rPr>
              <w:t>34776</w:t>
            </w:r>
          </w:p>
          <w:p w:rsidR="00EC0656" w:rsidRPr="008A028C" w:rsidRDefault="00EC0656" w:rsidP="00D40817">
            <w:pPr>
              <w:rPr>
                <w:b/>
                <w:sz w:val="20"/>
                <w:szCs w:val="20"/>
                <w:lang w:val="fr-CA"/>
              </w:rPr>
            </w:pPr>
          </w:p>
        </w:tc>
        <w:tc>
          <w:tcPr>
            <w:tcW w:w="8118" w:type="dxa"/>
          </w:tcPr>
          <w:p w:rsidR="00EC0656" w:rsidRPr="008A028C" w:rsidRDefault="00EC0656" w:rsidP="00D40817">
            <w:pPr>
              <w:rPr>
                <w:sz w:val="20"/>
                <w:szCs w:val="20"/>
                <w:lang w:val="fr-CA"/>
              </w:rPr>
            </w:pPr>
            <w:r w:rsidRPr="008A028C">
              <w:rPr>
                <w:rStyle w:val="SCCLsocChar"/>
                <w:sz w:val="20"/>
                <w:szCs w:val="20"/>
              </w:rPr>
              <w:t>Guy Patenaude c. Cynthia Garnier</w:t>
            </w:r>
            <w:r w:rsidRPr="008A028C">
              <w:rPr>
                <w:sz w:val="20"/>
                <w:szCs w:val="20"/>
                <w:lang w:val="fr-CA"/>
              </w:rPr>
              <w:t xml:space="preserve"> (Qc) (Civile) (Autorisation)</w:t>
            </w:r>
          </w:p>
          <w:p w:rsidR="00EC0656" w:rsidRPr="008A028C" w:rsidRDefault="00EC0656" w:rsidP="00D40817">
            <w:pPr>
              <w:rPr>
                <w:sz w:val="20"/>
                <w:szCs w:val="20"/>
                <w:lang w:val="fr-CA"/>
              </w:rPr>
            </w:pPr>
          </w:p>
        </w:tc>
      </w:tr>
      <w:tr w:rsidR="00EC0656" w:rsidRPr="00B6145B" w:rsidTr="00D40817">
        <w:trPr>
          <w:cantSplit/>
        </w:trPr>
        <w:tc>
          <w:tcPr>
            <w:tcW w:w="1458" w:type="dxa"/>
          </w:tcPr>
          <w:p w:rsidR="00EC0656" w:rsidRPr="008A028C" w:rsidRDefault="00EC0656" w:rsidP="00D40817">
            <w:pPr>
              <w:rPr>
                <w:sz w:val="20"/>
                <w:szCs w:val="20"/>
              </w:rPr>
            </w:pPr>
            <w:r w:rsidRPr="008A028C">
              <w:rPr>
                <w:sz w:val="20"/>
                <w:szCs w:val="20"/>
              </w:rPr>
              <w:t>Coram :</w:t>
            </w:r>
          </w:p>
        </w:tc>
        <w:tc>
          <w:tcPr>
            <w:tcW w:w="8118" w:type="dxa"/>
          </w:tcPr>
          <w:p w:rsidR="00EC0656" w:rsidRPr="008A028C" w:rsidRDefault="00EC0656" w:rsidP="00D40817">
            <w:pPr>
              <w:rPr>
                <w:sz w:val="20"/>
                <w:szCs w:val="20"/>
                <w:lang w:val="fr-CA"/>
              </w:rPr>
            </w:pPr>
            <w:r w:rsidRPr="008A028C">
              <w:rPr>
                <w:rStyle w:val="SCCCoramChar"/>
                <w:sz w:val="20"/>
                <w:szCs w:val="20"/>
              </w:rPr>
              <w:t>Les juges Deschamps, Fish et Karakatsanis</w:t>
            </w:r>
          </w:p>
          <w:p w:rsidR="00EC0656" w:rsidRPr="008A028C" w:rsidRDefault="00EC0656" w:rsidP="00D40817">
            <w:pPr>
              <w:rPr>
                <w:sz w:val="20"/>
                <w:szCs w:val="20"/>
                <w:u w:val="single"/>
                <w:lang w:val="fr-CA"/>
              </w:rPr>
            </w:pPr>
          </w:p>
        </w:tc>
      </w:tr>
      <w:tr w:rsidR="00EC0656" w:rsidRPr="008A028C" w:rsidTr="00D40817">
        <w:trPr>
          <w:cantSplit/>
        </w:trPr>
        <w:tc>
          <w:tcPr>
            <w:tcW w:w="9576" w:type="dxa"/>
            <w:gridSpan w:val="2"/>
          </w:tcPr>
          <w:p w:rsidR="00EC0656" w:rsidRPr="008A028C" w:rsidRDefault="00EC0656" w:rsidP="00D40817">
            <w:pPr>
              <w:pStyle w:val="SCCShortJudgment"/>
              <w:rPr>
                <w:szCs w:val="20"/>
                <w:lang w:val="fr-CA"/>
              </w:rPr>
            </w:pPr>
            <w:r w:rsidRPr="008A028C">
              <w:rPr>
                <w:szCs w:val="20"/>
                <w:lang w:val="fr-CA"/>
              </w:rPr>
              <w:lastRenderedPageBreak/>
              <w:t>La requête en prorogation du délai de signification et de dépôt de la demande d’autorisation d’appel est accueillie. La demande d’autorisation d’appel de l’arrêt de la Cour d’appel du Québec (Québec), numéro 200-09-007638-122, 2012 QCCA 332, daté du 14 février 2012, est rejetée avec dépens.</w:t>
            </w:r>
          </w:p>
          <w:p w:rsidR="00EC0656" w:rsidRPr="008A028C" w:rsidRDefault="00EC0656" w:rsidP="00D40817">
            <w:pPr>
              <w:pStyle w:val="SCCShortJudgment"/>
              <w:ind w:firstLine="0"/>
              <w:rPr>
                <w:szCs w:val="20"/>
                <w:lang w:val="fr-CA"/>
              </w:rPr>
            </w:pPr>
          </w:p>
          <w:p w:rsidR="00EC0656" w:rsidRPr="008A028C" w:rsidRDefault="00EC0656" w:rsidP="00D40817">
            <w:pPr>
              <w:pStyle w:val="SCCShortJudgment"/>
              <w:rPr>
                <w:szCs w:val="20"/>
              </w:rPr>
            </w:pPr>
            <w:r w:rsidRPr="008A028C">
              <w:rPr>
                <w:szCs w:val="20"/>
              </w:rPr>
              <w:t>The motion for an extension of time to serve and file the application for leave to appeal is granted. The application for leave to appeal from the judgment of the Court of Appeal of Quebec (Québec), Number 200-09-007638-122, 2012 QCCA 332, dated February 14, 2012, is dismissed with costs.</w:t>
            </w:r>
          </w:p>
        </w:tc>
      </w:tr>
    </w:tbl>
    <w:p w:rsidR="00EC09EE" w:rsidRPr="00EC0656" w:rsidRDefault="00EC09EE" w:rsidP="00EC09EE">
      <w:pPr>
        <w:rPr>
          <w:sz w:val="20"/>
          <w:szCs w:val="20"/>
        </w:rPr>
      </w:pPr>
    </w:p>
    <w:p w:rsidR="00EC09EE" w:rsidRPr="001B157C" w:rsidRDefault="00EC09EE" w:rsidP="00EC09EE">
      <w:pPr>
        <w:rPr>
          <w:sz w:val="20"/>
          <w:szCs w:val="20"/>
          <w:u w:val="single"/>
        </w:rPr>
      </w:pPr>
      <w:r w:rsidRPr="001B157C">
        <w:rPr>
          <w:sz w:val="20"/>
          <w:szCs w:val="20"/>
          <w:u w:val="single"/>
        </w:rPr>
        <w:t>CASE SUMMARY</w:t>
      </w:r>
    </w:p>
    <w:p w:rsidR="00EC09EE" w:rsidRDefault="00EC09EE" w:rsidP="00EC09E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552A8" w:rsidRPr="00A1535A" w:rsidTr="005552A8">
        <w:tc>
          <w:tcPr>
            <w:tcW w:w="5000" w:type="pct"/>
            <w:gridSpan w:val="3"/>
          </w:tcPr>
          <w:p w:rsidR="005552A8" w:rsidRPr="00A1535A" w:rsidRDefault="005552A8" w:rsidP="005552A8">
            <w:pPr>
              <w:jc w:val="both"/>
              <w:rPr>
                <w:rFonts w:eastAsia="Calibri"/>
                <w:sz w:val="20"/>
              </w:rPr>
            </w:pPr>
            <w:r w:rsidRPr="00A1535A">
              <w:rPr>
                <w:rFonts w:eastAsia="Calibri"/>
                <w:sz w:val="20"/>
              </w:rPr>
              <w:t xml:space="preserve">Administrative law – Evidence – Arbitration award – Arbitration of accounts of advocates – Witnesses –  Annulment – Homologation – Whether Court of Appeal applied one or both of contemporary standards established since </w:t>
            </w:r>
            <w:r w:rsidRPr="00A1535A">
              <w:rPr>
                <w:rFonts w:eastAsia="Calibri"/>
                <w:i/>
                <w:sz w:val="20"/>
              </w:rPr>
              <w:t>Dunsmuir</w:t>
            </w:r>
            <w:r w:rsidRPr="00A1535A">
              <w:rPr>
                <w:rFonts w:eastAsia="Calibri"/>
                <w:sz w:val="20"/>
              </w:rPr>
              <w:t xml:space="preserve"> – In describing corroborative contribution of evidence applicant wanted to adduce through witnesses, whether Court of Appeal happened to reverse Court of Québec’s decision that applicant had implicitly waived calling witnesses – Whether evidence was solely corroborative – Whether decision of council of arbitration was sufficiently precise and reasoned in its general composition to make it possible to properly understand process followed by council in reaching its decision – Whether decision of council of arbitration fell within range of possible, rational, acceptable outcomes – Whether evidence adduced should have at least led council of arbitration to reduce account in dispute – Whether approach taken by council of arbitration met applicant’s legitimate expectations in terms of procedural safeguards.</w:t>
            </w:r>
          </w:p>
        </w:tc>
      </w:tr>
      <w:tr w:rsidR="005552A8" w:rsidRPr="00A1535A" w:rsidTr="005552A8">
        <w:tc>
          <w:tcPr>
            <w:tcW w:w="5000" w:type="pct"/>
            <w:gridSpan w:val="3"/>
          </w:tcPr>
          <w:p w:rsidR="005552A8" w:rsidRPr="00A1535A" w:rsidRDefault="005552A8" w:rsidP="005552A8">
            <w:pPr>
              <w:jc w:val="both"/>
              <w:rPr>
                <w:rFonts w:eastAsia="Calibri"/>
                <w:sz w:val="20"/>
              </w:rPr>
            </w:pPr>
          </w:p>
        </w:tc>
      </w:tr>
      <w:tr w:rsidR="005552A8" w:rsidRPr="00A1535A" w:rsidTr="005552A8">
        <w:tc>
          <w:tcPr>
            <w:tcW w:w="5000" w:type="pct"/>
            <w:gridSpan w:val="3"/>
          </w:tcPr>
          <w:p w:rsidR="005552A8" w:rsidRPr="00A1535A" w:rsidRDefault="005552A8" w:rsidP="005552A8">
            <w:pPr>
              <w:jc w:val="both"/>
              <w:rPr>
                <w:rFonts w:eastAsia="Calibri"/>
                <w:i/>
                <w:color w:val="000000"/>
                <w:sz w:val="20"/>
              </w:rPr>
            </w:pPr>
            <w:r w:rsidRPr="00A1535A">
              <w:rPr>
                <w:rFonts w:eastAsia="Calibri"/>
                <w:sz w:val="20"/>
              </w:rPr>
              <w:t>The respondent, Ms. Garnier, represented the applicant, Mr. Patenaude, under a mandate he had given her in March 2008 to defend him against a motion to vary support and access.  Mr. Patenaude signed a professional mandate and fee agreement.  He disputed Ms. Garnier’s accounts of August 31 and November 6, 2009, which were for $9,729.23 and $3,521.70, respectively.  On October 18, 2009, the office of the syndic of the Barreau du Québec received an application from Mr. Patenaude for the conciliation of Ms. Garnier’s fee accounts.  Hearings were held on March 16 and May 16, 2011.  On September 26, 2011, the council of arbitration, which was composed of three advocates, concluded that [</w:t>
            </w:r>
            <w:r w:rsidRPr="00A1535A">
              <w:rPr>
                <w:rFonts w:eastAsia="Calibri"/>
                <w:smallCaps/>
                <w:sz w:val="20"/>
              </w:rPr>
              <w:t>translation</w:t>
            </w:r>
            <w:r w:rsidRPr="00A1535A">
              <w:rPr>
                <w:rFonts w:eastAsia="Calibri"/>
                <w:sz w:val="20"/>
              </w:rPr>
              <w:t>] “the advocate performed her work in accordance with the mandate she was given and that the quality of the services rendered is undeniable</w:t>
            </w:r>
            <w:r w:rsidRPr="00A1535A">
              <w:rPr>
                <w:color w:val="000000"/>
                <w:sz w:val="20"/>
              </w:rPr>
              <w:t xml:space="preserve">.  The agreement between the applicant and the advocate will therefore be applied.”  The council of arbitration awarded Ms. Garnier her accounts of August 31 and November 6, 2009 in their entirety.  Ms. Garnier brought a motion in the Court of Québec to homologate the arbitration award pursuant to art. 946.1 of the </w:t>
            </w:r>
            <w:r w:rsidRPr="00A1535A">
              <w:rPr>
                <w:i/>
                <w:color w:val="000000"/>
                <w:sz w:val="20"/>
              </w:rPr>
              <w:t>Code of Civil Procedure</w:t>
            </w:r>
            <w:r w:rsidRPr="00A1535A">
              <w:rPr>
                <w:color w:val="000000"/>
                <w:sz w:val="20"/>
              </w:rPr>
              <w:t>.  Mr. Patenaude sought the annulment of the arbitration award pursuant to arts. </w:t>
            </w:r>
            <w:r w:rsidRPr="00A1535A">
              <w:rPr>
                <w:rFonts w:eastAsia="Calibri"/>
                <w:color w:val="000000"/>
                <w:sz w:val="20"/>
              </w:rPr>
              <w:t xml:space="preserve">947, 947.1 and 947.2 </w:t>
            </w:r>
            <w:r w:rsidRPr="00A1535A">
              <w:rPr>
                <w:rFonts w:eastAsia="Calibri"/>
                <w:i/>
                <w:color w:val="000000"/>
                <w:sz w:val="20"/>
              </w:rPr>
              <w:t>C.C.P.</w:t>
            </w:r>
          </w:p>
          <w:p w:rsidR="005552A8" w:rsidRPr="00A1535A" w:rsidRDefault="005552A8" w:rsidP="005552A8">
            <w:pPr>
              <w:jc w:val="both"/>
              <w:rPr>
                <w:rFonts w:eastAsia="Calibri"/>
                <w:sz w:val="20"/>
              </w:rPr>
            </w:pPr>
          </w:p>
        </w:tc>
      </w:tr>
      <w:tr w:rsidR="005552A8" w:rsidRPr="00A1535A" w:rsidTr="005552A8">
        <w:tc>
          <w:tcPr>
            <w:tcW w:w="2427" w:type="pct"/>
          </w:tcPr>
          <w:p w:rsidR="005552A8" w:rsidRPr="00A1535A" w:rsidRDefault="005552A8" w:rsidP="005552A8">
            <w:pPr>
              <w:jc w:val="both"/>
              <w:rPr>
                <w:rFonts w:eastAsia="Calibri"/>
                <w:sz w:val="20"/>
              </w:rPr>
            </w:pPr>
            <w:r w:rsidRPr="00A1535A">
              <w:rPr>
                <w:rFonts w:eastAsia="Calibri"/>
                <w:sz w:val="20"/>
              </w:rPr>
              <w:t>January 6, 2012</w:t>
            </w:r>
          </w:p>
          <w:p w:rsidR="005552A8" w:rsidRPr="00A1535A" w:rsidRDefault="005552A8" w:rsidP="005552A8">
            <w:pPr>
              <w:jc w:val="both"/>
              <w:rPr>
                <w:rFonts w:eastAsia="Calibri"/>
                <w:sz w:val="20"/>
              </w:rPr>
            </w:pPr>
            <w:r w:rsidRPr="00A1535A">
              <w:rPr>
                <w:rFonts w:eastAsia="Calibri"/>
                <w:sz w:val="20"/>
              </w:rPr>
              <w:t>Court of Québec</w:t>
            </w:r>
          </w:p>
          <w:p w:rsidR="005552A8" w:rsidRPr="00A1535A" w:rsidRDefault="005552A8" w:rsidP="005552A8">
            <w:pPr>
              <w:jc w:val="both"/>
              <w:rPr>
                <w:rFonts w:eastAsia="Calibri"/>
                <w:sz w:val="20"/>
              </w:rPr>
            </w:pPr>
            <w:r w:rsidRPr="00A1535A">
              <w:rPr>
                <w:rFonts w:eastAsia="Calibri"/>
                <w:sz w:val="20"/>
              </w:rPr>
              <w:t>(Judge Coderre)</w:t>
            </w:r>
          </w:p>
          <w:p w:rsidR="005552A8" w:rsidRPr="00A1535A" w:rsidRDefault="005552A8" w:rsidP="005552A8">
            <w:pPr>
              <w:jc w:val="both"/>
              <w:rPr>
                <w:rFonts w:eastAsia="Calibri"/>
                <w:sz w:val="20"/>
              </w:rPr>
            </w:pPr>
            <w:r w:rsidRPr="00A1535A">
              <w:rPr>
                <w:rFonts w:eastAsia="Calibri"/>
                <w:sz w:val="20"/>
              </w:rPr>
              <w:t>2012 QCCQ 928</w:t>
            </w:r>
          </w:p>
        </w:tc>
        <w:tc>
          <w:tcPr>
            <w:tcW w:w="243" w:type="pct"/>
          </w:tcPr>
          <w:p w:rsidR="005552A8" w:rsidRPr="00A1535A" w:rsidRDefault="005552A8" w:rsidP="005552A8">
            <w:pPr>
              <w:jc w:val="both"/>
              <w:rPr>
                <w:rFonts w:eastAsia="Calibri"/>
                <w:sz w:val="20"/>
              </w:rPr>
            </w:pPr>
          </w:p>
        </w:tc>
        <w:tc>
          <w:tcPr>
            <w:tcW w:w="2330" w:type="pct"/>
          </w:tcPr>
          <w:p w:rsidR="005552A8" w:rsidRPr="00A1535A" w:rsidRDefault="005552A8" w:rsidP="005552A8">
            <w:pPr>
              <w:jc w:val="both"/>
              <w:rPr>
                <w:rFonts w:eastAsia="Calibri"/>
                <w:sz w:val="20"/>
              </w:rPr>
            </w:pPr>
            <w:r w:rsidRPr="00A1535A">
              <w:rPr>
                <w:rFonts w:eastAsia="Calibri"/>
                <w:sz w:val="20"/>
              </w:rPr>
              <w:t>Application for annulment of arbitration award of Barreau du Québec’s council of arbitration of accounts of advocates dismissed;</w:t>
            </w:r>
          </w:p>
          <w:p w:rsidR="005552A8" w:rsidRPr="00A1535A" w:rsidRDefault="005552A8" w:rsidP="005552A8">
            <w:pPr>
              <w:jc w:val="both"/>
              <w:rPr>
                <w:rFonts w:eastAsia="Calibri"/>
                <w:sz w:val="20"/>
              </w:rPr>
            </w:pPr>
            <w:r w:rsidRPr="00A1535A">
              <w:rPr>
                <w:rFonts w:eastAsia="Calibri"/>
                <w:sz w:val="20"/>
              </w:rPr>
              <w:t>Arbitration award homologated</w:t>
            </w:r>
          </w:p>
          <w:p w:rsidR="005552A8" w:rsidRPr="00A1535A" w:rsidRDefault="005552A8" w:rsidP="005552A8">
            <w:pPr>
              <w:jc w:val="both"/>
              <w:rPr>
                <w:rFonts w:eastAsia="Calibri"/>
                <w:sz w:val="20"/>
              </w:rPr>
            </w:pPr>
          </w:p>
        </w:tc>
      </w:tr>
      <w:tr w:rsidR="005552A8" w:rsidRPr="00A1535A" w:rsidTr="005552A8">
        <w:tc>
          <w:tcPr>
            <w:tcW w:w="2427" w:type="pct"/>
          </w:tcPr>
          <w:p w:rsidR="005552A8" w:rsidRPr="00A1535A" w:rsidRDefault="005552A8" w:rsidP="005552A8">
            <w:pPr>
              <w:jc w:val="both"/>
              <w:rPr>
                <w:rFonts w:eastAsia="Calibri"/>
                <w:sz w:val="20"/>
              </w:rPr>
            </w:pPr>
            <w:r w:rsidRPr="00A1535A">
              <w:rPr>
                <w:rFonts w:eastAsia="Calibri"/>
                <w:sz w:val="20"/>
              </w:rPr>
              <w:t>February 14, 2012</w:t>
            </w:r>
          </w:p>
          <w:p w:rsidR="005552A8" w:rsidRPr="00A1535A" w:rsidRDefault="005552A8" w:rsidP="005552A8">
            <w:pPr>
              <w:jc w:val="both"/>
              <w:rPr>
                <w:rFonts w:eastAsia="Calibri"/>
                <w:sz w:val="20"/>
              </w:rPr>
            </w:pPr>
            <w:r w:rsidRPr="00A1535A">
              <w:rPr>
                <w:rFonts w:eastAsia="Calibri"/>
                <w:sz w:val="20"/>
              </w:rPr>
              <w:t>Quebec Court of Appeal (Québec)</w:t>
            </w:r>
          </w:p>
          <w:p w:rsidR="005552A8" w:rsidRPr="00A1535A" w:rsidRDefault="005552A8" w:rsidP="005552A8">
            <w:pPr>
              <w:jc w:val="both"/>
              <w:rPr>
                <w:rFonts w:eastAsia="Calibri"/>
                <w:sz w:val="20"/>
              </w:rPr>
            </w:pPr>
            <w:r w:rsidRPr="00A1535A">
              <w:rPr>
                <w:rFonts w:eastAsia="Calibri"/>
                <w:sz w:val="20"/>
              </w:rPr>
              <w:t>(Gagnon J.A.)</w:t>
            </w:r>
          </w:p>
          <w:p w:rsidR="005552A8" w:rsidRPr="00A1535A" w:rsidRDefault="005552A8" w:rsidP="005552A8">
            <w:pPr>
              <w:jc w:val="both"/>
              <w:rPr>
                <w:rFonts w:eastAsia="Calibri"/>
                <w:sz w:val="20"/>
              </w:rPr>
            </w:pPr>
            <w:r w:rsidRPr="00A1535A">
              <w:rPr>
                <w:rFonts w:eastAsia="Calibri"/>
                <w:sz w:val="20"/>
              </w:rPr>
              <w:t>2012 QCCA 332</w:t>
            </w:r>
          </w:p>
          <w:p w:rsidR="005552A8" w:rsidRPr="00A1535A" w:rsidRDefault="005552A8" w:rsidP="005552A8">
            <w:pPr>
              <w:jc w:val="both"/>
              <w:rPr>
                <w:rFonts w:eastAsia="Calibri"/>
                <w:sz w:val="20"/>
              </w:rPr>
            </w:pPr>
          </w:p>
        </w:tc>
        <w:tc>
          <w:tcPr>
            <w:tcW w:w="243" w:type="pct"/>
          </w:tcPr>
          <w:p w:rsidR="005552A8" w:rsidRPr="00A1535A" w:rsidRDefault="005552A8" w:rsidP="005552A8">
            <w:pPr>
              <w:jc w:val="both"/>
              <w:rPr>
                <w:rFonts w:eastAsia="Calibri"/>
                <w:sz w:val="20"/>
              </w:rPr>
            </w:pPr>
          </w:p>
        </w:tc>
        <w:tc>
          <w:tcPr>
            <w:tcW w:w="2330" w:type="pct"/>
          </w:tcPr>
          <w:p w:rsidR="005552A8" w:rsidRPr="00A1535A" w:rsidRDefault="005552A8" w:rsidP="005552A8">
            <w:pPr>
              <w:jc w:val="both"/>
              <w:rPr>
                <w:rFonts w:eastAsia="Calibri"/>
                <w:sz w:val="20"/>
              </w:rPr>
            </w:pPr>
            <w:r w:rsidRPr="00A1535A">
              <w:rPr>
                <w:rFonts w:eastAsia="Calibri"/>
                <w:sz w:val="20"/>
              </w:rPr>
              <w:t>Motion for leave to appeal dismissed</w:t>
            </w:r>
          </w:p>
          <w:p w:rsidR="005552A8" w:rsidRPr="00A1535A" w:rsidRDefault="005552A8" w:rsidP="005552A8">
            <w:pPr>
              <w:jc w:val="both"/>
              <w:rPr>
                <w:rFonts w:eastAsia="Calibri"/>
                <w:sz w:val="20"/>
              </w:rPr>
            </w:pPr>
          </w:p>
        </w:tc>
      </w:tr>
      <w:tr w:rsidR="005552A8" w:rsidRPr="00A1535A" w:rsidTr="005552A8">
        <w:tc>
          <w:tcPr>
            <w:tcW w:w="2427" w:type="pct"/>
          </w:tcPr>
          <w:p w:rsidR="005552A8" w:rsidRPr="00A1535A" w:rsidRDefault="005552A8" w:rsidP="005552A8">
            <w:pPr>
              <w:jc w:val="both"/>
              <w:rPr>
                <w:rFonts w:eastAsia="Calibri"/>
                <w:sz w:val="20"/>
              </w:rPr>
            </w:pPr>
            <w:r w:rsidRPr="00A1535A">
              <w:rPr>
                <w:rFonts w:eastAsia="Calibri"/>
                <w:sz w:val="20"/>
              </w:rPr>
              <w:t>April 18, 2012</w:t>
            </w:r>
          </w:p>
          <w:p w:rsidR="005552A8" w:rsidRPr="00A1535A" w:rsidRDefault="005552A8" w:rsidP="005552A8">
            <w:pPr>
              <w:jc w:val="both"/>
              <w:rPr>
                <w:rFonts w:eastAsia="Calibri"/>
                <w:sz w:val="20"/>
              </w:rPr>
            </w:pPr>
            <w:r w:rsidRPr="00A1535A">
              <w:rPr>
                <w:rFonts w:eastAsia="Calibri"/>
                <w:sz w:val="20"/>
              </w:rPr>
              <w:t>Supreme Court of Canada</w:t>
            </w:r>
          </w:p>
          <w:p w:rsidR="005552A8" w:rsidRPr="00A1535A" w:rsidRDefault="005552A8" w:rsidP="005552A8">
            <w:pPr>
              <w:jc w:val="both"/>
              <w:rPr>
                <w:rFonts w:eastAsia="Calibri"/>
                <w:sz w:val="20"/>
              </w:rPr>
            </w:pPr>
          </w:p>
        </w:tc>
        <w:tc>
          <w:tcPr>
            <w:tcW w:w="243" w:type="pct"/>
          </w:tcPr>
          <w:p w:rsidR="005552A8" w:rsidRPr="00A1535A" w:rsidRDefault="005552A8" w:rsidP="005552A8">
            <w:pPr>
              <w:jc w:val="both"/>
              <w:rPr>
                <w:rFonts w:eastAsia="Calibri"/>
                <w:sz w:val="20"/>
              </w:rPr>
            </w:pPr>
          </w:p>
        </w:tc>
        <w:tc>
          <w:tcPr>
            <w:tcW w:w="2330" w:type="pct"/>
          </w:tcPr>
          <w:p w:rsidR="005552A8" w:rsidRPr="00A1535A" w:rsidRDefault="005552A8" w:rsidP="005552A8">
            <w:pPr>
              <w:jc w:val="both"/>
              <w:rPr>
                <w:rFonts w:eastAsia="Calibri"/>
                <w:sz w:val="20"/>
              </w:rPr>
            </w:pPr>
            <w:r w:rsidRPr="00A1535A">
              <w:rPr>
                <w:rFonts w:eastAsia="Calibri"/>
                <w:sz w:val="20"/>
              </w:rPr>
              <w:t>Motion to extend time to serve and file application for leave to appeal filed;</w:t>
            </w:r>
          </w:p>
          <w:p w:rsidR="005552A8" w:rsidRPr="00A1535A" w:rsidRDefault="005552A8" w:rsidP="005552A8">
            <w:pPr>
              <w:jc w:val="both"/>
              <w:rPr>
                <w:rFonts w:eastAsia="Calibri"/>
                <w:sz w:val="20"/>
              </w:rPr>
            </w:pPr>
            <w:r w:rsidRPr="00A1535A">
              <w:rPr>
                <w:rFonts w:eastAsia="Calibri"/>
                <w:sz w:val="20"/>
              </w:rPr>
              <w:t>Application for leave to appeal filed</w:t>
            </w:r>
          </w:p>
        </w:tc>
      </w:tr>
    </w:tbl>
    <w:p w:rsidR="00EC09EE" w:rsidRDefault="00EC09EE" w:rsidP="00EC09EE">
      <w:pPr>
        <w:rPr>
          <w:sz w:val="20"/>
          <w:szCs w:val="20"/>
        </w:rPr>
      </w:pPr>
    </w:p>
    <w:p w:rsidR="00EC09EE" w:rsidRPr="00C50A5C" w:rsidRDefault="007333FF" w:rsidP="00EC09EE">
      <w:pPr>
        <w:rPr>
          <w:sz w:val="20"/>
          <w:szCs w:val="20"/>
        </w:rPr>
      </w:pPr>
      <w:r w:rsidRPr="007333FF">
        <w:rPr>
          <w:sz w:val="20"/>
          <w:szCs w:val="20"/>
          <w:lang w:val="fr-CA"/>
        </w:rPr>
        <w:pict>
          <v:rect id="_x0000_i1098" style="width:2in;height:1pt" o:hrpct="0" o:hralign="center" o:hrstd="t" o:hrnoshade="t" o:hr="t" fillcolor="black [3213]" stroked="f"/>
        </w:pict>
      </w:r>
    </w:p>
    <w:p w:rsidR="00EC09EE" w:rsidRDefault="00EC09EE" w:rsidP="00EC09EE">
      <w:pPr>
        <w:rPr>
          <w:sz w:val="20"/>
          <w:szCs w:val="20"/>
        </w:rPr>
      </w:pPr>
    </w:p>
    <w:p w:rsidR="00EC0656" w:rsidRDefault="00EC0656">
      <w:pPr>
        <w:rPr>
          <w:sz w:val="20"/>
          <w:szCs w:val="20"/>
          <w:u w:val="single"/>
          <w:lang w:val="fr-CA"/>
        </w:rPr>
      </w:pPr>
      <w:r>
        <w:rPr>
          <w:sz w:val="20"/>
          <w:szCs w:val="20"/>
          <w:u w:val="single"/>
          <w:lang w:val="fr-CA"/>
        </w:rPr>
        <w:br w:type="page"/>
      </w:r>
    </w:p>
    <w:p w:rsidR="00EC09EE" w:rsidRPr="001B157C" w:rsidRDefault="00EC09EE" w:rsidP="00EC09EE">
      <w:pPr>
        <w:rPr>
          <w:sz w:val="20"/>
          <w:szCs w:val="20"/>
          <w:u w:val="single"/>
          <w:lang w:val="fr-CA"/>
        </w:rPr>
      </w:pPr>
      <w:r w:rsidRPr="001B157C">
        <w:rPr>
          <w:sz w:val="20"/>
          <w:szCs w:val="20"/>
          <w:u w:val="single"/>
          <w:lang w:val="fr-CA"/>
        </w:rPr>
        <w:lastRenderedPageBreak/>
        <w:t>RÉSUMÉ DE L’AFFAIRE</w:t>
      </w:r>
    </w:p>
    <w:p w:rsidR="00EC09EE" w:rsidRDefault="00EC09EE" w:rsidP="00EC09E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552A8" w:rsidRPr="00B6145B" w:rsidTr="005552A8">
        <w:tc>
          <w:tcPr>
            <w:tcW w:w="5000" w:type="pct"/>
            <w:gridSpan w:val="3"/>
          </w:tcPr>
          <w:p w:rsidR="005552A8" w:rsidRPr="00A1535A" w:rsidRDefault="005552A8" w:rsidP="005552A8">
            <w:pPr>
              <w:jc w:val="both"/>
              <w:rPr>
                <w:rFonts w:eastAsia="Calibri"/>
                <w:sz w:val="20"/>
                <w:lang w:val="fr-CA"/>
              </w:rPr>
            </w:pPr>
            <w:r w:rsidRPr="00A1535A">
              <w:rPr>
                <w:rFonts w:eastAsia="Calibri"/>
                <w:sz w:val="20"/>
                <w:lang w:val="fr-CA"/>
              </w:rPr>
              <w:t xml:space="preserve">Droit administratif </w:t>
            </w:r>
            <w:r w:rsidRPr="00A1535A">
              <w:rPr>
                <w:rFonts w:eastAsia="Calibri"/>
                <w:i/>
                <w:sz w:val="20"/>
                <w:lang w:val="fr-CA"/>
              </w:rPr>
              <w:t xml:space="preserve">– </w:t>
            </w:r>
            <w:r w:rsidRPr="00A1535A">
              <w:rPr>
                <w:rFonts w:eastAsia="Calibri"/>
                <w:sz w:val="20"/>
                <w:lang w:val="fr-CA"/>
              </w:rPr>
              <w:t xml:space="preserve">Preuve </w:t>
            </w:r>
            <w:r w:rsidRPr="00A1535A">
              <w:rPr>
                <w:rFonts w:eastAsia="Calibri"/>
                <w:i/>
                <w:sz w:val="20"/>
                <w:lang w:val="fr-CA"/>
              </w:rPr>
              <w:t xml:space="preserve">– </w:t>
            </w:r>
            <w:r w:rsidRPr="00A1535A">
              <w:rPr>
                <w:rFonts w:eastAsia="Calibri"/>
                <w:sz w:val="20"/>
                <w:lang w:val="fr-CA"/>
              </w:rPr>
              <w:t xml:space="preserve">Sentence arbitrale </w:t>
            </w:r>
            <w:r w:rsidRPr="00A1535A">
              <w:rPr>
                <w:rFonts w:eastAsia="Calibri"/>
                <w:i/>
                <w:sz w:val="20"/>
                <w:lang w:val="fr-CA"/>
              </w:rPr>
              <w:t xml:space="preserve">– </w:t>
            </w:r>
            <w:r w:rsidRPr="00A1535A">
              <w:rPr>
                <w:rFonts w:eastAsia="Calibri"/>
                <w:sz w:val="20"/>
                <w:lang w:val="fr-CA"/>
              </w:rPr>
              <w:t xml:space="preserve">Arbitrage des comptes des avocats </w:t>
            </w:r>
            <w:r w:rsidRPr="00A1535A">
              <w:rPr>
                <w:rFonts w:eastAsia="Calibri"/>
                <w:i/>
                <w:sz w:val="20"/>
                <w:lang w:val="fr-CA"/>
              </w:rPr>
              <w:t xml:space="preserve">– </w:t>
            </w:r>
            <w:r w:rsidRPr="00A1535A">
              <w:rPr>
                <w:rFonts w:eastAsia="Calibri"/>
                <w:sz w:val="20"/>
                <w:lang w:val="fr-CA"/>
              </w:rPr>
              <w:t xml:space="preserve">Témoins </w:t>
            </w:r>
            <w:r w:rsidRPr="00A1535A">
              <w:rPr>
                <w:rFonts w:eastAsia="Calibri"/>
                <w:i/>
                <w:sz w:val="20"/>
                <w:lang w:val="fr-CA"/>
              </w:rPr>
              <w:t xml:space="preserve">–  </w:t>
            </w:r>
            <w:r w:rsidRPr="00A1535A">
              <w:rPr>
                <w:rFonts w:eastAsia="Calibri"/>
                <w:sz w:val="20"/>
                <w:lang w:val="fr-CA"/>
              </w:rPr>
              <w:t xml:space="preserve">Annulation </w:t>
            </w:r>
            <w:r w:rsidRPr="00A1535A">
              <w:rPr>
                <w:rFonts w:eastAsia="Calibri"/>
                <w:i/>
                <w:sz w:val="20"/>
                <w:lang w:val="fr-CA"/>
              </w:rPr>
              <w:t xml:space="preserve">– </w:t>
            </w:r>
            <w:r w:rsidRPr="00A1535A">
              <w:rPr>
                <w:rFonts w:eastAsia="Calibri"/>
                <w:sz w:val="20"/>
                <w:lang w:val="fr-CA"/>
              </w:rPr>
              <w:t xml:space="preserve">Homologation </w:t>
            </w:r>
            <w:r w:rsidRPr="00A1535A">
              <w:rPr>
                <w:rFonts w:eastAsia="Calibri"/>
                <w:i/>
                <w:sz w:val="20"/>
                <w:lang w:val="fr-CA"/>
              </w:rPr>
              <w:t xml:space="preserve">– </w:t>
            </w:r>
            <w:r w:rsidRPr="00A1535A">
              <w:rPr>
                <w:rFonts w:eastAsia="Calibri"/>
                <w:sz w:val="20"/>
                <w:lang w:val="fr-CA"/>
              </w:rPr>
              <w:t xml:space="preserve">Est-ce que la Cour d’appel a appliqué une des deux normes contemporaines (ou les deux) établies depuis l’arrêt </w:t>
            </w:r>
            <w:r w:rsidRPr="00A1535A">
              <w:rPr>
                <w:rFonts w:eastAsia="Calibri"/>
                <w:i/>
                <w:sz w:val="20"/>
                <w:lang w:val="fr-CA"/>
              </w:rPr>
              <w:t>Dunsmuir</w:t>
            </w:r>
            <w:r w:rsidRPr="00A1535A">
              <w:rPr>
                <w:rFonts w:eastAsia="Calibri"/>
                <w:sz w:val="20"/>
                <w:lang w:val="fr-CA"/>
              </w:rPr>
              <w:t xml:space="preserve">? </w:t>
            </w:r>
            <w:r w:rsidRPr="00A1535A">
              <w:rPr>
                <w:rFonts w:eastAsia="Calibri"/>
                <w:i/>
                <w:sz w:val="20"/>
                <w:lang w:val="fr-CA"/>
              </w:rPr>
              <w:t xml:space="preserve">– </w:t>
            </w:r>
            <w:r w:rsidRPr="00A1535A">
              <w:rPr>
                <w:rFonts w:eastAsia="Calibri"/>
                <w:sz w:val="20"/>
                <w:lang w:val="fr-CA"/>
              </w:rPr>
              <w:t xml:space="preserve">En qualifiant la contribution corroborative de la preuve que le demandeur souhaitait apporter par ses témoins, est-ce que la Cour d’appel s’est trouvée à infirmer par le fait même la décision de la Cour du Québec à l’effet que le demandeur avait renoncé implicitement à faire entendre ses témoins? </w:t>
            </w:r>
            <w:r w:rsidRPr="00A1535A">
              <w:rPr>
                <w:rFonts w:eastAsia="Calibri"/>
                <w:i/>
                <w:sz w:val="20"/>
                <w:lang w:val="fr-CA"/>
              </w:rPr>
              <w:t xml:space="preserve">– </w:t>
            </w:r>
            <w:r w:rsidRPr="00A1535A">
              <w:rPr>
                <w:rFonts w:eastAsia="Calibri"/>
                <w:sz w:val="20"/>
                <w:lang w:val="fr-CA"/>
              </w:rPr>
              <w:t xml:space="preserve"> Est-ce que cette preuve était uniquement corroborative? </w:t>
            </w:r>
            <w:r w:rsidRPr="00A1535A">
              <w:rPr>
                <w:rFonts w:eastAsia="Calibri"/>
                <w:i/>
                <w:sz w:val="20"/>
                <w:lang w:val="fr-CA"/>
              </w:rPr>
              <w:t xml:space="preserve">– </w:t>
            </w:r>
            <w:r w:rsidRPr="00A1535A">
              <w:rPr>
                <w:rFonts w:eastAsia="Calibri"/>
                <w:sz w:val="20"/>
                <w:lang w:val="fr-CA"/>
              </w:rPr>
              <w:t xml:space="preserve">Est-ce que la facture générale de la décision du Conseil d’arbitrage est suffisamment précise, motivée de manière à ce que l’on puisse comprendre adéquatement le cheminement du comité dans sa décision? </w:t>
            </w:r>
            <w:r w:rsidRPr="00A1535A">
              <w:rPr>
                <w:rFonts w:eastAsia="Calibri"/>
                <w:i/>
                <w:sz w:val="20"/>
                <w:lang w:val="fr-CA"/>
              </w:rPr>
              <w:t xml:space="preserve">– </w:t>
            </w:r>
            <w:r w:rsidRPr="00A1535A">
              <w:rPr>
                <w:rFonts w:eastAsia="Calibri"/>
                <w:sz w:val="20"/>
                <w:lang w:val="fr-CA"/>
              </w:rPr>
              <w:t xml:space="preserve">Est-ce que la décision du Conseil d’arbitrage faisait partie des issues possibles rationnelles acceptables? </w:t>
            </w:r>
            <w:r w:rsidRPr="00A1535A">
              <w:rPr>
                <w:rFonts w:eastAsia="Calibri"/>
                <w:i/>
                <w:sz w:val="20"/>
                <w:lang w:val="fr-CA"/>
              </w:rPr>
              <w:t xml:space="preserve">– </w:t>
            </w:r>
            <w:r w:rsidRPr="00A1535A">
              <w:rPr>
                <w:rFonts w:eastAsia="Calibri"/>
                <w:sz w:val="20"/>
                <w:lang w:val="fr-CA"/>
              </w:rPr>
              <w:t xml:space="preserve">Est-ce que la preuve présentée aurait dû minimalement conduire le Conseil d’arbitrage à réduire le compte litigieux? </w:t>
            </w:r>
            <w:r w:rsidRPr="00A1535A">
              <w:rPr>
                <w:rFonts w:eastAsia="Calibri"/>
                <w:i/>
                <w:sz w:val="20"/>
                <w:lang w:val="fr-CA"/>
              </w:rPr>
              <w:t xml:space="preserve">– </w:t>
            </w:r>
            <w:r w:rsidRPr="00A1535A">
              <w:rPr>
                <w:rFonts w:eastAsia="Calibri"/>
                <w:sz w:val="20"/>
                <w:lang w:val="fr-CA"/>
              </w:rPr>
              <w:t>Est-ce que la démarche du Conseil d’arbitrage a rencontré les attentes légitimes du demandeur en termes de garanties procédurales?</w:t>
            </w:r>
          </w:p>
        </w:tc>
      </w:tr>
      <w:tr w:rsidR="005552A8" w:rsidRPr="00B6145B" w:rsidTr="005552A8">
        <w:tc>
          <w:tcPr>
            <w:tcW w:w="5000" w:type="pct"/>
            <w:gridSpan w:val="3"/>
          </w:tcPr>
          <w:p w:rsidR="005552A8" w:rsidRPr="00A1535A" w:rsidRDefault="005552A8" w:rsidP="005552A8">
            <w:pPr>
              <w:jc w:val="both"/>
              <w:rPr>
                <w:rFonts w:eastAsia="Calibri"/>
                <w:sz w:val="20"/>
                <w:lang w:val="fr-CA"/>
              </w:rPr>
            </w:pPr>
          </w:p>
        </w:tc>
      </w:tr>
      <w:tr w:rsidR="005552A8" w:rsidRPr="00B6145B" w:rsidTr="005552A8">
        <w:tc>
          <w:tcPr>
            <w:tcW w:w="5000" w:type="pct"/>
            <w:gridSpan w:val="3"/>
          </w:tcPr>
          <w:p w:rsidR="005552A8" w:rsidRPr="00A1535A" w:rsidRDefault="005552A8" w:rsidP="005552A8">
            <w:pPr>
              <w:jc w:val="both"/>
              <w:rPr>
                <w:rFonts w:eastAsia="Calibri"/>
                <w:i/>
                <w:color w:val="000000"/>
                <w:sz w:val="20"/>
                <w:lang w:val="fr-FR"/>
              </w:rPr>
            </w:pPr>
            <w:r w:rsidRPr="00A1535A">
              <w:rPr>
                <w:rFonts w:eastAsia="Calibri"/>
                <w:sz w:val="20"/>
                <w:lang w:val="fr-CA"/>
              </w:rPr>
              <w:t xml:space="preserve">Me Garnier, intimée, a représenté monsieur Patenaude, demandeur, dans un mandat que ce dernier lui a confié en mars 2008 pour le défendre à l’encontre d’une requête en modification d’une pension alimentaire et de droit d’accès. Une convention d’honoraires et de mandat professionnel a été signé par monsieur Patenaude. Ce dernier a contesté les comptes de Me Garnier du 31 août 2009 et du 6 novembre 2009 respectivement aux montants de 9 729,23$ et 3521,70$. Le 18 octobre 2009, le bureau du syndic du Barreau du Québec reçoit de monsieur Patenaude une demande pour la conciliation des comptes d’honoraires de Me Garnier. Des audiences sont tenus les 16 mars 2011 et 16 mai 2011. Le 26 septembre 2011, le Conseil d’arbitrage, composé de deux avocats et une avocate, conclut que </w:t>
            </w:r>
            <w:r w:rsidRPr="00A1535A">
              <w:rPr>
                <w:color w:val="000000"/>
                <w:sz w:val="20"/>
                <w:lang w:val="fr-FR"/>
              </w:rPr>
              <w:t xml:space="preserve">« le travail accompli par l’[a]vocate l’a été conformément au mandat confié et que les services rendus revêtent un caractère qualitatif indéniable. La </w:t>
            </w:r>
            <w:r w:rsidRPr="00A1535A">
              <w:rPr>
                <w:rFonts w:eastAsia="Calibri"/>
                <w:color w:val="000000"/>
                <w:sz w:val="20"/>
                <w:lang w:val="fr-FR"/>
              </w:rPr>
              <w:t>convention intervenue entre le [d]emandeur et l’[a]</w:t>
            </w:r>
            <w:r w:rsidRPr="00A1535A">
              <w:rPr>
                <w:color w:val="000000"/>
                <w:sz w:val="20"/>
                <w:lang w:val="fr-FR"/>
              </w:rPr>
              <w:t xml:space="preserve">vocate </w:t>
            </w:r>
            <w:r w:rsidRPr="00A1535A">
              <w:rPr>
                <w:rFonts w:eastAsia="Calibri"/>
                <w:color w:val="000000"/>
                <w:sz w:val="20"/>
                <w:lang w:val="fr-FR"/>
              </w:rPr>
              <w:t xml:space="preserve">recevra donc son application ». </w:t>
            </w:r>
            <w:r w:rsidRPr="00A1535A">
              <w:rPr>
                <w:color w:val="000000"/>
                <w:sz w:val="20"/>
                <w:lang w:val="fr-FR"/>
              </w:rPr>
              <w:t>Le Conseil d’arbitrage accorde à M</w:t>
            </w:r>
            <w:r w:rsidRPr="00A1535A">
              <w:rPr>
                <w:color w:val="000000"/>
                <w:sz w:val="20"/>
                <w:vertAlign w:val="superscript"/>
                <w:lang w:val="fr-FR"/>
              </w:rPr>
              <w:t>e</w:t>
            </w:r>
            <w:r w:rsidRPr="00A1535A">
              <w:rPr>
                <w:color w:val="000000"/>
                <w:sz w:val="20"/>
                <w:lang w:val="fr-FR"/>
              </w:rPr>
              <w:t xml:space="preserve"> Garnier ses comptes du 31 août 2009 et du 6 novembre 2009 dans leur entièreté. </w:t>
            </w:r>
            <w:r w:rsidRPr="00A1535A">
              <w:rPr>
                <w:rFonts w:eastAsia="Calibri"/>
                <w:color w:val="000000"/>
                <w:sz w:val="20"/>
                <w:lang w:val="fr-FR"/>
              </w:rPr>
              <w:t xml:space="preserve">Me Garnier présente une requête pour homologuer cette sentence arbitrale à la Cour du Québec en vertu de l’article 946.1 du </w:t>
            </w:r>
            <w:r w:rsidRPr="00A1535A">
              <w:rPr>
                <w:rFonts w:eastAsia="Calibri"/>
                <w:i/>
                <w:color w:val="000000"/>
                <w:sz w:val="20"/>
                <w:lang w:val="fr-FR"/>
              </w:rPr>
              <w:t>Code de procédure civile</w:t>
            </w:r>
            <w:r w:rsidRPr="00A1535A">
              <w:rPr>
                <w:rFonts w:eastAsia="Calibri"/>
                <w:color w:val="000000"/>
                <w:sz w:val="20"/>
                <w:lang w:val="fr-FR"/>
              </w:rPr>
              <w:t xml:space="preserve">. Monsieur Patenaude requiert l’annulation de cette sentence arbitrale en vertu des articles 947, 947.1 et 947.2 </w:t>
            </w:r>
            <w:r w:rsidRPr="00A1535A">
              <w:rPr>
                <w:rFonts w:eastAsia="Calibri"/>
                <w:i/>
                <w:color w:val="000000"/>
                <w:sz w:val="20"/>
                <w:lang w:val="fr-FR"/>
              </w:rPr>
              <w:t>C.p.c.</w:t>
            </w:r>
          </w:p>
          <w:p w:rsidR="005552A8" w:rsidRPr="00A1535A" w:rsidRDefault="005552A8" w:rsidP="005552A8">
            <w:pPr>
              <w:jc w:val="both"/>
              <w:rPr>
                <w:rFonts w:eastAsia="Calibri"/>
                <w:sz w:val="20"/>
                <w:lang w:val="fr-CA"/>
              </w:rPr>
            </w:pPr>
          </w:p>
        </w:tc>
      </w:tr>
      <w:tr w:rsidR="005552A8" w:rsidRPr="00A1535A" w:rsidTr="005552A8">
        <w:tc>
          <w:tcPr>
            <w:tcW w:w="2427" w:type="pct"/>
          </w:tcPr>
          <w:p w:rsidR="005552A8" w:rsidRPr="00A1535A" w:rsidRDefault="005552A8" w:rsidP="005552A8">
            <w:pPr>
              <w:jc w:val="both"/>
              <w:rPr>
                <w:rFonts w:eastAsia="Calibri"/>
                <w:sz w:val="20"/>
                <w:lang w:val="fr-CA"/>
              </w:rPr>
            </w:pPr>
            <w:r w:rsidRPr="00A1535A">
              <w:rPr>
                <w:rFonts w:eastAsia="Calibri"/>
                <w:sz w:val="20"/>
                <w:lang w:val="fr-CA"/>
              </w:rPr>
              <w:t>Le 6 janvier 2012</w:t>
            </w:r>
          </w:p>
          <w:p w:rsidR="005552A8" w:rsidRPr="00A1535A" w:rsidRDefault="005552A8" w:rsidP="005552A8">
            <w:pPr>
              <w:jc w:val="both"/>
              <w:rPr>
                <w:rFonts w:eastAsia="Calibri"/>
                <w:sz w:val="20"/>
                <w:lang w:val="fr-CA"/>
              </w:rPr>
            </w:pPr>
            <w:r w:rsidRPr="00A1535A">
              <w:rPr>
                <w:rFonts w:eastAsia="Calibri"/>
                <w:sz w:val="20"/>
                <w:lang w:val="fr-CA"/>
              </w:rPr>
              <w:t>Cour du Québec</w:t>
            </w:r>
          </w:p>
          <w:p w:rsidR="005552A8" w:rsidRPr="00A1535A" w:rsidRDefault="005552A8" w:rsidP="005552A8">
            <w:pPr>
              <w:jc w:val="both"/>
              <w:rPr>
                <w:rFonts w:eastAsia="Calibri"/>
                <w:sz w:val="20"/>
                <w:lang w:val="fr-CA"/>
              </w:rPr>
            </w:pPr>
            <w:r w:rsidRPr="00A1535A">
              <w:rPr>
                <w:rFonts w:eastAsia="Calibri"/>
                <w:sz w:val="20"/>
                <w:lang w:val="fr-CA"/>
              </w:rPr>
              <w:t>(Le juge Coderre)</w:t>
            </w:r>
          </w:p>
          <w:p w:rsidR="005552A8" w:rsidRPr="00A1535A" w:rsidRDefault="005552A8" w:rsidP="005552A8">
            <w:pPr>
              <w:jc w:val="both"/>
              <w:rPr>
                <w:rFonts w:eastAsia="Calibri"/>
                <w:sz w:val="20"/>
                <w:lang w:val="fr-CA"/>
              </w:rPr>
            </w:pPr>
            <w:r w:rsidRPr="00A1535A">
              <w:rPr>
                <w:rFonts w:eastAsia="Calibri"/>
                <w:sz w:val="20"/>
                <w:lang w:val="fr-CA"/>
              </w:rPr>
              <w:t>2012 QCCQ 928</w:t>
            </w:r>
          </w:p>
        </w:tc>
        <w:tc>
          <w:tcPr>
            <w:tcW w:w="243" w:type="pct"/>
          </w:tcPr>
          <w:p w:rsidR="005552A8" w:rsidRPr="00A1535A" w:rsidRDefault="005552A8" w:rsidP="005552A8">
            <w:pPr>
              <w:jc w:val="both"/>
              <w:rPr>
                <w:rFonts w:eastAsia="Calibri"/>
                <w:sz w:val="20"/>
                <w:lang w:val="fr-CA"/>
              </w:rPr>
            </w:pPr>
          </w:p>
        </w:tc>
        <w:tc>
          <w:tcPr>
            <w:tcW w:w="2330" w:type="pct"/>
          </w:tcPr>
          <w:p w:rsidR="005552A8" w:rsidRPr="00A1535A" w:rsidRDefault="005552A8" w:rsidP="005552A8">
            <w:pPr>
              <w:jc w:val="both"/>
              <w:rPr>
                <w:rFonts w:eastAsia="Calibri"/>
                <w:sz w:val="20"/>
                <w:lang w:val="fr-CA"/>
              </w:rPr>
            </w:pPr>
            <w:r w:rsidRPr="00A1535A">
              <w:rPr>
                <w:rFonts w:eastAsia="Calibri"/>
                <w:sz w:val="20"/>
                <w:lang w:val="fr-CA"/>
              </w:rPr>
              <w:t>Demande d’annulation de la sentence arbitrale rendue par le Conseil d’arbitrage des comptes des avocats du Barreau du Québec rejetée;</w:t>
            </w:r>
          </w:p>
          <w:p w:rsidR="005552A8" w:rsidRPr="00A1535A" w:rsidRDefault="005552A8" w:rsidP="005552A8">
            <w:pPr>
              <w:jc w:val="both"/>
              <w:rPr>
                <w:rFonts w:eastAsia="Calibri"/>
                <w:sz w:val="20"/>
                <w:lang w:val="fr-CA"/>
              </w:rPr>
            </w:pPr>
            <w:r w:rsidRPr="00A1535A">
              <w:rPr>
                <w:rFonts w:eastAsia="Calibri"/>
                <w:sz w:val="20"/>
                <w:lang w:val="fr-CA"/>
              </w:rPr>
              <w:t>Sentence arbitrale homologué.</w:t>
            </w:r>
          </w:p>
          <w:p w:rsidR="005552A8" w:rsidRPr="00A1535A" w:rsidRDefault="005552A8" w:rsidP="005552A8">
            <w:pPr>
              <w:jc w:val="both"/>
              <w:rPr>
                <w:rFonts w:eastAsia="Calibri"/>
                <w:sz w:val="20"/>
                <w:lang w:val="fr-CA"/>
              </w:rPr>
            </w:pPr>
          </w:p>
        </w:tc>
      </w:tr>
      <w:tr w:rsidR="005552A8" w:rsidRPr="00B6145B" w:rsidTr="005552A8">
        <w:tc>
          <w:tcPr>
            <w:tcW w:w="2427" w:type="pct"/>
          </w:tcPr>
          <w:p w:rsidR="005552A8" w:rsidRPr="00A1535A" w:rsidRDefault="005552A8" w:rsidP="005552A8">
            <w:pPr>
              <w:jc w:val="both"/>
              <w:rPr>
                <w:rFonts w:eastAsia="Calibri"/>
                <w:sz w:val="20"/>
                <w:lang w:val="fr-CA"/>
              </w:rPr>
            </w:pPr>
            <w:r w:rsidRPr="00A1535A">
              <w:rPr>
                <w:rFonts w:eastAsia="Calibri"/>
                <w:sz w:val="20"/>
                <w:lang w:val="fr-CA"/>
              </w:rPr>
              <w:t>Le 14 février 2012</w:t>
            </w:r>
          </w:p>
          <w:p w:rsidR="005552A8" w:rsidRPr="00A1535A" w:rsidRDefault="005552A8" w:rsidP="005552A8">
            <w:pPr>
              <w:jc w:val="both"/>
              <w:rPr>
                <w:rFonts w:eastAsia="Calibri"/>
                <w:sz w:val="20"/>
                <w:lang w:val="fr-CA"/>
              </w:rPr>
            </w:pPr>
            <w:r w:rsidRPr="00A1535A">
              <w:rPr>
                <w:rFonts w:eastAsia="Calibri"/>
                <w:sz w:val="20"/>
                <w:lang w:val="fr-CA"/>
              </w:rPr>
              <w:t>Cour d’appel du Québec (Québec)</w:t>
            </w:r>
          </w:p>
          <w:p w:rsidR="005552A8" w:rsidRPr="00A1535A" w:rsidRDefault="005552A8" w:rsidP="005552A8">
            <w:pPr>
              <w:jc w:val="both"/>
              <w:rPr>
                <w:rFonts w:eastAsia="Calibri"/>
                <w:sz w:val="20"/>
                <w:lang w:val="fr-CA"/>
              </w:rPr>
            </w:pPr>
            <w:r w:rsidRPr="00A1535A">
              <w:rPr>
                <w:rFonts w:eastAsia="Calibri"/>
                <w:sz w:val="20"/>
                <w:lang w:val="fr-CA"/>
              </w:rPr>
              <w:t>(Le juge Gagnon)</w:t>
            </w:r>
          </w:p>
          <w:p w:rsidR="005552A8" w:rsidRPr="00A1535A" w:rsidRDefault="005552A8" w:rsidP="005552A8">
            <w:pPr>
              <w:jc w:val="both"/>
              <w:rPr>
                <w:rFonts w:eastAsia="Calibri"/>
                <w:sz w:val="20"/>
                <w:lang w:val="fr-CA"/>
              </w:rPr>
            </w:pPr>
            <w:r w:rsidRPr="00A1535A">
              <w:rPr>
                <w:rFonts w:eastAsia="Calibri"/>
                <w:sz w:val="20"/>
                <w:lang w:val="fr-CA"/>
              </w:rPr>
              <w:t>2012 QCCA 332</w:t>
            </w:r>
          </w:p>
          <w:p w:rsidR="005552A8" w:rsidRPr="00A1535A" w:rsidRDefault="005552A8" w:rsidP="005552A8">
            <w:pPr>
              <w:jc w:val="both"/>
              <w:rPr>
                <w:rFonts w:eastAsia="Calibri"/>
                <w:sz w:val="20"/>
              </w:rPr>
            </w:pPr>
          </w:p>
        </w:tc>
        <w:tc>
          <w:tcPr>
            <w:tcW w:w="243" w:type="pct"/>
          </w:tcPr>
          <w:p w:rsidR="005552A8" w:rsidRPr="00A1535A" w:rsidRDefault="005552A8" w:rsidP="005552A8">
            <w:pPr>
              <w:jc w:val="both"/>
              <w:rPr>
                <w:rFonts w:eastAsia="Calibri"/>
                <w:sz w:val="20"/>
              </w:rPr>
            </w:pPr>
          </w:p>
        </w:tc>
        <w:tc>
          <w:tcPr>
            <w:tcW w:w="2330" w:type="pct"/>
          </w:tcPr>
          <w:p w:rsidR="005552A8" w:rsidRPr="00A1535A" w:rsidRDefault="005552A8" w:rsidP="005552A8">
            <w:pPr>
              <w:jc w:val="both"/>
              <w:rPr>
                <w:rFonts w:eastAsia="Calibri"/>
                <w:sz w:val="20"/>
                <w:lang w:val="fr-CA"/>
              </w:rPr>
            </w:pPr>
            <w:r w:rsidRPr="00A1535A">
              <w:rPr>
                <w:rFonts w:eastAsia="Calibri"/>
                <w:sz w:val="20"/>
                <w:lang w:val="fr-CA"/>
              </w:rPr>
              <w:t>Requête pour permission d’appeler rejetée.</w:t>
            </w:r>
          </w:p>
          <w:p w:rsidR="005552A8" w:rsidRPr="00A1535A" w:rsidRDefault="005552A8" w:rsidP="005552A8">
            <w:pPr>
              <w:jc w:val="both"/>
              <w:rPr>
                <w:rFonts w:eastAsia="Calibri"/>
                <w:sz w:val="20"/>
                <w:lang w:val="fr-CA"/>
              </w:rPr>
            </w:pPr>
          </w:p>
        </w:tc>
      </w:tr>
      <w:tr w:rsidR="005552A8" w:rsidRPr="00A1535A" w:rsidTr="005552A8">
        <w:tc>
          <w:tcPr>
            <w:tcW w:w="2427" w:type="pct"/>
          </w:tcPr>
          <w:p w:rsidR="005552A8" w:rsidRPr="00A1535A" w:rsidRDefault="005552A8" w:rsidP="005552A8">
            <w:pPr>
              <w:jc w:val="both"/>
              <w:rPr>
                <w:rFonts w:eastAsia="Calibri"/>
                <w:sz w:val="20"/>
                <w:lang w:val="fr-CA"/>
              </w:rPr>
            </w:pPr>
            <w:r w:rsidRPr="00A1535A">
              <w:rPr>
                <w:rFonts w:eastAsia="Calibri"/>
                <w:sz w:val="20"/>
                <w:lang w:val="fr-CA"/>
              </w:rPr>
              <w:t>Le 18 avril 2012</w:t>
            </w:r>
          </w:p>
          <w:p w:rsidR="005552A8" w:rsidRPr="00A1535A" w:rsidRDefault="005552A8" w:rsidP="005552A8">
            <w:pPr>
              <w:jc w:val="both"/>
              <w:rPr>
                <w:rFonts w:eastAsia="Calibri"/>
                <w:sz w:val="20"/>
                <w:lang w:val="fr-CA"/>
              </w:rPr>
            </w:pPr>
            <w:r w:rsidRPr="00A1535A">
              <w:rPr>
                <w:rFonts w:eastAsia="Calibri"/>
                <w:sz w:val="20"/>
                <w:lang w:val="fr-CA"/>
              </w:rPr>
              <w:t>Cour suprême du Canada</w:t>
            </w:r>
          </w:p>
          <w:p w:rsidR="005552A8" w:rsidRPr="00A1535A" w:rsidRDefault="005552A8" w:rsidP="005552A8">
            <w:pPr>
              <w:jc w:val="both"/>
              <w:rPr>
                <w:rFonts w:eastAsia="Calibri"/>
                <w:sz w:val="20"/>
                <w:lang w:val="fr-CA"/>
              </w:rPr>
            </w:pPr>
          </w:p>
        </w:tc>
        <w:tc>
          <w:tcPr>
            <w:tcW w:w="243" w:type="pct"/>
          </w:tcPr>
          <w:p w:rsidR="005552A8" w:rsidRPr="00A1535A" w:rsidRDefault="005552A8" w:rsidP="005552A8">
            <w:pPr>
              <w:jc w:val="both"/>
              <w:rPr>
                <w:rFonts w:eastAsia="Calibri"/>
                <w:sz w:val="20"/>
                <w:lang w:val="fr-CA"/>
              </w:rPr>
            </w:pPr>
          </w:p>
        </w:tc>
        <w:tc>
          <w:tcPr>
            <w:tcW w:w="2330" w:type="pct"/>
          </w:tcPr>
          <w:p w:rsidR="005552A8" w:rsidRPr="00A1535A" w:rsidRDefault="005552A8" w:rsidP="005552A8">
            <w:pPr>
              <w:jc w:val="both"/>
              <w:rPr>
                <w:rFonts w:eastAsia="Calibri"/>
                <w:sz w:val="20"/>
                <w:lang w:val="fr-CA"/>
              </w:rPr>
            </w:pPr>
            <w:r w:rsidRPr="00A1535A">
              <w:rPr>
                <w:rFonts w:eastAsia="Calibri"/>
                <w:sz w:val="20"/>
                <w:lang w:val="fr-CA"/>
              </w:rPr>
              <w:t>Requête pour prorogation de délai pour signifier et déposer une demande d’autorisation d’appel déposée;</w:t>
            </w:r>
          </w:p>
          <w:p w:rsidR="005552A8" w:rsidRPr="00A1535A" w:rsidRDefault="005552A8" w:rsidP="005552A8">
            <w:pPr>
              <w:jc w:val="both"/>
              <w:rPr>
                <w:rFonts w:eastAsia="Calibri"/>
                <w:sz w:val="20"/>
                <w:lang w:val="fr-CA"/>
              </w:rPr>
            </w:pPr>
            <w:r w:rsidRPr="00A1535A">
              <w:rPr>
                <w:rFonts w:eastAsia="Calibri"/>
                <w:sz w:val="20"/>
                <w:lang w:val="fr-CA"/>
              </w:rPr>
              <w:t>Demande d’autorisation d'appel déposée</w:t>
            </w:r>
          </w:p>
        </w:tc>
      </w:tr>
    </w:tbl>
    <w:p w:rsidR="00EC09EE" w:rsidRDefault="00EC09EE" w:rsidP="00EC09EE">
      <w:pPr>
        <w:rPr>
          <w:sz w:val="20"/>
          <w:szCs w:val="20"/>
        </w:rPr>
      </w:pPr>
    </w:p>
    <w:p w:rsidR="00EC09EE" w:rsidRDefault="007333FF" w:rsidP="00EC09EE">
      <w:pPr>
        <w:rPr>
          <w:sz w:val="20"/>
          <w:szCs w:val="20"/>
        </w:rPr>
      </w:pPr>
      <w:r w:rsidRPr="007333FF">
        <w:rPr>
          <w:sz w:val="20"/>
          <w:szCs w:val="20"/>
          <w:lang w:val="fr-CA"/>
        </w:rPr>
        <w:pict>
          <v:rect id="_x0000_i1099" style="width:2in;height:1pt" o:hrpct="0" o:hralign="center" o:hrstd="t" o:hrnoshade="t" o:hr="t" fillcolor="black [3213]" stroked="f"/>
        </w:pict>
      </w:r>
    </w:p>
    <w:p w:rsidR="00EC09EE" w:rsidRDefault="00EC09EE" w:rsidP="00EC09E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C0656" w:rsidRPr="00B6145B" w:rsidTr="00D40817">
        <w:trPr>
          <w:cantSplit/>
        </w:trPr>
        <w:tc>
          <w:tcPr>
            <w:tcW w:w="1458" w:type="dxa"/>
          </w:tcPr>
          <w:p w:rsidR="00EC0656" w:rsidRPr="008A028C" w:rsidRDefault="00EC0656" w:rsidP="00D40817">
            <w:pPr>
              <w:rPr>
                <w:sz w:val="20"/>
                <w:szCs w:val="20"/>
              </w:rPr>
            </w:pPr>
            <w:r w:rsidRPr="008A028C">
              <w:rPr>
                <w:rStyle w:val="SCCFileNumberChar"/>
                <w:sz w:val="20"/>
                <w:szCs w:val="20"/>
              </w:rPr>
              <w:t>34783</w:t>
            </w:r>
          </w:p>
          <w:p w:rsidR="00EC0656" w:rsidRPr="008A028C" w:rsidRDefault="00EC0656" w:rsidP="00D40817">
            <w:pPr>
              <w:rPr>
                <w:b/>
                <w:sz w:val="20"/>
                <w:szCs w:val="20"/>
                <w:lang w:val="fr-CA"/>
              </w:rPr>
            </w:pPr>
          </w:p>
        </w:tc>
        <w:tc>
          <w:tcPr>
            <w:tcW w:w="8118" w:type="dxa"/>
          </w:tcPr>
          <w:p w:rsidR="00EC0656" w:rsidRPr="008A028C" w:rsidRDefault="00EC0656" w:rsidP="00D40817">
            <w:pPr>
              <w:jc w:val="both"/>
              <w:rPr>
                <w:sz w:val="20"/>
                <w:szCs w:val="20"/>
                <w:lang w:val="fr-CA"/>
              </w:rPr>
            </w:pPr>
            <w:r w:rsidRPr="008A028C">
              <w:rPr>
                <w:rStyle w:val="SCCLsocChar"/>
                <w:sz w:val="20"/>
                <w:szCs w:val="20"/>
              </w:rPr>
              <w:t>Jessy Domond c. Fonds d'assurance responsabilité professionnelle du barreau du Québec</w:t>
            </w:r>
            <w:r w:rsidRPr="008A028C">
              <w:rPr>
                <w:sz w:val="20"/>
                <w:szCs w:val="20"/>
                <w:lang w:val="fr-CA"/>
              </w:rPr>
              <w:t xml:space="preserve"> (Qc) (Civile) (Autorisation)</w:t>
            </w:r>
          </w:p>
          <w:p w:rsidR="00EC0656" w:rsidRPr="008A028C" w:rsidRDefault="00EC0656" w:rsidP="00D40817">
            <w:pPr>
              <w:rPr>
                <w:sz w:val="20"/>
                <w:szCs w:val="20"/>
                <w:lang w:val="fr-CA"/>
              </w:rPr>
            </w:pPr>
          </w:p>
        </w:tc>
      </w:tr>
      <w:tr w:rsidR="00EC0656" w:rsidRPr="00B6145B" w:rsidTr="00D40817">
        <w:trPr>
          <w:cantSplit/>
        </w:trPr>
        <w:tc>
          <w:tcPr>
            <w:tcW w:w="1458" w:type="dxa"/>
          </w:tcPr>
          <w:p w:rsidR="00EC0656" w:rsidRPr="008A028C" w:rsidRDefault="00EC0656" w:rsidP="00D40817">
            <w:pPr>
              <w:rPr>
                <w:sz w:val="20"/>
                <w:szCs w:val="20"/>
              </w:rPr>
            </w:pPr>
            <w:r w:rsidRPr="008A028C">
              <w:rPr>
                <w:sz w:val="20"/>
                <w:szCs w:val="20"/>
              </w:rPr>
              <w:t>Coram :</w:t>
            </w:r>
          </w:p>
        </w:tc>
        <w:tc>
          <w:tcPr>
            <w:tcW w:w="8118" w:type="dxa"/>
          </w:tcPr>
          <w:p w:rsidR="00EC0656" w:rsidRPr="008A028C" w:rsidRDefault="00EC0656" w:rsidP="00D40817">
            <w:pPr>
              <w:rPr>
                <w:sz w:val="20"/>
                <w:szCs w:val="20"/>
                <w:lang w:val="fr-CA"/>
              </w:rPr>
            </w:pPr>
            <w:r w:rsidRPr="008A028C">
              <w:rPr>
                <w:rStyle w:val="SCCCoramChar"/>
                <w:sz w:val="20"/>
                <w:szCs w:val="20"/>
              </w:rPr>
              <w:t>Les juges Deschamps, Fish et Karakatsanis</w:t>
            </w:r>
          </w:p>
          <w:p w:rsidR="00EC0656" w:rsidRPr="008A028C" w:rsidRDefault="00EC0656" w:rsidP="00D40817">
            <w:pPr>
              <w:rPr>
                <w:sz w:val="20"/>
                <w:szCs w:val="20"/>
                <w:u w:val="single"/>
                <w:lang w:val="fr-CA"/>
              </w:rPr>
            </w:pPr>
          </w:p>
        </w:tc>
      </w:tr>
      <w:tr w:rsidR="00EC0656" w:rsidRPr="008A028C" w:rsidTr="00D40817">
        <w:trPr>
          <w:cantSplit/>
        </w:trPr>
        <w:tc>
          <w:tcPr>
            <w:tcW w:w="9576" w:type="dxa"/>
            <w:gridSpan w:val="2"/>
          </w:tcPr>
          <w:p w:rsidR="00EC0656" w:rsidRPr="008A028C" w:rsidRDefault="00EC0656" w:rsidP="00D40817">
            <w:pPr>
              <w:pStyle w:val="SCCShortJudgment"/>
              <w:rPr>
                <w:szCs w:val="20"/>
                <w:lang w:val="fr-CA"/>
              </w:rPr>
            </w:pPr>
            <w:r w:rsidRPr="008A028C">
              <w:rPr>
                <w:szCs w:val="20"/>
                <w:lang w:val="fr-CA"/>
              </w:rPr>
              <w:lastRenderedPageBreak/>
              <w:t>La demande d’autorisation d’appel de l’arrêt de la Cour d’appel du Québec (Montréal), numéro 500-09-022288-120, 2012 QCCA 424, daté du 2 mars 2012, est rejetée sans dépens.</w:t>
            </w:r>
          </w:p>
          <w:p w:rsidR="00EC0656" w:rsidRPr="008A028C" w:rsidRDefault="00EC0656" w:rsidP="00D40817">
            <w:pPr>
              <w:pStyle w:val="SCCShortJudgment"/>
              <w:ind w:firstLine="0"/>
              <w:rPr>
                <w:szCs w:val="20"/>
                <w:lang w:val="fr-CA"/>
              </w:rPr>
            </w:pPr>
          </w:p>
          <w:p w:rsidR="00EC0656" w:rsidRPr="008A028C" w:rsidRDefault="00EC0656" w:rsidP="00D40817">
            <w:pPr>
              <w:pStyle w:val="SCCShortJudgment"/>
              <w:rPr>
                <w:szCs w:val="20"/>
              </w:rPr>
            </w:pPr>
            <w:r w:rsidRPr="008A028C">
              <w:rPr>
                <w:szCs w:val="20"/>
              </w:rPr>
              <w:t>The application for leave to appeal from the judgment of the Court of Appeal of Quebec (Montréal), Number 500-09-022288-120, 2012 QCCA 424, dated March 2, 2012, is dismissed without costs.</w:t>
            </w:r>
          </w:p>
        </w:tc>
      </w:tr>
    </w:tbl>
    <w:p w:rsidR="00EC09EE" w:rsidRPr="00EC0656" w:rsidRDefault="00EC09EE" w:rsidP="00EC09EE">
      <w:pPr>
        <w:rPr>
          <w:sz w:val="20"/>
          <w:szCs w:val="20"/>
        </w:rPr>
      </w:pPr>
    </w:p>
    <w:p w:rsidR="00EC09EE" w:rsidRPr="001B157C" w:rsidRDefault="00EC09EE" w:rsidP="00EC09EE">
      <w:pPr>
        <w:rPr>
          <w:sz w:val="20"/>
          <w:szCs w:val="20"/>
          <w:u w:val="single"/>
        </w:rPr>
      </w:pPr>
      <w:r w:rsidRPr="001B157C">
        <w:rPr>
          <w:sz w:val="20"/>
          <w:szCs w:val="20"/>
          <w:u w:val="single"/>
        </w:rPr>
        <w:t>CASE SUMMARY</w:t>
      </w:r>
    </w:p>
    <w:p w:rsidR="00EC09EE" w:rsidRDefault="00EC09EE" w:rsidP="00EC09E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860C8" w:rsidRPr="00A1535A" w:rsidTr="00D40817">
        <w:tc>
          <w:tcPr>
            <w:tcW w:w="5000" w:type="pct"/>
            <w:gridSpan w:val="3"/>
          </w:tcPr>
          <w:p w:rsidR="00C860C8" w:rsidRPr="00A1535A" w:rsidRDefault="00C860C8" w:rsidP="00D40817">
            <w:pPr>
              <w:jc w:val="both"/>
              <w:rPr>
                <w:rFonts w:eastAsia="Calibri"/>
                <w:sz w:val="20"/>
              </w:rPr>
            </w:pPr>
            <w:r w:rsidRPr="00A1535A">
              <w:rPr>
                <w:rFonts w:eastAsia="Calibri"/>
                <w:sz w:val="20"/>
              </w:rPr>
              <w:t>Professional liability – Whether Court of Appeal denied serious harm – Whether Court of Appeal ignored certain pieces of evidence filed by applicant.</w:t>
            </w:r>
          </w:p>
        </w:tc>
      </w:tr>
      <w:tr w:rsidR="00C860C8" w:rsidRPr="00A1535A" w:rsidTr="00D40817">
        <w:tc>
          <w:tcPr>
            <w:tcW w:w="5000" w:type="pct"/>
            <w:gridSpan w:val="3"/>
          </w:tcPr>
          <w:p w:rsidR="00C860C8" w:rsidRPr="00A1535A" w:rsidRDefault="00C860C8" w:rsidP="00D40817">
            <w:pPr>
              <w:jc w:val="both"/>
              <w:rPr>
                <w:rFonts w:eastAsia="Calibri"/>
                <w:sz w:val="20"/>
              </w:rPr>
            </w:pPr>
          </w:p>
        </w:tc>
      </w:tr>
      <w:tr w:rsidR="00C860C8" w:rsidRPr="00A1535A" w:rsidTr="00D40817">
        <w:tc>
          <w:tcPr>
            <w:tcW w:w="5000" w:type="pct"/>
            <w:gridSpan w:val="3"/>
          </w:tcPr>
          <w:p w:rsidR="00C860C8" w:rsidRPr="00A1535A" w:rsidRDefault="00C860C8" w:rsidP="00D40817">
            <w:pPr>
              <w:jc w:val="both"/>
              <w:rPr>
                <w:rFonts w:eastAsia="Calibri"/>
                <w:sz w:val="20"/>
              </w:rPr>
            </w:pPr>
            <w:r w:rsidRPr="00A1535A">
              <w:rPr>
                <w:rFonts w:eastAsia="Calibri"/>
                <w:sz w:val="20"/>
              </w:rPr>
              <w:t>Ms. Domond waged a legal battle against her brother</w:t>
            </w:r>
            <w:r w:rsidRPr="00A1535A">
              <w:rPr>
                <w:rFonts w:eastAsia="Calibri"/>
                <w:sz w:val="20"/>
              </w:rPr>
              <w:noBreakHyphen/>
              <w:t>in</w:t>
            </w:r>
            <w:r w:rsidRPr="00A1535A">
              <w:rPr>
                <w:rFonts w:eastAsia="Calibri"/>
                <w:sz w:val="20"/>
              </w:rPr>
              <w:noBreakHyphen/>
              <w:t>law, Mr. Bendana.  Alleging that an attorney had provided her with inadequate representation in that battle, she claimed $99,000 from the respondent.  The Superior Court allowed a motion to dismiss the action.  In brief reasons, the Court of Appeal held from the bench that this case had no chance of success because Ms. Domond had not shown in what way the trial judgment contained errors of law or fact warranting the intervention of the Court of Appeal.  The appeal was dismissed.</w:t>
            </w:r>
          </w:p>
          <w:p w:rsidR="00C860C8" w:rsidRPr="00A1535A" w:rsidRDefault="00C860C8" w:rsidP="00D40817">
            <w:pPr>
              <w:jc w:val="both"/>
              <w:rPr>
                <w:rFonts w:eastAsia="Calibri"/>
                <w:sz w:val="20"/>
              </w:rPr>
            </w:pPr>
          </w:p>
        </w:tc>
      </w:tr>
      <w:tr w:rsidR="00C860C8" w:rsidRPr="00A1535A" w:rsidTr="00D40817">
        <w:tc>
          <w:tcPr>
            <w:tcW w:w="2427" w:type="pct"/>
          </w:tcPr>
          <w:p w:rsidR="00C860C8" w:rsidRPr="00A1535A" w:rsidRDefault="00C860C8" w:rsidP="00D40817">
            <w:pPr>
              <w:jc w:val="both"/>
              <w:rPr>
                <w:rFonts w:eastAsia="Calibri"/>
                <w:sz w:val="20"/>
              </w:rPr>
            </w:pPr>
            <w:r w:rsidRPr="00A1535A">
              <w:rPr>
                <w:rFonts w:eastAsia="Calibri"/>
                <w:sz w:val="20"/>
              </w:rPr>
              <w:t>December 19, 2011</w:t>
            </w:r>
          </w:p>
          <w:p w:rsidR="00C860C8" w:rsidRPr="00A1535A" w:rsidRDefault="00C860C8" w:rsidP="00D40817">
            <w:pPr>
              <w:jc w:val="both"/>
              <w:rPr>
                <w:rFonts w:eastAsia="Calibri"/>
                <w:sz w:val="20"/>
              </w:rPr>
            </w:pPr>
            <w:r w:rsidRPr="00A1535A">
              <w:rPr>
                <w:rFonts w:eastAsia="Calibri"/>
                <w:sz w:val="20"/>
              </w:rPr>
              <w:t>Quebec Superior Court</w:t>
            </w:r>
          </w:p>
          <w:p w:rsidR="00C860C8" w:rsidRPr="00A1535A" w:rsidRDefault="00C860C8" w:rsidP="00D40817">
            <w:pPr>
              <w:jc w:val="both"/>
              <w:rPr>
                <w:rFonts w:eastAsia="Calibri"/>
                <w:sz w:val="20"/>
              </w:rPr>
            </w:pPr>
            <w:r w:rsidRPr="00A1535A">
              <w:rPr>
                <w:rFonts w:eastAsia="Calibri"/>
                <w:sz w:val="20"/>
              </w:rPr>
              <w:t>(de Grandpré J.)</w:t>
            </w:r>
          </w:p>
          <w:p w:rsidR="00C860C8" w:rsidRPr="00A1535A" w:rsidRDefault="00C860C8" w:rsidP="00D40817">
            <w:pPr>
              <w:jc w:val="both"/>
              <w:rPr>
                <w:rFonts w:eastAsia="Calibri"/>
                <w:sz w:val="20"/>
              </w:rPr>
            </w:pPr>
            <w:r w:rsidRPr="00A1535A">
              <w:rPr>
                <w:rFonts w:eastAsia="Calibri"/>
                <w:sz w:val="20"/>
              </w:rPr>
              <w:t>- not indexed -</w:t>
            </w:r>
          </w:p>
          <w:p w:rsidR="00C860C8" w:rsidRPr="00A1535A" w:rsidRDefault="00C860C8" w:rsidP="00D40817">
            <w:pPr>
              <w:jc w:val="both"/>
              <w:rPr>
                <w:rFonts w:eastAsia="Calibri"/>
                <w:sz w:val="20"/>
              </w:rPr>
            </w:pPr>
          </w:p>
        </w:tc>
        <w:tc>
          <w:tcPr>
            <w:tcW w:w="243" w:type="pct"/>
          </w:tcPr>
          <w:p w:rsidR="00C860C8" w:rsidRPr="00A1535A" w:rsidRDefault="00C860C8" w:rsidP="00D40817">
            <w:pPr>
              <w:jc w:val="both"/>
              <w:rPr>
                <w:rFonts w:eastAsia="Calibri"/>
                <w:sz w:val="20"/>
              </w:rPr>
            </w:pPr>
          </w:p>
        </w:tc>
        <w:tc>
          <w:tcPr>
            <w:tcW w:w="2330" w:type="pct"/>
          </w:tcPr>
          <w:p w:rsidR="00C860C8" w:rsidRPr="00A1535A" w:rsidRDefault="00C860C8" w:rsidP="00D40817">
            <w:pPr>
              <w:jc w:val="both"/>
              <w:rPr>
                <w:rFonts w:eastAsia="Calibri"/>
                <w:sz w:val="20"/>
              </w:rPr>
            </w:pPr>
            <w:r w:rsidRPr="00A1535A">
              <w:rPr>
                <w:rFonts w:eastAsia="Calibri"/>
                <w:sz w:val="20"/>
              </w:rPr>
              <w:t>Motion to dismiss action allowed</w:t>
            </w:r>
          </w:p>
          <w:p w:rsidR="00C860C8" w:rsidRPr="00A1535A" w:rsidRDefault="00C860C8" w:rsidP="00D40817">
            <w:pPr>
              <w:jc w:val="both"/>
              <w:rPr>
                <w:rFonts w:eastAsia="Calibri"/>
                <w:sz w:val="20"/>
              </w:rPr>
            </w:pPr>
          </w:p>
        </w:tc>
      </w:tr>
      <w:tr w:rsidR="00C860C8" w:rsidRPr="00A1535A" w:rsidTr="00D40817">
        <w:tc>
          <w:tcPr>
            <w:tcW w:w="2427" w:type="pct"/>
          </w:tcPr>
          <w:p w:rsidR="00C860C8" w:rsidRPr="00A1535A" w:rsidRDefault="00C860C8" w:rsidP="00D40817">
            <w:pPr>
              <w:jc w:val="both"/>
              <w:rPr>
                <w:rFonts w:eastAsia="Calibri"/>
                <w:sz w:val="20"/>
              </w:rPr>
            </w:pPr>
            <w:r w:rsidRPr="00A1535A">
              <w:rPr>
                <w:rFonts w:eastAsia="Calibri"/>
                <w:sz w:val="20"/>
              </w:rPr>
              <w:t>March 2, 2012</w:t>
            </w:r>
          </w:p>
          <w:p w:rsidR="00C860C8" w:rsidRPr="00A1535A" w:rsidRDefault="00C860C8" w:rsidP="00D40817">
            <w:pPr>
              <w:jc w:val="both"/>
              <w:rPr>
                <w:rFonts w:eastAsia="Calibri"/>
                <w:sz w:val="20"/>
              </w:rPr>
            </w:pPr>
            <w:r w:rsidRPr="00A1535A">
              <w:rPr>
                <w:rFonts w:eastAsia="Calibri"/>
                <w:sz w:val="20"/>
              </w:rPr>
              <w:t>Quebec Court of Appeal (Montréal)</w:t>
            </w:r>
          </w:p>
          <w:p w:rsidR="00C860C8" w:rsidRPr="00A1535A" w:rsidRDefault="00C860C8" w:rsidP="00D40817">
            <w:pPr>
              <w:jc w:val="both"/>
              <w:rPr>
                <w:rFonts w:eastAsia="Calibri"/>
                <w:sz w:val="20"/>
              </w:rPr>
            </w:pPr>
            <w:r w:rsidRPr="00A1535A">
              <w:rPr>
                <w:rFonts w:eastAsia="Calibri"/>
                <w:sz w:val="20"/>
              </w:rPr>
              <w:t>(Morin, Kasirer and Wagner JJ.A.)</w:t>
            </w:r>
          </w:p>
          <w:p w:rsidR="00C860C8" w:rsidRPr="00A1535A" w:rsidRDefault="00C860C8" w:rsidP="00D40817">
            <w:pPr>
              <w:jc w:val="both"/>
              <w:rPr>
                <w:rFonts w:eastAsia="Calibri"/>
                <w:sz w:val="20"/>
              </w:rPr>
            </w:pPr>
            <w:r w:rsidRPr="00A1535A">
              <w:rPr>
                <w:rFonts w:eastAsia="Calibri"/>
                <w:sz w:val="20"/>
              </w:rPr>
              <w:t>2012 QCCA 424</w:t>
            </w:r>
          </w:p>
          <w:p w:rsidR="00C860C8" w:rsidRPr="00A1535A" w:rsidRDefault="00C860C8" w:rsidP="00D40817">
            <w:pPr>
              <w:jc w:val="both"/>
              <w:rPr>
                <w:rFonts w:eastAsia="Calibri"/>
                <w:sz w:val="20"/>
              </w:rPr>
            </w:pPr>
          </w:p>
        </w:tc>
        <w:tc>
          <w:tcPr>
            <w:tcW w:w="243" w:type="pct"/>
          </w:tcPr>
          <w:p w:rsidR="00C860C8" w:rsidRPr="00A1535A" w:rsidRDefault="00C860C8" w:rsidP="00D40817">
            <w:pPr>
              <w:jc w:val="both"/>
              <w:rPr>
                <w:rFonts w:eastAsia="Calibri"/>
                <w:sz w:val="20"/>
              </w:rPr>
            </w:pPr>
          </w:p>
        </w:tc>
        <w:tc>
          <w:tcPr>
            <w:tcW w:w="2330" w:type="pct"/>
          </w:tcPr>
          <w:p w:rsidR="00C860C8" w:rsidRPr="00A1535A" w:rsidRDefault="00C860C8" w:rsidP="00D40817">
            <w:pPr>
              <w:jc w:val="both"/>
              <w:rPr>
                <w:rFonts w:eastAsia="Calibri"/>
                <w:sz w:val="20"/>
              </w:rPr>
            </w:pPr>
            <w:r w:rsidRPr="00A1535A">
              <w:rPr>
                <w:rFonts w:eastAsia="Calibri"/>
                <w:sz w:val="20"/>
              </w:rPr>
              <w:t>Appeal dismissed</w:t>
            </w:r>
          </w:p>
          <w:p w:rsidR="00C860C8" w:rsidRPr="00A1535A" w:rsidRDefault="00C860C8" w:rsidP="00D40817">
            <w:pPr>
              <w:jc w:val="both"/>
              <w:rPr>
                <w:rFonts w:eastAsia="Calibri"/>
                <w:sz w:val="20"/>
              </w:rPr>
            </w:pPr>
          </w:p>
        </w:tc>
      </w:tr>
      <w:tr w:rsidR="00C860C8" w:rsidRPr="00A1535A" w:rsidTr="00D40817">
        <w:tc>
          <w:tcPr>
            <w:tcW w:w="2427" w:type="pct"/>
          </w:tcPr>
          <w:p w:rsidR="00C860C8" w:rsidRPr="00A1535A" w:rsidRDefault="00C860C8" w:rsidP="00D40817">
            <w:pPr>
              <w:jc w:val="both"/>
              <w:rPr>
                <w:rFonts w:eastAsia="Calibri"/>
                <w:sz w:val="20"/>
              </w:rPr>
            </w:pPr>
            <w:r w:rsidRPr="00A1535A">
              <w:rPr>
                <w:rFonts w:eastAsia="Calibri"/>
                <w:sz w:val="20"/>
              </w:rPr>
              <w:t>April 20, 2012</w:t>
            </w:r>
          </w:p>
          <w:p w:rsidR="00C860C8" w:rsidRPr="00A1535A" w:rsidRDefault="00C860C8" w:rsidP="00D40817">
            <w:pPr>
              <w:jc w:val="both"/>
              <w:rPr>
                <w:rFonts w:eastAsia="Calibri"/>
                <w:sz w:val="20"/>
              </w:rPr>
            </w:pPr>
            <w:r w:rsidRPr="00A1535A">
              <w:rPr>
                <w:rFonts w:eastAsia="Calibri"/>
                <w:sz w:val="20"/>
              </w:rPr>
              <w:t>Supreme Court of Canada</w:t>
            </w:r>
          </w:p>
        </w:tc>
        <w:tc>
          <w:tcPr>
            <w:tcW w:w="243" w:type="pct"/>
          </w:tcPr>
          <w:p w:rsidR="00C860C8" w:rsidRPr="00A1535A" w:rsidRDefault="00C860C8" w:rsidP="00D40817">
            <w:pPr>
              <w:jc w:val="both"/>
              <w:rPr>
                <w:rFonts w:eastAsia="Calibri"/>
                <w:sz w:val="20"/>
              </w:rPr>
            </w:pPr>
          </w:p>
        </w:tc>
        <w:tc>
          <w:tcPr>
            <w:tcW w:w="2330" w:type="pct"/>
          </w:tcPr>
          <w:p w:rsidR="00C860C8" w:rsidRPr="00A1535A" w:rsidRDefault="00C860C8" w:rsidP="00D40817">
            <w:pPr>
              <w:jc w:val="both"/>
              <w:rPr>
                <w:rFonts w:eastAsia="Calibri"/>
                <w:sz w:val="20"/>
              </w:rPr>
            </w:pPr>
            <w:r w:rsidRPr="00A1535A">
              <w:rPr>
                <w:rFonts w:eastAsia="Calibri"/>
                <w:sz w:val="20"/>
              </w:rPr>
              <w:t>Application for leave to appeal filed</w:t>
            </w:r>
          </w:p>
          <w:p w:rsidR="00C860C8" w:rsidRPr="00A1535A" w:rsidRDefault="00C860C8" w:rsidP="00D40817">
            <w:pPr>
              <w:jc w:val="both"/>
              <w:rPr>
                <w:rFonts w:eastAsia="Calibri"/>
                <w:sz w:val="20"/>
              </w:rPr>
            </w:pPr>
          </w:p>
        </w:tc>
      </w:tr>
    </w:tbl>
    <w:p w:rsidR="00EC09EE" w:rsidRDefault="00EC09EE" w:rsidP="00EC09EE">
      <w:pPr>
        <w:rPr>
          <w:sz w:val="20"/>
          <w:szCs w:val="20"/>
        </w:rPr>
      </w:pPr>
    </w:p>
    <w:p w:rsidR="00EC09EE" w:rsidRPr="00C50A5C" w:rsidRDefault="007333FF" w:rsidP="00EC09EE">
      <w:pPr>
        <w:rPr>
          <w:sz w:val="20"/>
          <w:szCs w:val="20"/>
        </w:rPr>
      </w:pPr>
      <w:r w:rsidRPr="007333FF">
        <w:rPr>
          <w:sz w:val="20"/>
          <w:szCs w:val="20"/>
          <w:lang w:val="fr-CA"/>
        </w:rPr>
        <w:pict>
          <v:rect id="_x0000_i1100" style="width:2in;height:1pt" o:hrpct="0" o:hralign="center" o:hrstd="t" o:hrnoshade="t" o:hr="t" fillcolor="black [3213]" stroked="f"/>
        </w:pict>
      </w:r>
    </w:p>
    <w:p w:rsidR="00EC09EE" w:rsidRDefault="00EC09EE" w:rsidP="00EC09EE">
      <w:pPr>
        <w:rPr>
          <w:sz w:val="20"/>
          <w:szCs w:val="20"/>
        </w:rPr>
      </w:pPr>
    </w:p>
    <w:p w:rsidR="00EC09EE" w:rsidRPr="001B157C" w:rsidRDefault="00EC09EE" w:rsidP="00EC09EE">
      <w:pPr>
        <w:rPr>
          <w:sz w:val="20"/>
          <w:szCs w:val="20"/>
          <w:u w:val="single"/>
          <w:lang w:val="fr-CA"/>
        </w:rPr>
      </w:pPr>
      <w:r w:rsidRPr="001B157C">
        <w:rPr>
          <w:sz w:val="20"/>
          <w:szCs w:val="20"/>
          <w:u w:val="single"/>
          <w:lang w:val="fr-CA"/>
        </w:rPr>
        <w:t>RÉSUMÉ DE L’AFFAIRE</w:t>
      </w:r>
    </w:p>
    <w:p w:rsidR="00EC09EE" w:rsidRDefault="00EC09EE" w:rsidP="00EC09E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860C8" w:rsidRPr="00B6145B" w:rsidTr="00D40817">
        <w:tc>
          <w:tcPr>
            <w:tcW w:w="5000" w:type="pct"/>
            <w:gridSpan w:val="3"/>
          </w:tcPr>
          <w:p w:rsidR="00C860C8" w:rsidRPr="00A1535A" w:rsidRDefault="00C860C8" w:rsidP="00D40817">
            <w:pPr>
              <w:jc w:val="both"/>
              <w:rPr>
                <w:rFonts w:eastAsia="Calibri"/>
                <w:sz w:val="20"/>
                <w:lang w:val="fr-CA"/>
              </w:rPr>
            </w:pPr>
            <w:r w:rsidRPr="00A1535A">
              <w:rPr>
                <w:rFonts w:eastAsia="Calibri"/>
                <w:sz w:val="20"/>
                <w:lang w:val="fr-CA"/>
              </w:rPr>
              <w:t>Responsabilité professionnelle – La Cour d’appel a-t-elle nié des préjudices graves? – La Cour d’appel a-t-elle ignoré certains éléments de preuve déposés par le demandeur?</w:t>
            </w:r>
          </w:p>
        </w:tc>
      </w:tr>
      <w:tr w:rsidR="00C860C8" w:rsidRPr="00B6145B" w:rsidTr="00D40817">
        <w:tc>
          <w:tcPr>
            <w:tcW w:w="5000" w:type="pct"/>
            <w:gridSpan w:val="3"/>
          </w:tcPr>
          <w:p w:rsidR="00C860C8" w:rsidRPr="00A1535A" w:rsidRDefault="00C860C8" w:rsidP="00D40817">
            <w:pPr>
              <w:jc w:val="both"/>
              <w:rPr>
                <w:rFonts w:eastAsia="Calibri"/>
                <w:sz w:val="20"/>
                <w:lang w:val="fr-CA"/>
              </w:rPr>
            </w:pPr>
          </w:p>
        </w:tc>
      </w:tr>
      <w:tr w:rsidR="00C860C8" w:rsidRPr="00A1535A" w:rsidTr="00D40817">
        <w:tc>
          <w:tcPr>
            <w:tcW w:w="5000" w:type="pct"/>
            <w:gridSpan w:val="3"/>
          </w:tcPr>
          <w:p w:rsidR="00C860C8" w:rsidRPr="00A1535A" w:rsidRDefault="00C860C8" w:rsidP="00D40817">
            <w:pPr>
              <w:jc w:val="both"/>
              <w:rPr>
                <w:rFonts w:eastAsia="Calibri"/>
                <w:sz w:val="20"/>
                <w:lang w:val="fr-CA"/>
              </w:rPr>
            </w:pPr>
            <w:r w:rsidRPr="00A1535A">
              <w:rPr>
                <w:rFonts w:eastAsia="Calibri"/>
                <w:sz w:val="20"/>
                <w:lang w:val="fr-CA"/>
              </w:rPr>
              <w:t>Madame Domond mène une bataille judiciaire contre son beau-frère M. Bendana. Elle réclame 99 000$ de l’intimé en raison de la représentation inadéquate que lui aurait fournie un avocat dans le cadre de cette bataille. La Cour supérieure a accueilli une requête en rejet d’action. Dans de brefs motifs, la cour d’appel décide, séance tenante, que cette affaire ne présente aucune chance de succès car madame Domond n’a pas démontré en quoi le jugement de première instance serait entaché d’erreurs de droit ou de faits justifiant l’intervention de la cour d’appel. L’appel est rejeté.</w:t>
            </w:r>
          </w:p>
          <w:p w:rsidR="00C860C8" w:rsidRPr="00A1535A" w:rsidRDefault="00C860C8" w:rsidP="00D40817">
            <w:pPr>
              <w:jc w:val="both"/>
              <w:rPr>
                <w:rFonts w:eastAsia="Calibri"/>
                <w:sz w:val="20"/>
                <w:lang w:val="fr-CA"/>
              </w:rPr>
            </w:pPr>
          </w:p>
        </w:tc>
      </w:tr>
      <w:tr w:rsidR="00C860C8" w:rsidRPr="00B6145B" w:rsidTr="00D40817">
        <w:tc>
          <w:tcPr>
            <w:tcW w:w="2427" w:type="pct"/>
          </w:tcPr>
          <w:p w:rsidR="00C860C8" w:rsidRPr="00A1535A" w:rsidRDefault="00C860C8" w:rsidP="00D40817">
            <w:pPr>
              <w:jc w:val="both"/>
              <w:rPr>
                <w:rFonts w:eastAsia="Calibri"/>
                <w:sz w:val="20"/>
                <w:lang w:val="fr-CA"/>
              </w:rPr>
            </w:pPr>
            <w:r w:rsidRPr="00A1535A">
              <w:rPr>
                <w:rFonts w:eastAsia="Calibri"/>
                <w:sz w:val="20"/>
                <w:lang w:val="fr-CA"/>
              </w:rPr>
              <w:t>Le 19 décembre 2011</w:t>
            </w:r>
          </w:p>
          <w:p w:rsidR="00C860C8" w:rsidRPr="00A1535A" w:rsidRDefault="00C860C8" w:rsidP="00D40817">
            <w:pPr>
              <w:jc w:val="both"/>
              <w:rPr>
                <w:rFonts w:eastAsia="Calibri"/>
                <w:sz w:val="20"/>
                <w:lang w:val="fr-CA"/>
              </w:rPr>
            </w:pPr>
            <w:r w:rsidRPr="00A1535A">
              <w:rPr>
                <w:rFonts w:eastAsia="Calibri"/>
                <w:sz w:val="20"/>
                <w:lang w:val="fr-CA"/>
              </w:rPr>
              <w:t>Cour supérieure du Québec</w:t>
            </w:r>
          </w:p>
          <w:p w:rsidR="00C860C8" w:rsidRPr="00A1535A" w:rsidRDefault="00C860C8" w:rsidP="00D40817">
            <w:pPr>
              <w:jc w:val="both"/>
              <w:rPr>
                <w:rFonts w:eastAsia="Calibri"/>
                <w:sz w:val="20"/>
                <w:lang w:val="fr-CA"/>
              </w:rPr>
            </w:pPr>
            <w:r w:rsidRPr="00A1535A">
              <w:rPr>
                <w:rFonts w:eastAsia="Calibri"/>
                <w:sz w:val="20"/>
                <w:lang w:val="fr-CA"/>
              </w:rPr>
              <w:t>(Le juge de Grandpré)</w:t>
            </w:r>
          </w:p>
          <w:p w:rsidR="00C860C8" w:rsidRPr="00A1535A" w:rsidRDefault="00C860C8" w:rsidP="00D40817">
            <w:pPr>
              <w:jc w:val="both"/>
              <w:rPr>
                <w:rFonts w:eastAsia="Calibri"/>
                <w:sz w:val="20"/>
                <w:lang w:val="fr-CA"/>
              </w:rPr>
            </w:pPr>
            <w:r w:rsidRPr="00A1535A">
              <w:rPr>
                <w:rFonts w:eastAsia="Calibri"/>
                <w:sz w:val="20"/>
                <w:lang w:val="fr-CA"/>
              </w:rPr>
              <w:t>- non-répertorié -</w:t>
            </w:r>
          </w:p>
          <w:p w:rsidR="00C860C8" w:rsidRPr="00A1535A" w:rsidRDefault="00C860C8" w:rsidP="00D40817">
            <w:pPr>
              <w:jc w:val="both"/>
              <w:rPr>
                <w:rFonts w:eastAsia="Calibri"/>
                <w:sz w:val="20"/>
                <w:lang w:val="fr-CA"/>
              </w:rPr>
            </w:pPr>
          </w:p>
        </w:tc>
        <w:tc>
          <w:tcPr>
            <w:tcW w:w="243" w:type="pct"/>
          </w:tcPr>
          <w:p w:rsidR="00C860C8" w:rsidRPr="00A1535A" w:rsidRDefault="00C860C8" w:rsidP="00D40817">
            <w:pPr>
              <w:jc w:val="both"/>
              <w:rPr>
                <w:rFonts w:eastAsia="Calibri"/>
                <w:sz w:val="20"/>
                <w:lang w:val="fr-CA"/>
              </w:rPr>
            </w:pPr>
          </w:p>
        </w:tc>
        <w:tc>
          <w:tcPr>
            <w:tcW w:w="2330" w:type="pct"/>
          </w:tcPr>
          <w:p w:rsidR="00C860C8" w:rsidRPr="00A1535A" w:rsidRDefault="00C860C8" w:rsidP="00D40817">
            <w:pPr>
              <w:jc w:val="both"/>
              <w:rPr>
                <w:rFonts w:eastAsia="Calibri"/>
                <w:sz w:val="20"/>
                <w:lang w:val="fr-CA"/>
              </w:rPr>
            </w:pPr>
            <w:r w:rsidRPr="00A1535A">
              <w:rPr>
                <w:rFonts w:eastAsia="Calibri"/>
                <w:sz w:val="20"/>
                <w:lang w:val="fr-CA"/>
              </w:rPr>
              <w:t>Requête en rejet d’action accueillie.</w:t>
            </w:r>
          </w:p>
          <w:p w:rsidR="00C860C8" w:rsidRPr="00A1535A" w:rsidRDefault="00C860C8" w:rsidP="00D40817">
            <w:pPr>
              <w:jc w:val="both"/>
              <w:rPr>
                <w:rFonts w:eastAsia="Calibri"/>
                <w:sz w:val="20"/>
                <w:lang w:val="fr-CA"/>
              </w:rPr>
            </w:pPr>
          </w:p>
        </w:tc>
      </w:tr>
      <w:tr w:rsidR="00C860C8" w:rsidRPr="00A1535A" w:rsidTr="00D40817">
        <w:tc>
          <w:tcPr>
            <w:tcW w:w="2427" w:type="pct"/>
          </w:tcPr>
          <w:p w:rsidR="00C860C8" w:rsidRPr="00A1535A" w:rsidRDefault="00C860C8" w:rsidP="00D40817">
            <w:pPr>
              <w:jc w:val="both"/>
              <w:rPr>
                <w:rFonts w:eastAsia="Calibri"/>
                <w:sz w:val="20"/>
                <w:lang w:val="fr-CA"/>
              </w:rPr>
            </w:pPr>
            <w:r w:rsidRPr="00A1535A">
              <w:rPr>
                <w:rFonts w:eastAsia="Calibri"/>
                <w:sz w:val="20"/>
                <w:lang w:val="fr-CA"/>
              </w:rPr>
              <w:lastRenderedPageBreak/>
              <w:t>Le 2 mars 2012</w:t>
            </w:r>
          </w:p>
          <w:p w:rsidR="00C860C8" w:rsidRPr="00A1535A" w:rsidRDefault="00C860C8" w:rsidP="00D40817">
            <w:pPr>
              <w:jc w:val="both"/>
              <w:rPr>
                <w:rFonts w:eastAsia="Calibri"/>
                <w:sz w:val="20"/>
                <w:lang w:val="fr-CA"/>
              </w:rPr>
            </w:pPr>
            <w:r w:rsidRPr="00A1535A">
              <w:rPr>
                <w:rFonts w:eastAsia="Calibri"/>
                <w:sz w:val="20"/>
                <w:lang w:val="fr-CA"/>
              </w:rPr>
              <w:t>Cour d’appel du Québec (Montréal)</w:t>
            </w:r>
          </w:p>
          <w:p w:rsidR="00C860C8" w:rsidRPr="00A1535A" w:rsidRDefault="00C860C8" w:rsidP="00D40817">
            <w:pPr>
              <w:jc w:val="both"/>
              <w:rPr>
                <w:rFonts w:eastAsia="Calibri"/>
                <w:sz w:val="20"/>
                <w:lang w:val="fr-CA"/>
              </w:rPr>
            </w:pPr>
            <w:r w:rsidRPr="00A1535A">
              <w:rPr>
                <w:rFonts w:eastAsia="Calibri"/>
                <w:sz w:val="20"/>
                <w:lang w:val="fr-CA"/>
              </w:rPr>
              <w:t>(Les juges Morin, Kasirer et Wagner)</w:t>
            </w:r>
          </w:p>
          <w:p w:rsidR="00C860C8" w:rsidRPr="00A1535A" w:rsidRDefault="00C860C8" w:rsidP="00D40817">
            <w:pPr>
              <w:jc w:val="both"/>
              <w:rPr>
                <w:rFonts w:eastAsia="Calibri"/>
                <w:sz w:val="20"/>
                <w:lang w:val="fr-CA"/>
              </w:rPr>
            </w:pPr>
            <w:r w:rsidRPr="00A1535A">
              <w:rPr>
                <w:rFonts w:eastAsia="Calibri"/>
                <w:sz w:val="20"/>
                <w:lang w:val="fr-CA"/>
              </w:rPr>
              <w:t>2012 QCCA 424</w:t>
            </w:r>
          </w:p>
          <w:p w:rsidR="00C860C8" w:rsidRPr="00A1535A" w:rsidRDefault="00C860C8" w:rsidP="00D40817">
            <w:pPr>
              <w:jc w:val="both"/>
              <w:rPr>
                <w:rFonts w:eastAsia="Calibri"/>
                <w:sz w:val="20"/>
                <w:lang w:val="fr-CA"/>
              </w:rPr>
            </w:pPr>
          </w:p>
        </w:tc>
        <w:tc>
          <w:tcPr>
            <w:tcW w:w="243" w:type="pct"/>
          </w:tcPr>
          <w:p w:rsidR="00C860C8" w:rsidRPr="00A1535A" w:rsidRDefault="00C860C8" w:rsidP="00D40817">
            <w:pPr>
              <w:jc w:val="both"/>
              <w:rPr>
                <w:rFonts w:eastAsia="Calibri"/>
                <w:sz w:val="20"/>
                <w:lang w:val="fr-CA"/>
              </w:rPr>
            </w:pPr>
          </w:p>
        </w:tc>
        <w:tc>
          <w:tcPr>
            <w:tcW w:w="2330" w:type="pct"/>
          </w:tcPr>
          <w:p w:rsidR="00C860C8" w:rsidRPr="00A1535A" w:rsidRDefault="00C860C8" w:rsidP="00D40817">
            <w:pPr>
              <w:jc w:val="both"/>
              <w:rPr>
                <w:rFonts w:eastAsia="Calibri"/>
                <w:sz w:val="20"/>
                <w:lang w:val="fr-CA"/>
              </w:rPr>
            </w:pPr>
            <w:r w:rsidRPr="00A1535A">
              <w:rPr>
                <w:rFonts w:eastAsia="Calibri"/>
                <w:sz w:val="20"/>
                <w:lang w:val="fr-CA"/>
              </w:rPr>
              <w:t>Appel rejeté.</w:t>
            </w:r>
          </w:p>
          <w:p w:rsidR="00C860C8" w:rsidRPr="00A1535A" w:rsidRDefault="00C860C8" w:rsidP="00D40817">
            <w:pPr>
              <w:jc w:val="both"/>
              <w:rPr>
                <w:rFonts w:eastAsia="Calibri"/>
                <w:sz w:val="20"/>
                <w:lang w:val="fr-CA"/>
              </w:rPr>
            </w:pPr>
          </w:p>
        </w:tc>
      </w:tr>
      <w:tr w:rsidR="00C860C8" w:rsidRPr="00A1535A" w:rsidTr="00D40817">
        <w:tc>
          <w:tcPr>
            <w:tcW w:w="2427" w:type="pct"/>
          </w:tcPr>
          <w:p w:rsidR="00C860C8" w:rsidRPr="00A1535A" w:rsidRDefault="00C860C8" w:rsidP="00D40817">
            <w:pPr>
              <w:jc w:val="both"/>
              <w:rPr>
                <w:rFonts w:eastAsia="Calibri"/>
                <w:sz w:val="20"/>
                <w:lang w:val="fr-CA"/>
              </w:rPr>
            </w:pPr>
            <w:r w:rsidRPr="00A1535A">
              <w:rPr>
                <w:rFonts w:eastAsia="Calibri"/>
                <w:sz w:val="20"/>
                <w:lang w:val="fr-CA"/>
              </w:rPr>
              <w:t>Le 20 avril 2012</w:t>
            </w:r>
          </w:p>
          <w:p w:rsidR="00C860C8" w:rsidRPr="00A1535A" w:rsidRDefault="00C860C8" w:rsidP="00D40817">
            <w:pPr>
              <w:jc w:val="both"/>
              <w:rPr>
                <w:rFonts w:eastAsia="Calibri"/>
                <w:sz w:val="20"/>
                <w:lang w:val="fr-CA"/>
              </w:rPr>
            </w:pPr>
            <w:r w:rsidRPr="00A1535A">
              <w:rPr>
                <w:rFonts w:eastAsia="Calibri"/>
                <w:sz w:val="20"/>
                <w:lang w:val="fr-CA"/>
              </w:rPr>
              <w:t>Cour suprême du Canada</w:t>
            </w:r>
          </w:p>
        </w:tc>
        <w:tc>
          <w:tcPr>
            <w:tcW w:w="243" w:type="pct"/>
          </w:tcPr>
          <w:p w:rsidR="00C860C8" w:rsidRPr="00A1535A" w:rsidRDefault="00C860C8" w:rsidP="00D40817">
            <w:pPr>
              <w:jc w:val="both"/>
              <w:rPr>
                <w:rFonts w:eastAsia="Calibri"/>
                <w:sz w:val="20"/>
                <w:lang w:val="fr-CA"/>
              </w:rPr>
            </w:pPr>
          </w:p>
        </w:tc>
        <w:tc>
          <w:tcPr>
            <w:tcW w:w="2330" w:type="pct"/>
          </w:tcPr>
          <w:p w:rsidR="00C860C8" w:rsidRPr="00A1535A" w:rsidRDefault="00C860C8" w:rsidP="00D40817">
            <w:pPr>
              <w:jc w:val="both"/>
              <w:rPr>
                <w:rFonts w:eastAsia="Calibri"/>
                <w:sz w:val="20"/>
                <w:lang w:val="fr-CA"/>
              </w:rPr>
            </w:pPr>
            <w:r w:rsidRPr="00A1535A">
              <w:rPr>
                <w:rFonts w:eastAsia="Calibri"/>
                <w:sz w:val="20"/>
                <w:lang w:val="fr-CA"/>
              </w:rPr>
              <w:t>Demande d'autorisation d'appel déposée.</w:t>
            </w:r>
          </w:p>
          <w:p w:rsidR="00C860C8" w:rsidRPr="00A1535A" w:rsidRDefault="00C860C8" w:rsidP="00D40817">
            <w:pPr>
              <w:jc w:val="both"/>
              <w:rPr>
                <w:rFonts w:eastAsia="Calibri"/>
                <w:sz w:val="20"/>
                <w:lang w:val="fr-CA"/>
              </w:rPr>
            </w:pPr>
          </w:p>
        </w:tc>
      </w:tr>
    </w:tbl>
    <w:p w:rsidR="00EC09EE" w:rsidRDefault="00EC09EE" w:rsidP="00EC09EE">
      <w:pPr>
        <w:rPr>
          <w:sz w:val="20"/>
          <w:szCs w:val="20"/>
        </w:rPr>
      </w:pPr>
    </w:p>
    <w:p w:rsidR="00EC09EE" w:rsidRDefault="007333FF" w:rsidP="00EC09EE">
      <w:pPr>
        <w:rPr>
          <w:sz w:val="20"/>
          <w:szCs w:val="20"/>
        </w:rPr>
      </w:pPr>
      <w:r w:rsidRPr="007333FF">
        <w:rPr>
          <w:sz w:val="20"/>
          <w:szCs w:val="20"/>
          <w:lang w:val="fr-CA"/>
        </w:rPr>
        <w:pict>
          <v:rect id="_x0000_i1101" style="width:2in;height:1pt" o:hrpct="0" o:hralign="center" o:hrstd="t" o:hrnoshade="t" o:hr="t" fillcolor="black [3213]" stroked="f"/>
        </w:pict>
      </w:r>
    </w:p>
    <w:p w:rsidR="00EC09EE" w:rsidRDefault="00EC09EE" w:rsidP="00EC09E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C0656" w:rsidRPr="00B6145B" w:rsidTr="00D40817">
        <w:trPr>
          <w:cantSplit/>
        </w:trPr>
        <w:tc>
          <w:tcPr>
            <w:tcW w:w="1458" w:type="dxa"/>
          </w:tcPr>
          <w:p w:rsidR="00EC0656" w:rsidRPr="008A028C" w:rsidRDefault="00EC0656" w:rsidP="00D40817">
            <w:pPr>
              <w:rPr>
                <w:sz w:val="20"/>
                <w:szCs w:val="20"/>
              </w:rPr>
            </w:pPr>
            <w:r w:rsidRPr="008A028C">
              <w:rPr>
                <w:rStyle w:val="SCCFileNumberChar"/>
                <w:sz w:val="20"/>
                <w:szCs w:val="20"/>
              </w:rPr>
              <w:t>34785</w:t>
            </w:r>
          </w:p>
          <w:p w:rsidR="00EC0656" w:rsidRPr="008A028C" w:rsidRDefault="00EC0656" w:rsidP="00D40817">
            <w:pPr>
              <w:rPr>
                <w:b/>
                <w:sz w:val="20"/>
                <w:szCs w:val="20"/>
                <w:lang w:val="fr-CA"/>
              </w:rPr>
            </w:pPr>
          </w:p>
        </w:tc>
        <w:tc>
          <w:tcPr>
            <w:tcW w:w="8118" w:type="dxa"/>
          </w:tcPr>
          <w:p w:rsidR="00EC0656" w:rsidRPr="008A028C" w:rsidRDefault="00EC0656" w:rsidP="00D40817">
            <w:pPr>
              <w:jc w:val="both"/>
              <w:rPr>
                <w:sz w:val="20"/>
                <w:szCs w:val="20"/>
                <w:lang w:val="fr-CA"/>
              </w:rPr>
            </w:pPr>
            <w:r w:rsidRPr="008A028C">
              <w:rPr>
                <w:rStyle w:val="SCCLsocChar"/>
                <w:sz w:val="20"/>
                <w:szCs w:val="20"/>
              </w:rPr>
              <w:t>Jessy Domond c. Fonds de responsabilité professionnelle du collège des médecins du Québec</w:t>
            </w:r>
            <w:r w:rsidRPr="008A028C">
              <w:rPr>
                <w:sz w:val="20"/>
                <w:szCs w:val="20"/>
                <w:lang w:val="fr-CA"/>
              </w:rPr>
              <w:t xml:space="preserve"> (Qc) (Civile) (Autorisation)</w:t>
            </w:r>
          </w:p>
          <w:p w:rsidR="00EC0656" w:rsidRPr="008A028C" w:rsidRDefault="00EC0656" w:rsidP="00D40817">
            <w:pPr>
              <w:rPr>
                <w:sz w:val="20"/>
                <w:szCs w:val="20"/>
                <w:lang w:val="fr-CA"/>
              </w:rPr>
            </w:pPr>
          </w:p>
        </w:tc>
      </w:tr>
      <w:tr w:rsidR="00EC0656" w:rsidRPr="00B6145B" w:rsidTr="00D40817">
        <w:trPr>
          <w:cantSplit/>
        </w:trPr>
        <w:tc>
          <w:tcPr>
            <w:tcW w:w="1458" w:type="dxa"/>
          </w:tcPr>
          <w:p w:rsidR="00EC0656" w:rsidRPr="008A028C" w:rsidRDefault="00EC0656" w:rsidP="00D40817">
            <w:pPr>
              <w:rPr>
                <w:sz w:val="20"/>
                <w:szCs w:val="20"/>
              </w:rPr>
            </w:pPr>
            <w:r w:rsidRPr="008A028C">
              <w:rPr>
                <w:sz w:val="20"/>
                <w:szCs w:val="20"/>
              </w:rPr>
              <w:t>Coram :</w:t>
            </w:r>
          </w:p>
        </w:tc>
        <w:tc>
          <w:tcPr>
            <w:tcW w:w="8118" w:type="dxa"/>
          </w:tcPr>
          <w:p w:rsidR="00EC0656" w:rsidRPr="008A028C" w:rsidRDefault="00EC0656" w:rsidP="00D40817">
            <w:pPr>
              <w:rPr>
                <w:sz w:val="20"/>
                <w:szCs w:val="20"/>
                <w:lang w:val="fr-CA"/>
              </w:rPr>
            </w:pPr>
            <w:r w:rsidRPr="008A028C">
              <w:rPr>
                <w:rStyle w:val="SCCCoramChar"/>
                <w:sz w:val="20"/>
                <w:szCs w:val="20"/>
              </w:rPr>
              <w:t>Les juges Deschamps, Fish et Karakatsanis</w:t>
            </w:r>
          </w:p>
          <w:p w:rsidR="00EC0656" w:rsidRPr="008A028C" w:rsidRDefault="00EC0656" w:rsidP="00D40817">
            <w:pPr>
              <w:rPr>
                <w:sz w:val="20"/>
                <w:szCs w:val="20"/>
                <w:u w:val="single"/>
                <w:lang w:val="fr-CA"/>
              </w:rPr>
            </w:pPr>
          </w:p>
        </w:tc>
      </w:tr>
      <w:tr w:rsidR="00EC0656" w:rsidRPr="008A028C" w:rsidTr="00D40817">
        <w:trPr>
          <w:cantSplit/>
        </w:trPr>
        <w:tc>
          <w:tcPr>
            <w:tcW w:w="9576" w:type="dxa"/>
            <w:gridSpan w:val="2"/>
          </w:tcPr>
          <w:p w:rsidR="00EC0656" w:rsidRPr="008A028C" w:rsidRDefault="00EC0656" w:rsidP="00D40817">
            <w:pPr>
              <w:pStyle w:val="SCCShortJudgment"/>
              <w:rPr>
                <w:szCs w:val="20"/>
                <w:lang w:val="fr-CA"/>
              </w:rPr>
            </w:pPr>
            <w:r w:rsidRPr="008A028C">
              <w:rPr>
                <w:szCs w:val="20"/>
                <w:lang w:val="fr-CA"/>
              </w:rPr>
              <w:t>La demande d’autorisation d’appel de l’arrêt de la Cour d’appel du Québec (Montréal), numéro 500-09-022344-121, 2012 QCCA 486, daté du 13 mars 2012, est rejetée sans dépens.</w:t>
            </w:r>
          </w:p>
          <w:p w:rsidR="00EC0656" w:rsidRPr="008A028C" w:rsidRDefault="00EC0656" w:rsidP="00D40817">
            <w:pPr>
              <w:pStyle w:val="SCCShortJudgment"/>
              <w:ind w:firstLine="0"/>
              <w:rPr>
                <w:szCs w:val="20"/>
                <w:lang w:val="fr-CA"/>
              </w:rPr>
            </w:pPr>
          </w:p>
          <w:p w:rsidR="00EC0656" w:rsidRPr="008A028C" w:rsidRDefault="00EC0656" w:rsidP="00D40817">
            <w:pPr>
              <w:pStyle w:val="SCCShortJudgment"/>
              <w:rPr>
                <w:szCs w:val="20"/>
              </w:rPr>
            </w:pPr>
            <w:r w:rsidRPr="008A028C">
              <w:rPr>
                <w:szCs w:val="20"/>
              </w:rPr>
              <w:t>The application for leave to appeal from the judgment of the Court of Appeal of Quebec (Montréal), Number 500-09-022344-121, 2012 QCCA 486, dated March 13, 2012, is dismissed without costs.</w:t>
            </w:r>
          </w:p>
        </w:tc>
      </w:tr>
    </w:tbl>
    <w:p w:rsidR="00EC09EE" w:rsidRPr="00EC0656" w:rsidRDefault="00EC09EE" w:rsidP="00EC09EE">
      <w:pPr>
        <w:rPr>
          <w:sz w:val="20"/>
          <w:szCs w:val="20"/>
        </w:rPr>
      </w:pPr>
    </w:p>
    <w:p w:rsidR="00EC09EE" w:rsidRPr="001B157C" w:rsidRDefault="00EC09EE" w:rsidP="00EC09EE">
      <w:pPr>
        <w:rPr>
          <w:sz w:val="20"/>
          <w:szCs w:val="20"/>
          <w:u w:val="single"/>
        </w:rPr>
      </w:pPr>
      <w:r w:rsidRPr="001B157C">
        <w:rPr>
          <w:sz w:val="20"/>
          <w:szCs w:val="20"/>
          <w:u w:val="single"/>
        </w:rPr>
        <w:t>CASE SUMMARY</w:t>
      </w:r>
    </w:p>
    <w:p w:rsidR="00EC09EE" w:rsidRDefault="00EC09EE" w:rsidP="00EC09E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860C8" w:rsidRPr="00A1535A" w:rsidTr="00D40817">
        <w:tc>
          <w:tcPr>
            <w:tcW w:w="5000" w:type="pct"/>
            <w:gridSpan w:val="3"/>
          </w:tcPr>
          <w:p w:rsidR="00C860C8" w:rsidRPr="00A1535A" w:rsidRDefault="00C860C8" w:rsidP="00D40817">
            <w:pPr>
              <w:jc w:val="both"/>
              <w:rPr>
                <w:rFonts w:eastAsia="Calibri"/>
                <w:sz w:val="20"/>
              </w:rPr>
            </w:pPr>
            <w:r w:rsidRPr="00A1535A">
              <w:rPr>
                <w:rFonts w:eastAsia="Calibri"/>
                <w:sz w:val="20"/>
              </w:rPr>
              <w:t xml:space="preserve">Professional liability – Whether applicant suffered serious harm that was allegedly caused by Bar of Montréal through, </w:t>
            </w:r>
            <w:r w:rsidRPr="00A1535A">
              <w:rPr>
                <w:rFonts w:eastAsia="Calibri"/>
                <w:i/>
                <w:sz w:val="20"/>
              </w:rPr>
              <w:t>inter alia</w:t>
            </w:r>
            <w:r w:rsidRPr="00A1535A">
              <w:rPr>
                <w:rFonts w:eastAsia="Calibri"/>
                <w:sz w:val="20"/>
              </w:rPr>
              <w:t>, its refusal to give her copy of judgments – Whether Court of Appeal denied existence of judgment by Judge Tremblay – Whether Court of Appeal ignored applicant’s status as legal person in Domond trust – Whether Court of Appeal ignored precarious financial situation of applicant and her son.</w:t>
            </w:r>
          </w:p>
        </w:tc>
      </w:tr>
      <w:tr w:rsidR="00C860C8" w:rsidRPr="00A1535A" w:rsidTr="00D40817">
        <w:tc>
          <w:tcPr>
            <w:tcW w:w="5000" w:type="pct"/>
            <w:gridSpan w:val="3"/>
          </w:tcPr>
          <w:p w:rsidR="00C860C8" w:rsidRPr="00A1535A" w:rsidRDefault="00C860C8" w:rsidP="00D40817">
            <w:pPr>
              <w:jc w:val="both"/>
              <w:rPr>
                <w:rFonts w:eastAsia="Calibri"/>
                <w:sz w:val="20"/>
              </w:rPr>
            </w:pPr>
          </w:p>
        </w:tc>
      </w:tr>
      <w:tr w:rsidR="00C860C8" w:rsidRPr="00A1535A" w:rsidTr="00D40817">
        <w:tc>
          <w:tcPr>
            <w:tcW w:w="5000" w:type="pct"/>
            <w:gridSpan w:val="3"/>
          </w:tcPr>
          <w:p w:rsidR="00C860C8" w:rsidRPr="00A1535A" w:rsidRDefault="00C860C8" w:rsidP="00D40817">
            <w:pPr>
              <w:jc w:val="both"/>
              <w:rPr>
                <w:rFonts w:eastAsia="Calibri"/>
                <w:sz w:val="20"/>
              </w:rPr>
            </w:pPr>
            <w:r w:rsidRPr="00A1535A">
              <w:rPr>
                <w:rFonts w:eastAsia="Calibri"/>
                <w:sz w:val="20"/>
              </w:rPr>
              <w:t>Ms. Domond waged a legal battle against her brother</w:t>
            </w:r>
            <w:r w:rsidRPr="00A1535A">
              <w:rPr>
                <w:rFonts w:eastAsia="Calibri"/>
                <w:sz w:val="20"/>
              </w:rPr>
              <w:noBreakHyphen/>
              <w:t>in</w:t>
            </w:r>
            <w:r w:rsidRPr="00A1535A">
              <w:rPr>
                <w:rFonts w:eastAsia="Calibri"/>
                <w:sz w:val="20"/>
              </w:rPr>
              <w:noBreakHyphen/>
              <w:t>law, Mr. Bendana.  Alleging that an attorney had provided her with inadequate representation in that battle, she claimed $99,000 from the respondent.  The Superior Court allowed the respondent’s notice of disclosure of an exception to dismiss the action for being unfounded in law.  It dismissed the amended motion to institute proceedings.  The Court of Appeal dismissed the appeal.</w:t>
            </w:r>
          </w:p>
          <w:p w:rsidR="00C860C8" w:rsidRPr="00A1535A" w:rsidRDefault="00C860C8" w:rsidP="00D40817">
            <w:pPr>
              <w:jc w:val="both"/>
              <w:rPr>
                <w:rFonts w:eastAsia="Calibri"/>
                <w:sz w:val="20"/>
              </w:rPr>
            </w:pPr>
          </w:p>
        </w:tc>
      </w:tr>
      <w:tr w:rsidR="00C860C8" w:rsidRPr="00A1535A" w:rsidTr="00D40817">
        <w:tc>
          <w:tcPr>
            <w:tcW w:w="2427" w:type="pct"/>
          </w:tcPr>
          <w:p w:rsidR="00C860C8" w:rsidRPr="00A1535A" w:rsidRDefault="00C860C8" w:rsidP="00D40817">
            <w:pPr>
              <w:jc w:val="both"/>
              <w:rPr>
                <w:rFonts w:eastAsia="Calibri"/>
                <w:sz w:val="20"/>
              </w:rPr>
            </w:pPr>
            <w:r w:rsidRPr="00A1535A">
              <w:rPr>
                <w:rFonts w:eastAsia="Calibri"/>
                <w:sz w:val="20"/>
              </w:rPr>
              <w:t>January 9, 2012</w:t>
            </w:r>
          </w:p>
          <w:p w:rsidR="00C860C8" w:rsidRPr="00A1535A" w:rsidRDefault="00C860C8" w:rsidP="00D40817">
            <w:pPr>
              <w:jc w:val="both"/>
              <w:rPr>
                <w:rFonts w:eastAsia="Calibri"/>
                <w:sz w:val="20"/>
              </w:rPr>
            </w:pPr>
            <w:r w:rsidRPr="00A1535A">
              <w:rPr>
                <w:rFonts w:eastAsia="Calibri"/>
                <w:sz w:val="20"/>
              </w:rPr>
              <w:t>Quebec Superior Court</w:t>
            </w:r>
          </w:p>
          <w:p w:rsidR="00C860C8" w:rsidRPr="00A1535A" w:rsidRDefault="00C860C8" w:rsidP="00D40817">
            <w:pPr>
              <w:jc w:val="both"/>
              <w:rPr>
                <w:rFonts w:eastAsia="Calibri"/>
                <w:sz w:val="20"/>
              </w:rPr>
            </w:pPr>
            <w:r w:rsidRPr="00A1535A">
              <w:rPr>
                <w:rFonts w:eastAsia="Calibri"/>
                <w:sz w:val="20"/>
              </w:rPr>
              <w:t>(Alary J.)</w:t>
            </w:r>
          </w:p>
          <w:p w:rsidR="00C860C8" w:rsidRPr="00A1535A" w:rsidRDefault="00C860C8" w:rsidP="00D40817">
            <w:pPr>
              <w:jc w:val="both"/>
              <w:rPr>
                <w:rFonts w:eastAsia="Calibri"/>
                <w:sz w:val="20"/>
              </w:rPr>
            </w:pPr>
            <w:r w:rsidRPr="00A1535A">
              <w:rPr>
                <w:rFonts w:eastAsia="Calibri"/>
                <w:sz w:val="20"/>
              </w:rPr>
              <w:t>- not indexed -</w:t>
            </w:r>
          </w:p>
          <w:p w:rsidR="00C860C8" w:rsidRPr="00A1535A" w:rsidRDefault="00C860C8" w:rsidP="00D40817">
            <w:pPr>
              <w:jc w:val="both"/>
              <w:rPr>
                <w:rFonts w:eastAsia="Calibri"/>
                <w:sz w:val="20"/>
              </w:rPr>
            </w:pPr>
          </w:p>
        </w:tc>
        <w:tc>
          <w:tcPr>
            <w:tcW w:w="243" w:type="pct"/>
          </w:tcPr>
          <w:p w:rsidR="00C860C8" w:rsidRPr="00A1535A" w:rsidRDefault="00C860C8" w:rsidP="00D40817">
            <w:pPr>
              <w:jc w:val="both"/>
              <w:rPr>
                <w:rFonts w:eastAsia="Calibri"/>
                <w:sz w:val="20"/>
              </w:rPr>
            </w:pPr>
          </w:p>
        </w:tc>
        <w:tc>
          <w:tcPr>
            <w:tcW w:w="2330" w:type="pct"/>
          </w:tcPr>
          <w:p w:rsidR="00C860C8" w:rsidRPr="00A1535A" w:rsidRDefault="00C860C8" w:rsidP="00D40817">
            <w:pPr>
              <w:jc w:val="both"/>
              <w:rPr>
                <w:rFonts w:eastAsia="Calibri"/>
                <w:sz w:val="20"/>
              </w:rPr>
            </w:pPr>
            <w:r w:rsidRPr="00A1535A">
              <w:rPr>
                <w:rFonts w:eastAsia="Calibri"/>
                <w:sz w:val="20"/>
              </w:rPr>
              <w:t>Amended motion to institute proceedings dismissed</w:t>
            </w:r>
          </w:p>
        </w:tc>
      </w:tr>
      <w:tr w:rsidR="00C860C8" w:rsidRPr="00A1535A" w:rsidTr="00D40817">
        <w:tc>
          <w:tcPr>
            <w:tcW w:w="2427" w:type="pct"/>
          </w:tcPr>
          <w:p w:rsidR="00C860C8" w:rsidRPr="00A1535A" w:rsidRDefault="00C860C8" w:rsidP="00D40817">
            <w:pPr>
              <w:jc w:val="both"/>
              <w:rPr>
                <w:rFonts w:eastAsia="Calibri"/>
                <w:sz w:val="20"/>
              </w:rPr>
            </w:pPr>
            <w:r w:rsidRPr="00A1535A">
              <w:rPr>
                <w:rFonts w:eastAsia="Calibri"/>
                <w:sz w:val="20"/>
              </w:rPr>
              <w:t>March 13, 2012</w:t>
            </w:r>
          </w:p>
          <w:p w:rsidR="00C860C8" w:rsidRPr="00A1535A" w:rsidRDefault="00C860C8" w:rsidP="00D40817">
            <w:pPr>
              <w:jc w:val="both"/>
              <w:rPr>
                <w:rFonts w:eastAsia="Calibri"/>
                <w:sz w:val="20"/>
              </w:rPr>
            </w:pPr>
            <w:r w:rsidRPr="00A1535A">
              <w:rPr>
                <w:rFonts w:eastAsia="Calibri"/>
                <w:sz w:val="20"/>
              </w:rPr>
              <w:t>Quebec Court of Appeal (Montréal)</w:t>
            </w:r>
          </w:p>
          <w:p w:rsidR="00C860C8" w:rsidRPr="00A1535A" w:rsidRDefault="00C860C8" w:rsidP="00D40817">
            <w:pPr>
              <w:jc w:val="both"/>
              <w:rPr>
                <w:rFonts w:eastAsia="Calibri"/>
                <w:sz w:val="20"/>
                <w:lang w:val="fr-CA"/>
              </w:rPr>
            </w:pPr>
            <w:r w:rsidRPr="00A1535A">
              <w:rPr>
                <w:rFonts w:eastAsia="Calibri"/>
                <w:sz w:val="20"/>
                <w:lang w:val="fr-CA"/>
              </w:rPr>
              <w:t>(Dufresne, Léger and Viens JJ.A.)</w:t>
            </w:r>
          </w:p>
          <w:p w:rsidR="00C860C8" w:rsidRPr="00A1535A" w:rsidRDefault="00C860C8" w:rsidP="00D40817">
            <w:pPr>
              <w:jc w:val="both"/>
              <w:rPr>
                <w:rFonts w:eastAsia="Calibri"/>
                <w:sz w:val="20"/>
              </w:rPr>
            </w:pPr>
            <w:r w:rsidRPr="00A1535A">
              <w:rPr>
                <w:rFonts w:eastAsia="Calibri"/>
                <w:sz w:val="20"/>
              </w:rPr>
              <w:t>2012 QCCA 486</w:t>
            </w:r>
          </w:p>
          <w:p w:rsidR="00C860C8" w:rsidRPr="00A1535A" w:rsidRDefault="00C860C8" w:rsidP="00D40817">
            <w:pPr>
              <w:jc w:val="both"/>
              <w:rPr>
                <w:rFonts w:eastAsia="Calibri"/>
                <w:sz w:val="20"/>
              </w:rPr>
            </w:pPr>
          </w:p>
        </w:tc>
        <w:tc>
          <w:tcPr>
            <w:tcW w:w="243" w:type="pct"/>
          </w:tcPr>
          <w:p w:rsidR="00C860C8" w:rsidRPr="00A1535A" w:rsidRDefault="00C860C8" w:rsidP="00D40817">
            <w:pPr>
              <w:jc w:val="both"/>
              <w:rPr>
                <w:rFonts w:eastAsia="Calibri"/>
                <w:sz w:val="20"/>
              </w:rPr>
            </w:pPr>
          </w:p>
        </w:tc>
        <w:tc>
          <w:tcPr>
            <w:tcW w:w="2330" w:type="pct"/>
          </w:tcPr>
          <w:p w:rsidR="00C860C8" w:rsidRPr="00A1535A" w:rsidRDefault="00C860C8" w:rsidP="00D40817">
            <w:pPr>
              <w:jc w:val="both"/>
              <w:rPr>
                <w:rFonts w:eastAsia="Calibri"/>
                <w:sz w:val="20"/>
              </w:rPr>
            </w:pPr>
            <w:r w:rsidRPr="00A1535A">
              <w:rPr>
                <w:rFonts w:eastAsia="Calibri"/>
                <w:sz w:val="20"/>
              </w:rPr>
              <w:t>Appeal dismissed</w:t>
            </w:r>
          </w:p>
          <w:p w:rsidR="00C860C8" w:rsidRPr="00A1535A" w:rsidRDefault="00C860C8" w:rsidP="00D40817">
            <w:pPr>
              <w:jc w:val="both"/>
              <w:rPr>
                <w:rFonts w:eastAsia="Calibri"/>
                <w:sz w:val="20"/>
              </w:rPr>
            </w:pPr>
          </w:p>
        </w:tc>
      </w:tr>
      <w:tr w:rsidR="00C860C8" w:rsidRPr="00A1535A" w:rsidTr="00D40817">
        <w:tc>
          <w:tcPr>
            <w:tcW w:w="2427" w:type="pct"/>
          </w:tcPr>
          <w:p w:rsidR="00C860C8" w:rsidRPr="00A1535A" w:rsidRDefault="00C860C8" w:rsidP="00D40817">
            <w:pPr>
              <w:jc w:val="both"/>
              <w:rPr>
                <w:rFonts w:eastAsia="Calibri"/>
                <w:sz w:val="20"/>
              </w:rPr>
            </w:pPr>
            <w:r w:rsidRPr="00A1535A">
              <w:rPr>
                <w:rFonts w:eastAsia="Calibri"/>
                <w:sz w:val="20"/>
              </w:rPr>
              <w:t>April 20, 2012</w:t>
            </w:r>
          </w:p>
          <w:p w:rsidR="00C860C8" w:rsidRPr="00A1535A" w:rsidRDefault="00C860C8" w:rsidP="00D40817">
            <w:pPr>
              <w:jc w:val="both"/>
              <w:rPr>
                <w:rFonts w:eastAsia="Calibri"/>
                <w:sz w:val="20"/>
              </w:rPr>
            </w:pPr>
            <w:r w:rsidRPr="00A1535A">
              <w:rPr>
                <w:rFonts w:eastAsia="Calibri"/>
                <w:sz w:val="20"/>
              </w:rPr>
              <w:t>Supreme Court of Canada</w:t>
            </w:r>
          </w:p>
        </w:tc>
        <w:tc>
          <w:tcPr>
            <w:tcW w:w="243" w:type="pct"/>
          </w:tcPr>
          <w:p w:rsidR="00C860C8" w:rsidRPr="00A1535A" w:rsidRDefault="00C860C8" w:rsidP="00D40817">
            <w:pPr>
              <w:jc w:val="both"/>
              <w:rPr>
                <w:rFonts w:eastAsia="Calibri"/>
                <w:sz w:val="20"/>
              </w:rPr>
            </w:pPr>
          </w:p>
        </w:tc>
        <w:tc>
          <w:tcPr>
            <w:tcW w:w="2330" w:type="pct"/>
          </w:tcPr>
          <w:p w:rsidR="00C860C8" w:rsidRPr="00A1535A" w:rsidRDefault="00C860C8" w:rsidP="00D40817">
            <w:pPr>
              <w:jc w:val="both"/>
              <w:rPr>
                <w:rFonts w:eastAsia="Calibri"/>
                <w:sz w:val="20"/>
              </w:rPr>
            </w:pPr>
            <w:r w:rsidRPr="00A1535A">
              <w:rPr>
                <w:rFonts w:eastAsia="Calibri"/>
                <w:sz w:val="20"/>
              </w:rPr>
              <w:t>Application for leave to appeal filed</w:t>
            </w:r>
          </w:p>
          <w:p w:rsidR="00C860C8" w:rsidRPr="00A1535A" w:rsidRDefault="00C860C8" w:rsidP="00D40817">
            <w:pPr>
              <w:jc w:val="both"/>
              <w:rPr>
                <w:rFonts w:eastAsia="Calibri"/>
                <w:sz w:val="20"/>
              </w:rPr>
            </w:pPr>
          </w:p>
        </w:tc>
      </w:tr>
    </w:tbl>
    <w:p w:rsidR="00EC09EE" w:rsidRDefault="00EC09EE" w:rsidP="00EC09EE">
      <w:pPr>
        <w:rPr>
          <w:sz w:val="20"/>
          <w:szCs w:val="20"/>
        </w:rPr>
      </w:pPr>
    </w:p>
    <w:p w:rsidR="00EC09EE" w:rsidRPr="00C50A5C" w:rsidRDefault="007333FF" w:rsidP="00EC09EE">
      <w:pPr>
        <w:rPr>
          <w:sz w:val="20"/>
          <w:szCs w:val="20"/>
        </w:rPr>
      </w:pPr>
      <w:r w:rsidRPr="007333FF">
        <w:rPr>
          <w:sz w:val="20"/>
          <w:szCs w:val="20"/>
          <w:lang w:val="fr-CA"/>
        </w:rPr>
        <w:pict>
          <v:rect id="_x0000_i1102" style="width:2in;height:1pt" o:hrpct="0" o:hralign="center" o:hrstd="t" o:hrnoshade="t" o:hr="t" fillcolor="black [3213]" stroked="f"/>
        </w:pict>
      </w:r>
    </w:p>
    <w:p w:rsidR="00EC09EE" w:rsidRDefault="00EC09EE" w:rsidP="00EC09EE">
      <w:pPr>
        <w:rPr>
          <w:sz w:val="20"/>
          <w:szCs w:val="20"/>
        </w:rPr>
      </w:pPr>
    </w:p>
    <w:p w:rsidR="00EC0656" w:rsidRDefault="00EC0656">
      <w:pPr>
        <w:rPr>
          <w:sz w:val="20"/>
          <w:szCs w:val="20"/>
          <w:u w:val="single"/>
          <w:lang w:val="fr-CA"/>
        </w:rPr>
      </w:pPr>
      <w:r>
        <w:rPr>
          <w:sz w:val="20"/>
          <w:szCs w:val="20"/>
          <w:u w:val="single"/>
          <w:lang w:val="fr-CA"/>
        </w:rPr>
        <w:br w:type="page"/>
      </w:r>
    </w:p>
    <w:p w:rsidR="00EC09EE" w:rsidRPr="001B157C" w:rsidRDefault="00EC09EE" w:rsidP="00EC09EE">
      <w:pPr>
        <w:rPr>
          <w:sz w:val="20"/>
          <w:szCs w:val="20"/>
          <w:u w:val="single"/>
          <w:lang w:val="fr-CA"/>
        </w:rPr>
      </w:pPr>
      <w:r w:rsidRPr="001B157C">
        <w:rPr>
          <w:sz w:val="20"/>
          <w:szCs w:val="20"/>
          <w:u w:val="single"/>
          <w:lang w:val="fr-CA"/>
        </w:rPr>
        <w:lastRenderedPageBreak/>
        <w:t>RÉSUMÉ DE L’AFFAIRE</w:t>
      </w:r>
    </w:p>
    <w:p w:rsidR="00EC09EE" w:rsidRDefault="00EC09EE" w:rsidP="00EC09E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860C8" w:rsidRPr="00B6145B" w:rsidTr="00D40817">
        <w:tc>
          <w:tcPr>
            <w:tcW w:w="5000" w:type="pct"/>
            <w:gridSpan w:val="3"/>
          </w:tcPr>
          <w:p w:rsidR="00C860C8" w:rsidRPr="00A1535A" w:rsidRDefault="00C860C8" w:rsidP="00D40817">
            <w:pPr>
              <w:jc w:val="both"/>
              <w:rPr>
                <w:rFonts w:eastAsia="Calibri"/>
                <w:sz w:val="20"/>
                <w:lang w:val="fr-CA"/>
              </w:rPr>
            </w:pPr>
            <w:r w:rsidRPr="00A1535A">
              <w:rPr>
                <w:rFonts w:eastAsia="Calibri"/>
                <w:sz w:val="20"/>
                <w:lang w:val="fr-CA"/>
              </w:rPr>
              <w:t>Responsabilité professionnelle – La demanderesse a-t-elle subis des préjudices graves, lesquels auraient été causés par le Barreau de Montréal, notamment, en refusant de lui donner copie des jugements? – La cour d’appel a-t-elle nié que le jugement du juge Tremblay existe? – La cour d’appel a-t-elle ignoré le statut de personne morale de la demanderesse dans la fiducie Domond? – La cour d’appel a-t-elle ignoré la condition financière précaire de la demanderesse et celle de son fils?</w:t>
            </w:r>
          </w:p>
        </w:tc>
      </w:tr>
      <w:tr w:rsidR="00C860C8" w:rsidRPr="00B6145B" w:rsidTr="00D40817">
        <w:tc>
          <w:tcPr>
            <w:tcW w:w="5000" w:type="pct"/>
            <w:gridSpan w:val="3"/>
          </w:tcPr>
          <w:p w:rsidR="00C860C8" w:rsidRPr="00A1535A" w:rsidRDefault="00C860C8" w:rsidP="00D40817">
            <w:pPr>
              <w:jc w:val="both"/>
              <w:rPr>
                <w:rFonts w:eastAsia="Calibri"/>
                <w:sz w:val="20"/>
                <w:lang w:val="fr-CA"/>
              </w:rPr>
            </w:pPr>
          </w:p>
        </w:tc>
      </w:tr>
      <w:tr w:rsidR="00C860C8" w:rsidRPr="00B6145B" w:rsidTr="00D40817">
        <w:tc>
          <w:tcPr>
            <w:tcW w:w="5000" w:type="pct"/>
            <w:gridSpan w:val="3"/>
          </w:tcPr>
          <w:p w:rsidR="00C860C8" w:rsidRPr="00A1535A" w:rsidRDefault="00C860C8" w:rsidP="00D40817">
            <w:pPr>
              <w:jc w:val="both"/>
              <w:rPr>
                <w:rFonts w:eastAsia="Calibri"/>
                <w:sz w:val="20"/>
                <w:lang w:val="fr-CA"/>
              </w:rPr>
            </w:pPr>
            <w:r w:rsidRPr="00A1535A">
              <w:rPr>
                <w:rFonts w:eastAsia="Calibri"/>
                <w:sz w:val="20"/>
                <w:lang w:val="fr-CA"/>
              </w:rPr>
              <w:t>Madame Domond mène une bataille judiciaire contre son beau-frère M. Bendana. Elle réclame 99 000$ de l’intimé en raison de la représentation inadéquate que lui aurait fournie un avocat dans le cadre de cette bataille. La Cour supérieure accueille l’avis de dénonciation de l’intimé d’un moyen de non-recevabilité pour absence de fondement juridique. Elle rejette la requête introductive d’instance amendée. La Cour d’appel rejette l’appel.</w:t>
            </w:r>
          </w:p>
          <w:p w:rsidR="00C860C8" w:rsidRPr="00A1535A" w:rsidRDefault="00C860C8" w:rsidP="00D40817">
            <w:pPr>
              <w:jc w:val="both"/>
              <w:rPr>
                <w:rFonts w:eastAsia="Calibri"/>
                <w:sz w:val="20"/>
                <w:lang w:val="fr-CA"/>
              </w:rPr>
            </w:pPr>
          </w:p>
        </w:tc>
      </w:tr>
      <w:tr w:rsidR="00C860C8" w:rsidRPr="00B6145B" w:rsidTr="00D40817">
        <w:tc>
          <w:tcPr>
            <w:tcW w:w="2427" w:type="pct"/>
          </w:tcPr>
          <w:p w:rsidR="00C860C8" w:rsidRPr="00A1535A" w:rsidRDefault="00C860C8" w:rsidP="00D40817">
            <w:pPr>
              <w:jc w:val="both"/>
              <w:rPr>
                <w:rFonts w:eastAsia="Calibri"/>
                <w:sz w:val="20"/>
                <w:lang w:val="fr-CA"/>
              </w:rPr>
            </w:pPr>
            <w:r w:rsidRPr="00A1535A">
              <w:rPr>
                <w:rFonts w:eastAsia="Calibri"/>
                <w:sz w:val="20"/>
                <w:lang w:val="fr-CA"/>
              </w:rPr>
              <w:t>Le 9 janvier 2012</w:t>
            </w:r>
          </w:p>
          <w:p w:rsidR="00C860C8" w:rsidRPr="00A1535A" w:rsidRDefault="00C860C8" w:rsidP="00D40817">
            <w:pPr>
              <w:jc w:val="both"/>
              <w:rPr>
                <w:rFonts w:eastAsia="Calibri"/>
                <w:sz w:val="20"/>
                <w:lang w:val="fr-CA"/>
              </w:rPr>
            </w:pPr>
            <w:r w:rsidRPr="00A1535A">
              <w:rPr>
                <w:rFonts w:eastAsia="Calibri"/>
                <w:sz w:val="20"/>
                <w:lang w:val="fr-CA"/>
              </w:rPr>
              <w:t>Cour supérieure du Québec</w:t>
            </w:r>
          </w:p>
          <w:p w:rsidR="00C860C8" w:rsidRPr="00A1535A" w:rsidRDefault="00C860C8" w:rsidP="00D40817">
            <w:pPr>
              <w:jc w:val="both"/>
              <w:rPr>
                <w:rFonts w:eastAsia="Calibri"/>
                <w:sz w:val="20"/>
                <w:lang w:val="fr-CA"/>
              </w:rPr>
            </w:pPr>
            <w:r w:rsidRPr="00A1535A">
              <w:rPr>
                <w:rFonts w:eastAsia="Calibri"/>
                <w:sz w:val="20"/>
                <w:lang w:val="fr-CA"/>
              </w:rPr>
              <w:t>(La juge Alary)</w:t>
            </w:r>
          </w:p>
          <w:p w:rsidR="00C860C8" w:rsidRPr="00A1535A" w:rsidRDefault="00C860C8" w:rsidP="00D40817">
            <w:pPr>
              <w:jc w:val="both"/>
              <w:rPr>
                <w:rFonts w:eastAsia="Calibri"/>
                <w:sz w:val="20"/>
                <w:lang w:val="fr-CA"/>
              </w:rPr>
            </w:pPr>
            <w:r w:rsidRPr="00A1535A">
              <w:rPr>
                <w:rFonts w:eastAsia="Calibri"/>
                <w:sz w:val="20"/>
                <w:lang w:val="fr-CA"/>
              </w:rPr>
              <w:t>- non-répertorié -</w:t>
            </w:r>
          </w:p>
          <w:p w:rsidR="00C860C8" w:rsidRPr="00A1535A" w:rsidRDefault="00C860C8" w:rsidP="00D40817">
            <w:pPr>
              <w:jc w:val="both"/>
              <w:rPr>
                <w:rFonts w:eastAsia="Calibri"/>
                <w:sz w:val="20"/>
                <w:lang w:val="fr-CA"/>
              </w:rPr>
            </w:pPr>
          </w:p>
        </w:tc>
        <w:tc>
          <w:tcPr>
            <w:tcW w:w="243" w:type="pct"/>
          </w:tcPr>
          <w:p w:rsidR="00C860C8" w:rsidRPr="00A1535A" w:rsidRDefault="00C860C8" w:rsidP="00D40817">
            <w:pPr>
              <w:jc w:val="both"/>
              <w:rPr>
                <w:rFonts w:eastAsia="Calibri"/>
                <w:sz w:val="20"/>
                <w:lang w:val="fr-CA"/>
              </w:rPr>
            </w:pPr>
          </w:p>
        </w:tc>
        <w:tc>
          <w:tcPr>
            <w:tcW w:w="2330" w:type="pct"/>
          </w:tcPr>
          <w:p w:rsidR="00C860C8" w:rsidRPr="00A1535A" w:rsidRDefault="00C860C8" w:rsidP="00D40817">
            <w:pPr>
              <w:jc w:val="both"/>
              <w:rPr>
                <w:rFonts w:eastAsia="Calibri"/>
                <w:sz w:val="20"/>
                <w:lang w:val="fr-CA"/>
              </w:rPr>
            </w:pPr>
            <w:r w:rsidRPr="00A1535A">
              <w:rPr>
                <w:rFonts w:eastAsia="Calibri"/>
                <w:sz w:val="20"/>
                <w:lang w:val="fr-CA"/>
              </w:rPr>
              <w:t>Requête introductive d’instance amendée rejetée.</w:t>
            </w:r>
          </w:p>
        </w:tc>
      </w:tr>
      <w:tr w:rsidR="00C860C8" w:rsidRPr="00A1535A" w:rsidTr="00D40817">
        <w:tc>
          <w:tcPr>
            <w:tcW w:w="2427" w:type="pct"/>
          </w:tcPr>
          <w:p w:rsidR="00C860C8" w:rsidRPr="00A1535A" w:rsidRDefault="00C860C8" w:rsidP="00D40817">
            <w:pPr>
              <w:jc w:val="both"/>
              <w:rPr>
                <w:rFonts w:eastAsia="Calibri"/>
                <w:sz w:val="20"/>
                <w:lang w:val="fr-CA"/>
              </w:rPr>
            </w:pPr>
            <w:r w:rsidRPr="00A1535A">
              <w:rPr>
                <w:rFonts w:eastAsia="Calibri"/>
                <w:sz w:val="20"/>
                <w:lang w:val="fr-CA"/>
              </w:rPr>
              <w:t>Le 13 mars 2012</w:t>
            </w:r>
          </w:p>
          <w:p w:rsidR="00C860C8" w:rsidRPr="00A1535A" w:rsidRDefault="00C860C8" w:rsidP="00D40817">
            <w:pPr>
              <w:jc w:val="both"/>
              <w:rPr>
                <w:rFonts w:eastAsia="Calibri"/>
                <w:sz w:val="20"/>
                <w:lang w:val="fr-CA"/>
              </w:rPr>
            </w:pPr>
            <w:r w:rsidRPr="00A1535A">
              <w:rPr>
                <w:rFonts w:eastAsia="Calibri"/>
                <w:sz w:val="20"/>
                <w:lang w:val="fr-CA"/>
              </w:rPr>
              <w:t>Cour d’appel du Québec (Montréal)</w:t>
            </w:r>
          </w:p>
          <w:p w:rsidR="00C860C8" w:rsidRPr="00A1535A" w:rsidRDefault="00C860C8" w:rsidP="00D40817">
            <w:pPr>
              <w:jc w:val="both"/>
              <w:rPr>
                <w:rFonts w:eastAsia="Calibri"/>
                <w:sz w:val="20"/>
                <w:lang w:val="fr-CA"/>
              </w:rPr>
            </w:pPr>
            <w:r w:rsidRPr="00A1535A">
              <w:rPr>
                <w:rFonts w:eastAsia="Calibri"/>
                <w:sz w:val="20"/>
                <w:lang w:val="fr-CA"/>
              </w:rPr>
              <w:t>(Les juges Dufresne, Léger et Viens)</w:t>
            </w:r>
          </w:p>
          <w:p w:rsidR="00C860C8" w:rsidRPr="00A1535A" w:rsidRDefault="00C860C8" w:rsidP="00D40817">
            <w:pPr>
              <w:jc w:val="both"/>
              <w:rPr>
                <w:rFonts w:eastAsia="Calibri"/>
                <w:sz w:val="20"/>
                <w:lang w:val="fr-CA"/>
              </w:rPr>
            </w:pPr>
            <w:r w:rsidRPr="00A1535A">
              <w:rPr>
                <w:rFonts w:eastAsia="Calibri"/>
                <w:sz w:val="20"/>
                <w:lang w:val="fr-CA"/>
              </w:rPr>
              <w:t>2012 QCCA 486</w:t>
            </w:r>
          </w:p>
          <w:p w:rsidR="00C860C8" w:rsidRPr="00A1535A" w:rsidRDefault="00C860C8" w:rsidP="00D40817">
            <w:pPr>
              <w:jc w:val="both"/>
              <w:rPr>
                <w:rFonts w:eastAsia="Calibri"/>
                <w:sz w:val="20"/>
                <w:lang w:val="fr-CA"/>
              </w:rPr>
            </w:pPr>
          </w:p>
        </w:tc>
        <w:tc>
          <w:tcPr>
            <w:tcW w:w="243" w:type="pct"/>
          </w:tcPr>
          <w:p w:rsidR="00C860C8" w:rsidRPr="00A1535A" w:rsidRDefault="00C860C8" w:rsidP="00D40817">
            <w:pPr>
              <w:jc w:val="both"/>
              <w:rPr>
                <w:rFonts w:eastAsia="Calibri"/>
                <w:sz w:val="20"/>
                <w:lang w:val="fr-CA"/>
              </w:rPr>
            </w:pPr>
          </w:p>
        </w:tc>
        <w:tc>
          <w:tcPr>
            <w:tcW w:w="2330" w:type="pct"/>
          </w:tcPr>
          <w:p w:rsidR="00C860C8" w:rsidRPr="00A1535A" w:rsidRDefault="00C860C8" w:rsidP="00D40817">
            <w:pPr>
              <w:jc w:val="both"/>
              <w:rPr>
                <w:rFonts w:eastAsia="Calibri"/>
                <w:sz w:val="20"/>
                <w:lang w:val="fr-CA"/>
              </w:rPr>
            </w:pPr>
            <w:r w:rsidRPr="00A1535A">
              <w:rPr>
                <w:rFonts w:eastAsia="Calibri"/>
                <w:sz w:val="20"/>
                <w:lang w:val="fr-CA"/>
              </w:rPr>
              <w:t>Appel rejeté.</w:t>
            </w:r>
          </w:p>
          <w:p w:rsidR="00C860C8" w:rsidRPr="00A1535A" w:rsidRDefault="00C860C8" w:rsidP="00D40817">
            <w:pPr>
              <w:jc w:val="both"/>
              <w:rPr>
                <w:rFonts w:eastAsia="Calibri"/>
                <w:sz w:val="20"/>
                <w:lang w:val="fr-CA"/>
              </w:rPr>
            </w:pPr>
          </w:p>
        </w:tc>
      </w:tr>
      <w:tr w:rsidR="00C860C8" w:rsidRPr="00A1535A" w:rsidTr="00D40817">
        <w:tc>
          <w:tcPr>
            <w:tcW w:w="2427" w:type="pct"/>
          </w:tcPr>
          <w:p w:rsidR="00C860C8" w:rsidRPr="00A1535A" w:rsidRDefault="00C860C8" w:rsidP="00D40817">
            <w:pPr>
              <w:jc w:val="both"/>
              <w:rPr>
                <w:rFonts w:eastAsia="Calibri"/>
                <w:sz w:val="20"/>
                <w:lang w:val="fr-CA"/>
              </w:rPr>
            </w:pPr>
            <w:r w:rsidRPr="00A1535A">
              <w:rPr>
                <w:rFonts w:eastAsia="Calibri"/>
                <w:sz w:val="20"/>
                <w:lang w:val="fr-CA"/>
              </w:rPr>
              <w:t>Le 20 avril 2012</w:t>
            </w:r>
          </w:p>
          <w:p w:rsidR="00C860C8" w:rsidRPr="00A1535A" w:rsidRDefault="00C860C8" w:rsidP="00D40817">
            <w:pPr>
              <w:jc w:val="both"/>
              <w:rPr>
                <w:rFonts w:eastAsia="Calibri"/>
                <w:sz w:val="20"/>
                <w:lang w:val="fr-CA"/>
              </w:rPr>
            </w:pPr>
            <w:r w:rsidRPr="00A1535A">
              <w:rPr>
                <w:rFonts w:eastAsia="Calibri"/>
                <w:sz w:val="20"/>
                <w:lang w:val="fr-CA"/>
              </w:rPr>
              <w:t>Cour suprême du Canada</w:t>
            </w:r>
          </w:p>
        </w:tc>
        <w:tc>
          <w:tcPr>
            <w:tcW w:w="243" w:type="pct"/>
          </w:tcPr>
          <w:p w:rsidR="00C860C8" w:rsidRPr="00A1535A" w:rsidRDefault="00C860C8" w:rsidP="00D40817">
            <w:pPr>
              <w:jc w:val="both"/>
              <w:rPr>
                <w:rFonts w:eastAsia="Calibri"/>
                <w:sz w:val="20"/>
                <w:lang w:val="fr-CA"/>
              </w:rPr>
            </w:pPr>
          </w:p>
        </w:tc>
        <w:tc>
          <w:tcPr>
            <w:tcW w:w="2330" w:type="pct"/>
          </w:tcPr>
          <w:p w:rsidR="00C860C8" w:rsidRPr="00A1535A" w:rsidRDefault="00C860C8" w:rsidP="00D40817">
            <w:pPr>
              <w:jc w:val="both"/>
              <w:rPr>
                <w:rFonts w:eastAsia="Calibri"/>
                <w:sz w:val="20"/>
                <w:lang w:val="fr-CA"/>
              </w:rPr>
            </w:pPr>
            <w:r w:rsidRPr="00A1535A">
              <w:rPr>
                <w:rFonts w:eastAsia="Calibri"/>
                <w:sz w:val="20"/>
                <w:lang w:val="fr-CA"/>
              </w:rPr>
              <w:t>Demande d'autorisation d'appel déposée.</w:t>
            </w:r>
          </w:p>
          <w:p w:rsidR="00C860C8" w:rsidRPr="00A1535A" w:rsidRDefault="00C860C8" w:rsidP="00D40817">
            <w:pPr>
              <w:jc w:val="both"/>
              <w:rPr>
                <w:rFonts w:eastAsia="Calibri"/>
                <w:sz w:val="20"/>
                <w:lang w:val="fr-CA"/>
              </w:rPr>
            </w:pPr>
          </w:p>
        </w:tc>
      </w:tr>
    </w:tbl>
    <w:p w:rsidR="00EC09EE" w:rsidRDefault="00EC09EE" w:rsidP="00EC09EE">
      <w:pPr>
        <w:rPr>
          <w:sz w:val="20"/>
          <w:szCs w:val="20"/>
        </w:rPr>
      </w:pPr>
    </w:p>
    <w:p w:rsidR="00EC09EE" w:rsidRDefault="007333FF" w:rsidP="00EC09EE">
      <w:pPr>
        <w:rPr>
          <w:sz w:val="20"/>
          <w:szCs w:val="20"/>
        </w:rPr>
      </w:pPr>
      <w:r w:rsidRPr="007333FF">
        <w:rPr>
          <w:sz w:val="20"/>
          <w:szCs w:val="20"/>
          <w:lang w:val="fr-CA"/>
        </w:rPr>
        <w:pict>
          <v:rect id="_x0000_i1103" style="width:2in;height:1pt" o:hrpct="0" o:hralign="center" o:hrstd="t" o:hrnoshade="t" o:hr="t" fillcolor="black [3213]" stroked="f"/>
        </w:pict>
      </w:r>
    </w:p>
    <w:p w:rsidR="00EC09EE" w:rsidRDefault="00EC09EE" w:rsidP="00EC09E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40817" w:rsidRPr="00B6145B" w:rsidTr="00D40817">
        <w:trPr>
          <w:cantSplit/>
        </w:trPr>
        <w:tc>
          <w:tcPr>
            <w:tcW w:w="1458" w:type="dxa"/>
          </w:tcPr>
          <w:p w:rsidR="00D40817" w:rsidRPr="008A028C" w:rsidRDefault="00D40817" w:rsidP="00D40817">
            <w:pPr>
              <w:rPr>
                <w:sz w:val="20"/>
                <w:szCs w:val="20"/>
              </w:rPr>
            </w:pPr>
            <w:r w:rsidRPr="008A028C">
              <w:rPr>
                <w:rStyle w:val="SCCFileNumberChar"/>
                <w:sz w:val="20"/>
                <w:szCs w:val="20"/>
              </w:rPr>
              <w:t>34796</w:t>
            </w:r>
          </w:p>
          <w:p w:rsidR="00D40817" w:rsidRPr="008A028C" w:rsidRDefault="00D40817" w:rsidP="00D40817">
            <w:pPr>
              <w:rPr>
                <w:b/>
                <w:sz w:val="20"/>
                <w:szCs w:val="20"/>
                <w:lang w:val="fr-CA"/>
              </w:rPr>
            </w:pPr>
          </w:p>
        </w:tc>
        <w:tc>
          <w:tcPr>
            <w:tcW w:w="8118" w:type="dxa"/>
          </w:tcPr>
          <w:p w:rsidR="00D40817" w:rsidRPr="008A028C" w:rsidRDefault="00D40817" w:rsidP="00D40817">
            <w:pPr>
              <w:jc w:val="both"/>
              <w:rPr>
                <w:sz w:val="20"/>
                <w:szCs w:val="20"/>
                <w:lang w:val="fr-CA"/>
              </w:rPr>
            </w:pPr>
            <w:r w:rsidRPr="008A028C">
              <w:rPr>
                <w:rStyle w:val="SCCLsocChar"/>
                <w:sz w:val="20"/>
                <w:szCs w:val="20"/>
              </w:rPr>
              <w:t>J.C. c. Procureur général du Canada</w:t>
            </w:r>
            <w:r w:rsidR="00776AFF">
              <w:rPr>
                <w:rStyle w:val="SCCLsocChar"/>
                <w:sz w:val="20"/>
                <w:szCs w:val="20"/>
              </w:rPr>
              <w:t xml:space="preserve"> et</w:t>
            </w:r>
            <w:r w:rsidRPr="008A028C">
              <w:rPr>
                <w:rStyle w:val="SCCLsocChar"/>
                <w:sz w:val="20"/>
                <w:szCs w:val="20"/>
              </w:rPr>
              <w:t xml:space="preserve"> André Bachand, ès qualités d'adjudicateur</w:t>
            </w:r>
            <w:r w:rsidRPr="008A028C">
              <w:rPr>
                <w:sz w:val="20"/>
                <w:szCs w:val="20"/>
                <w:lang w:val="fr-CA"/>
              </w:rPr>
              <w:t xml:space="preserve"> (Qc) (Civile) (Autorisation)</w:t>
            </w:r>
          </w:p>
          <w:p w:rsidR="00D40817" w:rsidRPr="008A028C" w:rsidRDefault="00D40817" w:rsidP="00D40817">
            <w:pPr>
              <w:rPr>
                <w:sz w:val="20"/>
                <w:szCs w:val="20"/>
                <w:lang w:val="fr-CA"/>
              </w:rPr>
            </w:pPr>
          </w:p>
        </w:tc>
      </w:tr>
      <w:tr w:rsidR="00D40817" w:rsidRPr="00B6145B" w:rsidTr="00D40817">
        <w:trPr>
          <w:cantSplit/>
        </w:trPr>
        <w:tc>
          <w:tcPr>
            <w:tcW w:w="1458" w:type="dxa"/>
          </w:tcPr>
          <w:p w:rsidR="00D40817" w:rsidRPr="008A028C" w:rsidRDefault="00D40817" w:rsidP="00D40817">
            <w:pPr>
              <w:rPr>
                <w:sz w:val="20"/>
                <w:szCs w:val="20"/>
              </w:rPr>
            </w:pPr>
            <w:r w:rsidRPr="008A028C">
              <w:rPr>
                <w:sz w:val="20"/>
                <w:szCs w:val="20"/>
              </w:rPr>
              <w:t>Coram :</w:t>
            </w:r>
          </w:p>
        </w:tc>
        <w:tc>
          <w:tcPr>
            <w:tcW w:w="8118" w:type="dxa"/>
          </w:tcPr>
          <w:p w:rsidR="00D40817" w:rsidRPr="008A028C" w:rsidRDefault="00D40817" w:rsidP="00D40817">
            <w:pPr>
              <w:rPr>
                <w:sz w:val="20"/>
                <w:szCs w:val="20"/>
                <w:lang w:val="fr-CA"/>
              </w:rPr>
            </w:pPr>
            <w:r w:rsidRPr="008A028C">
              <w:rPr>
                <w:rStyle w:val="SCCCoramChar"/>
                <w:sz w:val="20"/>
                <w:szCs w:val="20"/>
              </w:rPr>
              <w:t>Les juges Deschamps, Fish et Karakatsanis</w:t>
            </w:r>
          </w:p>
          <w:p w:rsidR="00D40817" w:rsidRPr="008A028C" w:rsidRDefault="00D40817" w:rsidP="00D40817">
            <w:pPr>
              <w:rPr>
                <w:sz w:val="20"/>
                <w:szCs w:val="20"/>
                <w:u w:val="single"/>
                <w:lang w:val="fr-CA"/>
              </w:rPr>
            </w:pPr>
          </w:p>
        </w:tc>
      </w:tr>
      <w:tr w:rsidR="00D40817" w:rsidRPr="008A028C" w:rsidTr="00D40817">
        <w:trPr>
          <w:cantSplit/>
        </w:trPr>
        <w:tc>
          <w:tcPr>
            <w:tcW w:w="9576" w:type="dxa"/>
            <w:gridSpan w:val="2"/>
          </w:tcPr>
          <w:p w:rsidR="00D40817" w:rsidRPr="008A028C" w:rsidRDefault="00D40817" w:rsidP="00D40817">
            <w:pPr>
              <w:pStyle w:val="SCCShortJudgment"/>
              <w:rPr>
                <w:szCs w:val="20"/>
                <w:lang w:val="fr-CA"/>
              </w:rPr>
            </w:pPr>
            <w:r w:rsidRPr="008A028C">
              <w:rPr>
                <w:szCs w:val="20"/>
                <w:lang w:val="fr-CA"/>
              </w:rPr>
              <w:t>La demande d’autorisation d’appel de l’arrêt de la Cour d’appel du Québec (Québec), numéro 200-09-007054-106, 2012 QCCA 366, daté du 27 février 2012, est rejetée avec dépens en faveur de l’intimé procureur général du Canada.</w:t>
            </w:r>
          </w:p>
          <w:p w:rsidR="00D40817" w:rsidRPr="008A028C" w:rsidRDefault="00D40817" w:rsidP="00D40817">
            <w:pPr>
              <w:pStyle w:val="SCCShortJudgment"/>
              <w:ind w:firstLine="0"/>
              <w:rPr>
                <w:szCs w:val="20"/>
                <w:lang w:val="fr-CA"/>
              </w:rPr>
            </w:pPr>
          </w:p>
          <w:p w:rsidR="00D40817" w:rsidRPr="008A028C" w:rsidRDefault="00D40817" w:rsidP="00D40817">
            <w:pPr>
              <w:pStyle w:val="SCCShortJudgment"/>
              <w:rPr>
                <w:szCs w:val="20"/>
              </w:rPr>
            </w:pPr>
            <w:r w:rsidRPr="008A028C">
              <w:rPr>
                <w:szCs w:val="20"/>
              </w:rPr>
              <w:t>The application for leave to appeal from the judgment of the Court of Appeal of Quebec (Québec), Number 200-09-007054-106, 2012 QCCA 366, dated February 27, 2012 is dismissed with costs to the respondent Attorney General of Canada.</w:t>
            </w:r>
          </w:p>
        </w:tc>
      </w:tr>
    </w:tbl>
    <w:p w:rsidR="00EC09EE" w:rsidRPr="00D40817" w:rsidRDefault="00EC09EE" w:rsidP="00EC09EE">
      <w:pPr>
        <w:rPr>
          <w:sz w:val="20"/>
          <w:szCs w:val="20"/>
        </w:rPr>
      </w:pPr>
    </w:p>
    <w:p w:rsidR="00EC09EE" w:rsidRPr="001B157C" w:rsidRDefault="00EC09EE" w:rsidP="00EC09EE">
      <w:pPr>
        <w:rPr>
          <w:sz w:val="20"/>
          <w:szCs w:val="20"/>
          <w:u w:val="single"/>
        </w:rPr>
      </w:pPr>
      <w:r w:rsidRPr="001B157C">
        <w:rPr>
          <w:sz w:val="20"/>
          <w:szCs w:val="20"/>
          <w:u w:val="single"/>
        </w:rPr>
        <w:t>CASE SUMMARY</w:t>
      </w:r>
    </w:p>
    <w:p w:rsidR="00EC09EE" w:rsidRDefault="00EC09EE" w:rsidP="00EC09E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C421F" w:rsidRPr="00A1535A" w:rsidTr="00D40817">
        <w:tc>
          <w:tcPr>
            <w:tcW w:w="5000" w:type="pct"/>
            <w:gridSpan w:val="3"/>
          </w:tcPr>
          <w:p w:rsidR="000C421F" w:rsidRPr="00A1535A" w:rsidRDefault="000C421F" w:rsidP="00D40817">
            <w:pPr>
              <w:jc w:val="both"/>
              <w:rPr>
                <w:rFonts w:eastAsia="Calibri"/>
                <w:smallCaps/>
                <w:sz w:val="20"/>
              </w:rPr>
            </w:pPr>
            <w:r w:rsidRPr="00A1535A">
              <w:rPr>
                <w:rFonts w:eastAsia="Calibri"/>
                <w:smallCaps/>
                <w:sz w:val="20"/>
              </w:rPr>
              <w:t>(Publication Ban in Case) (Publication Ban on Party) (Sealing Order)</w:t>
            </w:r>
          </w:p>
          <w:p w:rsidR="000C421F" w:rsidRPr="00A1535A" w:rsidRDefault="000C421F" w:rsidP="00D40817">
            <w:pPr>
              <w:jc w:val="both"/>
              <w:rPr>
                <w:rFonts w:eastAsia="Calibri"/>
                <w:sz w:val="20"/>
              </w:rPr>
            </w:pPr>
          </w:p>
          <w:p w:rsidR="000C421F" w:rsidRPr="00A1535A" w:rsidRDefault="000C421F" w:rsidP="00D40817">
            <w:pPr>
              <w:jc w:val="both"/>
              <w:rPr>
                <w:rFonts w:eastAsia="Calibri"/>
                <w:sz w:val="20"/>
              </w:rPr>
            </w:pPr>
            <w:r w:rsidRPr="00A1535A">
              <w:rPr>
                <w:rFonts w:eastAsia="Calibri"/>
                <w:i/>
                <w:sz w:val="20"/>
              </w:rPr>
              <w:t>Canadian Charter of Rights and Freedoms</w:t>
            </w:r>
            <w:r w:rsidRPr="00A1535A">
              <w:rPr>
                <w:rFonts w:eastAsia="Calibri"/>
                <w:sz w:val="20"/>
              </w:rPr>
              <w:t xml:space="preserve"> – Civil procedure – Preliminary exceptions – Dilatory exceptions – Execution of precedent obligation – Whether </w:t>
            </w:r>
            <w:r w:rsidRPr="00A1535A">
              <w:rPr>
                <w:rFonts w:eastAsia="Calibri"/>
                <w:i/>
                <w:sz w:val="20"/>
              </w:rPr>
              <w:t>res judicata</w:t>
            </w:r>
            <w:r w:rsidRPr="00A1535A">
              <w:rPr>
                <w:rFonts w:eastAsia="Calibri"/>
                <w:sz w:val="20"/>
              </w:rPr>
              <w:t xml:space="preserve"> can be raised against applicant on ground that he is [</w:t>
            </w:r>
            <w:r w:rsidRPr="00A1535A">
              <w:rPr>
                <w:rFonts w:eastAsia="Calibri"/>
                <w:smallCaps/>
                <w:sz w:val="20"/>
              </w:rPr>
              <w:t>translation</w:t>
            </w:r>
            <w:r w:rsidRPr="00A1535A">
              <w:rPr>
                <w:rFonts w:eastAsia="Calibri"/>
                <w:sz w:val="20"/>
              </w:rPr>
              <w:t xml:space="preserve">] “implicit or virtual” party to judgment – Whether bringing of action based on s. 24(1) of </w:t>
            </w:r>
            <w:r w:rsidRPr="00A1535A">
              <w:rPr>
                <w:rFonts w:eastAsia="Calibri"/>
                <w:i/>
                <w:sz w:val="20"/>
              </w:rPr>
              <w:t>Charter</w:t>
            </w:r>
            <w:r w:rsidRPr="00A1535A">
              <w:rPr>
                <w:rFonts w:eastAsia="Calibri"/>
                <w:sz w:val="20"/>
              </w:rPr>
              <w:t xml:space="preserve"> can be made subject to obtaining prior discretionary leave – Article 168(3) of </w:t>
            </w:r>
            <w:r w:rsidRPr="00A1535A">
              <w:rPr>
                <w:rFonts w:eastAsia="Calibri"/>
                <w:i/>
                <w:sz w:val="20"/>
              </w:rPr>
              <w:t>Code of Civil Procedure</w:t>
            </w:r>
            <w:r w:rsidRPr="00A1535A">
              <w:rPr>
                <w:rFonts w:eastAsia="Calibri"/>
                <w:sz w:val="20"/>
              </w:rPr>
              <w:t>, R.S.Q., c. C</w:t>
            </w:r>
            <w:r w:rsidRPr="00A1535A">
              <w:rPr>
                <w:rFonts w:eastAsia="Calibri"/>
                <w:sz w:val="20"/>
              </w:rPr>
              <w:noBreakHyphen/>
              <w:t>25.</w:t>
            </w:r>
          </w:p>
        </w:tc>
      </w:tr>
      <w:tr w:rsidR="000C421F" w:rsidRPr="00A1535A" w:rsidTr="00D40817">
        <w:tc>
          <w:tcPr>
            <w:tcW w:w="5000" w:type="pct"/>
            <w:gridSpan w:val="3"/>
          </w:tcPr>
          <w:p w:rsidR="000C421F" w:rsidRPr="00A1535A" w:rsidRDefault="000C421F" w:rsidP="00D40817">
            <w:pPr>
              <w:jc w:val="both"/>
              <w:rPr>
                <w:rFonts w:eastAsia="Calibri"/>
                <w:sz w:val="20"/>
              </w:rPr>
            </w:pPr>
          </w:p>
        </w:tc>
      </w:tr>
      <w:tr w:rsidR="000C421F" w:rsidRPr="00A1535A" w:rsidTr="00D40817">
        <w:tc>
          <w:tcPr>
            <w:tcW w:w="5000" w:type="pct"/>
            <w:gridSpan w:val="3"/>
          </w:tcPr>
          <w:p w:rsidR="000C421F" w:rsidRPr="00A1535A" w:rsidRDefault="000C421F" w:rsidP="00D40817">
            <w:pPr>
              <w:jc w:val="both"/>
              <w:rPr>
                <w:rFonts w:eastAsia="Calibri"/>
                <w:sz w:val="20"/>
              </w:rPr>
            </w:pPr>
            <w:r w:rsidRPr="00A1535A">
              <w:rPr>
                <w:rFonts w:eastAsia="Calibri"/>
                <w:sz w:val="20"/>
              </w:rPr>
              <w:t>The applicant has been a member of the community of Missionary Oblates of Mary Immaculate (“Oblates”) since 1963.  On October 17, 2007, he learned from a federal entity, Indian Residential Schools Resolution Canada (“IRSRC”), that allegations of abuse had been made against him by former students in the context of a confidential administrative mechanism called Alternative Dispute Resolution (“ADR”), which had been in place since 2003.  The applicant subsequently agreed to testify before André Bachand (“adjudicator”), who had to decide the claim of a claimant, R.J., under the ADR process.  On May 15, 2009, the adjudicator rendered a decision in which he found on a balance of probabilities that the applicant and another member of the Oblates had subjected R.J. to incidents of a sexual nature.</w:t>
            </w:r>
          </w:p>
          <w:p w:rsidR="000C421F" w:rsidRPr="00A1535A" w:rsidRDefault="000C421F" w:rsidP="00D40817">
            <w:pPr>
              <w:jc w:val="both"/>
              <w:rPr>
                <w:rFonts w:eastAsia="Calibri"/>
                <w:sz w:val="20"/>
              </w:rPr>
            </w:pPr>
          </w:p>
          <w:p w:rsidR="000C421F" w:rsidRPr="00A1535A" w:rsidRDefault="000C421F" w:rsidP="00D40817">
            <w:pPr>
              <w:jc w:val="both"/>
              <w:rPr>
                <w:rFonts w:eastAsia="Calibri"/>
                <w:sz w:val="20"/>
              </w:rPr>
            </w:pPr>
            <w:r w:rsidRPr="00A1535A">
              <w:rPr>
                <w:rFonts w:eastAsia="Calibri"/>
                <w:sz w:val="20"/>
              </w:rPr>
              <w:t xml:space="preserve">The applicant then filed a motion to institute proceedings in nullity against the adjudicator’s decision, arguing, </w:t>
            </w:r>
            <w:r w:rsidRPr="00A1535A">
              <w:rPr>
                <w:rFonts w:eastAsia="Calibri"/>
                <w:i/>
                <w:sz w:val="20"/>
              </w:rPr>
              <w:t>inter alia</w:t>
            </w:r>
            <w:r w:rsidRPr="00A1535A">
              <w:rPr>
                <w:rFonts w:eastAsia="Calibri"/>
                <w:sz w:val="20"/>
              </w:rPr>
              <w:t>, that the procedure used by the adjudicator had infringed his right to make full answer and defence, particularly by preventing him from reading R.J.’s complete statement, being present for R.J.’s testimony, cross</w:t>
            </w:r>
            <w:r w:rsidRPr="00A1535A">
              <w:rPr>
                <w:rFonts w:eastAsia="Calibri"/>
                <w:sz w:val="20"/>
              </w:rPr>
              <w:noBreakHyphen/>
              <w:t>examining R.J. and making submissions before the adjudicator.  The applicant also complained that a substantial portion of the impugned decision had not been disclosed to him.</w:t>
            </w:r>
          </w:p>
          <w:p w:rsidR="000C421F" w:rsidRPr="00A1535A" w:rsidRDefault="000C421F" w:rsidP="00D40817">
            <w:pPr>
              <w:jc w:val="both"/>
              <w:rPr>
                <w:rFonts w:eastAsia="Calibri"/>
                <w:sz w:val="20"/>
              </w:rPr>
            </w:pPr>
          </w:p>
          <w:p w:rsidR="000C421F" w:rsidRPr="00A1535A" w:rsidRDefault="000C421F" w:rsidP="00D40817">
            <w:pPr>
              <w:jc w:val="both"/>
              <w:rPr>
                <w:rFonts w:eastAsia="Calibri"/>
                <w:sz w:val="20"/>
              </w:rPr>
            </w:pPr>
            <w:r w:rsidRPr="00A1535A">
              <w:rPr>
                <w:rFonts w:eastAsia="Calibri"/>
                <w:sz w:val="20"/>
              </w:rPr>
              <w:t xml:space="preserve">In response to the applicant’s motion in nullity, the Attorney General of Canada brought a motion in the Superior Court for the execution of a precedent obligation pursuant to art. 168(3) of the </w:t>
            </w:r>
            <w:r w:rsidRPr="00A1535A">
              <w:rPr>
                <w:rFonts w:eastAsia="Calibri"/>
                <w:i/>
                <w:sz w:val="20"/>
              </w:rPr>
              <w:t>Code of Civil Procedure</w:t>
            </w:r>
            <w:r w:rsidRPr="00A1535A">
              <w:rPr>
                <w:rFonts w:eastAsia="Calibri"/>
                <w:sz w:val="20"/>
              </w:rPr>
              <w:t>, R.S.Q., c. C</w:t>
            </w:r>
            <w:r w:rsidRPr="00A1535A">
              <w:rPr>
                <w:rFonts w:eastAsia="Calibri"/>
                <w:sz w:val="20"/>
              </w:rPr>
              <w:noBreakHyphen/>
              <w:t xml:space="preserve">25.  In support of that motion, the Attorney General argued that ADR was part of the implementation of the </w:t>
            </w:r>
            <w:r w:rsidRPr="00A1535A">
              <w:rPr>
                <w:rFonts w:eastAsia="Calibri"/>
                <w:i/>
                <w:sz w:val="20"/>
              </w:rPr>
              <w:t>Indian Residential Schools Settlement Agreement</w:t>
            </w:r>
            <w:r w:rsidRPr="00A1535A">
              <w:rPr>
                <w:rFonts w:eastAsia="Calibri"/>
                <w:sz w:val="20"/>
              </w:rPr>
              <w:t> (“IRSSA”), which had been approved by nine Canadian superior courts as a settlement of a Canada</w:t>
            </w:r>
            <w:r w:rsidRPr="00A1535A">
              <w:rPr>
                <w:rFonts w:eastAsia="Calibri"/>
                <w:sz w:val="20"/>
              </w:rPr>
              <w:noBreakHyphen/>
              <w:t>wide class action concerning Indian residential schools.  According to the Attorney General, this meant that prior leave had to be obtained for the applicant’s action as provided for in the judgment rendered in Quebec by Tingley J. on December 15, 2006 with regard to the class action and the approval of the IRSSA.</w:t>
            </w:r>
          </w:p>
          <w:p w:rsidR="000C421F" w:rsidRPr="00A1535A" w:rsidRDefault="000C421F" w:rsidP="00D40817">
            <w:pPr>
              <w:jc w:val="both"/>
              <w:rPr>
                <w:rFonts w:eastAsia="Calibri"/>
                <w:sz w:val="20"/>
              </w:rPr>
            </w:pPr>
          </w:p>
        </w:tc>
      </w:tr>
      <w:tr w:rsidR="000C421F" w:rsidRPr="00A1535A" w:rsidTr="00D40817">
        <w:tc>
          <w:tcPr>
            <w:tcW w:w="2427" w:type="pct"/>
          </w:tcPr>
          <w:p w:rsidR="000C421F" w:rsidRPr="00A1535A" w:rsidRDefault="000C421F" w:rsidP="00D40817">
            <w:pPr>
              <w:jc w:val="both"/>
              <w:rPr>
                <w:rFonts w:eastAsia="Calibri"/>
                <w:sz w:val="20"/>
              </w:rPr>
            </w:pPr>
            <w:r w:rsidRPr="00A1535A">
              <w:rPr>
                <w:rFonts w:eastAsia="Calibri"/>
                <w:sz w:val="20"/>
              </w:rPr>
              <w:t>April 27, 2010</w:t>
            </w:r>
          </w:p>
          <w:p w:rsidR="000C421F" w:rsidRPr="00A1535A" w:rsidRDefault="000C421F" w:rsidP="00D40817">
            <w:pPr>
              <w:jc w:val="both"/>
              <w:rPr>
                <w:rFonts w:eastAsia="Calibri"/>
                <w:sz w:val="20"/>
              </w:rPr>
            </w:pPr>
            <w:r w:rsidRPr="00A1535A">
              <w:rPr>
                <w:rFonts w:eastAsia="Calibri"/>
                <w:sz w:val="20"/>
              </w:rPr>
              <w:t>Quebec Superior Court</w:t>
            </w:r>
          </w:p>
          <w:p w:rsidR="000C421F" w:rsidRPr="00A1535A" w:rsidRDefault="000C421F" w:rsidP="00D40817">
            <w:pPr>
              <w:jc w:val="both"/>
              <w:rPr>
                <w:rFonts w:eastAsia="Calibri"/>
                <w:sz w:val="20"/>
              </w:rPr>
            </w:pPr>
            <w:r w:rsidRPr="00A1535A">
              <w:rPr>
                <w:rFonts w:eastAsia="Calibri"/>
                <w:sz w:val="20"/>
              </w:rPr>
              <w:t>(Duchesne J.)</w:t>
            </w:r>
          </w:p>
          <w:p w:rsidR="000C421F" w:rsidRPr="00A1535A" w:rsidRDefault="000C421F" w:rsidP="00D40817">
            <w:pPr>
              <w:jc w:val="both"/>
              <w:rPr>
                <w:rFonts w:eastAsia="Calibri"/>
                <w:sz w:val="20"/>
              </w:rPr>
            </w:pPr>
            <w:r w:rsidRPr="00A1535A">
              <w:rPr>
                <w:rFonts w:eastAsia="Calibri"/>
                <w:sz w:val="20"/>
              </w:rPr>
              <w:t>2010 QCCS 1842</w:t>
            </w:r>
          </w:p>
          <w:p w:rsidR="000C421F" w:rsidRPr="00A1535A" w:rsidRDefault="000C421F" w:rsidP="00D40817">
            <w:pPr>
              <w:jc w:val="both"/>
              <w:rPr>
                <w:rFonts w:eastAsia="Calibri"/>
                <w:sz w:val="20"/>
              </w:rPr>
            </w:pPr>
          </w:p>
        </w:tc>
        <w:tc>
          <w:tcPr>
            <w:tcW w:w="243" w:type="pct"/>
          </w:tcPr>
          <w:p w:rsidR="000C421F" w:rsidRPr="00A1535A" w:rsidRDefault="000C421F" w:rsidP="00D40817">
            <w:pPr>
              <w:jc w:val="both"/>
              <w:rPr>
                <w:rFonts w:eastAsia="Calibri"/>
                <w:sz w:val="20"/>
              </w:rPr>
            </w:pPr>
          </w:p>
        </w:tc>
        <w:tc>
          <w:tcPr>
            <w:tcW w:w="2330" w:type="pct"/>
          </w:tcPr>
          <w:p w:rsidR="000C421F" w:rsidRPr="00A1535A" w:rsidRDefault="000C421F" w:rsidP="00D40817">
            <w:pPr>
              <w:jc w:val="both"/>
              <w:rPr>
                <w:rFonts w:eastAsia="Calibri"/>
                <w:sz w:val="20"/>
              </w:rPr>
            </w:pPr>
            <w:r w:rsidRPr="00A1535A">
              <w:rPr>
                <w:rFonts w:eastAsia="Calibri"/>
                <w:sz w:val="20"/>
              </w:rPr>
              <w:t xml:space="preserve">Motion by respondent for execution of precedent obligation pursuant to art. 168(3) of </w:t>
            </w:r>
            <w:r w:rsidRPr="00A1535A">
              <w:rPr>
                <w:rFonts w:eastAsia="Calibri"/>
                <w:i/>
                <w:sz w:val="20"/>
              </w:rPr>
              <w:t>Code of Civil Procedure</w:t>
            </w:r>
            <w:r w:rsidRPr="00A1535A">
              <w:rPr>
                <w:rFonts w:eastAsia="Calibri"/>
                <w:sz w:val="20"/>
              </w:rPr>
              <w:t>, R.S.Q., c. C</w:t>
            </w:r>
            <w:r w:rsidRPr="00A1535A">
              <w:rPr>
                <w:rFonts w:eastAsia="Calibri"/>
                <w:sz w:val="20"/>
              </w:rPr>
              <w:noBreakHyphen/>
              <w:t>25, allowed</w:t>
            </w:r>
          </w:p>
          <w:p w:rsidR="000C421F" w:rsidRPr="00A1535A" w:rsidRDefault="000C421F" w:rsidP="00D40817">
            <w:pPr>
              <w:jc w:val="both"/>
              <w:rPr>
                <w:rFonts w:eastAsia="Calibri"/>
                <w:sz w:val="20"/>
              </w:rPr>
            </w:pPr>
          </w:p>
        </w:tc>
      </w:tr>
      <w:tr w:rsidR="000C421F" w:rsidRPr="00A1535A" w:rsidTr="00D40817">
        <w:tc>
          <w:tcPr>
            <w:tcW w:w="2427" w:type="pct"/>
          </w:tcPr>
          <w:p w:rsidR="000C421F" w:rsidRPr="00A1535A" w:rsidRDefault="000C421F" w:rsidP="00D40817">
            <w:pPr>
              <w:jc w:val="both"/>
              <w:rPr>
                <w:rFonts w:eastAsia="Calibri"/>
                <w:sz w:val="20"/>
              </w:rPr>
            </w:pPr>
            <w:r w:rsidRPr="00A1535A">
              <w:rPr>
                <w:rFonts w:eastAsia="Calibri"/>
                <w:sz w:val="20"/>
              </w:rPr>
              <w:t>February 27, 2012</w:t>
            </w:r>
          </w:p>
          <w:p w:rsidR="000C421F" w:rsidRPr="00A1535A" w:rsidRDefault="000C421F" w:rsidP="00D40817">
            <w:pPr>
              <w:jc w:val="both"/>
              <w:rPr>
                <w:rFonts w:eastAsia="Calibri"/>
                <w:sz w:val="20"/>
              </w:rPr>
            </w:pPr>
            <w:r w:rsidRPr="00A1535A">
              <w:rPr>
                <w:rFonts w:eastAsia="Calibri"/>
                <w:sz w:val="20"/>
              </w:rPr>
              <w:t>Quebec Court of Appeal (Québec)</w:t>
            </w:r>
          </w:p>
          <w:p w:rsidR="000C421F" w:rsidRPr="00A1535A" w:rsidRDefault="000C421F" w:rsidP="00D40817">
            <w:pPr>
              <w:jc w:val="both"/>
              <w:rPr>
                <w:rFonts w:eastAsia="Calibri"/>
                <w:sz w:val="20"/>
              </w:rPr>
            </w:pPr>
            <w:r w:rsidRPr="00A1535A">
              <w:rPr>
                <w:rFonts w:eastAsia="Calibri"/>
                <w:sz w:val="20"/>
              </w:rPr>
              <w:t>(Thibault, Hilton and Léger JJ.A.)</w:t>
            </w:r>
          </w:p>
          <w:p w:rsidR="000C421F" w:rsidRPr="00A1535A" w:rsidRDefault="000C421F" w:rsidP="00D40817">
            <w:pPr>
              <w:jc w:val="both"/>
              <w:rPr>
                <w:rFonts w:eastAsia="Calibri"/>
                <w:sz w:val="20"/>
              </w:rPr>
            </w:pPr>
            <w:r w:rsidRPr="00A1535A">
              <w:rPr>
                <w:rFonts w:eastAsia="Calibri"/>
                <w:sz w:val="20"/>
              </w:rPr>
              <w:t>2012 QCCA 366</w:t>
            </w:r>
          </w:p>
          <w:p w:rsidR="000C421F" w:rsidRPr="00A1535A" w:rsidRDefault="000C421F" w:rsidP="00D40817">
            <w:pPr>
              <w:jc w:val="both"/>
              <w:rPr>
                <w:rFonts w:eastAsia="Calibri"/>
                <w:sz w:val="20"/>
              </w:rPr>
            </w:pPr>
          </w:p>
        </w:tc>
        <w:tc>
          <w:tcPr>
            <w:tcW w:w="243" w:type="pct"/>
          </w:tcPr>
          <w:p w:rsidR="000C421F" w:rsidRPr="00A1535A" w:rsidRDefault="000C421F" w:rsidP="00D40817">
            <w:pPr>
              <w:jc w:val="both"/>
              <w:rPr>
                <w:rFonts w:eastAsia="Calibri"/>
                <w:sz w:val="20"/>
              </w:rPr>
            </w:pPr>
          </w:p>
        </w:tc>
        <w:tc>
          <w:tcPr>
            <w:tcW w:w="2330" w:type="pct"/>
          </w:tcPr>
          <w:p w:rsidR="000C421F" w:rsidRPr="00A1535A" w:rsidRDefault="000C421F" w:rsidP="00D40817">
            <w:pPr>
              <w:jc w:val="both"/>
              <w:rPr>
                <w:rFonts w:eastAsia="Calibri"/>
                <w:sz w:val="20"/>
              </w:rPr>
            </w:pPr>
            <w:r w:rsidRPr="00A1535A">
              <w:rPr>
                <w:rFonts w:eastAsia="Calibri"/>
                <w:sz w:val="20"/>
              </w:rPr>
              <w:t>Appeal dismissed</w:t>
            </w:r>
          </w:p>
        </w:tc>
      </w:tr>
      <w:tr w:rsidR="000C421F" w:rsidRPr="00A1535A" w:rsidTr="00D40817">
        <w:tc>
          <w:tcPr>
            <w:tcW w:w="2427" w:type="pct"/>
          </w:tcPr>
          <w:p w:rsidR="000C421F" w:rsidRPr="00A1535A" w:rsidRDefault="000C421F" w:rsidP="00D40817">
            <w:pPr>
              <w:jc w:val="both"/>
              <w:rPr>
                <w:rFonts w:eastAsia="Calibri"/>
                <w:sz w:val="20"/>
              </w:rPr>
            </w:pPr>
            <w:r w:rsidRPr="00A1535A">
              <w:rPr>
                <w:rFonts w:eastAsia="Calibri"/>
                <w:sz w:val="20"/>
              </w:rPr>
              <w:t>April 26, 2012</w:t>
            </w:r>
          </w:p>
          <w:p w:rsidR="000C421F" w:rsidRPr="00A1535A" w:rsidRDefault="000C421F" w:rsidP="00D40817">
            <w:pPr>
              <w:jc w:val="both"/>
              <w:rPr>
                <w:rFonts w:eastAsia="Calibri"/>
                <w:sz w:val="20"/>
              </w:rPr>
            </w:pPr>
            <w:r w:rsidRPr="00A1535A">
              <w:rPr>
                <w:rFonts w:eastAsia="Calibri"/>
                <w:sz w:val="20"/>
              </w:rPr>
              <w:t>Supreme Court of Canada</w:t>
            </w:r>
          </w:p>
        </w:tc>
        <w:tc>
          <w:tcPr>
            <w:tcW w:w="243" w:type="pct"/>
          </w:tcPr>
          <w:p w:rsidR="000C421F" w:rsidRPr="00A1535A" w:rsidRDefault="000C421F" w:rsidP="00D40817">
            <w:pPr>
              <w:jc w:val="both"/>
              <w:rPr>
                <w:rFonts w:eastAsia="Calibri"/>
                <w:sz w:val="20"/>
              </w:rPr>
            </w:pPr>
          </w:p>
        </w:tc>
        <w:tc>
          <w:tcPr>
            <w:tcW w:w="2330" w:type="pct"/>
          </w:tcPr>
          <w:p w:rsidR="000C421F" w:rsidRPr="00A1535A" w:rsidRDefault="000C421F" w:rsidP="00D40817">
            <w:pPr>
              <w:jc w:val="both"/>
              <w:rPr>
                <w:rFonts w:eastAsia="Calibri"/>
                <w:sz w:val="20"/>
              </w:rPr>
            </w:pPr>
            <w:r w:rsidRPr="00A1535A">
              <w:rPr>
                <w:rFonts w:eastAsia="Calibri"/>
                <w:sz w:val="20"/>
              </w:rPr>
              <w:t>Application for leave to appeal filed</w:t>
            </w:r>
          </w:p>
          <w:p w:rsidR="000C421F" w:rsidRPr="00A1535A" w:rsidRDefault="000C421F" w:rsidP="00D40817">
            <w:pPr>
              <w:jc w:val="both"/>
              <w:rPr>
                <w:rFonts w:eastAsia="Calibri"/>
                <w:sz w:val="20"/>
              </w:rPr>
            </w:pPr>
          </w:p>
        </w:tc>
      </w:tr>
    </w:tbl>
    <w:p w:rsidR="00EC09EE" w:rsidRDefault="00EC09EE" w:rsidP="00EC09EE">
      <w:pPr>
        <w:rPr>
          <w:sz w:val="20"/>
          <w:szCs w:val="20"/>
        </w:rPr>
      </w:pPr>
    </w:p>
    <w:p w:rsidR="00EC09EE" w:rsidRPr="00C50A5C" w:rsidRDefault="007333FF" w:rsidP="00EC09EE">
      <w:pPr>
        <w:rPr>
          <w:sz w:val="20"/>
          <w:szCs w:val="20"/>
        </w:rPr>
      </w:pPr>
      <w:r w:rsidRPr="007333FF">
        <w:rPr>
          <w:sz w:val="20"/>
          <w:szCs w:val="20"/>
          <w:lang w:val="fr-CA"/>
        </w:rPr>
        <w:pict>
          <v:rect id="_x0000_i1104" style="width:2in;height:1pt" o:hrpct="0" o:hralign="center" o:hrstd="t" o:hrnoshade="t" o:hr="t" fillcolor="black [3213]" stroked="f"/>
        </w:pict>
      </w:r>
    </w:p>
    <w:p w:rsidR="00EC09EE" w:rsidRDefault="00EC09EE" w:rsidP="00EC09EE">
      <w:pPr>
        <w:rPr>
          <w:sz w:val="20"/>
          <w:szCs w:val="20"/>
        </w:rPr>
      </w:pPr>
    </w:p>
    <w:p w:rsidR="00EC09EE" w:rsidRPr="001B157C" w:rsidRDefault="00EC09EE" w:rsidP="00EC09EE">
      <w:pPr>
        <w:rPr>
          <w:sz w:val="20"/>
          <w:szCs w:val="20"/>
          <w:u w:val="single"/>
          <w:lang w:val="fr-CA"/>
        </w:rPr>
      </w:pPr>
      <w:r w:rsidRPr="001B157C">
        <w:rPr>
          <w:sz w:val="20"/>
          <w:szCs w:val="20"/>
          <w:u w:val="single"/>
          <w:lang w:val="fr-CA"/>
        </w:rPr>
        <w:t>RÉSUMÉ DE L’AFFAIRE</w:t>
      </w:r>
    </w:p>
    <w:p w:rsidR="00EC09EE" w:rsidRDefault="00EC09EE" w:rsidP="00EC09E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C421F" w:rsidRPr="00C832DD" w:rsidTr="00D40817">
        <w:tc>
          <w:tcPr>
            <w:tcW w:w="5000" w:type="pct"/>
            <w:gridSpan w:val="3"/>
          </w:tcPr>
          <w:p w:rsidR="000C421F" w:rsidRPr="00A1535A" w:rsidRDefault="000C421F" w:rsidP="00D40817">
            <w:pPr>
              <w:jc w:val="both"/>
              <w:rPr>
                <w:rFonts w:eastAsia="Calibri"/>
                <w:smallCaps/>
                <w:sz w:val="20"/>
                <w:lang w:val="fr-CA"/>
              </w:rPr>
            </w:pPr>
            <w:r w:rsidRPr="00A1535A">
              <w:rPr>
                <w:rFonts w:eastAsia="Calibri"/>
                <w:smallCaps/>
                <w:sz w:val="20"/>
                <w:lang w:val="fr-CA"/>
              </w:rPr>
              <w:t>(Ordonnance de non-publication dans le dossier) (Ordonnance de non-publication visant une partie) (Ordonnance de mise sous scellés)</w:t>
            </w:r>
          </w:p>
          <w:p w:rsidR="000C421F" w:rsidRPr="00A1535A" w:rsidRDefault="000C421F" w:rsidP="00D40817">
            <w:pPr>
              <w:jc w:val="both"/>
              <w:rPr>
                <w:rFonts w:eastAsia="Calibri"/>
                <w:sz w:val="20"/>
                <w:lang w:val="fr-CA"/>
              </w:rPr>
            </w:pPr>
          </w:p>
          <w:p w:rsidR="000C421F" w:rsidRPr="00A1535A" w:rsidRDefault="000C421F" w:rsidP="00D40817">
            <w:pPr>
              <w:jc w:val="both"/>
              <w:rPr>
                <w:rFonts w:eastAsia="Calibri"/>
                <w:sz w:val="20"/>
                <w:lang w:val="fr-CA"/>
              </w:rPr>
            </w:pPr>
            <w:r w:rsidRPr="00A1535A">
              <w:rPr>
                <w:rFonts w:eastAsia="Calibri"/>
                <w:i/>
                <w:sz w:val="20"/>
                <w:lang w:val="fr-CA"/>
              </w:rPr>
              <w:t>Charte canadienne des droits et libertés</w:t>
            </w:r>
            <w:r w:rsidRPr="00A1535A">
              <w:rPr>
                <w:rFonts w:eastAsia="Calibri"/>
                <w:sz w:val="20"/>
                <w:lang w:val="fr-CA"/>
              </w:rPr>
              <w:t xml:space="preserve"> – Procédure civile – Moyens préliminaires – Moyens dilatoires – Exécution d’une obligation préjudicielle – Peut-on opposer l’autorité de la chose jugée à l’égard du demandeur au motif que celui-ci serait une partie « implicite ou virtuelle » à un jugement? – L’exercice d’un recours fondé sur l’article 24(1) de la </w:t>
            </w:r>
            <w:r w:rsidRPr="00A1535A">
              <w:rPr>
                <w:rFonts w:eastAsia="Calibri"/>
                <w:i/>
                <w:sz w:val="20"/>
                <w:lang w:val="fr-CA"/>
              </w:rPr>
              <w:t>Charte</w:t>
            </w:r>
            <w:r w:rsidRPr="00A1535A">
              <w:rPr>
                <w:rFonts w:eastAsia="Calibri"/>
                <w:sz w:val="20"/>
                <w:lang w:val="fr-CA"/>
              </w:rPr>
              <w:t xml:space="preserve"> peut-il être assujetti à l’obtention d’une autorisation préalable discrétionnaire? – Article  168(3) du </w:t>
            </w:r>
            <w:r w:rsidRPr="00A1535A">
              <w:rPr>
                <w:rFonts w:eastAsia="Calibri"/>
                <w:i/>
                <w:sz w:val="20"/>
                <w:lang w:val="fr-CA"/>
              </w:rPr>
              <w:t>Code de procédure civile</w:t>
            </w:r>
            <w:r w:rsidRPr="00A1535A">
              <w:rPr>
                <w:rFonts w:eastAsia="Calibri"/>
                <w:sz w:val="20"/>
                <w:lang w:val="fr-CA"/>
              </w:rPr>
              <w:t>, L.R.Q., chapitre C-25.</w:t>
            </w:r>
          </w:p>
        </w:tc>
      </w:tr>
      <w:tr w:rsidR="000C421F" w:rsidRPr="00C832DD" w:rsidTr="00D40817">
        <w:tc>
          <w:tcPr>
            <w:tcW w:w="5000" w:type="pct"/>
            <w:gridSpan w:val="3"/>
          </w:tcPr>
          <w:p w:rsidR="000C421F" w:rsidRPr="00A1535A" w:rsidRDefault="000C421F" w:rsidP="00D40817">
            <w:pPr>
              <w:jc w:val="both"/>
              <w:rPr>
                <w:rFonts w:eastAsia="Calibri"/>
                <w:sz w:val="20"/>
                <w:lang w:val="fr-CA"/>
              </w:rPr>
            </w:pPr>
          </w:p>
        </w:tc>
      </w:tr>
      <w:tr w:rsidR="000C421F" w:rsidRPr="00C832DD" w:rsidTr="00D40817">
        <w:tc>
          <w:tcPr>
            <w:tcW w:w="5000" w:type="pct"/>
            <w:gridSpan w:val="3"/>
          </w:tcPr>
          <w:p w:rsidR="000C421F" w:rsidRPr="00A1535A" w:rsidRDefault="000C421F" w:rsidP="00D40817">
            <w:pPr>
              <w:jc w:val="both"/>
              <w:rPr>
                <w:rFonts w:eastAsia="Calibri"/>
                <w:sz w:val="20"/>
                <w:lang w:val="fr-CA"/>
              </w:rPr>
            </w:pPr>
            <w:r w:rsidRPr="00A1535A">
              <w:rPr>
                <w:rFonts w:eastAsia="Calibri"/>
                <w:sz w:val="20"/>
                <w:lang w:val="fr-CA"/>
              </w:rPr>
              <w:lastRenderedPageBreak/>
              <w:t>Le demandeur est membre de la Communauté des missionnaires Oblats de Marie immaculée (« les Oblats ») depuis 1963.  Le 17 octobre 2007, par le biais de l’entité fédérale Résolution des questions des pensionnats indiens Canada (« RQPIC »), il apprend que « des allégations de sévices ont été portées contre [lui] par d’anciens étudiants », dans le cadre d’un mécanisme administratif confidentiel intitulé Mode alternatif de règlement des conflits (« MARC »), en place depuis 2003.  Le demandeur a par la suite accepté de témoigner devant André Bachand (« l’adjudicateur »), lequel était appelé à décider dans le cadre du MARC de la réclamation d’un réclamant, R.J.  Le 15 mai 2009, l’adjudicateur rend une décision suivant laquelle il en arrive à la conclusion que, selon la prépondérance des probabilités, le demandeur, de même qu’un autre membre des Oblats, ont fait subir à R.J. des incidents à caractère sexuel.</w:t>
            </w:r>
          </w:p>
          <w:p w:rsidR="000C421F" w:rsidRPr="00A1535A" w:rsidRDefault="000C421F" w:rsidP="00D40817">
            <w:pPr>
              <w:jc w:val="both"/>
              <w:rPr>
                <w:rFonts w:eastAsia="Calibri"/>
                <w:sz w:val="20"/>
                <w:lang w:val="fr-CA"/>
              </w:rPr>
            </w:pPr>
          </w:p>
          <w:p w:rsidR="000C421F" w:rsidRPr="00A1535A" w:rsidRDefault="000C421F" w:rsidP="00D40817">
            <w:pPr>
              <w:jc w:val="both"/>
              <w:rPr>
                <w:rFonts w:eastAsia="Calibri"/>
                <w:sz w:val="20"/>
                <w:lang w:val="fr-CA"/>
              </w:rPr>
            </w:pPr>
            <w:r w:rsidRPr="00A1535A">
              <w:rPr>
                <w:rFonts w:eastAsia="Calibri"/>
                <w:sz w:val="20"/>
                <w:lang w:val="fr-CA"/>
              </w:rPr>
              <w:t>Le demandeur dépose alors une requête introductive d’instance en nullité de la décision de l’adjudicateur et y prétend, entre autres, que la procédure suivie par l’adjudicateur a porté atteinte à son droit à une défense pleine et entière, notamment en l’empêchant de prendre connaissance de la déclaration complète de R.J., d’assister au témoignage de ce dernier, de le contre-interroger et de faire des représentations devant l’adjudicateur.  Il se plaint également qu’une portion substantielle de la décision attaquée ne lui a pas été communiquée.</w:t>
            </w:r>
          </w:p>
          <w:p w:rsidR="000C421F" w:rsidRPr="00A1535A" w:rsidRDefault="000C421F" w:rsidP="00D40817">
            <w:pPr>
              <w:jc w:val="both"/>
              <w:rPr>
                <w:rFonts w:eastAsia="Calibri"/>
                <w:sz w:val="20"/>
                <w:lang w:val="fr-CA"/>
              </w:rPr>
            </w:pPr>
          </w:p>
          <w:p w:rsidR="000C421F" w:rsidRPr="00A1535A" w:rsidRDefault="000C421F" w:rsidP="00D40817">
            <w:pPr>
              <w:jc w:val="both"/>
              <w:rPr>
                <w:rFonts w:eastAsia="Calibri"/>
                <w:sz w:val="20"/>
                <w:lang w:val="fr-CA"/>
              </w:rPr>
            </w:pPr>
            <w:r w:rsidRPr="00A1535A">
              <w:rPr>
                <w:rFonts w:eastAsia="Calibri"/>
                <w:sz w:val="20"/>
                <w:lang w:val="fr-CA"/>
              </w:rPr>
              <w:t xml:space="preserve">En réponse à la requête en nullité du demandeur, le Procureur général du Canada présente devant la Cour supérieure une requête en exécution d’une obligation préjudicielle en vertu de l’article 168(3) du </w:t>
            </w:r>
            <w:r w:rsidRPr="00A1535A">
              <w:rPr>
                <w:rFonts w:eastAsia="Calibri"/>
                <w:i/>
                <w:sz w:val="20"/>
                <w:lang w:val="fr-CA"/>
              </w:rPr>
              <w:t>Code de procédure civile</w:t>
            </w:r>
            <w:r w:rsidRPr="00A1535A">
              <w:rPr>
                <w:rFonts w:eastAsia="Calibri"/>
                <w:sz w:val="20"/>
                <w:lang w:val="fr-CA"/>
              </w:rPr>
              <w:t xml:space="preserve">, L.R.Q., chapitre C-25.  Au soutien de cette requête, le Procureur général maintient que le MARC s’inscrit dans le cadre de la mise en œuvre de la </w:t>
            </w:r>
            <w:r w:rsidRPr="00A1535A">
              <w:rPr>
                <w:rFonts w:eastAsia="Calibri"/>
                <w:i/>
                <w:sz w:val="20"/>
                <w:lang w:val="fr-CA"/>
              </w:rPr>
              <w:t>Convention de règlement relative aux pensionnats indiens</w:t>
            </w:r>
            <w:r w:rsidRPr="00A1535A">
              <w:rPr>
                <w:rFonts w:eastAsia="Calibri"/>
                <w:sz w:val="20"/>
                <w:lang w:val="fr-CA"/>
              </w:rPr>
              <w:t>  (la « CRRPI ») qui a été approuvée par neuf cours supérieures canadiennes à titre de règlement d’un recours collectif pancanadien concernant les pensionnats indiens.  Selon le Procureur général, le recours du demandeur requiert donc une autorisation préalable prévue par le jugement rendu au Québec le 15 décembre 2006 par le juge Tingley eu égard à ce recours collectif et l’approbation de la CRRPI.</w:t>
            </w:r>
          </w:p>
          <w:p w:rsidR="000C421F" w:rsidRPr="00A1535A" w:rsidRDefault="000C421F" w:rsidP="00D40817">
            <w:pPr>
              <w:jc w:val="both"/>
              <w:rPr>
                <w:rFonts w:eastAsia="Calibri"/>
                <w:sz w:val="20"/>
                <w:lang w:val="fr-CA"/>
              </w:rPr>
            </w:pPr>
          </w:p>
        </w:tc>
      </w:tr>
      <w:tr w:rsidR="000C421F" w:rsidRPr="00C832DD" w:rsidTr="00D40817">
        <w:tc>
          <w:tcPr>
            <w:tcW w:w="2427" w:type="pct"/>
          </w:tcPr>
          <w:p w:rsidR="000C421F" w:rsidRPr="00A1535A" w:rsidRDefault="000C421F" w:rsidP="00D40817">
            <w:pPr>
              <w:jc w:val="both"/>
              <w:rPr>
                <w:rFonts w:eastAsia="Calibri"/>
                <w:sz w:val="20"/>
                <w:lang w:val="fr-CA"/>
              </w:rPr>
            </w:pPr>
            <w:r w:rsidRPr="00A1535A">
              <w:rPr>
                <w:rFonts w:eastAsia="Calibri"/>
                <w:sz w:val="20"/>
                <w:lang w:val="fr-CA"/>
              </w:rPr>
              <w:t>Le 27 avril 2010</w:t>
            </w:r>
          </w:p>
          <w:p w:rsidR="000C421F" w:rsidRPr="00A1535A" w:rsidRDefault="000C421F" w:rsidP="00D40817">
            <w:pPr>
              <w:jc w:val="both"/>
              <w:rPr>
                <w:rFonts w:eastAsia="Calibri"/>
                <w:sz w:val="20"/>
                <w:lang w:val="fr-CA"/>
              </w:rPr>
            </w:pPr>
            <w:r w:rsidRPr="00A1535A">
              <w:rPr>
                <w:rFonts w:eastAsia="Calibri"/>
                <w:sz w:val="20"/>
                <w:lang w:val="fr-CA"/>
              </w:rPr>
              <w:t>Cour supérieure du Québec</w:t>
            </w:r>
          </w:p>
          <w:p w:rsidR="000C421F" w:rsidRPr="00A1535A" w:rsidRDefault="000C421F" w:rsidP="00D40817">
            <w:pPr>
              <w:jc w:val="both"/>
              <w:rPr>
                <w:rFonts w:eastAsia="Calibri"/>
                <w:sz w:val="20"/>
                <w:lang w:val="fr-CA"/>
              </w:rPr>
            </w:pPr>
            <w:r w:rsidRPr="00A1535A">
              <w:rPr>
                <w:rFonts w:eastAsia="Calibri"/>
                <w:sz w:val="20"/>
                <w:lang w:val="fr-CA"/>
              </w:rPr>
              <w:t>(Le juge Duchesne)</w:t>
            </w:r>
          </w:p>
          <w:p w:rsidR="000C421F" w:rsidRPr="00A1535A" w:rsidRDefault="000C421F" w:rsidP="00D40817">
            <w:pPr>
              <w:jc w:val="both"/>
              <w:rPr>
                <w:rFonts w:eastAsia="Calibri"/>
                <w:sz w:val="20"/>
                <w:lang w:val="fr-CA"/>
              </w:rPr>
            </w:pPr>
            <w:r w:rsidRPr="00A1535A">
              <w:rPr>
                <w:rFonts w:eastAsia="Calibri"/>
                <w:sz w:val="20"/>
                <w:lang w:val="fr-CA"/>
              </w:rPr>
              <w:t>2010 QCCS 1842</w:t>
            </w:r>
          </w:p>
          <w:p w:rsidR="000C421F" w:rsidRPr="00A1535A" w:rsidRDefault="000C421F" w:rsidP="00D40817">
            <w:pPr>
              <w:jc w:val="both"/>
              <w:rPr>
                <w:rFonts w:eastAsia="Calibri"/>
                <w:sz w:val="20"/>
                <w:lang w:val="fr-CA"/>
              </w:rPr>
            </w:pPr>
          </w:p>
        </w:tc>
        <w:tc>
          <w:tcPr>
            <w:tcW w:w="243" w:type="pct"/>
          </w:tcPr>
          <w:p w:rsidR="000C421F" w:rsidRPr="00A1535A" w:rsidRDefault="000C421F" w:rsidP="00D40817">
            <w:pPr>
              <w:jc w:val="both"/>
              <w:rPr>
                <w:rFonts w:eastAsia="Calibri"/>
                <w:sz w:val="20"/>
                <w:lang w:val="fr-CA"/>
              </w:rPr>
            </w:pPr>
          </w:p>
        </w:tc>
        <w:tc>
          <w:tcPr>
            <w:tcW w:w="2330" w:type="pct"/>
          </w:tcPr>
          <w:p w:rsidR="000C421F" w:rsidRPr="00A1535A" w:rsidRDefault="000C421F" w:rsidP="00D40817">
            <w:pPr>
              <w:jc w:val="both"/>
              <w:rPr>
                <w:rFonts w:eastAsia="Calibri"/>
                <w:sz w:val="20"/>
                <w:lang w:val="fr-CA"/>
              </w:rPr>
            </w:pPr>
            <w:r w:rsidRPr="00A1535A">
              <w:rPr>
                <w:rFonts w:eastAsia="Calibri"/>
                <w:sz w:val="20"/>
                <w:lang w:val="fr-CA"/>
              </w:rPr>
              <w:t xml:space="preserve">Requête de l’intimé en exécution d’une obligation préjudicielle en vertu de l’article  168(3) du </w:t>
            </w:r>
            <w:r w:rsidRPr="00A1535A">
              <w:rPr>
                <w:rFonts w:eastAsia="Calibri"/>
                <w:i/>
                <w:sz w:val="20"/>
                <w:lang w:val="fr-CA"/>
              </w:rPr>
              <w:t>Code de procédure civile</w:t>
            </w:r>
            <w:r w:rsidRPr="00A1535A">
              <w:rPr>
                <w:rFonts w:eastAsia="Calibri"/>
                <w:sz w:val="20"/>
                <w:lang w:val="fr-CA"/>
              </w:rPr>
              <w:t>, L.R.Q., chapitre C-25 accueillie.</w:t>
            </w:r>
          </w:p>
          <w:p w:rsidR="000C421F" w:rsidRPr="00A1535A" w:rsidRDefault="000C421F" w:rsidP="00D40817">
            <w:pPr>
              <w:jc w:val="both"/>
              <w:rPr>
                <w:rFonts w:eastAsia="Calibri"/>
                <w:sz w:val="20"/>
                <w:lang w:val="fr-CA"/>
              </w:rPr>
            </w:pPr>
          </w:p>
        </w:tc>
      </w:tr>
      <w:tr w:rsidR="000C421F" w:rsidRPr="00A1535A" w:rsidTr="00D40817">
        <w:tc>
          <w:tcPr>
            <w:tcW w:w="2427" w:type="pct"/>
          </w:tcPr>
          <w:p w:rsidR="000C421F" w:rsidRPr="00A1535A" w:rsidRDefault="000C421F" w:rsidP="00D40817">
            <w:pPr>
              <w:jc w:val="both"/>
              <w:rPr>
                <w:rFonts w:eastAsia="Calibri"/>
                <w:sz w:val="20"/>
                <w:lang w:val="fr-CA"/>
              </w:rPr>
            </w:pPr>
            <w:r w:rsidRPr="00A1535A">
              <w:rPr>
                <w:rFonts w:eastAsia="Calibri"/>
                <w:sz w:val="20"/>
                <w:lang w:val="fr-CA"/>
              </w:rPr>
              <w:t>Le 27 février 2012</w:t>
            </w:r>
          </w:p>
          <w:p w:rsidR="000C421F" w:rsidRPr="00A1535A" w:rsidRDefault="000C421F" w:rsidP="00D40817">
            <w:pPr>
              <w:jc w:val="both"/>
              <w:rPr>
                <w:rFonts w:eastAsia="Calibri"/>
                <w:sz w:val="20"/>
                <w:lang w:val="fr-CA"/>
              </w:rPr>
            </w:pPr>
            <w:r w:rsidRPr="00A1535A">
              <w:rPr>
                <w:rFonts w:eastAsia="Calibri"/>
                <w:sz w:val="20"/>
                <w:lang w:val="fr-CA"/>
              </w:rPr>
              <w:t>Cour d’appel du Québec (Québec)</w:t>
            </w:r>
          </w:p>
          <w:p w:rsidR="000C421F" w:rsidRPr="00A1535A" w:rsidRDefault="000C421F" w:rsidP="00D40817">
            <w:pPr>
              <w:jc w:val="both"/>
              <w:rPr>
                <w:rFonts w:eastAsia="Calibri"/>
                <w:sz w:val="20"/>
                <w:lang w:val="fr-CA"/>
              </w:rPr>
            </w:pPr>
            <w:r w:rsidRPr="00A1535A">
              <w:rPr>
                <w:rFonts w:eastAsia="Calibri"/>
                <w:sz w:val="20"/>
                <w:lang w:val="fr-CA"/>
              </w:rPr>
              <w:t>(Les juges Thibault, Hilton et Léger)</w:t>
            </w:r>
          </w:p>
          <w:p w:rsidR="000C421F" w:rsidRPr="00A1535A" w:rsidRDefault="000C421F" w:rsidP="00D40817">
            <w:pPr>
              <w:jc w:val="both"/>
              <w:rPr>
                <w:rFonts w:eastAsia="Calibri"/>
                <w:sz w:val="20"/>
                <w:lang w:val="fr-CA"/>
              </w:rPr>
            </w:pPr>
            <w:r w:rsidRPr="00A1535A">
              <w:rPr>
                <w:rFonts w:eastAsia="Calibri"/>
                <w:sz w:val="20"/>
                <w:lang w:val="fr-CA"/>
              </w:rPr>
              <w:t>2012 QCCA 366</w:t>
            </w:r>
          </w:p>
          <w:p w:rsidR="000C421F" w:rsidRPr="00A1535A" w:rsidRDefault="000C421F" w:rsidP="00D40817">
            <w:pPr>
              <w:jc w:val="both"/>
              <w:rPr>
                <w:rFonts w:eastAsia="Calibri"/>
                <w:sz w:val="20"/>
                <w:lang w:val="fr-CA"/>
              </w:rPr>
            </w:pPr>
          </w:p>
        </w:tc>
        <w:tc>
          <w:tcPr>
            <w:tcW w:w="243" w:type="pct"/>
          </w:tcPr>
          <w:p w:rsidR="000C421F" w:rsidRPr="00A1535A" w:rsidRDefault="000C421F" w:rsidP="00D40817">
            <w:pPr>
              <w:jc w:val="both"/>
              <w:rPr>
                <w:rFonts w:eastAsia="Calibri"/>
                <w:sz w:val="20"/>
                <w:lang w:val="fr-CA"/>
              </w:rPr>
            </w:pPr>
          </w:p>
        </w:tc>
        <w:tc>
          <w:tcPr>
            <w:tcW w:w="2330" w:type="pct"/>
          </w:tcPr>
          <w:p w:rsidR="000C421F" w:rsidRPr="00A1535A" w:rsidRDefault="000C421F" w:rsidP="00D40817">
            <w:pPr>
              <w:jc w:val="both"/>
              <w:rPr>
                <w:rFonts w:eastAsia="Calibri"/>
                <w:sz w:val="20"/>
                <w:lang w:val="fr-CA"/>
              </w:rPr>
            </w:pPr>
            <w:r w:rsidRPr="00A1535A">
              <w:rPr>
                <w:rFonts w:eastAsia="Calibri"/>
                <w:sz w:val="20"/>
                <w:lang w:val="fr-CA"/>
              </w:rPr>
              <w:t>Appel rejeté.</w:t>
            </w:r>
          </w:p>
        </w:tc>
      </w:tr>
      <w:tr w:rsidR="000C421F" w:rsidRPr="00A1535A" w:rsidTr="00D40817">
        <w:tc>
          <w:tcPr>
            <w:tcW w:w="2427" w:type="pct"/>
          </w:tcPr>
          <w:p w:rsidR="000C421F" w:rsidRPr="00A1535A" w:rsidRDefault="000C421F" w:rsidP="00D40817">
            <w:pPr>
              <w:jc w:val="both"/>
              <w:rPr>
                <w:rFonts w:eastAsia="Calibri"/>
                <w:sz w:val="20"/>
                <w:lang w:val="fr-CA"/>
              </w:rPr>
            </w:pPr>
            <w:r w:rsidRPr="00A1535A">
              <w:rPr>
                <w:rFonts w:eastAsia="Calibri"/>
                <w:sz w:val="20"/>
                <w:lang w:val="fr-CA"/>
              </w:rPr>
              <w:t>Le 26 avril 2012</w:t>
            </w:r>
          </w:p>
          <w:p w:rsidR="000C421F" w:rsidRPr="00A1535A" w:rsidRDefault="000C421F" w:rsidP="00D40817">
            <w:pPr>
              <w:jc w:val="both"/>
              <w:rPr>
                <w:rFonts w:eastAsia="Calibri"/>
                <w:sz w:val="20"/>
                <w:lang w:val="fr-CA"/>
              </w:rPr>
            </w:pPr>
            <w:r w:rsidRPr="00A1535A">
              <w:rPr>
                <w:rFonts w:eastAsia="Calibri"/>
                <w:sz w:val="20"/>
                <w:lang w:val="fr-CA"/>
              </w:rPr>
              <w:t>Cour suprême du Canada</w:t>
            </w:r>
          </w:p>
        </w:tc>
        <w:tc>
          <w:tcPr>
            <w:tcW w:w="243" w:type="pct"/>
          </w:tcPr>
          <w:p w:rsidR="000C421F" w:rsidRPr="00A1535A" w:rsidRDefault="000C421F" w:rsidP="00D40817">
            <w:pPr>
              <w:jc w:val="both"/>
              <w:rPr>
                <w:rFonts w:eastAsia="Calibri"/>
                <w:sz w:val="20"/>
                <w:lang w:val="fr-CA"/>
              </w:rPr>
            </w:pPr>
          </w:p>
        </w:tc>
        <w:tc>
          <w:tcPr>
            <w:tcW w:w="2330" w:type="pct"/>
          </w:tcPr>
          <w:p w:rsidR="000C421F" w:rsidRPr="00A1535A" w:rsidRDefault="000C421F" w:rsidP="00D40817">
            <w:pPr>
              <w:jc w:val="both"/>
              <w:rPr>
                <w:rFonts w:eastAsia="Calibri"/>
                <w:sz w:val="20"/>
                <w:lang w:val="fr-CA"/>
              </w:rPr>
            </w:pPr>
            <w:r w:rsidRPr="00A1535A">
              <w:rPr>
                <w:rFonts w:eastAsia="Calibri"/>
                <w:sz w:val="20"/>
                <w:lang w:val="fr-CA"/>
              </w:rPr>
              <w:t>Demande d'autorisation d'appel déposée.</w:t>
            </w:r>
          </w:p>
          <w:p w:rsidR="000C421F" w:rsidRPr="00A1535A" w:rsidRDefault="000C421F" w:rsidP="00D40817">
            <w:pPr>
              <w:jc w:val="both"/>
              <w:rPr>
                <w:rFonts w:eastAsia="Calibri"/>
                <w:sz w:val="20"/>
                <w:lang w:val="fr-CA"/>
              </w:rPr>
            </w:pPr>
          </w:p>
        </w:tc>
      </w:tr>
    </w:tbl>
    <w:p w:rsidR="000C421F" w:rsidRDefault="000C421F" w:rsidP="00EC09EE">
      <w:pPr>
        <w:rPr>
          <w:sz w:val="20"/>
          <w:szCs w:val="20"/>
          <w:lang w:val="fr-CA"/>
        </w:rPr>
      </w:pPr>
    </w:p>
    <w:p w:rsidR="00EC09EE" w:rsidRDefault="007333FF" w:rsidP="00EC09EE">
      <w:pPr>
        <w:rPr>
          <w:sz w:val="20"/>
          <w:szCs w:val="20"/>
        </w:rPr>
      </w:pPr>
      <w:r w:rsidRPr="007333FF">
        <w:rPr>
          <w:sz w:val="20"/>
          <w:szCs w:val="20"/>
          <w:lang w:val="fr-CA"/>
        </w:rPr>
        <w:pict>
          <v:rect id="_x0000_i1105" style="width:2in;height:1pt" o:hrpct="0" o:hralign="center" o:hrstd="t" o:hrnoshade="t" o:hr="t" fillcolor="black [3213]" stroked="f"/>
        </w:pict>
      </w:r>
    </w:p>
    <w:p w:rsidR="00EC09EE" w:rsidRDefault="00EC09EE" w:rsidP="00EC09E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40817" w:rsidRPr="008A028C" w:rsidTr="00D40817">
        <w:trPr>
          <w:cantSplit/>
        </w:trPr>
        <w:tc>
          <w:tcPr>
            <w:tcW w:w="1458" w:type="dxa"/>
          </w:tcPr>
          <w:p w:rsidR="00D40817" w:rsidRPr="008A028C" w:rsidRDefault="00D40817" w:rsidP="00D40817">
            <w:pPr>
              <w:rPr>
                <w:sz w:val="20"/>
                <w:szCs w:val="20"/>
              </w:rPr>
            </w:pPr>
            <w:r w:rsidRPr="008A028C">
              <w:rPr>
                <w:rStyle w:val="SCCFileNumberChar"/>
                <w:sz w:val="20"/>
                <w:szCs w:val="20"/>
              </w:rPr>
              <w:t>34797</w:t>
            </w:r>
          </w:p>
          <w:p w:rsidR="00D40817" w:rsidRPr="008A028C" w:rsidRDefault="00D40817" w:rsidP="00D40817">
            <w:pPr>
              <w:rPr>
                <w:b/>
                <w:sz w:val="20"/>
                <w:szCs w:val="20"/>
                <w:lang w:val="fr-CA"/>
              </w:rPr>
            </w:pPr>
          </w:p>
        </w:tc>
        <w:tc>
          <w:tcPr>
            <w:tcW w:w="8118" w:type="dxa"/>
          </w:tcPr>
          <w:p w:rsidR="00D40817" w:rsidRPr="008A028C" w:rsidRDefault="00D40817" w:rsidP="00D40817">
            <w:pPr>
              <w:rPr>
                <w:sz w:val="20"/>
                <w:szCs w:val="20"/>
              </w:rPr>
            </w:pPr>
            <w:r w:rsidRPr="00D40817">
              <w:rPr>
                <w:rStyle w:val="SCCLsocChar"/>
                <w:sz w:val="20"/>
                <w:szCs w:val="20"/>
                <w:lang w:val="en-CA"/>
              </w:rPr>
              <w:t>N.A v. Children's Aid Society of Toronto</w:t>
            </w:r>
            <w:r w:rsidRPr="008A028C">
              <w:rPr>
                <w:sz w:val="20"/>
                <w:szCs w:val="20"/>
              </w:rPr>
              <w:t xml:space="preserve"> (Ont.) (Civil) (By Leave)</w:t>
            </w:r>
          </w:p>
          <w:p w:rsidR="00D40817" w:rsidRPr="008A028C" w:rsidRDefault="00D40817" w:rsidP="00D40817">
            <w:pPr>
              <w:rPr>
                <w:sz w:val="20"/>
                <w:szCs w:val="20"/>
              </w:rPr>
            </w:pPr>
          </w:p>
        </w:tc>
      </w:tr>
      <w:tr w:rsidR="00D40817" w:rsidRPr="008A028C" w:rsidTr="00D40817">
        <w:trPr>
          <w:cantSplit/>
        </w:trPr>
        <w:tc>
          <w:tcPr>
            <w:tcW w:w="1458" w:type="dxa"/>
          </w:tcPr>
          <w:p w:rsidR="00D40817" w:rsidRPr="008A028C" w:rsidRDefault="00D40817" w:rsidP="00D40817">
            <w:pPr>
              <w:rPr>
                <w:sz w:val="20"/>
                <w:szCs w:val="20"/>
              </w:rPr>
            </w:pPr>
            <w:r w:rsidRPr="008A028C">
              <w:rPr>
                <w:sz w:val="20"/>
                <w:szCs w:val="20"/>
              </w:rPr>
              <w:t>Coram :</w:t>
            </w:r>
          </w:p>
        </w:tc>
        <w:tc>
          <w:tcPr>
            <w:tcW w:w="8118" w:type="dxa"/>
          </w:tcPr>
          <w:p w:rsidR="00D40817" w:rsidRPr="008A028C" w:rsidRDefault="00D40817" w:rsidP="00D40817">
            <w:pPr>
              <w:rPr>
                <w:sz w:val="20"/>
                <w:szCs w:val="20"/>
              </w:rPr>
            </w:pPr>
            <w:r w:rsidRPr="00D40817">
              <w:rPr>
                <w:rStyle w:val="SCCCoramChar"/>
                <w:sz w:val="20"/>
                <w:szCs w:val="20"/>
                <w:lang w:val="en-CA"/>
              </w:rPr>
              <w:t>Deschamps, Fish and Karakatsanis JJ.</w:t>
            </w:r>
          </w:p>
          <w:p w:rsidR="00D40817" w:rsidRPr="008A028C" w:rsidRDefault="00D40817" w:rsidP="00D40817">
            <w:pPr>
              <w:rPr>
                <w:sz w:val="20"/>
                <w:szCs w:val="20"/>
                <w:u w:val="single"/>
              </w:rPr>
            </w:pPr>
          </w:p>
        </w:tc>
      </w:tr>
      <w:tr w:rsidR="00D40817" w:rsidRPr="00C832DD" w:rsidTr="00D40817">
        <w:trPr>
          <w:cantSplit/>
        </w:trPr>
        <w:tc>
          <w:tcPr>
            <w:tcW w:w="9576" w:type="dxa"/>
            <w:gridSpan w:val="2"/>
          </w:tcPr>
          <w:p w:rsidR="00D40817" w:rsidRPr="008A028C" w:rsidRDefault="00D40817" w:rsidP="00D40817">
            <w:pPr>
              <w:pStyle w:val="SCCShortJudgment"/>
              <w:rPr>
                <w:szCs w:val="20"/>
              </w:rPr>
            </w:pPr>
            <w:r w:rsidRPr="008A028C">
              <w:rPr>
                <w:szCs w:val="20"/>
              </w:rPr>
              <w:t>The application for leave to appeal from the judgment of the Court of Appeal for Ontario, Number C54509, 2012 ONCA 128, dated February 27, 2012, is dismissed without costs.</w:t>
            </w:r>
          </w:p>
          <w:p w:rsidR="00D40817" w:rsidRPr="008A028C" w:rsidRDefault="00D40817" w:rsidP="00D40817">
            <w:pPr>
              <w:pStyle w:val="SCCShortJudgment"/>
              <w:ind w:firstLine="0"/>
              <w:rPr>
                <w:szCs w:val="20"/>
              </w:rPr>
            </w:pPr>
          </w:p>
          <w:p w:rsidR="00D40817" w:rsidRPr="008A028C" w:rsidRDefault="00D40817" w:rsidP="00D40817">
            <w:pPr>
              <w:pStyle w:val="SCCShortJudgment"/>
              <w:rPr>
                <w:szCs w:val="20"/>
                <w:lang w:val="fr-CA"/>
              </w:rPr>
            </w:pPr>
            <w:r w:rsidRPr="008A028C">
              <w:rPr>
                <w:szCs w:val="20"/>
                <w:lang w:val="fr-CA"/>
              </w:rPr>
              <w:t>La demande d’autorisation d’appel de l’arrêt de la Cour d’appel de l’Ontario, numéro C54509, 2012 ONCA 128, daté du 27 février 2012, est rejetée sans dépens.</w:t>
            </w:r>
          </w:p>
        </w:tc>
      </w:tr>
    </w:tbl>
    <w:p w:rsidR="00EC09EE" w:rsidRPr="00F40E20" w:rsidRDefault="00EC09EE" w:rsidP="00EC09EE">
      <w:pPr>
        <w:rPr>
          <w:sz w:val="20"/>
          <w:szCs w:val="20"/>
          <w:lang w:val="fr-CA"/>
        </w:rPr>
      </w:pPr>
    </w:p>
    <w:p w:rsidR="00D40817" w:rsidRPr="0088663A" w:rsidRDefault="00D40817">
      <w:pPr>
        <w:rPr>
          <w:sz w:val="20"/>
          <w:szCs w:val="20"/>
          <w:u w:val="single"/>
          <w:lang w:val="fr-CA"/>
        </w:rPr>
      </w:pPr>
      <w:r w:rsidRPr="0088663A">
        <w:rPr>
          <w:sz w:val="20"/>
          <w:szCs w:val="20"/>
          <w:u w:val="single"/>
          <w:lang w:val="fr-CA"/>
        </w:rPr>
        <w:br w:type="page"/>
      </w:r>
    </w:p>
    <w:p w:rsidR="00EC09EE" w:rsidRPr="001B157C" w:rsidRDefault="00EC09EE" w:rsidP="00EC09EE">
      <w:pPr>
        <w:rPr>
          <w:sz w:val="20"/>
          <w:szCs w:val="20"/>
          <w:u w:val="single"/>
        </w:rPr>
      </w:pPr>
      <w:r w:rsidRPr="001B157C">
        <w:rPr>
          <w:sz w:val="20"/>
          <w:szCs w:val="20"/>
          <w:u w:val="single"/>
        </w:rPr>
        <w:lastRenderedPageBreak/>
        <w:t>CASE SUMMARY</w:t>
      </w:r>
    </w:p>
    <w:p w:rsidR="00EC09EE" w:rsidRDefault="00EC09EE" w:rsidP="00EC09E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C421F" w:rsidRPr="00A1535A" w:rsidTr="00D40817">
        <w:tc>
          <w:tcPr>
            <w:tcW w:w="5000" w:type="pct"/>
            <w:gridSpan w:val="3"/>
          </w:tcPr>
          <w:p w:rsidR="000C421F" w:rsidRPr="00A1535A" w:rsidRDefault="000C421F" w:rsidP="00D40817">
            <w:pPr>
              <w:jc w:val="both"/>
              <w:rPr>
                <w:rFonts w:eastAsia="Calibri"/>
                <w:smallCaps/>
                <w:sz w:val="20"/>
              </w:rPr>
            </w:pPr>
            <w:r w:rsidRPr="00A1535A">
              <w:rPr>
                <w:rFonts w:eastAsia="Calibri"/>
                <w:smallCaps/>
                <w:sz w:val="20"/>
              </w:rPr>
              <w:t>(Publication Ban in Case) (Publication Ban on Party) (Court File Contains Information that is not Available for Inspection by the Public)</w:t>
            </w:r>
          </w:p>
          <w:p w:rsidR="000C421F" w:rsidRPr="00A1535A" w:rsidRDefault="000C421F" w:rsidP="00D40817">
            <w:pPr>
              <w:jc w:val="both"/>
              <w:rPr>
                <w:rFonts w:eastAsia="Calibri"/>
                <w:smallCaps/>
                <w:sz w:val="20"/>
              </w:rPr>
            </w:pPr>
          </w:p>
          <w:p w:rsidR="000C421F" w:rsidRPr="00A1535A" w:rsidRDefault="000C421F" w:rsidP="00D40817">
            <w:pPr>
              <w:jc w:val="both"/>
              <w:rPr>
                <w:rFonts w:eastAsia="Calibri"/>
                <w:sz w:val="20"/>
              </w:rPr>
            </w:pPr>
            <w:r w:rsidRPr="00A1535A">
              <w:rPr>
                <w:rFonts w:eastAsia="Calibri"/>
                <w:sz w:val="20"/>
              </w:rPr>
              <w:t>Status of persons – Child protection – Applicant’s children apprehended and placed in foster care in 2007 – Children’s Aid Society applying to have the children made Crown wards with no access for purpose of adoption – Whether lower courts erred in law in making Crown wardship order – Whether there was sufficient evidence to support order</w:t>
            </w:r>
          </w:p>
        </w:tc>
      </w:tr>
      <w:tr w:rsidR="000C421F" w:rsidRPr="00A1535A" w:rsidTr="00D40817">
        <w:tc>
          <w:tcPr>
            <w:tcW w:w="5000" w:type="pct"/>
            <w:gridSpan w:val="3"/>
          </w:tcPr>
          <w:p w:rsidR="000C421F" w:rsidRPr="00A1535A" w:rsidRDefault="000C421F" w:rsidP="00D40817">
            <w:pPr>
              <w:jc w:val="both"/>
              <w:rPr>
                <w:rFonts w:eastAsia="Calibri"/>
                <w:sz w:val="20"/>
              </w:rPr>
            </w:pPr>
          </w:p>
        </w:tc>
      </w:tr>
      <w:tr w:rsidR="000C421F" w:rsidRPr="00A1535A" w:rsidTr="00D40817">
        <w:tc>
          <w:tcPr>
            <w:tcW w:w="5000" w:type="pct"/>
            <w:gridSpan w:val="3"/>
          </w:tcPr>
          <w:p w:rsidR="000C421F" w:rsidRPr="00A1535A" w:rsidRDefault="000C421F" w:rsidP="00D40817">
            <w:pPr>
              <w:jc w:val="both"/>
              <w:rPr>
                <w:rFonts w:eastAsia="Calibri"/>
                <w:sz w:val="20"/>
              </w:rPr>
            </w:pPr>
            <w:r w:rsidRPr="00A1535A">
              <w:rPr>
                <w:rFonts w:eastAsia="Calibri"/>
                <w:sz w:val="20"/>
              </w:rPr>
              <w:t>The Applicant is the mother of two boys, ages almost nine and seven who have been under the care of the Children’s Aid Society of Toronto (“Society”) since November of 2007. At that time, the parents were divorced and living in separate residences.  The Society first became involved with the family after the mother left the matrimonial home in August 2005 and sought refuge in a shelter because of domestic violence.  In 2006, the Society apprehended both children and later placed them with their father under a supervision order.  In November, 2007, the father brought the children to the Society and they were admitted into care under a six month wardship order. The children were placed with a foster family and they have resided there since that time.  The Society made unsuccessful attempts to reunify the children with both of the parents.  There were concerns about domestic violence and the mother’s behaviour. The Society applied to make the children Crown wards with no access.</w:t>
            </w:r>
          </w:p>
          <w:p w:rsidR="000C421F" w:rsidRPr="00A1535A" w:rsidRDefault="000C421F" w:rsidP="00D40817">
            <w:pPr>
              <w:jc w:val="both"/>
              <w:rPr>
                <w:rFonts w:eastAsia="Calibri"/>
                <w:sz w:val="20"/>
              </w:rPr>
            </w:pPr>
          </w:p>
        </w:tc>
      </w:tr>
      <w:tr w:rsidR="000C421F" w:rsidRPr="00A1535A" w:rsidTr="00D40817">
        <w:tc>
          <w:tcPr>
            <w:tcW w:w="2427" w:type="pct"/>
          </w:tcPr>
          <w:p w:rsidR="000C421F" w:rsidRPr="00A1535A" w:rsidRDefault="000C421F" w:rsidP="00D40817">
            <w:pPr>
              <w:jc w:val="both"/>
              <w:rPr>
                <w:rFonts w:eastAsia="Calibri"/>
                <w:sz w:val="20"/>
              </w:rPr>
            </w:pPr>
            <w:r w:rsidRPr="00A1535A">
              <w:rPr>
                <w:rFonts w:eastAsia="Calibri"/>
                <w:sz w:val="20"/>
              </w:rPr>
              <w:t>November 18, 2010</w:t>
            </w:r>
          </w:p>
          <w:p w:rsidR="000C421F" w:rsidRPr="00A1535A" w:rsidRDefault="000C421F" w:rsidP="00D40817">
            <w:pPr>
              <w:jc w:val="both"/>
              <w:rPr>
                <w:rFonts w:eastAsia="Calibri"/>
                <w:sz w:val="20"/>
              </w:rPr>
            </w:pPr>
            <w:r w:rsidRPr="00A1535A">
              <w:rPr>
                <w:rFonts w:eastAsia="Calibri"/>
                <w:sz w:val="20"/>
              </w:rPr>
              <w:t xml:space="preserve">Ontario Court of Justice </w:t>
            </w:r>
          </w:p>
          <w:p w:rsidR="000C421F" w:rsidRPr="00A1535A" w:rsidRDefault="000C421F" w:rsidP="00D40817">
            <w:pPr>
              <w:jc w:val="both"/>
              <w:rPr>
                <w:rFonts w:eastAsia="Calibri"/>
                <w:sz w:val="20"/>
              </w:rPr>
            </w:pPr>
            <w:r w:rsidRPr="00A1535A">
              <w:rPr>
                <w:rFonts w:eastAsia="Calibri"/>
                <w:sz w:val="20"/>
              </w:rPr>
              <w:t>(Zuker J.)</w:t>
            </w:r>
          </w:p>
          <w:p w:rsidR="000C421F" w:rsidRPr="00A1535A" w:rsidRDefault="000C421F" w:rsidP="00D40817">
            <w:pPr>
              <w:jc w:val="both"/>
              <w:rPr>
                <w:rFonts w:eastAsia="Calibri"/>
                <w:sz w:val="20"/>
              </w:rPr>
            </w:pPr>
            <w:r w:rsidRPr="00A1535A">
              <w:rPr>
                <w:rFonts w:eastAsia="Calibri"/>
                <w:sz w:val="20"/>
              </w:rPr>
              <w:t>2010 CarswellOnt 11079</w:t>
            </w:r>
          </w:p>
          <w:p w:rsidR="000C421F" w:rsidRPr="00A1535A" w:rsidRDefault="000C421F" w:rsidP="00D40817">
            <w:pPr>
              <w:jc w:val="both"/>
              <w:rPr>
                <w:rFonts w:eastAsia="Calibri"/>
                <w:sz w:val="20"/>
              </w:rPr>
            </w:pPr>
          </w:p>
        </w:tc>
        <w:tc>
          <w:tcPr>
            <w:tcW w:w="243" w:type="pct"/>
          </w:tcPr>
          <w:p w:rsidR="000C421F" w:rsidRPr="00A1535A" w:rsidRDefault="000C421F" w:rsidP="00D40817">
            <w:pPr>
              <w:jc w:val="both"/>
              <w:rPr>
                <w:rFonts w:eastAsia="Calibri"/>
                <w:sz w:val="20"/>
              </w:rPr>
            </w:pPr>
          </w:p>
        </w:tc>
        <w:tc>
          <w:tcPr>
            <w:tcW w:w="2330" w:type="pct"/>
          </w:tcPr>
          <w:p w:rsidR="000C421F" w:rsidRPr="00A1535A" w:rsidRDefault="000C421F" w:rsidP="00D40817">
            <w:pPr>
              <w:jc w:val="both"/>
              <w:rPr>
                <w:rFonts w:eastAsia="Calibri"/>
                <w:sz w:val="20"/>
              </w:rPr>
            </w:pPr>
            <w:r w:rsidRPr="00A1535A">
              <w:rPr>
                <w:rFonts w:eastAsia="Calibri"/>
                <w:sz w:val="20"/>
              </w:rPr>
              <w:t>Children made wards of the Crown with no access</w:t>
            </w:r>
          </w:p>
          <w:p w:rsidR="000C421F" w:rsidRPr="00A1535A" w:rsidRDefault="000C421F" w:rsidP="00D40817">
            <w:pPr>
              <w:jc w:val="both"/>
              <w:rPr>
                <w:rFonts w:eastAsia="Calibri"/>
                <w:sz w:val="20"/>
              </w:rPr>
            </w:pPr>
          </w:p>
        </w:tc>
      </w:tr>
      <w:tr w:rsidR="000C421F" w:rsidRPr="00A1535A" w:rsidTr="00D40817">
        <w:tc>
          <w:tcPr>
            <w:tcW w:w="2427" w:type="pct"/>
          </w:tcPr>
          <w:p w:rsidR="000C421F" w:rsidRPr="00A1535A" w:rsidRDefault="000C421F" w:rsidP="00D40817">
            <w:pPr>
              <w:jc w:val="both"/>
              <w:rPr>
                <w:rFonts w:eastAsia="Calibri"/>
                <w:sz w:val="20"/>
              </w:rPr>
            </w:pPr>
            <w:r w:rsidRPr="00A1535A">
              <w:rPr>
                <w:rFonts w:eastAsia="Calibri"/>
                <w:sz w:val="20"/>
              </w:rPr>
              <w:t>May 16, 2011</w:t>
            </w:r>
          </w:p>
          <w:p w:rsidR="000C421F" w:rsidRPr="00A1535A" w:rsidRDefault="000C421F" w:rsidP="00D40817">
            <w:pPr>
              <w:jc w:val="both"/>
              <w:rPr>
                <w:rFonts w:eastAsia="Calibri"/>
                <w:sz w:val="20"/>
              </w:rPr>
            </w:pPr>
            <w:r w:rsidRPr="00A1535A">
              <w:rPr>
                <w:rFonts w:eastAsia="Calibri"/>
                <w:sz w:val="20"/>
              </w:rPr>
              <w:t>Ontario Superior Court of Justice</w:t>
            </w:r>
          </w:p>
          <w:p w:rsidR="000C421F" w:rsidRPr="00A1535A" w:rsidRDefault="000C421F" w:rsidP="00D40817">
            <w:pPr>
              <w:jc w:val="both"/>
              <w:rPr>
                <w:rFonts w:eastAsia="Calibri"/>
                <w:sz w:val="20"/>
              </w:rPr>
            </w:pPr>
            <w:r w:rsidRPr="00A1535A">
              <w:rPr>
                <w:rFonts w:eastAsia="Calibri"/>
                <w:sz w:val="20"/>
              </w:rPr>
              <w:t>(Paisley J.)</w:t>
            </w:r>
          </w:p>
          <w:p w:rsidR="000C421F" w:rsidRPr="00A1535A" w:rsidRDefault="000C421F" w:rsidP="00D40817">
            <w:pPr>
              <w:jc w:val="both"/>
              <w:rPr>
                <w:rFonts w:eastAsia="Calibri"/>
                <w:sz w:val="20"/>
              </w:rPr>
            </w:pPr>
            <w:r w:rsidRPr="00A1535A">
              <w:rPr>
                <w:rFonts w:eastAsia="Calibri"/>
                <w:sz w:val="20"/>
              </w:rPr>
              <w:t>Unreported</w:t>
            </w:r>
          </w:p>
          <w:p w:rsidR="000C421F" w:rsidRPr="00A1535A" w:rsidRDefault="000C421F" w:rsidP="00D40817">
            <w:pPr>
              <w:jc w:val="both"/>
              <w:rPr>
                <w:rFonts w:eastAsia="Calibri"/>
                <w:sz w:val="20"/>
              </w:rPr>
            </w:pPr>
          </w:p>
        </w:tc>
        <w:tc>
          <w:tcPr>
            <w:tcW w:w="243" w:type="pct"/>
          </w:tcPr>
          <w:p w:rsidR="000C421F" w:rsidRPr="00A1535A" w:rsidRDefault="000C421F" w:rsidP="00D40817">
            <w:pPr>
              <w:jc w:val="both"/>
              <w:rPr>
                <w:rFonts w:eastAsia="Calibri"/>
                <w:sz w:val="20"/>
              </w:rPr>
            </w:pPr>
          </w:p>
        </w:tc>
        <w:tc>
          <w:tcPr>
            <w:tcW w:w="2330" w:type="pct"/>
          </w:tcPr>
          <w:p w:rsidR="000C421F" w:rsidRPr="00A1535A" w:rsidRDefault="000C421F" w:rsidP="00D40817">
            <w:pPr>
              <w:jc w:val="both"/>
              <w:rPr>
                <w:rFonts w:eastAsia="Calibri"/>
                <w:sz w:val="20"/>
              </w:rPr>
            </w:pPr>
            <w:r w:rsidRPr="00A1535A">
              <w:rPr>
                <w:rFonts w:eastAsia="Calibri"/>
                <w:sz w:val="20"/>
              </w:rPr>
              <w:t>Appeal dismissed for want of prosecution</w:t>
            </w:r>
          </w:p>
          <w:p w:rsidR="000C421F" w:rsidRPr="00A1535A" w:rsidRDefault="000C421F" w:rsidP="00D40817">
            <w:pPr>
              <w:jc w:val="both"/>
              <w:rPr>
                <w:rFonts w:eastAsia="Calibri"/>
                <w:sz w:val="20"/>
              </w:rPr>
            </w:pPr>
          </w:p>
        </w:tc>
      </w:tr>
      <w:tr w:rsidR="000C421F" w:rsidRPr="00A1535A" w:rsidTr="00D40817">
        <w:tc>
          <w:tcPr>
            <w:tcW w:w="2427" w:type="pct"/>
          </w:tcPr>
          <w:p w:rsidR="000C421F" w:rsidRPr="00A1535A" w:rsidRDefault="000C421F" w:rsidP="00D40817">
            <w:pPr>
              <w:jc w:val="both"/>
              <w:rPr>
                <w:rFonts w:eastAsia="Calibri"/>
                <w:sz w:val="20"/>
              </w:rPr>
            </w:pPr>
            <w:r w:rsidRPr="00A1535A">
              <w:rPr>
                <w:rFonts w:eastAsia="Calibri"/>
                <w:sz w:val="20"/>
              </w:rPr>
              <w:t>February 27, 2012</w:t>
            </w:r>
          </w:p>
          <w:p w:rsidR="000C421F" w:rsidRPr="00A1535A" w:rsidRDefault="000C421F" w:rsidP="00D40817">
            <w:pPr>
              <w:jc w:val="both"/>
              <w:rPr>
                <w:rFonts w:eastAsia="Calibri"/>
                <w:sz w:val="20"/>
              </w:rPr>
            </w:pPr>
            <w:r w:rsidRPr="00A1535A">
              <w:rPr>
                <w:rFonts w:eastAsia="Calibri"/>
                <w:sz w:val="20"/>
              </w:rPr>
              <w:t>Court of Appeal for Ontario</w:t>
            </w:r>
          </w:p>
          <w:p w:rsidR="000C421F" w:rsidRPr="00A1535A" w:rsidRDefault="000C421F" w:rsidP="00D40817">
            <w:pPr>
              <w:jc w:val="both"/>
              <w:rPr>
                <w:rFonts w:eastAsia="Calibri"/>
                <w:sz w:val="20"/>
              </w:rPr>
            </w:pPr>
            <w:r w:rsidRPr="00A1535A">
              <w:rPr>
                <w:rFonts w:eastAsia="Calibri"/>
                <w:sz w:val="20"/>
              </w:rPr>
              <w:t>(Laskin, Rosenberg and LaForme JJ.A.)</w:t>
            </w:r>
          </w:p>
          <w:p w:rsidR="000C421F" w:rsidRPr="00A1535A" w:rsidRDefault="000C421F" w:rsidP="00D40817">
            <w:pPr>
              <w:jc w:val="both"/>
              <w:rPr>
                <w:rFonts w:eastAsia="Calibri"/>
                <w:sz w:val="20"/>
              </w:rPr>
            </w:pPr>
            <w:r w:rsidRPr="00A1535A">
              <w:rPr>
                <w:rFonts w:eastAsia="Calibri"/>
                <w:sz w:val="20"/>
              </w:rPr>
              <w:t>2012 ONCA 128</w:t>
            </w:r>
          </w:p>
          <w:p w:rsidR="000C421F" w:rsidRPr="00A1535A" w:rsidRDefault="000C421F" w:rsidP="00D40817">
            <w:pPr>
              <w:jc w:val="both"/>
              <w:rPr>
                <w:rFonts w:eastAsia="Calibri"/>
                <w:sz w:val="20"/>
              </w:rPr>
            </w:pPr>
          </w:p>
        </w:tc>
        <w:tc>
          <w:tcPr>
            <w:tcW w:w="243" w:type="pct"/>
          </w:tcPr>
          <w:p w:rsidR="000C421F" w:rsidRPr="00A1535A" w:rsidRDefault="000C421F" w:rsidP="00D40817">
            <w:pPr>
              <w:jc w:val="both"/>
              <w:rPr>
                <w:rFonts w:eastAsia="Calibri"/>
                <w:sz w:val="20"/>
              </w:rPr>
            </w:pPr>
          </w:p>
        </w:tc>
        <w:tc>
          <w:tcPr>
            <w:tcW w:w="2330" w:type="pct"/>
          </w:tcPr>
          <w:p w:rsidR="000C421F" w:rsidRPr="00A1535A" w:rsidRDefault="000C421F" w:rsidP="00D40817">
            <w:pPr>
              <w:jc w:val="both"/>
              <w:rPr>
                <w:rFonts w:eastAsia="Calibri"/>
                <w:sz w:val="20"/>
              </w:rPr>
            </w:pPr>
            <w:r w:rsidRPr="00A1535A">
              <w:rPr>
                <w:rFonts w:eastAsia="Calibri"/>
                <w:sz w:val="20"/>
              </w:rPr>
              <w:t xml:space="preserve">Appeal from order dismissing appeal for want of prosecution granted; Appeal from order making children Crown wards with no access dismissed </w:t>
            </w:r>
          </w:p>
          <w:p w:rsidR="000C421F" w:rsidRPr="00A1535A" w:rsidRDefault="000C421F" w:rsidP="00D40817">
            <w:pPr>
              <w:jc w:val="both"/>
              <w:rPr>
                <w:rFonts w:eastAsia="Calibri"/>
                <w:sz w:val="20"/>
              </w:rPr>
            </w:pPr>
          </w:p>
        </w:tc>
      </w:tr>
      <w:tr w:rsidR="000C421F" w:rsidRPr="00A1535A" w:rsidTr="00D40817">
        <w:tc>
          <w:tcPr>
            <w:tcW w:w="2427" w:type="pct"/>
          </w:tcPr>
          <w:p w:rsidR="000C421F" w:rsidRPr="00A1535A" w:rsidRDefault="000C421F" w:rsidP="00D40817">
            <w:pPr>
              <w:jc w:val="both"/>
              <w:rPr>
                <w:rFonts w:eastAsia="Calibri"/>
                <w:sz w:val="20"/>
              </w:rPr>
            </w:pPr>
            <w:r w:rsidRPr="00A1535A">
              <w:rPr>
                <w:rFonts w:eastAsia="Calibri"/>
                <w:sz w:val="20"/>
              </w:rPr>
              <w:t>April 27, 2012</w:t>
            </w:r>
          </w:p>
          <w:p w:rsidR="000C421F" w:rsidRPr="00A1535A" w:rsidRDefault="000C421F" w:rsidP="00D40817">
            <w:pPr>
              <w:jc w:val="both"/>
              <w:rPr>
                <w:rFonts w:eastAsia="Calibri"/>
                <w:sz w:val="20"/>
              </w:rPr>
            </w:pPr>
            <w:r w:rsidRPr="00A1535A">
              <w:rPr>
                <w:rFonts w:eastAsia="Calibri"/>
                <w:sz w:val="20"/>
              </w:rPr>
              <w:t>Supreme Court of Canada</w:t>
            </w:r>
          </w:p>
        </w:tc>
        <w:tc>
          <w:tcPr>
            <w:tcW w:w="243" w:type="pct"/>
          </w:tcPr>
          <w:p w:rsidR="000C421F" w:rsidRPr="00A1535A" w:rsidRDefault="000C421F" w:rsidP="00D40817">
            <w:pPr>
              <w:jc w:val="both"/>
              <w:rPr>
                <w:rFonts w:eastAsia="Calibri"/>
                <w:sz w:val="20"/>
              </w:rPr>
            </w:pPr>
          </w:p>
        </w:tc>
        <w:tc>
          <w:tcPr>
            <w:tcW w:w="2330" w:type="pct"/>
          </w:tcPr>
          <w:p w:rsidR="000C421F" w:rsidRPr="00A1535A" w:rsidRDefault="000C421F" w:rsidP="00D40817">
            <w:pPr>
              <w:jc w:val="both"/>
              <w:rPr>
                <w:rFonts w:eastAsia="Calibri"/>
                <w:sz w:val="20"/>
              </w:rPr>
            </w:pPr>
            <w:r w:rsidRPr="00A1535A">
              <w:rPr>
                <w:rFonts w:eastAsia="Calibri"/>
                <w:sz w:val="20"/>
              </w:rPr>
              <w:t>Application for leave to appeal filed</w:t>
            </w:r>
          </w:p>
          <w:p w:rsidR="000C421F" w:rsidRPr="00A1535A" w:rsidRDefault="000C421F" w:rsidP="00D40817">
            <w:pPr>
              <w:jc w:val="both"/>
              <w:rPr>
                <w:rFonts w:eastAsia="Calibri"/>
                <w:sz w:val="20"/>
              </w:rPr>
            </w:pPr>
          </w:p>
        </w:tc>
      </w:tr>
    </w:tbl>
    <w:p w:rsidR="00EC09EE" w:rsidRDefault="00EC09EE" w:rsidP="00EC09EE">
      <w:pPr>
        <w:rPr>
          <w:sz w:val="20"/>
          <w:szCs w:val="20"/>
        </w:rPr>
      </w:pPr>
    </w:p>
    <w:p w:rsidR="00EC09EE" w:rsidRPr="00C50A5C" w:rsidRDefault="007333FF" w:rsidP="00EC09EE">
      <w:pPr>
        <w:rPr>
          <w:sz w:val="20"/>
          <w:szCs w:val="20"/>
        </w:rPr>
      </w:pPr>
      <w:r w:rsidRPr="007333FF">
        <w:rPr>
          <w:sz w:val="20"/>
          <w:szCs w:val="20"/>
          <w:lang w:val="fr-CA"/>
        </w:rPr>
        <w:pict>
          <v:rect id="_x0000_i1106" style="width:2in;height:1pt" o:hrpct="0" o:hralign="center" o:hrstd="t" o:hrnoshade="t" o:hr="t" fillcolor="black [3213]" stroked="f"/>
        </w:pict>
      </w:r>
    </w:p>
    <w:p w:rsidR="00EC09EE" w:rsidRDefault="00EC09EE" w:rsidP="00EC09EE">
      <w:pPr>
        <w:rPr>
          <w:sz w:val="20"/>
          <w:szCs w:val="20"/>
        </w:rPr>
      </w:pPr>
    </w:p>
    <w:p w:rsidR="00EC09EE" w:rsidRPr="001B157C" w:rsidRDefault="00EC09EE" w:rsidP="00EC09EE">
      <w:pPr>
        <w:rPr>
          <w:sz w:val="20"/>
          <w:szCs w:val="20"/>
          <w:u w:val="single"/>
          <w:lang w:val="fr-CA"/>
        </w:rPr>
      </w:pPr>
      <w:r w:rsidRPr="001B157C">
        <w:rPr>
          <w:sz w:val="20"/>
          <w:szCs w:val="20"/>
          <w:u w:val="single"/>
          <w:lang w:val="fr-CA"/>
        </w:rPr>
        <w:t>RÉSUMÉ DE L’AFFAIRE</w:t>
      </w:r>
    </w:p>
    <w:p w:rsidR="00EC09EE" w:rsidRDefault="00EC09EE" w:rsidP="00EC09EE">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0C421F" w:rsidRPr="00C832DD" w:rsidTr="00D40817">
        <w:tc>
          <w:tcPr>
            <w:tcW w:w="5000" w:type="pct"/>
            <w:gridSpan w:val="3"/>
          </w:tcPr>
          <w:p w:rsidR="000C421F" w:rsidRPr="00A1535A" w:rsidRDefault="000C421F" w:rsidP="00D40817">
            <w:pPr>
              <w:jc w:val="both"/>
              <w:rPr>
                <w:rFonts w:eastAsia="Calibri"/>
                <w:smallCaps/>
                <w:sz w:val="20"/>
                <w:lang w:val="fr-CA"/>
              </w:rPr>
            </w:pPr>
            <w:r w:rsidRPr="00A1535A">
              <w:rPr>
                <w:rFonts w:eastAsia="Calibri"/>
                <w:smallCaps/>
                <w:sz w:val="20"/>
                <w:lang w:val="fr-CA"/>
              </w:rPr>
              <w:t>(Ordonnance de non-publication dans le dossier) (Ordonnance de non-publication visant une partie) (Le dossier de la Cour renferme des données que le public n'est pas autorisé à consulter)</w:t>
            </w:r>
          </w:p>
          <w:p w:rsidR="000C421F" w:rsidRPr="00A1535A" w:rsidRDefault="000C421F" w:rsidP="00D40817">
            <w:pPr>
              <w:jc w:val="both"/>
              <w:rPr>
                <w:rFonts w:eastAsia="Calibri"/>
                <w:sz w:val="20"/>
                <w:lang w:val="fr-CA"/>
              </w:rPr>
            </w:pPr>
          </w:p>
          <w:p w:rsidR="000C421F" w:rsidRPr="00A1535A" w:rsidRDefault="000C421F" w:rsidP="00D40817">
            <w:pPr>
              <w:jc w:val="both"/>
              <w:rPr>
                <w:rFonts w:eastAsia="Calibri"/>
                <w:sz w:val="20"/>
                <w:lang w:val="fr-CA"/>
              </w:rPr>
            </w:pPr>
            <w:r w:rsidRPr="00A1535A">
              <w:rPr>
                <w:rFonts w:eastAsia="Calibri"/>
                <w:sz w:val="20"/>
                <w:lang w:val="fr-CA"/>
              </w:rPr>
              <w:t>Droit des personnes – Protection de l'enfance – Les enfants de la demanderesse ont été appréhendés et placés en famille d'accueil en 2007 – La société d'aide à l'enfance a demandé que les enfants soient confiés la Couronne en qualité de pupilles sans droit de visite à des fins d'adoption – Les juridictions inférieures ont-elles commis une erreur de droit en prononçant l'ordonnance de tutelle par la Couronne? – Y avait-il suffisamment de preuves pour appuyer l'ordonnance?</w:t>
            </w:r>
          </w:p>
        </w:tc>
      </w:tr>
      <w:tr w:rsidR="000C421F" w:rsidRPr="00C832DD" w:rsidTr="00D40817">
        <w:tc>
          <w:tcPr>
            <w:tcW w:w="5000" w:type="pct"/>
            <w:gridSpan w:val="3"/>
          </w:tcPr>
          <w:p w:rsidR="000C421F" w:rsidRPr="00A1535A" w:rsidRDefault="000C421F" w:rsidP="00D40817">
            <w:pPr>
              <w:jc w:val="both"/>
              <w:rPr>
                <w:rFonts w:eastAsia="Calibri"/>
                <w:sz w:val="20"/>
                <w:lang w:val="fr-CA"/>
              </w:rPr>
            </w:pPr>
          </w:p>
        </w:tc>
      </w:tr>
      <w:tr w:rsidR="000C421F" w:rsidRPr="00C832DD" w:rsidTr="00D40817">
        <w:tc>
          <w:tcPr>
            <w:tcW w:w="5000" w:type="pct"/>
            <w:gridSpan w:val="3"/>
          </w:tcPr>
          <w:p w:rsidR="000C421F" w:rsidRPr="00A1535A" w:rsidRDefault="000C421F" w:rsidP="00D40817">
            <w:pPr>
              <w:jc w:val="both"/>
              <w:rPr>
                <w:rFonts w:eastAsia="Calibri"/>
                <w:sz w:val="20"/>
                <w:lang w:val="fr-CA"/>
              </w:rPr>
            </w:pPr>
            <w:r w:rsidRPr="00A1535A">
              <w:rPr>
                <w:rFonts w:eastAsia="Calibri"/>
                <w:sz w:val="20"/>
                <w:lang w:val="fr-CA"/>
              </w:rPr>
              <w:lastRenderedPageBreak/>
              <w:t>La demanderesse est la mère de deux garçons, âgés de presque neuf ans et de sept ans, qui sont sous la garde de la société d'aide à l'enfance de Toronto (la « Société ») depuis novembre 2007. À cette époque, les parents étaient divorcés et vivaient séparément. La Société a commencé à intervenir auprès de la famille après que la mère eut quitté le foyer conjugal en août 2005 et a demandé refuge dans une maison d'hébergement pour cause de violence conjugale. En 2006, la Societé a appréhendé les deux enfants et les a ensuite placés chez leur père en vertu d'une ordonnance portant sur la surveillance. En novembre 2007, le père a amené les enfants à la Société où ils ont été admis en vertu d'une ordonnance de tutelle de six mois. Les enfants ont été placés dans une famille d'accueil et ils y habitent depuis. La Société a tenté sans succès de réunir les enfants avec les deux parents. La violence conjugale et le comportement de la mère suscitaient des craintes. La Société a présenté une demande de mise sous tutelle des enfants par la Couronne sans droit de visite.</w:t>
            </w:r>
          </w:p>
          <w:p w:rsidR="000C421F" w:rsidRPr="00A1535A" w:rsidRDefault="000C421F" w:rsidP="00D40817">
            <w:pPr>
              <w:jc w:val="both"/>
              <w:rPr>
                <w:rFonts w:eastAsia="Calibri"/>
                <w:sz w:val="20"/>
                <w:lang w:val="fr-CA"/>
              </w:rPr>
            </w:pPr>
          </w:p>
        </w:tc>
      </w:tr>
      <w:tr w:rsidR="000C421F" w:rsidRPr="00C832DD" w:rsidTr="00D40817">
        <w:tc>
          <w:tcPr>
            <w:tcW w:w="2427" w:type="pct"/>
          </w:tcPr>
          <w:p w:rsidR="000C421F" w:rsidRPr="00A1535A" w:rsidRDefault="000C421F" w:rsidP="00D40817">
            <w:pPr>
              <w:jc w:val="both"/>
              <w:rPr>
                <w:rFonts w:eastAsia="Calibri"/>
                <w:sz w:val="20"/>
                <w:lang w:val="fr-CA"/>
              </w:rPr>
            </w:pPr>
            <w:r w:rsidRPr="00A1535A">
              <w:rPr>
                <w:rFonts w:eastAsia="Calibri"/>
                <w:sz w:val="20"/>
                <w:lang w:val="fr-CA"/>
              </w:rPr>
              <w:t>18 novembre 2010</w:t>
            </w:r>
          </w:p>
          <w:p w:rsidR="000C421F" w:rsidRPr="00A1535A" w:rsidRDefault="000C421F" w:rsidP="00D40817">
            <w:pPr>
              <w:jc w:val="both"/>
              <w:rPr>
                <w:rFonts w:eastAsia="Calibri"/>
                <w:sz w:val="20"/>
                <w:lang w:val="fr-CA"/>
              </w:rPr>
            </w:pPr>
            <w:r w:rsidRPr="00A1535A">
              <w:rPr>
                <w:rFonts w:eastAsia="Calibri"/>
                <w:sz w:val="20"/>
                <w:lang w:val="fr-CA"/>
              </w:rPr>
              <w:t xml:space="preserve">Cour de justice de l'Ontario </w:t>
            </w:r>
          </w:p>
          <w:p w:rsidR="000C421F" w:rsidRPr="00A1535A" w:rsidRDefault="000C421F" w:rsidP="00D40817">
            <w:pPr>
              <w:jc w:val="both"/>
              <w:rPr>
                <w:rFonts w:eastAsia="Calibri"/>
                <w:sz w:val="20"/>
                <w:lang w:val="fr-CA"/>
              </w:rPr>
            </w:pPr>
            <w:r w:rsidRPr="00A1535A">
              <w:rPr>
                <w:rFonts w:eastAsia="Calibri"/>
                <w:sz w:val="20"/>
                <w:lang w:val="fr-CA"/>
              </w:rPr>
              <w:t>(Juge Zuker)</w:t>
            </w:r>
          </w:p>
          <w:p w:rsidR="000C421F" w:rsidRPr="00A1535A" w:rsidRDefault="000C421F" w:rsidP="00D40817">
            <w:pPr>
              <w:jc w:val="both"/>
              <w:rPr>
                <w:rFonts w:eastAsia="Calibri"/>
                <w:sz w:val="20"/>
                <w:lang w:val="fr-CA"/>
              </w:rPr>
            </w:pPr>
            <w:r w:rsidRPr="00A1535A">
              <w:rPr>
                <w:rFonts w:eastAsia="Calibri"/>
                <w:sz w:val="20"/>
                <w:lang w:val="fr-CA"/>
              </w:rPr>
              <w:t>2010 CarswellOnt 11079</w:t>
            </w:r>
          </w:p>
          <w:p w:rsidR="000C421F" w:rsidRPr="00A1535A" w:rsidRDefault="000C421F" w:rsidP="00D40817">
            <w:pPr>
              <w:jc w:val="both"/>
              <w:rPr>
                <w:rFonts w:eastAsia="Calibri"/>
                <w:sz w:val="20"/>
                <w:lang w:val="fr-CA"/>
              </w:rPr>
            </w:pPr>
          </w:p>
        </w:tc>
        <w:tc>
          <w:tcPr>
            <w:tcW w:w="243" w:type="pct"/>
          </w:tcPr>
          <w:p w:rsidR="000C421F" w:rsidRPr="00A1535A" w:rsidRDefault="000C421F" w:rsidP="00D40817">
            <w:pPr>
              <w:jc w:val="both"/>
              <w:rPr>
                <w:rFonts w:eastAsia="Calibri"/>
                <w:sz w:val="20"/>
                <w:lang w:val="fr-CA"/>
              </w:rPr>
            </w:pPr>
          </w:p>
        </w:tc>
        <w:tc>
          <w:tcPr>
            <w:tcW w:w="2330" w:type="pct"/>
          </w:tcPr>
          <w:p w:rsidR="000C421F" w:rsidRPr="00A1535A" w:rsidRDefault="000C421F" w:rsidP="00D40817">
            <w:pPr>
              <w:jc w:val="both"/>
              <w:rPr>
                <w:rFonts w:eastAsia="Calibri"/>
                <w:sz w:val="20"/>
                <w:lang w:val="fr-CA"/>
              </w:rPr>
            </w:pPr>
            <w:r w:rsidRPr="00A1535A">
              <w:rPr>
                <w:rFonts w:eastAsia="Calibri"/>
                <w:sz w:val="20"/>
                <w:lang w:val="fr-CA"/>
              </w:rPr>
              <w:t>Les enfants sont confiés à la Couronne en qualité de pupilles sans droit de visite</w:t>
            </w:r>
          </w:p>
          <w:p w:rsidR="000C421F" w:rsidRPr="00A1535A" w:rsidRDefault="000C421F" w:rsidP="00D40817">
            <w:pPr>
              <w:jc w:val="both"/>
              <w:rPr>
                <w:rFonts w:eastAsia="Calibri"/>
                <w:sz w:val="20"/>
                <w:lang w:val="fr-CA"/>
              </w:rPr>
            </w:pPr>
          </w:p>
        </w:tc>
      </w:tr>
      <w:tr w:rsidR="000C421F" w:rsidRPr="00C832DD" w:rsidTr="00D40817">
        <w:tc>
          <w:tcPr>
            <w:tcW w:w="2427" w:type="pct"/>
          </w:tcPr>
          <w:p w:rsidR="000C421F" w:rsidRPr="00A1535A" w:rsidRDefault="000C421F" w:rsidP="00D40817">
            <w:pPr>
              <w:jc w:val="both"/>
              <w:rPr>
                <w:rFonts w:eastAsia="Calibri"/>
                <w:sz w:val="20"/>
                <w:lang w:val="fr-CA"/>
              </w:rPr>
            </w:pPr>
            <w:r w:rsidRPr="00A1535A">
              <w:rPr>
                <w:rFonts w:eastAsia="Calibri"/>
                <w:sz w:val="20"/>
                <w:lang w:val="fr-CA"/>
              </w:rPr>
              <w:t>16 mai 2011</w:t>
            </w:r>
          </w:p>
          <w:p w:rsidR="000C421F" w:rsidRPr="00A1535A" w:rsidRDefault="000C421F" w:rsidP="00D40817">
            <w:pPr>
              <w:jc w:val="both"/>
              <w:rPr>
                <w:rFonts w:eastAsia="Calibri"/>
                <w:sz w:val="20"/>
                <w:lang w:val="fr-CA"/>
              </w:rPr>
            </w:pPr>
            <w:r w:rsidRPr="00A1535A">
              <w:rPr>
                <w:rFonts w:eastAsia="Calibri"/>
                <w:sz w:val="20"/>
                <w:lang w:val="fr-CA"/>
              </w:rPr>
              <w:t xml:space="preserve">Cour supérieure de justice de l'Ontario </w:t>
            </w:r>
          </w:p>
          <w:p w:rsidR="000C421F" w:rsidRPr="00A1535A" w:rsidRDefault="000C421F" w:rsidP="00D40817">
            <w:pPr>
              <w:jc w:val="both"/>
              <w:rPr>
                <w:rFonts w:eastAsia="Calibri"/>
                <w:sz w:val="20"/>
                <w:lang w:val="fr-CA"/>
              </w:rPr>
            </w:pPr>
            <w:r w:rsidRPr="00A1535A">
              <w:rPr>
                <w:rFonts w:eastAsia="Calibri"/>
                <w:sz w:val="20"/>
                <w:lang w:val="fr-CA"/>
              </w:rPr>
              <w:t>(Juge Paisley)</w:t>
            </w:r>
          </w:p>
          <w:p w:rsidR="000C421F" w:rsidRPr="00A1535A" w:rsidRDefault="000C421F" w:rsidP="00D40817">
            <w:pPr>
              <w:jc w:val="both"/>
              <w:rPr>
                <w:rFonts w:eastAsia="Calibri"/>
                <w:sz w:val="20"/>
                <w:lang w:val="fr-CA"/>
              </w:rPr>
            </w:pPr>
            <w:r w:rsidRPr="00A1535A">
              <w:rPr>
                <w:rFonts w:eastAsia="Calibri"/>
                <w:sz w:val="20"/>
                <w:lang w:val="fr-CA"/>
              </w:rPr>
              <w:t>Non publié</w:t>
            </w:r>
          </w:p>
          <w:p w:rsidR="000C421F" w:rsidRPr="00A1535A" w:rsidRDefault="000C421F" w:rsidP="00D40817">
            <w:pPr>
              <w:jc w:val="both"/>
              <w:rPr>
                <w:rFonts w:eastAsia="Calibri"/>
                <w:sz w:val="20"/>
                <w:lang w:val="fr-CA"/>
              </w:rPr>
            </w:pPr>
          </w:p>
        </w:tc>
        <w:tc>
          <w:tcPr>
            <w:tcW w:w="243" w:type="pct"/>
          </w:tcPr>
          <w:p w:rsidR="000C421F" w:rsidRPr="00A1535A" w:rsidRDefault="000C421F" w:rsidP="00D40817">
            <w:pPr>
              <w:jc w:val="both"/>
              <w:rPr>
                <w:rFonts w:eastAsia="Calibri"/>
                <w:sz w:val="20"/>
                <w:lang w:val="fr-CA"/>
              </w:rPr>
            </w:pPr>
          </w:p>
        </w:tc>
        <w:tc>
          <w:tcPr>
            <w:tcW w:w="2330" w:type="pct"/>
          </w:tcPr>
          <w:p w:rsidR="000C421F" w:rsidRPr="00A1535A" w:rsidRDefault="000C421F" w:rsidP="00D40817">
            <w:pPr>
              <w:jc w:val="both"/>
              <w:rPr>
                <w:rFonts w:eastAsia="Calibri"/>
                <w:sz w:val="20"/>
                <w:lang w:val="fr-CA"/>
              </w:rPr>
            </w:pPr>
            <w:r w:rsidRPr="00A1535A">
              <w:rPr>
                <w:rFonts w:eastAsia="Calibri"/>
                <w:sz w:val="20"/>
                <w:lang w:val="fr-CA"/>
              </w:rPr>
              <w:t>Appel rejeté pour défaut de poursuivre</w:t>
            </w:r>
          </w:p>
          <w:p w:rsidR="000C421F" w:rsidRPr="00A1535A" w:rsidRDefault="000C421F" w:rsidP="00D40817">
            <w:pPr>
              <w:jc w:val="both"/>
              <w:rPr>
                <w:rFonts w:eastAsia="Calibri"/>
                <w:sz w:val="20"/>
                <w:lang w:val="fr-CA"/>
              </w:rPr>
            </w:pPr>
          </w:p>
        </w:tc>
      </w:tr>
      <w:tr w:rsidR="000C421F" w:rsidRPr="00C832DD" w:rsidTr="00D40817">
        <w:tc>
          <w:tcPr>
            <w:tcW w:w="2427" w:type="pct"/>
          </w:tcPr>
          <w:p w:rsidR="000C421F" w:rsidRPr="00A1535A" w:rsidRDefault="000C421F" w:rsidP="00D40817">
            <w:pPr>
              <w:jc w:val="both"/>
              <w:rPr>
                <w:rFonts w:eastAsia="Calibri"/>
                <w:sz w:val="20"/>
                <w:lang w:val="fr-CA"/>
              </w:rPr>
            </w:pPr>
            <w:r w:rsidRPr="00A1535A">
              <w:rPr>
                <w:rFonts w:eastAsia="Calibri"/>
                <w:sz w:val="20"/>
                <w:lang w:val="fr-CA"/>
              </w:rPr>
              <w:t>27 février 2012</w:t>
            </w:r>
          </w:p>
          <w:p w:rsidR="000C421F" w:rsidRPr="00A1535A" w:rsidRDefault="000C421F" w:rsidP="00D40817">
            <w:pPr>
              <w:jc w:val="both"/>
              <w:rPr>
                <w:rFonts w:eastAsia="Calibri"/>
                <w:sz w:val="20"/>
                <w:lang w:val="fr-CA"/>
              </w:rPr>
            </w:pPr>
            <w:r w:rsidRPr="00A1535A">
              <w:rPr>
                <w:rFonts w:eastAsia="Calibri"/>
                <w:sz w:val="20"/>
                <w:lang w:val="fr-CA"/>
              </w:rPr>
              <w:t xml:space="preserve">Cour d'appel de l'Ontario </w:t>
            </w:r>
          </w:p>
          <w:p w:rsidR="000C421F" w:rsidRPr="00A1535A" w:rsidRDefault="000C421F" w:rsidP="00D40817">
            <w:pPr>
              <w:jc w:val="both"/>
              <w:rPr>
                <w:rFonts w:eastAsia="Calibri"/>
                <w:sz w:val="20"/>
                <w:lang w:val="fr-CA"/>
              </w:rPr>
            </w:pPr>
            <w:r w:rsidRPr="00A1535A">
              <w:rPr>
                <w:rFonts w:eastAsia="Calibri"/>
                <w:sz w:val="20"/>
                <w:lang w:val="fr-CA"/>
              </w:rPr>
              <w:t>(Juges Laskin, Rosenberg et LaForme)</w:t>
            </w:r>
          </w:p>
          <w:p w:rsidR="000C421F" w:rsidRPr="00A1535A" w:rsidRDefault="000C421F" w:rsidP="00D40817">
            <w:pPr>
              <w:jc w:val="both"/>
              <w:rPr>
                <w:rFonts w:eastAsia="Calibri"/>
                <w:sz w:val="20"/>
                <w:lang w:val="fr-CA"/>
              </w:rPr>
            </w:pPr>
            <w:r w:rsidRPr="00A1535A">
              <w:rPr>
                <w:rFonts w:eastAsia="Calibri"/>
                <w:sz w:val="20"/>
                <w:lang w:val="fr-CA"/>
              </w:rPr>
              <w:t>2012 ONCA 128</w:t>
            </w:r>
          </w:p>
          <w:p w:rsidR="000C421F" w:rsidRPr="00A1535A" w:rsidRDefault="000C421F" w:rsidP="00D40817">
            <w:pPr>
              <w:jc w:val="both"/>
              <w:rPr>
                <w:rFonts w:eastAsia="Calibri"/>
                <w:sz w:val="20"/>
                <w:lang w:val="fr-CA"/>
              </w:rPr>
            </w:pPr>
          </w:p>
        </w:tc>
        <w:tc>
          <w:tcPr>
            <w:tcW w:w="243" w:type="pct"/>
          </w:tcPr>
          <w:p w:rsidR="000C421F" w:rsidRPr="00A1535A" w:rsidRDefault="000C421F" w:rsidP="00D40817">
            <w:pPr>
              <w:jc w:val="both"/>
              <w:rPr>
                <w:rFonts w:eastAsia="Calibri"/>
                <w:sz w:val="20"/>
                <w:lang w:val="fr-CA"/>
              </w:rPr>
            </w:pPr>
          </w:p>
        </w:tc>
        <w:tc>
          <w:tcPr>
            <w:tcW w:w="2330" w:type="pct"/>
          </w:tcPr>
          <w:p w:rsidR="000C421F" w:rsidRPr="00A1535A" w:rsidRDefault="000C421F" w:rsidP="00D40817">
            <w:pPr>
              <w:jc w:val="both"/>
              <w:rPr>
                <w:rFonts w:eastAsia="Calibri"/>
                <w:sz w:val="20"/>
                <w:lang w:val="fr-CA"/>
              </w:rPr>
            </w:pPr>
            <w:r w:rsidRPr="00A1535A">
              <w:rPr>
                <w:rFonts w:eastAsia="Calibri"/>
                <w:sz w:val="20"/>
                <w:lang w:val="fr-CA"/>
              </w:rPr>
              <w:t>Appel de l'ordonnance rejetant l'appel pour défaut de poursuivre, accueilli; appel de l'ordonnance faisant des enfants des pupilles de la Couronne sans droit de visite, rejeté</w:t>
            </w:r>
          </w:p>
          <w:p w:rsidR="000C421F" w:rsidRPr="00A1535A" w:rsidRDefault="000C421F" w:rsidP="00D40817">
            <w:pPr>
              <w:jc w:val="both"/>
              <w:rPr>
                <w:rFonts w:eastAsia="Calibri"/>
                <w:sz w:val="20"/>
                <w:lang w:val="fr-CA"/>
              </w:rPr>
            </w:pPr>
          </w:p>
        </w:tc>
      </w:tr>
      <w:tr w:rsidR="000C421F" w:rsidRPr="00A1535A" w:rsidTr="00D40817">
        <w:tc>
          <w:tcPr>
            <w:tcW w:w="2427" w:type="pct"/>
          </w:tcPr>
          <w:p w:rsidR="000C421F" w:rsidRPr="00A1535A" w:rsidRDefault="000C421F" w:rsidP="00D40817">
            <w:pPr>
              <w:jc w:val="both"/>
              <w:rPr>
                <w:rFonts w:eastAsia="Calibri"/>
                <w:sz w:val="20"/>
                <w:lang w:val="fr-CA"/>
              </w:rPr>
            </w:pPr>
            <w:r w:rsidRPr="00A1535A">
              <w:rPr>
                <w:rFonts w:eastAsia="Calibri"/>
                <w:sz w:val="20"/>
                <w:lang w:val="fr-CA"/>
              </w:rPr>
              <w:t>27 avril 2012</w:t>
            </w:r>
          </w:p>
          <w:p w:rsidR="000C421F" w:rsidRPr="00A1535A" w:rsidRDefault="000C421F" w:rsidP="00D40817">
            <w:pPr>
              <w:jc w:val="both"/>
              <w:rPr>
                <w:rFonts w:eastAsia="Calibri"/>
                <w:sz w:val="20"/>
                <w:lang w:val="fr-CA"/>
              </w:rPr>
            </w:pPr>
            <w:r w:rsidRPr="00A1535A">
              <w:rPr>
                <w:rFonts w:eastAsia="Calibri"/>
                <w:sz w:val="20"/>
                <w:lang w:val="fr-CA"/>
              </w:rPr>
              <w:t>Cour suprême du Canada</w:t>
            </w:r>
          </w:p>
        </w:tc>
        <w:tc>
          <w:tcPr>
            <w:tcW w:w="243" w:type="pct"/>
          </w:tcPr>
          <w:p w:rsidR="000C421F" w:rsidRPr="00A1535A" w:rsidRDefault="000C421F" w:rsidP="00D40817">
            <w:pPr>
              <w:jc w:val="both"/>
              <w:rPr>
                <w:rFonts w:eastAsia="Calibri"/>
                <w:sz w:val="20"/>
                <w:lang w:val="fr-CA"/>
              </w:rPr>
            </w:pPr>
          </w:p>
        </w:tc>
        <w:tc>
          <w:tcPr>
            <w:tcW w:w="2330" w:type="pct"/>
          </w:tcPr>
          <w:p w:rsidR="000C421F" w:rsidRPr="00A1535A" w:rsidRDefault="000C421F" w:rsidP="00D40817">
            <w:pPr>
              <w:jc w:val="both"/>
              <w:rPr>
                <w:rFonts w:eastAsia="Calibri"/>
                <w:sz w:val="20"/>
                <w:lang w:val="fr-CA"/>
              </w:rPr>
            </w:pPr>
            <w:r w:rsidRPr="00A1535A">
              <w:rPr>
                <w:rFonts w:eastAsia="Calibri"/>
                <w:sz w:val="20"/>
                <w:lang w:val="fr-CA"/>
              </w:rPr>
              <w:t>Demande d'autorisation d'appel, déposé</w:t>
            </w:r>
          </w:p>
          <w:p w:rsidR="000C421F" w:rsidRPr="00A1535A" w:rsidRDefault="000C421F" w:rsidP="00D40817">
            <w:pPr>
              <w:jc w:val="both"/>
              <w:rPr>
                <w:rFonts w:eastAsia="Calibri"/>
                <w:sz w:val="20"/>
                <w:lang w:val="fr-CA"/>
              </w:rPr>
            </w:pPr>
          </w:p>
        </w:tc>
      </w:tr>
    </w:tbl>
    <w:p w:rsidR="00EC09EE" w:rsidRDefault="00EC09EE" w:rsidP="00EC09EE">
      <w:pPr>
        <w:rPr>
          <w:sz w:val="20"/>
          <w:szCs w:val="20"/>
        </w:rPr>
      </w:pPr>
    </w:p>
    <w:p w:rsidR="00EC09EE" w:rsidRDefault="007333FF" w:rsidP="00EC09EE">
      <w:pPr>
        <w:rPr>
          <w:sz w:val="20"/>
          <w:szCs w:val="20"/>
        </w:rPr>
      </w:pPr>
      <w:r w:rsidRPr="007333FF">
        <w:rPr>
          <w:sz w:val="20"/>
          <w:szCs w:val="20"/>
          <w:lang w:val="fr-CA"/>
        </w:rPr>
        <w:pict>
          <v:rect id="_x0000_i1107" style="width:2in;height:1pt" o:hrpct="0" o:hralign="center" o:hrstd="t" o:hrnoshade="t" o:hr="t" fillcolor="black [3213]" stroked="f"/>
        </w:pict>
      </w:r>
    </w:p>
    <w:p w:rsidR="00EC09EE" w:rsidRDefault="00EC09EE" w:rsidP="00EC09E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40817" w:rsidRPr="008A028C" w:rsidTr="00D40817">
        <w:trPr>
          <w:cantSplit/>
        </w:trPr>
        <w:tc>
          <w:tcPr>
            <w:tcW w:w="1458" w:type="dxa"/>
          </w:tcPr>
          <w:p w:rsidR="00D40817" w:rsidRPr="008A028C" w:rsidRDefault="00D40817" w:rsidP="00D40817">
            <w:pPr>
              <w:rPr>
                <w:sz w:val="20"/>
                <w:szCs w:val="20"/>
              </w:rPr>
            </w:pPr>
            <w:r w:rsidRPr="008A028C">
              <w:rPr>
                <w:rStyle w:val="SCCFileNumberChar"/>
                <w:sz w:val="20"/>
                <w:szCs w:val="20"/>
              </w:rPr>
              <w:t>34798</w:t>
            </w:r>
          </w:p>
          <w:p w:rsidR="00D40817" w:rsidRPr="008A028C" w:rsidRDefault="00D40817" w:rsidP="00D40817">
            <w:pPr>
              <w:rPr>
                <w:b/>
                <w:sz w:val="20"/>
                <w:szCs w:val="20"/>
                <w:lang w:val="fr-CA"/>
              </w:rPr>
            </w:pPr>
          </w:p>
        </w:tc>
        <w:tc>
          <w:tcPr>
            <w:tcW w:w="8118" w:type="dxa"/>
          </w:tcPr>
          <w:p w:rsidR="00D40817" w:rsidRPr="008A028C" w:rsidRDefault="00D40817" w:rsidP="00D40817">
            <w:pPr>
              <w:jc w:val="both"/>
              <w:rPr>
                <w:sz w:val="20"/>
                <w:szCs w:val="20"/>
              </w:rPr>
            </w:pPr>
            <w:r w:rsidRPr="00D40817">
              <w:rPr>
                <w:rStyle w:val="SCCLsocChar"/>
                <w:sz w:val="20"/>
                <w:szCs w:val="20"/>
                <w:lang w:val="en-CA"/>
              </w:rPr>
              <w:t>Dennis Mawdsley v. Michael Meshen, Damon Meshen, Shirley Meshen, William Meshen, Kevin Moore as Executor of the Will and Trustee of the Estate of Joan Meshen, Deceased, The Joan Meshen Trust, Western Garden &amp; Lawn Supplies Ltd., Meadowland Peat L</w:t>
            </w:r>
            <w:r w:rsidR="00186B05">
              <w:rPr>
                <w:rStyle w:val="SCCLsocChar"/>
                <w:sz w:val="20"/>
                <w:szCs w:val="20"/>
                <w:lang w:val="en-CA"/>
              </w:rPr>
              <w:t>td., Big Ben Manufacturing Ltd. and</w:t>
            </w:r>
            <w:r w:rsidRPr="00D40817">
              <w:rPr>
                <w:rStyle w:val="SCCLsocChar"/>
                <w:sz w:val="20"/>
                <w:szCs w:val="20"/>
                <w:lang w:val="en-CA"/>
              </w:rPr>
              <w:t xml:space="preserve"> Kevin Moore as Executor of the Will and Trustee of the Estate of Joan Meshen, Deceased</w:t>
            </w:r>
            <w:r w:rsidRPr="008A028C">
              <w:rPr>
                <w:sz w:val="20"/>
                <w:szCs w:val="20"/>
              </w:rPr>
              <w:t xml:space="preserve"> (B.C.) (Civil) (By Leave)</w:t>
            </w:r>
          </w:p>
          <w:p w:rsidR="00D40817" w:rsidRPr="008A028C" w:rsidRDefault="00D40817" w:rsidP="00D40817">
            <w:pPr>
              <w:rPr>
                <w:sz w:val="20"/>
                <w:szCs w:val="20"/>
              </w:rPr>
            </w:pPr>
          </w:p>
        </w:tc>
      </w:tr>
      <w:tr w:rsidR="00D40817" w:rsidRPr="008A028C" w:rsidTr="00D40817">
        <w:trPr>
          <w:cantSplit/>
        </w:trPr>
        <w:tc>
          <w:tcPr>
            <w:tcW w:w="1458" w:type="dxa"/>
          </w:tcPr>
          <w:p w:rsidR="00D40817" w:rsidRPr="008A028C" w:rsidRDefault="00D40817" w:rsidP="00D40817">
            <w:pPr>
              <w:rPr>
                <w:sz w:val="20"/>
                <w:szCs w:val="20"/>
              </w:rPr>
            </w:pPr>
            <w:r w:rsidRPr="008A028C">
              <w:rPr>
                <w:sz w:val="20"/>
                <w:szCs w:val="20"/>
              </w:rPr>
              <w:t>Coram :</w:t>
            </w:r>
          </w:p>
        </w:tc>
        <w:tc>
          <w:tcPr>
            <w:tcW w:w="8118" w:type="dxa"/>
          </w:tcPr>
          <w:p w:rsidR="00D40817" w:rsidRPr="008A028C" w:rsidRDefault="00D40817" w:rsidP="00D40817">
            <w:pPr>
              <w:rPr>
                <w:sz w:val="20"/>
                <w:szCs w:val="20"/>
              </w:rPr>
            </w:pPr>
            <w:r w:rsidRPr="00D40817">
              <w:rPr>
                <w:rStyle w:val="SCCCoramChar"/>
                <w:sz w:val="20"/>
                <w:szCs w:val="20"/>
                <w:lang w:val="en-CA"/>
              </w:rPr>
              <w:t>McLachlin C.J. and Rothstein and Moldaver JJ.</w:t>
            </w:r>
          </w:p>
          <w:p w:rsidR="00D40817" w:rsidRPr="008A028C" w:rsidRDefault="00D40817" w:rsidP="00D40817">
            <w:pPr>
              <w:rPr>
                <w:sz w:val="20"/>
                <w:szCs w:val="20"/>
                <w:u w:val="single"/>
              </w:rPr>
            </w:pPr>
          </w:p>
        </w:tc>
      </w:tr>
      <w:tr w:rsidR="00D40817" w:rsidRPr="00C832DD" w:rsidTr="00D40817">
        <w:trPr>
          <w:cantSplit/>
        </w:trPr>
        <w:tc>
          <w:tcPr>
            <w:tcW w:w="9576" w:type="dxa"/>
            <w:gridSpan w:val="2"/>
          </w:tcPr>
          <w:p w:rsidR="00D40817" w:rsidRPr="008A028C" w:rsidRDefault="00D40817" w:rsidP="00D40817">
            <w:pPr>
              <w:pStyle w:val="SCCShortJudgment"/>
              <w:rPr>
                <w:szCs w:val="20"/>
              </w:rPr>
            </w:pPr>
            <w:r w:rsidRPr="008A028C">
              <w:rPr>
                <w:szCs w:val="20"/>
              </w:rPr>
              <w:t>The application for leave to appeal from the judgment of the Court of Appeal for British Columbia (Vancouver), Number CA038393, 2012 BCCA 91, dated February 28, 2012, is dismissed with costs.</w:t>
            </w:r>
          </w:p>
          <w:p w:rsidR="00D40817" w:rsidRPr="008A028C" w:rsidRDefault="00D40817" w:rsidP="00D40817">
            <w:pPr>
              <w:pStyle w:val="SCCShortJudgment"/>
              <w:ind w:firstLine="0"/>
              <w:rPr>
                <w:szCs w:val="20"/>
              </w:rPr>
            </w:pPr>
          </w:p>
          <w:p w:rsidR="00D40817" w:rsidRPr="008A028C" w:rsidRDefault="00D40817" w:rsidP="00D40817">
            <w:pPr>
              <w:pStyle w:val="SCCShortJudgment"/>
              <w:rPr>
                <w:szCs w:val="20"/>
                <w:lang w:val="fr-CA"/>
              </w:rPr>
            </w:pPr>
            <w:r w:rsidRPr="008A028C">
              <w:rPr>
                <w:szCs w:val="20"/>
                <w:lang w:val="fr-CA"/>
              </w:rPr>
              <w:t>La demande d’autorisation d’appel de l’arrêt de la Cour d’appel de la Colombie-Britannique (Vancouver), numéro CA038393, 2012 BCCA 91, daté du 28 février 2012, est rejetée avec dépens.</w:t>
            </w:r>
          </w:p>
        </w:tc>
      </w:tr>
    </w:tbl>
    <w:p w:rsidR="00EC09EE" w:rsidRPr="00D40817" w:rsidRDefault="00EC09EE" w:rsidP="00EC09EE">
      <w:pPr>
        <w:rPr>
          <w:sz w:val="20"/>
          <w:szCs w:val="20"/>
          <w:lang w:val="fr-CA"/>
        </w:rPr>
      </w:pPr>
    </w:p>
    <w:p w:rsidR="00EC09EE" w:rsidRPr="001B157C" w:rsidRDefault="00EC09EE" w:rsidP="00EC09EE">
      <w:pPr>
        <w:rPr>
          <w:sz w:val="20"/>
          <w:szCs w:val="20"/>
          <w:u w:val="single"/>
        </w:rPr>
      </w:pPr>
      <w:r w:rsidRPr="001B157C">
        <w:rPr>
          <w:sz w:val="20"/>
          <w:szCs w:val="20"/>
          <w:u w:val="single"/>
        </w:rPr>
        <w:t>CASE SUMMARY</w:t>
      </w:r>
    </w:p>
    <w:p w:rsidR="00EC09EE" w:rsidRDefault="00EC09EE" w:rsidP="00EC09E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E55D1" w:rsidRPr="00A1535A" w:rsidTr="00D40817">
        <w:tc>
          <w:tcPr>
            <w:tcW w:w="5000" w:type="pct"/>
            <w:gridSpan w:val="3"/>
          </w:tcPr>
          <w:p w:rsidR="00BE55D1" w:rsidRPr="00A1535A" w:rsidRDefault="00BE55D1" w:rsidP="00D40817">
            <w:pPr>
              <w:jc w:val="both"/>
              <w:rPr>
                <w:rFonts w:eastAsia="Calibri"/>
                <w:sz w:val="20"/>
              </w:rPr>
            </w:pPr>
            <w:r w:rsidRPr="00A1535A">
              <w:rPr>
                <w:rFonts w:eastAsia="Calibri"/>
                <w:sz w:val="20"/>
              </w:rPr>
              <w:t xml:space="preserve">Wills and Estates – Variation of Wills – Fraudulent Conveyances – Dependant’s relief – Is it necessary for a spouse to have had a legal or equitable claim enforceable against his/her spouse during their lifetime to have standing under the </w:t>
            </w:r>
            <w:r w:rsidRPr="00A1535A">
              <w:rPr>
                <w:rFonts w:eastAsia="Calibri"/>
                <w:i/>
                <w:sz w:val="20"/>
              </w:rPr>
              <w:t xml:space="preserve">Fraudulent Conveyances Act, </w:t>
            </w:r>
            <w:r w:rsidRPr="00A1535A">
              <w:rPr>
                <w:rFonts w:eastAsia="Calibri"/>
                <w:sz w:val="20"/>
              </w:rPr>
              <w:t xml:space="preserve">R.S.B.C. 1996, c. 163 (“FCA”) to attack dispositions made before death – Should a </w:t>
            </w:r>
            <w:r w:rsidRPr="00A1535A">
              <w:rPr>
                <w:rFonts w:eastAsia="Calibri"/>
                <w:sz w:val="20"/>
              </w:rPr>
              <w:lastRenderedPageBreak/>
              <w:t xml:space="preserve">spouse knowing that the effect of carrying out an estate plan will be to defeat </w:t>
            </w:r>
            <w:r w:rsidRPr="00A1535A">
              <w:rPr>
                <w:rFonts w:eastAsia="Calibri"/>
                <w:i/>
                <w:sz w:val="20"/>
              </w:rPr>
              <w:t xml:space="preserve">Wills Variation Act, </w:t>
            </w:r>
            <w:r w:rsidRPr="00A1535A">
              <w:rPr>
                <w:rFonts w:eastAsia="Calibri"/>
                <w:sz w:val="20"/>
              </w:rPr>
              <w:t xml:space="preserve">R.S.B.C. 1996, c. 490 (“WVA”), remedies against the estate after death be taken to have intended that result for the purposes of the </w:t>
            </w:r>
            <w:r w:rsidRPr="00A1535A">
              <w:rPr>
                <w:rFonts w:eastAsia="Calibri"/>
                <w:i/>
                <w:sz w:val="20"/>
              </w:rPr>
              <w:t>FCA</w:t>
            </w:r>
            <w:r w:rsidRPr="00A1535A">
              <w:rPr>
                <w:rFonts w:eastAsia="Calibri"/>
                <w:sz w:val="20"/>
              </w:rPr>
              <w:t xml:space="preserve"> – How should the analysis of </w:t>
            </w:r>
            <w:r w:rsidRPr="00A1535A">
              <w:rPr>
                <w:rFonts w:eastAsia="Calibri"/>
                <w:i/>
                <w:sz w:val="20"/>
              </w:rPr>
              <w:t>WVA</w:t>
            </w:r>
            <w:r w:rsidRPr="00A1535A">
              <w:rPr>
                <w:rFonts w:eastAsia="Calibri"/>
                <w:sz w:val="20"/>
              </w:rPr>
              <w:t xml:space="preserve"> claims in </w:t>
            </w:r>
            <w:r w:rsidRPr="00A1535A">
              <w:rPr>
                <w:rFonts w:eastAsia="Calibri"/>
                <w:i/>
                <w:sz w:val="20"/>
              </w:rPr>
              <w:t>Tataryn v. Tataryn</w:t>
            </w:r>
            <w:r w:rsidRPr="00A1535A">
              <w:rPr>
                <w:rFonts w:eastAsia="Calibri"/>
                <w:sz w:val="20"/>
              </w:rPr>
              <w:t xml:space="preserve">, [1994] 2 S.C.R. 807, be applied in the context of claims by common law spouses. </w:t>
            </w:r>
          </w:p>
        </w:tc>
      </w:tr>
      <w:tr w:rsidR="00BE55D1" w:rsidRPr="00A1535A" w:rsidTr="00D40817">
        <w:tc>
          <w:tcPr>
            <w:tcW w:w="5000" w:type="pct"/>
            <w:gridSpan w:val="3"/>
          </w:tcPr>
          <w:p w:rsidR="00BE55D1" w:rsidRPr="00A1535A" w:rsidRDefault="00BE55D1" w:rsidP="00D40817">
            <w:pPr>
              <w:jc w:val="both"/>
              <w:rPr>
                <w:rFonts w:eastAsia="Calibri"/>
                <w:sz w:val="20"/>
              </w:rPr>
            </w:pPr>
          </w:p>
          <w:p w:rsidR="00BE55D1" w:rsidRPr="00A1535A" w:rsidRDefault="00BE55D1" w:rsidP="00D40817">
            <w:pPr>
              <w:jc w:val="both"/>
              <w:rPr>
                <w:rFonts w:eastAsia="Calibri"/>
                <w:sz w:val="20"/>
              </w:rPr>
            </w:pPr>
            <w:r w:rsidRPr="00A1535A">
              <w:rPr>
                <w:rFonts w:eastAsia="Calibri"/>
                <w:sz w:val="20"/>
              </w:rPr>
              <w:t xml:space="preserve">At her death, Joan Meshen had assets worth approximately $10.5 million.  Shortly before her death in 2006, she made a series of transactions by which she transferred certain assets into joint tenancy and divested herself of her remaining assets by way of outright gifts and an </w:t>
            </w:r>
            <w:r w:rsidRPr="00A1535A">
              <w:rPr>
                <w:rFonts w:eastAsia="Calibri"/>
                <w:i/>
                <w:sz w:val="20"/>
              </w:rPr>
              <w:t>inter vivos</w:t>
            </w:r>
            <w:r w:rsidRPr="00A1535A">
              <w:rPr>
                <w:rFonts w:eastAsia="Calibri"/>
                <w:sz w:val="20"/>
              </w:rPr>
              <w:t xml:space="preserve"> trust, the implementation of which effectively impoverished her estate. By those dispositions, as well as a fresh will made at the same time, Joan Meshen left nothing to Dennis Mawdsley, her common-law spouse of 18 years.  Except for a joint bank account used mainly for expenses, the couple maintained separate bank accounts and investments.  In his action, Mr. Mawdsley alleged that the pre-death transfer of assets was part of a deliberate scheme by the deceased to deprive him of his lawful remedies contrary to the </w:t>
            </w:r>
            <w:r w:rsidRPr="00A1535A">
              <w:rPr>
                <w:rFonts w:eastAsia="Calibri"/>
                <w:i/>
                <w:sz w:val="20"/>
              </w:rPr>
              <w:t>FCA</w:t>
            </w:r>
            <w:r w:rsidRPr="00A1535A">
              <w:rPr>
                <w:rFonts w:eastAsia="Calibri"/>
                <w:sz w:val="20"/>
              </w:rPr>
              <w:t>. He sought orders to set aside the impugned transactions, primarily on the basis they were fraudulent conveyances which would have resulted in the return of those assets to Joan Meshen's estate, as well as variation of Joan Meshen's will.  He also asserted claims founded on unjust enrichment and constructive trust, express trust and resulting trust.</w:t>
            </w:r>
          </w:p>
          <w:p w:rsidR="00BE55D1" w:rsidRPr="00A1535A" w:rsidRDefault="00BE55D1" w:rsidP="00D40817">
            <w:pPr>
              <w:jc w:val="both"/>
              <w:rPr>
                <w:rFonts w:eastAsia="Calibri"/>
                <w:sz w:val="20"/>
              </w:rPr>
            </w:pPr>
          </w:p>
        </w:tc>
      </w:tr>
      <w:tr w:rsidR="00BE55D1" w:rsidRPr="00A1535A" w:rsidTr="00D40817">
        <w:tc>
          <w:tcPr>
            <w:tcW w:w="5000" w:type="pct"/>
            <w:gridSpan w:val="3"/>
          </w:tcPr>
          <w:p w:rsidR="00BE55D1" w:rsidRPr="00A1535A" w:rsidRDefault="00BE55D1" w:rsidP="00D40817">
            <w:pPr>
              <w:jc w:val="both"/>
              <w:rPr>
                <w:rFonts w:eastAsia="Calibri"/>
                <w:sz w:val="20"/>
              </w:rPr>
            </w:pPr>
            <w:r w:rsidRPr="00A1535A">
              <w:rPr>
                <w:rFonts w:eastAsia="Calibri"/>
                <w:sz w:val="20"/>
              </w:rPr>
              <w:t>The Supreme Court of British Columbia allowed the action in part, varying the deceased’s will to provide that the residue of the estate in the amount of approximately $280,000 be paid to Mr. Mawdsley.  All other claims were dismissed.  The B.C. Court of Appeal dismissed Mr. Mawdsley’s appeal.</w:t>
            </w:r>
          </w:p>
          <w:p w:rsidR="00BE55D1" w:rsidRPr="00A1535A" w:rsidRDefault="00BE55D1" w:rsidP="00D40817">
            <w:pPr>
              <w:jc w:val="both"/>
              <w:rPr>
                <w:rFonts w:eastAsia="Calibri"/>
                <w:sz w:val="20"/>
              </w:rPr>
            </w:pPr>
          </w:p>
        </w:tc>
      </w:tr>
      <w:tr w:rsidR="00BE55D1" w:rsidRPr="00A1535A" w:rsidTr="00D40817">
        <w:tc>
          <w:tcPr>
            <w:tcW w:w="2427" w:type="pct"/>
          </w:tcPr>
          <w:p w:rsidR="00BE55D1" w:rsidRPr="00A1535A" w:rsidRDefault="00BE55D1" w:rsidP="00D40817">
            <w:pPr>
              <w:jc w:val="both"/>
              <w:rPr>
                <w:rFonts w:eastAsia="Calibri"/>
                <w:sz w:val="20"/>
              </w:rPr>
            </w:pPr>
            <w:r w:rsidRPr="00A1535A">
              <w:rPr>
                <w:rFonts w:eastAsia="Calibri"/>
                <w:sz w:val="20"/>
              </w:rPr>
              <w:t>August 5, 2010</w:t>
            </w:r>
          </w:p>
          <w:p w:rsidR="00BE55D1" w:rsidRPr="00A1535A" w:rsidRDefault="00BE55D1" w:rsidP="00D40817">
            <w:pPr>
              <w:jc w:val="both"/>
              <w:rPr>
                <w:rFonts w:eastAsia="Calibri"/>
                <w:sz w:val="20"/>
              </w:rPr>
            </w:pPr>
            <w:r w:rsidRPr="00A1535A">
              <w:rPr>
                <w:rFonts w:eastAsia="Calibri"/>
                <w:sz w:val="20"/>
              </w:rPr>
              <w:t>Supreme Court of British Columbia</w:t>
            </w:r>
          </w:p>
          <w:p w:rsidR="00BE55D1" w:rsidRPr="00A1535A" w:rsidRDefault="00BE55D1" w:rsidP="00D40817">
            <w:pPr>
              <w:jc w:val="both"/>
              <w:rPr>
                <w:rFonts w:eastAsia="Calibri"/>
                <w:sz w:val="20"/>
              </w:rPr>
            </w:pPr>
            <w:r w:rsidRPr="00A1535A">
              <w:rPr>
                <w:rFonts w:eastAsia="Calibri"/>
                <w:sz w:val="20"/>
              </w:rPr>
              <w:t>(Ballance J.)</w:t>
            </w:r>
          </w:p>
          <w:p w:rsidR="00BE55D1" w:rsidRPr="00A1535A" w:rsidRDefault="00BE55D1" w:rsidP="00D40817">
            <w:pPr>
              <w:jc w:val="both"/>
              <w:rPr>
                <w:rFonts w:eastAsia="Calibri"/>
                <w:sz w:val="20"/>
              </w:rPr>
            </w:pPr>
          </w:p>
        </w:tc>
        <w:tc>
          <w:tcPr>
            <w:tcW w:w="243" w:type="pct"/>
          </w:tcPr>
          <w:p w:rsidR="00BE55D1" w:rsidRPr="00A1535A" w:rsidRDefault="00BE55D1" w:rsidP="00D40817">
            <w:pPr>
              <w:jc w:val="both"/>
              <w:rPr>
                <w:rFonts w:eastAsia="Calibri"/>
                <w:sz w:val="20"/>
              </w:rPr>
            </w:pPr>
          </w:p>
        </w:tc>
        <w:tc>
          <w:tcPr>
            <w:tcW w:w="2330" w:type="pct"/>
          </w:tcPr>
          <w:p w:rsidR="00BE55D1" w:rsidRPr="00A1535A" w:rsidRDefault="00BE55D1" w:rsidP="00D40817">
            <w:pPr>
              <w:jc w:val="both"/>
              <w:rPr>
                <w:rFonts w:eastAsia="Calibri"/>
                <w:sz w:val="20"/>
              </w:rPr>
            </w:pPr>
            <w:r w:rsidRPr="00A1535A">
              <w:rPr>
                <w:rFonts w:eastAsia="Calibri"/>
                <w:sz w:val="20"/>
              </w:rPr>
              <w:t>Applicant’s action granted, in part.</w:t>
            </w:r>
          </w:p>
          <w:p w:rsidR="00BE55D1" w:rsidRPr="00A1535A" w:rsidRDefault="00BE55D1" w:rsidP="00D40817">
            <w:pPr>
              <w:jc w:val="both"/>
              <w:rPr>
                <w:rFonts w:eastAsia="Calibri"/>
                <w:sz w:val="20"/>
              </w:rPr>
            </w:pPr>
          </w:p>
        </w:tc>
      </w:tr>
      <w:tr w:rsidR="00BE55D1" w:rsidRPr="00A1535A" w:rsidTr="00D40817">
        <w:tc>
          <w:tcPr>
            <w:tcW w:w="2427" w:type="pct"/>
          </w:tcPr>
          <w:p w:rsidR="00BE55D1" w:rsidRPr="00A1535A" w:rsidRDefault="00BE55D1" w:rsidP="00D40817">
            <w:pPr>
              <w:jc w:val="both"/>
              <w:rPr>
                <w:rFonts w:eastAsia="Calibri"/>
                <w:sz w:val="20"/>
              </w:rPr>
            </w:pPr>
            <w:r w:rsidRPr="00A1535A">
              <w:rPr>
                <w:rFonts w:eastAsia="Calibri"/>
                <w:sz w:val="20"/>
              </w:rPr>
              <w:t>February 28, 2012</w:t>
            </w:r>
          </w:p>
          <w:p w:rsidR="00BE55D1" w:rsidRPr="00A1535A" w:rsidRDefault="00BE55D1" w:rsidP="00D40817">
            <w:pPr>
              <w:jc w:val="both"/>
              <w:rPr>
                <w:rFonts w:eastAsia="Calibri"/>
                <w:sz w:val="20"/>
              </w:rPr>
            </w:pPr>
            <w:r w:rsidRPr="00A1535A">
              <w:rPr>
                <w:rFonts w:eastAsia="Calibri"/>
                <w:sz w:val="20"/>
              </w:rPr>
              <w:t>Court of Appeal for British Columbia (Vancouver)</w:t>
            </w:r>
          </w:p>
          <w:p w:rsidR="00BE55D1" w:rsidRPr="00A1535A" w:rsidRDefault="00BE55D1" w:rsidP="00D40817">
            <w:pPr>
              <w:jc w:val="both"/>
              <w:rPr>
                <w:rFonts w:eastAsia="Calibri"/>
                <w:sz w:val="20"/>
              </w:rPr>
            </w:pPr>
            <w:r w:rsidRPr="00A1535A">
              <w:rPr>
                <w:rFonts w:eastAsia="Calibri"/>
                <w:sz w:val="20"/>
              </w:rPr>
              <w:t>(Newbury, Saunders and Bennett JJ.A.)</w:t>
            </w:r>
          </w:p>
          <w:p w:rsidR="00BE55D1" w:rsidRPr="00A1535A" w:rsidRDefault="00BE55D1" w:rsidP="00D40817">
            <w:pPr>
              <w:jc w:val="both"/>
              <w:rPr>
                <w:rFonts w:eastAsia="Calibri"/>
                <w:sz w:val="20"/>
              </w:rPr>
            </w:pPr>
          </w:p>
        </w:tc>
        <w:tc>
          <w:tcPr>
            <w:tcW w:w="243" w:type="pct"/>
          </w:tcPr>
          <w:p w:rsidR="00BE55D1" w:rsidRPr="00A1535A" w:rsidRDefault="00BE55D1" w:rsidP="00D40817">
            <w:pPr>
              <w:jc w:val="both"/>
              <w:rPr>
                <w:rFonts w:eastAsia="Calibri"/>
                <w:sz w:val="20"/>
              </w:rPr>
            </w:pPr>
          </w:p>
        </w:tc>
        <w:tc>
          <w:tcPr>
            <w:tcW w:w="2330" w:type="pct"/>
          </w:tcPr>
          <w:p w:rsidR="00BE55D1" w:rsidRPr="00A1535A" w:rsidRDefault="00BE55D1" w:rsidP="00D40817">
            <w:pPr>
              <w:jc w:val="both"/>
              <w:rPr>
                <w:rFonts w:eastAsia="Calibri"/>
                <w:sz w:val="20"/>
              </w:rPr>
            </w:pPr>
            <w:r w:rsidRPr="00A1535A">
              <w:rPr>
                <w:rFonts w:eastAsia="Calibri"/>
                <w:sz w:val="20"/>
              </w:rPr>
              <w:t>Applicant’s appeal, dismissed.</w:t>
            </w:r>
          </w:p>
          <w:p w:rsidR="00BE55D1" w:rsidRPr="00A1535A" w:rsidRDefault="00BE55D1" w:rsidP="00D40817">
            <w:pPr>
              <w:jc w:val="both"/>
              <w:rPr>
                <w:rFonts w:eastAsia="Calibri"/>
                <w:sz w:val="20"/>
              </w:rPr>
            </w:pPr>
          </w:p>
        </w:tc>
      </w:tr>
      <w:tr w:rsidR="00BE55D1" w:rsidRPr="00A1535A" w:rsidTr="00D40817">
        <w:tc>
          <w:tcPr>
            <w:tcW w:w="2427" w:type="pct"/>
          </w:tcPr>
          <w:p w:rsidR="00BE55D1" w:rsidRPr="00A1535A" w:rsidRDefault="00BE55D1" w:rsidP="00D40817">
            <w:pPr>
              <w:jc w:val="both"/>
              <w:rPr>
                <w:rFonts w:eastAsia="Calibri"/>
                <w:sz w:val="20"/>
              </w:rPr>
            </w:pPr>
            <w:r w:rsidRPr="00A1535A">
              <w:rPr>
                <w:rFonts w:eastAsia="Calibri"/>
                <w:sz w:val="20"/>
              </w:rPr>
              <w:t>April 27, 2012</w:t>
            </w:r>
          </w:p>
          <w:p w:rsidR="00BE55D1" w:rsidRPr="00A1535A" w:rsidRDefault="00BE55D1" w:rsidP="00D40817">
            <w:pPr>
              <w:jc w:val="both"/>
              <w:rPr>
                <w:rFonts w:eastAsia="Calibri"/>
                <w:sz w:val="20"/>
              </w:rPr>
            </w:pPr>
            <w:r w:rsidRPr="00A1535A">
              <w:rPr>
                <w:rFonts w:eastAsia="Calibri"/>
                <w:sz w:val="20"/>
              </w:rPr>
              <w:t>Supreme Court of Canada</w:t>
            </w:r>
          </w:p>
        </w:tc>
        <w:tc>
          <w:tcPr>
            <w:tcW w:w="243" w:type="pct"/>
          </w:tcPr>
          <w:p w:rsidR="00BE55D1" w:rsidRPr="00A1535A" w:rsidRDefault="00BE55D1" w:rsidP="00D40817">
            <w:pPr>
              <w:jc w:val="both"/>
              <w:rPr>
                <w:rFonts w:eastAsia="Calibri"/>
                <w:sz w:val="20"/>
              </w:rPr>
            </w:pPr>
          </w:p>
        </w:tc>
        <w:tc>
          <w:tcPr>
            <w:tcW w:w="2330" w:type="pct"/>
          </w:tcPr>
          <w:p w:rsidR="00BE55D1" w:rsidRPr="00A1535A" w:rsidRDefault="00BE55D1" w:rsidP="00D40817">
            <w:pPr>
              <w:jc w:val="both"/>
              <w:rPr>
                <w:rFonts w:eastAsia="Calibri"/>
                <w:sz w:val="20"/>
              </w:rPr>
            </w:pPr>
            <w:r w:rsidRPr="00A1535A">
              <w:rPr>
                <w:rFonts w:eastAsia="Calibri"/>
                <w:sz w:val="20"/>
              </w:rPr>
              <w:t>Application for leave to appeal, filed.</w:t>
            </w:r>
          </w:p>
        </w:tc>
      </w:tr>
    </w:tbl>
    <w:p w:rsidR="00EC09EE" w:rsidRDefault="00EC09EE" w:rsidP="00EC09EE">
      <w:pPr>
        <w:rPr>
          <w:sz w:val="20"/>
          <w:szCs w:val="20"/>
        </w:rPr>
      </w:pPr>
    </w:p>
    <w:p w:rsidR="00EC09EE" w:rsidRPr="00C50A5C" w:rsidRDefault="007333FF" w:rsidP="00EC09EE">
      <w:pPr>
        <w:rPr>
          <w:sz w:val="20"/>
          <w:szCs w:val="20"/>
        </w:rPr>
      </w:pPr>
      <w:r w:rsidRPr="007333FF">
        <w:rPr>
          <w:sz w:val="20"/>
          <w:szCs w:val="20"/>
          <w:lang w:val="fr-CA"/>
        </w:rPr>
        <w:pict>
          <v:rect id="_x0000_i1108" style="width:2in;height:1pt" o:hrpct="0" o:hralign="center" o:hrstd="t" o:hrnoshade="t" o:hr="t" fillcolor="black [3213]" stroked="f"/>
        </w:pict>
      </w:r>
    </w:p>
    <w:p w:rsidR="00EC09EE" w:rsidRDefault="00EC09EE" w:rsidP="00EC09EE">
      <w:pPr>
        <w:rPr>
          <w:sz w:val="20"/>
          <w:szCs w:val="20"/>
        </w:rPr>
      </w:pPr>
    </w:p>
    <w:p w:rsidR="00EC09EE" w:rsidRPr="001B157C" w:rsidRDefault="00EC09EE" w:rsidP="00EC09EE">
      <w:pPr>
        <w:rPr>
          <w:sz w:val="20"/>
          <w:szCs w:val="20"/>
          <w:u w:val="single"/>
          <w:lang w:val="fr-CA"/>
        </w:rPr>
      </w:pPr>
      <w:r w:rsidRPr="001B157C">
        <w:rPr>
          <w:sz w:val="20"/>
          <w:szCs w:val="20"/>
          <w:u w:val="single"/>
          <w:lang w:val="fr-CA"/>
        </w:rPr>
        <w:t>RÉSUMÉ DE L’AFFAIRE</w:t>
      </w:r>
    </w:p>
    <w:p w:rsidR="00EC09EE" w:rsidRDefault="00EC09EE" w:rsidP="00EC09EE">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E55D1" w:rsidRPr="00B6145B" w:rsidTr="00D40817">
        <w:tc>
          <w:tcPr>
            <w:tcW w:w="5000" w:type="pct"/>
            <w:gridSpan w:val="3"/>
          </w:tcPr>
          <w:p w:rsidR="00BE55D1" w:rsidRPr="00A1535A" w:rsidRDefault="00BE55D1" w:rsidP="00D40817">
            <w:pPr>
              <w:jc w:val="both"/>
              <w:rPr>
                <w:rFonts w:eastAsia="Calibri"/>
                <w:sz w:val="20"/>
                <w:lang w:val="fr-CA"/>
              </w:rPr>
            </w:pPr>
            <w:r w:rsidRPr="00A1535A">
              <w:rPr>
                <w:rFonts w:eastAsia="Calibri"/>
                <w:sz w:val="20"/>
                <w:lang w:val="fr-CA"/>
              </w:rPr>
              <w:t>Successions – Modifications de testaments – Transports frauduleux – Recours de la personne à charge – Faut</w:t>
            </w:r>
            <w:r w:rsidRPr="00A1535A">
              <w:rPr>
                <w:rFonts w:eastAsia="Calibri"/>
                <w:sz w:val="20"/>
                <w:lang w:val="fr-CA"/>
              </w:rPr>
              <w:noBreakHyphen/>
              <w:t xml:space="preserve">il qu'un époux ait eu un recours en droit ou en équité susceptible d'être exécuté contre son conjoint de leur vivant pour avoir le droit d’intenter un recours fondé sur la </w:t>
            </w:r>
            <w:r w:rsidRPr="00A1535A">
              <w:rPr>
                <w:rFonts w:eastAsia="Calibri"/>
                <w:i/>
                <w:sz w:val="20"/>
                <w:lang w:val="fr-CA"/>
              </w:rPr>
              <w:t xml:space="preserve">Fraudulent Conveyances Act, </w:t>
            </w:r>
            <w:r w:rsidRPr="00A1535A">
              <w:rPr>
                <w:rFonts w:eastAsia="Calibri"/>
                <w:sz w:val="20"/>
                <w:lang w:val="fr-CA"/>
              </w:rPr>
              <w:t>R.S.B.C. 1996, ch. 163 (la « FCA ») afin de contester des dispositions faites avant le décès? – Faut</w:t>
            </w:r>
            <w:r w:rsidRPr="00A1535A">
              <w:rPr>
                <w:rFonts w:eastAsia="Calibri"/>
                <w:sz w:val="20"/>
                <w:lang w:val="fr-CA"/>
              </w:rPr>
              <w:noBreakHyphen/>
              <w:t xml:space="preserve">il présumer qu'un époux qui sait que l'exécution d'un plan successoral aura pour effet de rendre inopérants les recours fondés sur la </w:t>
            </w:r>
            <w:r w:rsidRPr="00A1535A">
              <w:rPr>
                <w:rFonts w:eastAsia="Calibri"/>
                <w:i/>
                <w:sz w:val="20"/>
                <w:lang w:val="fr-CA"/>
              </w:rPr>
              <w:t xml:space="preserve">Wills Variation Act, </w:t>
            </w:r>
            <w:r w:rsidRPr="00A1535A">
              <w:rPr>
                <w:rFonts w:eastAsia="Calibri"/>
                <w:sz w:val="20"/>
                <w:lang w:val="fr-CA"/>
              </w:rPr>
              <w:t xml:space="preserve">R.S.B.C. 1996, ch. 490 (« WVA ») contre la succession après le décès voulait ce résultat aux fins de la </w:t>
            </w:r>
            <w:r w:rsidRPr="00A1535A">
              <w:rPr>
                <w:rFonts w:eastAsia="Calibri"/>
                <w:i/>
                <w:sz w:val="20"/>
                <w:lang w:val="fr-CA"/>
              </w:rPr>
              <w:t>FCA</w:t>
            </w:r>
            <w:r w:rsidRPr="00A1535A">
              <w:rPr>
                <w:rFonts w:eastAsia="Calibri"/>
                <w:sz w:val="20"/>
                <w:lang w:val="fr-CA"/>
              </w:rPr>
              <w:t xml:space="preserve">? – Comment l'analyse des recours fondés sur la </w:t>
            </w:r>
            <w:r w:rsidRPr="00A1535A">
              <w:rPr>
                <w:rFonts w:eastAsia="Calibri"/>
                <w:i/>
                <w:sz w:val="20"/>
                <w:lang w:val="fr-CA"/>
              </w:rPr>
              <w:t>WVA</w:t>
            </w:r>
            <w:r w:rsidRPr="00A1535A">
              <w:rPr>
                <w:rFonts w:eastAsia="Calibri"/>
                <w:sz w:val="20"/>
                <w:lang w:val="fr-CA"/>
              </w:rPr>
              <w:t xml:space="preserve"> faite dans l'arrêt </w:t>
            </w:r>
            <w:r w:rsidRPr="00A1535A">
              <w:rPr>
                <w:rFonts w:eastAsia="Calibri"/>
                <w:i/>
                <w:sz w:val="20"/>
                <w:lang w:val="fr-CA"/>
              </w:rPr>
              <w:t>Tataryn c. Tataryn</w:t>
            </w:r>
            <w:r w:rsidRPr="00A1535A">
              <w:rPr>
                <w:rFonts w:eastAsia="Calibri"/>
                <w:sz w:val="20"/>
                <w:lang w:val="fr-CA"/>
              </w:rPr>
              <w:t>, [1994] 2 R.C.S. 807, doit</w:t>
            </w:r>
            <w:r w:rsidRPr="00A1535A">
              <w:rPr>
                <w:rFonts w:eastAsia="Calibri"/>
                <w:sz w:val="20"/>
                <w:lang w:val="fr-CA"/>
              </w:rPr>
              <w:noBreakHyphen/>
              <w:t xml:space="preserve">elle être appliquée dans le contexte des recours intentés par les conjoints de fait? </w:t>
            </w:r>
          </w:p>
          <w:p w:rsidR="00BE55D1" w:rsidRPr="00A1535A" w:rsidRDefault="00BE55D1" w:rsidP="00D40817">
            <w:pPr>
              <w:jc w:val="both"/>
              <w:rPr>
                <w:rFonts w:eastAsia="Calibri"/>
                <w:sz w:val="20"/>
                <w:lang w:val="fr-CA"/>
              </w:rPr>
            </w:pPr>
          </w:p>
        </w:tc>
      </w:tr>
      <w:tr w:rsidR="00BE55D1" w:rsidRPr="00C832DD" w:rsidTr="00D40817">
        <w:tc>
          <w:tcPr>
            <w:tcW w:w="5000" w:type="pct"/>
            <w:gridSpan w:val="3"/>
          </w:tcPr>
          <w:p w:rsidR="00BE55D1" w:rsidRPr="00A1535A" w:rsidRDefault="00BE55D1" w:rsidP="00D40817">
            <w:pPr>
              <w:jc w:val="both"/>
              <w:rPr>
                <w:rFonts w:eastAsia="Calibri"/>
                <w:sz w:val="20"/>
                <w:lang w:val="fr-CA"/>
              </w:rPr>
            </w:pPr>
            <w:r w:rsidRPr="00A1535A">
              <w:rPr>
                <w:rFonts w:eastAsia="Calibri"/>
                <w:sz w:val="20"/>
                <w:lang w:val="fr-CA"/>
              </w:rPr>
              <w:t xml:space="preserve">À son décès, Joan Meshen avait des biens d'une valeur d'environ 10,5 millions de dollars. Peu de temps avant son décès en 2006, elle a effectué une série d'opérations par lesquelles elle a transféré certains biens en tenance conjointe et s’est départie des biens qui lui restaient sous forme de donations absolues et d'une fiducie entre vifs, dont la mise en œuvre a immédiatement appauvri sa succession. Par ces dispositions, ainsi qu’un nouveau testament fait en même temps, Joan Meshen n'a rien laissé à Dennis Mawdsley, qui a été son conjoint de fait pendant 18 ans. À l'exception d'un compte conjoint utilisé principalement pour acquitter des dépenses, le couple gardait des comptes bancaires et des placements distincts. Dans son action, M. Mawdsley a allégué que le transfert des biens avant le décès faisait partie </w:t>
            </w:r>
            <w:r w:rsidRPr="00A1535A">
              <w:rPr>
                <w:rFonts w:eastAsia="Calibri"/>
                <w:sz w:val="20"/>
                <w:lang w:val="fr-CA"/>
              </w:rPr>
              <w:lastRenderedPageBreak/>
              <w:t xml:space="preserve">d’un stratagème de la défunte pour le priver de ses recours légitimes contrairement à la </w:t>
            </w:r>
            <w:r w:rsidRPr="00A1535A">
              <w:rPr>
                <w:rFonts w:eastAsia="Calibri"/>
                <w:i/>
                <w:sz w:val="20"/>
                <w:lang w:val="fr-CA"/>
              </w:rPr>
              <w:t>FCA</w:t>
            </w:r>
            <w:r w:rsidRPr="00A1535A">
              <w:rPr>
                <w:rFonts w:eastAsia="Calibri"/>
                <w:sz w:val="20"/>
                <w:lang w:val="fr-CA"/>
              </w:rPr>
              <w:t>. Il a sollicité des ordonnances en annulation des opérations contestées, en plaidant principalement qu'il s'agissait de transports frauduleux qui auraient eu pour effet de restituer ces biens à la succession de Joan Meshen et de modifier le testament de cette dernière. Il a également fait valoir des réclamations fondées sur l’enrichissement sans cause, une fiducie constructoire, une fiducie expresse et une fiducie résultoire.</w:t>
            </w:r>
          </w:p>
          <w:p w:rsidR="00BE55D1" w:rsidRPr="00A1535A" w:rsidRDefault="00BE55D1" w:rsidP="00D40817">
            <w:pPr>
              <w:jc w:val="both"/>
              <w:rPr>
                <w:rFonts w:eastAsia="Calibri"/>
                <w:sz w:val="20"/>
                <w:lang w:val="fr-CA"/>
              </w:rPr>
            </w:pPr>
          </w:p>
        </w:tc>
      </w:tr>
      <w:tr w:rsidR="00BE55D1" w:rsidRPr="00C832DD" w:rsidTr="00D40817">
        <w:tc>
          <w:tcPr>
            <w:tcW w:w="5000" w:type="pct"/>
            <w:gridSpan w:val="3"/>
          </w:tcPr>
          <w:p w:rsidR="00BE55D1" w:rsidRPr="00A1535A" w:rsidRDefault="00BE55D1" w:rsidP="00D40817">
            <w:pPr>
              <w:jc w:val="both"/>
              <w:rPr>
                <w:rFonts w:eastAsia="Calibri"/>
                <w:sz w:val="20"/>
                <w:lang w:val="fr-CA"/>
              </w:rPr>
            </w:pPr>
            <w:r w:rsidRPr="00A1535A">
              <w:rPr>
                <w:rFonts w:eastAsia="Calibri"/>
                <w:sz w:val="20"/>
                <w:lang w:val="fr-CA"/>
              </w:rPr>
              <w:lastRenderedPageBreak/>
              <w:t>La Cour suprême de la Colombie</w:t>
            </w:r>
            <w:r w:rsidRPr="00A1535A">
              <w:rPr>
                <w:rFonts w:eastAsia="Calibri"/>
                <w:sz w:val="20"/>
                <w:lang w:val="fr-CA"/>
              </w:rPr>
              <w:noBreakHyphen/>
              <w:t>Britannique a accueilli l'appel en partie, modifiant le testament de la défunte pour qu'il prévoie que le reliquat de la succession d’un montant d'environ 280 000 $ soit payé à M. Mawdsley. Toutes les autres demandes ont été rejetées. La Cour d'appel de la Colombie</w:t>
            </w:r>
            <w:r w:rsidRPr="00A1535A">
              <w:rPr>
                <w:rFonts w:eastAsia="Calibri"/>
                <w:sz w:val="20"/>
                <w:lang w:val="fr-CA"/>
              </w:rPr>
              <w:noBreakHyphen/>
              <w:t>Britannique a rejeté l'appel de M. Mawdsley.</w:t>
            </w:r>
          </w:p>
          <w:p w:rsidR="00BE55D1" w:rsidRPr="00A1535A" w:rsidRDefault="00BE55D1" w:rsidP="00D40817">
            <w:pPr>
              <w:jc w:val="both"/>
              <w:rPr>
                <w:rFonts w:eastAsia="Calibri"/>
                <w:sz w:val="20"/>
                <w:lang w:val="fr-CA"/>
              </w:rPr>
            </w:pPr>
          </w:p>
        </w:tc>
      </w:tr>
      <w:tr w:rsidR="00BE55D1" w:rsidRPr="00C832DD" w:rsidTr="00D40817">
        <w:tc>
          <w:tcPr>
            <w:tcW w:w="2427" w:type="pct"/>
          </w:tcPr>
          <w:p w:rsidR="00BE55D1" w:rsidRPr="00A1535A" w:rsidRDefault="00BE55D1" w:rsidP="00D40817">
            <w:pPr>
              <w:jc w:val="both"/>
              <w:rPr>
                <w:rFonts w:eastAsia="Calibri"/>
                <w:sz w:val="20"/>
                <w:lang w:val="fr-CA"/>
              </w:rPr>
            </w:pPr>
            <w:r w:rsidRPr="00A1535A">
              <w:rPr>
                <w:rFonts w:eastAsia="Calibri"/>
                <w:sz w:val="20"/>
                <w:lang w:val="fr-CA"/>
              </w:rPr>
              <w:t>5 août 2010</w:t>
            </w:r>
          </w:p>
          <w:p w:rsidR="00BE55D1" w:rsidRPr="00A1535A" w:rsidRDefault="00BE55D1" w:rsidP="00D40817">
            <w:pPr>
              <w:jc w:val="both"/>
              <w:rPr>
                <w:rFonts w:eastAsia="Calibri"/>
                <w:sz w:val="20"/>
                <w:lang w:val="fr-CA"/>
              </w:rPr>
            </w:pPr>
            <w:r w:rsidRPr="00A1535A">
              <w:rPr>
                <w:rFonts w:eastAsia="Calibri"/>
                <w:sz w:val="20"/>
                <w:lang w:val="fr-CA"/>
              </w:rPr>
              <w:t>Cour suprême de la Colombie</w:t>
            </w:r>
            <w:r w:rsidRPr="00A1535A">
              <w:rPr>
                <w:rFonts w:eastAsia="Calibri"/>
                <w:sz w:val="20"/>
                <w:lang w:val="fr-CA"/>
              </w:rPr>
              <w:noBreakHyphen/>
              <w:t xml:space="preserve">Britannique </w:t>
            </w:r>
          </w:p>
          <w:p w:rsidR="00BE55D1" w:rsidRPr="00A1535A" w:rsidRDefault="00BE55D1" w:rsidP="00D40817">
            <w:pPr>
              <w:jc w:val="both"/>
              <w:rPr>
                <w:rFonts w:eastAsia="Calibri"/>
                <w:sz w:val="20"/>
                <w:lang w:val="fr-CA"/>
              </w:rPr>
            </w:pPr>
            <w:r w:rsidRPr="00A1535A">
              <w:rPr>
                <w:rFonts w:eastAsia="Calibri"/>
                <w:sz w:val="20"/>
                <w:lang w:val="fr-CA"/>
              </w:rPr>
              <w:t>(Juge Ballance)</w:t>
            </w:r>
          </w:p>
          <w:p w:rsidR="00BE55D1" w:rsidRPr="00A1535A" w:rsidRDefault="00BE55D1" w:rsidP="00D40817">
            <w:pPr>
              <w:jc w:val="both"/>
              <w:rPr>
                <w:rFonts w:eastAsia="Calibri"/>
                <w:sz w:val="20"/>
                <w:lang w:val="fr-CA"/>
              </w:rPr>
            </w:pPr>
          </w:p>
        </w:tc>
        <w:tc>
          <w:tcPr>
            <w:tcW w:w="243" w:type="pct"/>
          </w:tcPr>
          <w:p w:rsidR="00BE55D1" w:rsidRPr="00A1535A" w:rsidRDefault="00BE55D1" w:rsidP="00D40817">
            <w:pPr>
              <w:jc w:val="both"/>
              <w:rPr>
                <w:rFonts w:eastAsia="Calibri"/>
                <w:sz w:val="20"/>
                <w:lang w:val="fr-CA"/>
              </w:rPr>
            </w:pPr>
          </w:p>
        </w:tc>
        <w:tc>
          <w:tcPr>
            <w:tcW w:w="2330" w:type="pct"/>
          </w:tcPr>
          <w:p w:rsidR="00BE55D1" w:rsidRPr="00A1535A" w:rsidRDefault="00BE55D1" w:rsidP="00D40817">
            <w:pPr>
              <w:jc w:val="both"/>
              <w:rPr>
                <w:rFonts w:eastAsia="Calibri"/>
                <w:sz w:val="20"/>
                <w:lang w:val="fr-CA"/>
              </w:rPr>
            </w:pPr>
            <w:r w:rsidRPr="00A1535A">
              <w:rPr>
                <w:rFonts w:eastAsia="Calibri"/>
                <w:sz w:val="20"/>
                <w:lang w:val="fr-CA"/>
              </w:rPr>
              <w:t>Action du demandeur, accueillie en partie.</w:t>
            </w:r>
          </w:p>
          <w:p w:rsidR="00BE55D1" w:rsidRPr="00A1535A" w:rsidRDefault="00BE55D1" w:rsidP="00D40817">
            <w:pPr>
              <w:jc w:val="both"/>
              <w:rPr>
                <w:rFonts w:eastAsia="Calibri"/>
                <w:sz w:val="20"/>
                <w:lang w:val="fr-CA"/>
              </w:rPr>
            </w:pPr>
          </w:p>
        </w:tc>
      </w:tr>
      <w:tr w:rsidR="00BE55D1" w:rsidRPr="00A1535A" w:rsidTr="00D40817">
        <w:tc>
          <w:tcPr>
            <w:tcW w:w="2427" w:type="pct"/>
          </w:tcPr>
          <w:p w:rsidR="00BE55D1" w:rsidRPr="00A1535A" w:rsidRDefault="00BE55D1" w:rsidP="00D40817">
            <w:pPr>
              <w:jc w:val="both"/>
              <w:rPr>
                <w:rFonts w:eastAsia="Calibri"/>
                <w:sz w:val="20"/>
                <w:lang w:val="fr-CA"/>
              </w:rPr>
            </w:pPr>
            <w:r w:rsidRPr="00A1535A">
              <w:rPr>
                <w:rFonts w:eastAsia="Calibri"/>
                <w:sz w:val="20"/>
                <w:lang w:val="fr-CA"/>
              </w:rPr>
              <w:t>28 février 2012</w:t>
            </w:r>
          </w:p>
          <w:p w:rsidR="00BE55D1" w:rsidRPr="00A1535A" w:rsidRDefault="00BE55D1" w:rsidP="00D40817">
            <w:pPr>
              <w:jc w:val="both"/>
              <w:rPr>
                <w:rFonts w:eastAsia="Calibri"/>
                <w:sz w:val="20"/>
                <w:lang w:val="fr-CA"/>
              </w:rPr>
            </w:pPr>
            <w:r w:rsidRPr="00A1535A">
              <w:rPr>
                <w:rFonts w:eastAsia="Calibri"/>
                <w:sz w:val="20"/>
                <w:lang w:val="fr-CA"/>
              </w:rPr>
              <w:t>Cour d'appel de la Colombie</w:t>
            </w:r>
            <w:r w:rsidRPr="00A1535A">
              <w:rPr>
                <w:rFonts w:eastAsia="Calibri"/>
                <w:sz w:val="20"/>
                <w:lang w:val="fr-CA"/>
              </w:rPr>
              <w:noBreakHyphen/>
              <w:t>Britannique (Vancouver)</w:t>
            </w:r>
          </w:p>
          <w:p w:rsidR="00BE55D1" w:rsidRPr="00A1535A" w:rsidRDefault="00BE55D1" w:rsidP="00D40817">
            <w:pPr>
              <w:jc w:val="both"/>
              <w:rPr>
                <w:rFonts w:eastAsia="Calibri"/>
                <w:sz w:val="20"/>
                <w:lang w:val="fr-CA"/>
              </w:rPr>
            </w:pPr>
            <w:r w:rsidRPr="00A1535A">
              <w:rPr>
                <w:rFonts w:eastAsia="Calibri"/>
                <w:sz w:val="20"/>
                <w:lang w:val="fr-CA"/>
              </w:rPr>
              <w:t>(Juges Newbury, Saunders et Bennett)</w:t>
            </w:r>
          </w:p>
          <w:p w:rsidR="00BE55D1" w:rsidRPr="00A1535A" w:rsidRDefault="00BE55D1" w:rsidP="00D40817">
            <w:pPr>
              <w:jc w:val="both"/>
              <w:rPr>
                <w:rFonts w:eastAsia="Calibri"/>
                <w:sz w:val="20"/>
                <w:lang w:val="fr-CA"/>
              </w:rPr>
            </w:pPr>
          </w:p>
        </w:tc>
        <w:tc>
          <w:tcPr>
            <w:tcW w:w="243" w:type="pct"/>
          </w:tcPr>
          <w:p w:rsidR="00BE55D1" w:rsidRPr="00A1535A" w:rsidRDefault="00BE55D1" w:rsidP="00D40817">
            <w:pPr>
              <w:jc w:val="both"/>
              <w:rPr>
                <w:rFonts w:eastAsia="Calibri"/>
                <w:sz w:val="20"/>
                <w:lang w:val="fr-CA"/>
              </w:rPr>
            </w:pPr>
          </w:p>
        </w:tc>
        <w:tc>
          <w:tcPr>
            <w:tcW w:w="2330" w:type="pct"/>
          </w:tcPr>
          <w:p w:rsidR="00BE55D1" w:rsidRPr="00A1535A" w:rsidRDefault="00BE55D1" w:rsidP="00D40817">
            <w:pPr>
              <w:jc w:val="both"/>
              <w:rPr>
                <w:rFonts w:eastAsia="Calibri"/>
                <w:sz w:val="20"/>
                <w:lang w:val="fr-CA"/>
              </w:rPr>
            </w:pPr>
            <w:r w:rsidRPr="00A1535A">
              <w:rPr>
                <w:rFonts w:eastAsia="Calibri"/>
                <w:sz w:val="20"/>
                <w:lang w:val="fr-CA"/>
              </w:rPr>
              <w:t>Appel du demandeur, rejeté.</w:t>
            </w:r>
          </w:p>
          <w:p w:rsidR="00BE55D1" w:rsidRPr="00A1535A" w:rsidRDefault="00BE55D1" w:rsidP="00D40817">
            <w:pPr>
              <w:jc w:val="both"/>
              <w:rPr>
                <w:rFonts w:eastAsia="Calibri"/>
                <w:sz w:val="20"/>
                <w:lang w:val="fr-CA"/>
              </w:rPr>
            </w:pPr>
          </w:p>
        </w:tc>
      </w:tr>
      <w:tr w:rsidR="00BE55D1" w:rsidRPr="00A1535A" w:rsidTr="00D40817">
        <w:tc>
          <w:tcPr>
            <w:tcW w:w="2427" w:type="pct"/>
          </w:tcPr>
          <w:p w:rsidR="00BE55D1" w:rsidRPr="00A1535A" w:rsidRDefault="00BE55D1" w:rsidP="00D40817">
            <w:pPr>
              <w:jc w:val="both"/>
              <w:rPr>
                <w:rFonts w:eastAsia="Calibri"/>
                <w:sz w:val="20"/>
                <w:lang w:val="fr-CA"/>
              </w:rPr>
            </w:pPr>
            <w:r w:rsidRPr="00A1535A">
              <w:rPr>
                <w:rFonts w:eastAsia="Calibri"/>
                <w:sz w:val="20"/>
                <w:lang w:val="fr-CA"/>
              </w:rPr>
              <w:t>27 avril 2012</w:t>
            </w:r>
          </w:p>
          <w:p w:rsidR="00BE55D1" w:rsidRPr="00A1535A" w:rsidRDefault="00BE55D1" w:rsidP="00D40817">
            <w:pPr>
              <w:jc w:val="both"/>
              <w:rPr>
                <w:rFonts w:eastAsia="Calibri"/>
                <w:sz w:val="20"/>
                <w:lang w:val="fr-CA"/>
              </w:rPr>
            </w:pPr>
            <w:r w:rsidRPr="00A1535A">
              <w:rPr>
                <w:rFonts w:eastAsia="Calibri"/>
                <w:sz w:val="20"/>
                <w:lang w:val="fr-CA"/>
              </w:rPr>
              <w:t>Cour suprême du Canada</w:t>
            </w:r>
          </w:p>
        </w:tc>
        <w:tc>
          <w:tcPr>
            <w:tcW w:w="243" w:type="pct"/>
          </w:tcPr>
          <w:p w:rsidR="00BE55D1" w:rsidRPr="00A1535A" w:rsidRDefault="00BE55D1" w:rsidP="00D40817">
            <w:pPr>
              <w:jc w:val="both"/>
              <w:rPr>
                <w:rFonts w:eastAsia="Calibri"/>
                <w:sz w:val="20"/>
                <w:lang w:val="fr-CA"/>
              </w:rPr>
            </w:pPr>
          </w:p>
        </w:tc>
        <w:tc>
          <w:tcPr>
            <w:tcW w:w="2330" w:type="pct"/>
          </w:tcPr>
          <w:p w:rsidR="00BE55D1" w:rsidRPr="00A1535A" w:rsidRDefault="00BE55D1" w:rsidP="00D40817">
            <w:pPr>
              <w:jc w:val="both"/>
              <w:rPr>
                <w:rFonts w:eastAsia="Calibri"/>
                <w:sz w:val="20"/>
                <w:lang w:val="fr-CA"/>
              </w:rPr>
            </w:pPr>
            <w:r w:rsidRPr="00A1535A">
              <w:rPr>
                <w:rFonts w:eastAsia="Calibri"/>
                <w:sz w:val="20"/>
                <w:lang w:val="fr-CA"/>
              </w:rPr>
              <w:t>Demande d'autorisation d'appel, déposée.</w:t>
            </w:r>
          </w:p>
        </w:tc>
      </w:tr>
    </w:tbl>
    <w:p w:rsidR="00EC09EE" w:rsidRDefault="00EC09EE" w:rsidP="00EC09EE">
      <w:pPr>
        <w:rPr>
          <w:sz w:val="20"/>
          <w:szCs w:val="20"/>
        </w:rPr>
      </w:pPr>
    </w:p>
    <w:p w:rsidR="00EC09EE" w:rsidRDefault="007333FF" w:rsidP="00EC09EE">
      <w:pPr>
        <w:rPr>
          <w:sz w:val="20"/>
          <w:szCs w:val="20"/>
        </w:rPr>
      </w:pPr>
      <w:r w:rsidRPr="007333FF">
        <w:rPr>
          <w:sz w:val="20"/>
          <w:szCs w:val="20"/>
          <w:lang w:val="fr-CA"/>
        </w:rPr>
        <w:pict>
          <v:rect id="_x0000_i1109" style="width:2in;height:1pt" o:hrpct="0" o:hralign="center" o:hrstd="t" o:hrnoshade="t" o:hr="t" fillcolor="black [3213]" stroked="f"/>
        </w:pict>
      </w:r>
    </w:p>
    <w:p w:rsidR="00EC09EE" w:rsidRDefault="00EC09EE" w:rsidP="00EC09E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528AB" w:rsidRPr="008A028C" w:rsidTr="00942EBA">
        <w:trPr>
          <w:cantSplit/>
        </w:trPr>
        <w:tc>
          <w:tcPr>
            <w:tcW w:w="1458" w:type="dxa"/>
          </w:tcPr>
          <w:p w:rsidR="008528AB" w:rsidRPr="008A028C" w:rsidRDefault="008528AB" w:rsidP="00942EBA">
            <w:pPr>
              <w:rPr>
                <w:sz w:val="20"/>
                <w:szCs w:val="20"/>
              </w:rPr>
            </w:pPr>
            <w:r w:rsidRPr="008A028C">
              <w:rPr>
                <w:rStyle w:val="SCCFileNumberChar"/>
                <w:sz w:val="20"/>
                <w:szCs w:val="20"/>
              </w:rPr>
              <w:t>34799</w:t>
            </w:r>
          </w:p>
          <w:p w:rsidR="008528AB" w:rsidRPr="008A028C" w:rsidRDefault="008528AB" w:rsidP="00942EBA">
            <w:pPr>
              <w:rPr>
                <w:b/>
                <w:sz w:val="20"/>
                <w:szCs w:val="20"/>
                <w:lang w:val="fr-CA"/>
              </w:rPr>
            </w:pPr>
          </w:p>
        </w:tc>
        <w:tc>
          <w:tcPr>
            <w:tcW w:w="8118" w:type="dxa"/>
          </w:tcPr>
          <w:p w:rsidR="008528AB" w:rsidRPr="008A028C" w:rsidRDefault="008528AB" w:rsidP="00942EBA">
            <w:pPr>
              <w:rPr>
                <w:sz w:val="20"/>
                <w:szCs w:val="20"/>
              </w:rPr>
            </w:pPr>
            <w:r w:rsidRPr="008528AB">
              <w:rPr>
                <w:rStyle w:val="SCCLsocChar"/>
                <w:sz w:val="20"/>
                <w:szCs w:val="20"/>
                <w:lang w:val="en-CA"/>
              </w:rPr>
              <w:t>Judith Anne Scott v. Her Majesty the Queen</w:t>
            </w:r>
            <w:r w:rsidRPr="008A028C">
              <w:rPr>
                <w:sz w:val="20"/>
                <w:szCs w:val="20"/>
              </w:rPr>
              <w:t xml:space="preserve"> (B.C.) (Criminal) (By Leave)</w:t>
            </w:r>
          </w:p>
          <w:p w:rsidR="008528AB" w:rsidRPr="008A028C" w:rsidRDefault="008528AB" w:rsidP="00942EBA">
            <w:pPr>
              <w:rPr>
                <w:sz w:val="20"/>
                <w:szCs w:val="20"/>
              </w:rPr>
            </w:pPr>
          </w:p>
        </w:tc>
      </w:tr>
      <w:tr w:rsidR="008528AB" w:rsidRPr="008A028C" w:rsidTr="00942EBA">
        <w:trPr>
          <w:cantSplit/>
        </w:trPr>
        <w:tc>
          <w:tcPr>
            <w:tcW w:w="1458" w:type="dxa"/>
          </w:tcPr>
          <w:p w:rsidR="008528AB" w:rsidRPr="008A028C" w:rsidRDefault="008528AB" w:rsidP="00942EBA">
            <w:pPr>
              <w:rPr>
                <w:sz w:val="20"/>
                <w:szCs w:val="20"/>
              </w:rPr>
            </w:pPr>
            <w:r w:rsidRPr="008A028C">
              <w:rPr>
                <w:sz w:val="20"/>
                <w:szCs w:val="20"/>
              </w:rPr>
              <w:t>Coram :</w:t>
            </w:r>
          </w:p>
        </w:tc>
        <w:tc>
          <w:tcPr>
            <w:tcW w:w="8118" w:type="dxa"/>
          </w:tcPr>
          <w:p w:rsidR="008528AB" w:rsidRPr="008A028C" w:rsidRDefault="008528AB" w:rsidP="00942EBA">
            <w:pPr>
              <w:rPr>
                <w:sz w:val="20"/>
                <w:szCs w:val="20"/>
              </w:rPr>
            </w:pPr>
            <w:r w:rsidRPr="008528AB">
              <w:rPr>
                <w:rStyle w:val="SCCCoramChar"/>
                <w:sz w:val="20"/>
                <w:szCs w:val="20"/>
                <w:lang w:val="en-CA"/>
              </w:rPr>
              <w:t>McLachlin C.J. and Rothstein and Moldaver JJ.</w:t>
            </w:r>
          </w:p>
          <w:p w:rsidR="008528AB" w:rsidRPr="008A028C" w:rsidRDefault="008528AB" w:rsidP="00942EBA">
            <w:pPr>
              <w:rPr>
                <w:sz w:val="20"/>
                <w:szCs w:val="20"/>
                <w:u w:val="single"/>
              </w:rPr>
            </w:pPr>
          </w:p>
        </w:tc>
      </w:tr>
      <w:tr w:rsidR="008528AB" w:rsidRPr="00C832DD" w:rsidTr="00942EBA">
        <w:trPr>
          <w:cantSplit/>
        </w:trPr>
        <w:tc>
          <w:tcPr>
            <w:tcW w:w="9576" w:type="dxa"/>
            <w:gridSpan w:val="2"/>
          </w:tcPr>
          <w:p w:rsidR="008528AB" w:rsidRPr="008A028C" w:rsidRDefault="008528AB" w:rsidP="00942EBA">
            <w:pPr>
              <w:pStyle w:val="SCCShortJudgment"/>
              <w:rPr>
                <w:szCs w:val="20"/>
              </w:rPr>
            </w:pPr>
            <w:r w:rsidRPr="008A028C">
              <w:rPr>
                <w:szCs w:val="20"/>
              </w:rPr>
              <w:t>The application for leave to appeal from the judgment of the Court of Appeal for British Columbia (Vancouver), Number CA038460, 2012 BCCA 99, dated March 1, 2012, is dismissed without costs.</w:t>
            </w:r>
          </w:p>
          <w:p w:rsidR="008528AB" w:rsidRPr="008A028C" w:rsidRDefault="008528AB" w:rsidP="00942EBA">
            <w:pPr>
              <w:pStyle w:val="SCCShortJudgment"/>
              <w:ind w:firstLine="0"/>
              <w:rPr>
                <w:szCs w:val="20"/>
              </w:rPr>
            </w:pPr>
          </w:p>
          <w:p w:rsidR="008528AB" w:rsidRPr="008A028C" w:rsidRDefault="008528AB" w:rsidP="00942EBA">
            <w:pPr>
              <w:pStyle w:val="SCCShortJudgment"/>
              <w:rPr>
                <w:szCs w:val="20"/>
                <w:lang w:val="fr-CA"/>
              </w:rPr>
            </w:pPr>
            <w:r w:rsidRPr="008A028C">
              <w:rPr>
                <w:szCs w:val="20"/>
                <w:lang w:val="fr-CA"/>
              </w:rPr>
              <w:t>La demande d’autorisation d’appel de l’arrêt de la Cour d’appel de la Colombie-Britannique (Vancouver), numéro CA038460, 2012 BCCA 99, daté du 1</w:t>
            </w:r>
            <w:r w:rsidRPr="00D26982">
              <w:rPr>
                <w:szCs w:val="20"/>
                <w:vertAlign w:val="superscript"/>
                <w:lang w:val="fr-CA"/>
              </w:rPr>
              <w:t>er</w:t>
            </w:r>
            <w:r w:rsidRPr="008A028C">
              <w:rPr>
                <w:szCs w:val="20"/>
                <w:lang w:val="fr-CA"/>
              </w:rPr>
              <w:t xml:space="preserve"> mars 2012, est rejetée sans dépens.</w:t>
            </w:r>
          </w:p>
        </w:tc>
      </w:tr>
    </w:tbl>
    <w:p w:rsidR="00EC09EE" w:rsidRPr="008528AB" w:rsidRDefault="00EC09EE" w:rsidP="00EC09EE">
      <w:pPr>
        <w:rPr>
          <w:sz w:val="20"/>
          <w:szCs w:val="20"/>
          <w:lang w:val="fr-CA"/>
        </w:rPr>
      </w:pPr>
    </w:p>
    <w:p w:rsidR="00EC09EE" w:rsidRPr="001B157C" w:rsidRDefault="00EC09EE" w:rsidP="00EC09EE">
      <w:pPr>
        <w:rPr>
          <w:sz w:val="20"/>
          <w:szCs w:val="20"/>
          <w:u w:val="single"/>
        </w:rPr>
      </w:pPr>
      <w:r w:rsidRPr="001B157C">
        <w:rPr>
          <w:sz w:val="20"/>
          <w:szCs w:val="20"/>
          <w:u w:val="single"/>
        </w:rPr>
        <w:t>CASE SUMMARY</w:t>
      </w:r>
    </w:p>
    <w:p w:rsidR="00EC09EE" w:rsidRDefault="00EC09EE" w:rsidP="00EC09E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E55D1" w:rsidRPr="00A1535A" w:rsidTr="00D40817">
        <w:tc>
          <w:tcPr>
            <w:tcW w:w="5000" w:type="pct"/>
            <w:gridSpan w:val="3"/>
          </w:tcPr>
          <w:p w:rsidR="00BE55D1" w:rsidRPr="00A1535A" w:rsidRDefault="00BE55D1" w:rsidP="00D40817">
            <w:pPr>
              <w:jc w:val="both"/>
              <w:rPr>
                <w:rFonts w:eastAsia="Calibri"/>
                <w:sz w:val="20"/>
              </w:rPr>
            </w:pPr>
            <w:r w:rsidRPr="00A1535A">
              <w:rPr>
                <w:rFonts w:eastAsia="Calibri"/>
                <w:i/>
                <w:sz w:val="20"/>
              </w:rPr>
              <w:t>Canadian Charter of Rights and Freedoms</w:t>
            </w:r>
            <w:r w:rsidRPr="00A1535A">
              <w:rPr>
                <w:rFonts w:eastAsia="Calibri"/>
                <w:sz w:val="20"/>
              </w:rPr>
              <w:t xml:space="preserve"> – Search and Seizure – Section 8 of the </w:t>
            </w:r>
            <w:r w:rsidRPr="00A1535A">
              <w:rPr>
                <w:rFonts w:eastAsia="Calibri"/>
                <w:i/>
                <w:sz w:val="20"/>
              </w:rPr>
              <w:t>Charter</w:t>
            </w:r>
            <w:r w:rsidRPr="00A1535A">
              <w:rPr>
                <w:rFonts w:eastAsia="Calibri"/>
                <w:sz w:val="20"/>
              </w:rPr>
              <w:t xml:space="preserve"> - Criminal law – Evidence – Admissibility - Telewarrant issued – Validity of  telewarrant - </w:t>
            </w:r>
            <w:r w:rsidRPr="00A1535A">
              <w:rPr>
                <w:rFonts w:eastAsia="Calibri"/>
                <w:i/>
                <w:sz w:val="20"/>
              </w:rPr>
              <w:t>Voir dire</w:t>
            </w:r>
            <w:r w:rsidRPr="00A1535A">
              <w:rPr>
                <w:rFonts w:eastAsia="Calibri"/>
                <w:sz w:val="20"/>
              </w:rPr>
              <w:t xml:space="preserve"> held admitting the evidence of the search – Whether the reviewing court erred in its approach to the sub-facial review of the search warrant – Whether the amplification process on the </w:t>
            </w:r>
            <w:r w:rsidRPr="00A1535A">
              <w:rPr>
                <w:rFonts w:eastAsia="Calibri"/>
                <w:i/>
                <w:sz w:val="20"/>
              </w:rPr>
              <w:t>voir dire</w:t>
            </w:r>
            <w:r w:rsidRPr="00A1535A">
              <w:rPr>
                <w:rFonts w:eastAsia="Calibri"/>
                <w:sz w:val="20"/>
              </w:rPr>
              <w:t xml:space="preserve"> was inappropriate and resulted in unfairness to the applicant - Whether the Court of Appeal erred – Whether there are issues of public importance raised.</w:t>
            </w:r>
          </w:p>
        </w:tc>
      </w:tr>
      <w:tr w:rsidR="00BE55D1" w:rsidRPr="00A1535A" w:rsidTr="00D40817">
        <w:tc>
          <w:tcPr>
            <w:tcW w:w="5000" w:type="pct"/>
            <w:gridSpan w:val="3"/>
          </w:tcPr>
          <w:p w:rsidR="00BE55D1" w:rsidRPr="00A1535A" w:rsidRDefault="00BE55D1" w:rsidP="00D40817">
            <w:pPr>
              <w:jc w:val="both"/>
              <w:rPr>
                <w:rFonts w:eastAsia="Calibri"/>
                <w:sz w:val="20"/>
              </w:rPr>
            </w:pPr>
          </w:p>
        </w:tc>
      </w:tr>
      <w:tr w:rsidR="00BE55D1" w:rsidRPr="00A1535A" w:rsidTr="00D40817">
        <w:tc>
          <w:tcPr>
            <w:tcW w:w="5000" w:type="pct"/>
            <w:gridSpan w:val="3"/>
          </w:tcPr>
          <w:p w:rsidR="00BE55D1" w:rsidRPr="00A1535A" w:rsidRDefault="00BE55D1" w:rsidP="00D40817">
            <w:pPr>
              <w:jc w:val="both"/>
              <w:rPr>
                <w:rFonts w:eastAsia="Calibri"/>
                <w:sz w:val="20"/>
              </w:rPr>
            </w:pPr>
            <w:r w:rsidRPr="00A1535A">
              <w:rPr>
                <w:rFonts w:eastAsia="Calibri"/>
                <w:sz w:val="20"/>
              </w:rPr>
              <w:t xml:space="preserve">Evidence was obtained following the execution of a telewarrant by the RCMP at the applicant’s rural property near Princeton, British Columbia. The applicant was arrested at her 8 acre rural property when the police found a substantial indoor marihuana grow operation in a large shed on her property. The hydro records and power consumption for the property were obtained and the readings were high. Following a </w:t>
            </w:r>
            <w:r w:rsidRPr="00A1535A">
              <w:rPr>
                <w:rFonts w:eastAsia="Calibri"/>
                <w:i/>
                <w:sz w:val="20"/>
              </w:rPr>
              <w:t>voir dire</w:t>
            </w:r>
            <w:r w:rsidRPr="00A1535A">
              <w:rPr>
                <w:rFonts w:eastAsia="Calibri"/>
                <w:sz w:val="20"/>
              </w:rPr>
              <w:t>, the trial judge admitted the evidence. The applicant was convicted of production of marihuana and possession of marihuana for the purpose of trafficking. An appeal was dismissed.</w:t>
            </w:r>
          </w:p>
          <w:p w:rsidR="00BE55D1" w:rsidRPr="00A1535A" w:rsidRDefault="00BE55D1" w:rsidP="00D40817">
            <w:pPr>
              <w:jc w:val="both"/>
              <w:rPr>
                <w:rFonts w:eastAsia="Calibri"/>
                <w:sz w:val="20"/>
              </w:rPr>
            </w:pPr>
          </w:p>
        </w:tc>
      </w:tr>
      <w:tr w:rsidR="00BE55D1" w:rsidRPr="00A1535A" w:rsidTr="008528AB">
        <w:trPr>
          <w:cantSplit/>
        </w:trPr>
        <w:tc>
          <w:tcPr>
            <w:tcW w:w="2427" w:type="pct"/>
          </w:tcPr>
          <w:p w:rsidR="00BE55D1" w:rsidRPr="00A1535A" w:rsidRDefault="00BE55D1" w:rsidP="00D40817">
            <w:pPr>
              <w:jc w:val="both"/>
              <w:rPr>
                <w:rFonts w:eastAsia="Calibri"/>
                <w:sz w:val="20"/>
              </w:rPr>
            </w:pPr>
            <w:r w:rsidRPr="00A1535A">
              <w:rPr>
                <w:rFonts w:eastAsia="Calibri"/>
                <w:sz w:val="20"/>
              </w:rPr>
              <w:lastRenderedPageBreak/>
              <w:t>July 25, 2008</w:t>
            </w:r>
          </w:p>
          <w:p w:rsidR="00BE55D1" w:rsidRPr="00A1535A" w:rsidRDefault="00BE55D1" w:rsidP="00D40817">
            <w:pPr>
              <w:jc w:val="both"/>
              <w:rPr>
                <w:rFonts w:eastAsia="Calibri"/>
                <w:sz w:val="20"/>
              </w:rPr>
            </w:pPr>
            <w:r w:rsidRPr="00A1535A">
              <w:rPr>
                <w:rFonts w:eastAsia="Calibri"/>
                <w:sz w:val="20"/>
              </w:rPr>
              <w:t>Provincial Court of British Columbia</w:t>
            </w:r>
          </w:p>
          <w:p w:rsidR="00BE55D1" w:rsidRPr="00A1535A" w:rsidRDefault="00BE55D1" w:rsidP="00D40817">
            <w:pPr>
              <w:jc w:val="both"/>
              <w:rPr>
                <w:rFonts w:eastAsia="Calibri"/>
                <w:sz w:val="20"/>
              </w:rPr>
            </w:pPr>
            <w:r w:rsidRPr="00A1535A">
              <w:rPr>
                <w:rFonts w:eastAsia="Calibri"/>
                <w:sz w:val="20"/>
              </w:rPr>
              <w:t>(Wallace J.)</w:t>
            </w:r>
          </w:p>
          <w:p w:rsidR="00BE55D1" w:rsidRPr="00A1535A" w:rsidRDefault="00BE55D1" w:rsidP="00D40817">
            <w:pPr>
              <w:jc w:val="both"/>
              <w:rPr>
                <w:rFonts w:eastAsia="Calibri"/>
                <w:sz w:val="20"/>
              </w:rPr>
            </w:pPr>
          </w:p>
        </w:tc>
        <w:tc>
          <w:tcPr>
            <w:tcW w:w="243" w:type="pct"/>
          </w:tcPr>
          <w:p w:rsidR="00BE55D1" w:rsidRPr="00A1535A" w:rsidRDefault="00BE55D1" w:rsidP="00D40817">
            <w:pPr>
              <w:jc w:val="both"/>
              <w:rPr>
                <w:rFonts w:eastAsia="Calibri"/>
                <w:sz w:val="20"/>
              </w:rPr>
            </w:pPr>
          </w:p>
        </w:tc>
        <w:tc>
          <w:tcPr>
            <w:tcW w:w="2330" w:type="pct"/>
          </w:tcPr>
          <w:p w:rsidR="00BE55D1" w:rsidRPr="00A1535A" w:rsidRDefault="00BE55D1" w:rsidP="00D40817">
            <w:pPr>
              <w:jc w:val="both"/>
              <w:rPr>
                <w:rFonts w:eastAsia="Calibri"/>
                <w:sz w:val="20"/>
              </w:rPr>
            </w:pPr>
            <w:r w:rsidRPr="00A1535A">
              <w:rPr>
                <w:rFonts w:eastAsia="Calibri"/>
                <w:i/>
                <w:sz w:val="20"/>
              </w:rPr>
              <w:t>Voir dire</w:t>
            </w:r>
            <w:r w:rsidRPr="00A1535A">
              <w:rPr>
                <w:rFonts w:eastAsia="Calibri"/>
                <w:sz w:val="20"/>
              </w:rPr>
              <w:t>: evidence obtained as a result of the search was legally obtained and admissible</w:t>
            </w:r>
          </w:p>
          <w:p w:rsidR="00BE55D1" w:rsidRPr="00A1535A" w:rsidRDefault="00BE55D1" w:rsidP="00D40817">
            <w:pPr>
              <w:jc w:val="both"/>
              <w:rPr>
                <w:rFonts w:eastAsia="Calibri"/>
                <w:sz w:val="20"/>
              </w:rPr>
            </w:pPr>
          </w:p>
        </w:tc>
      </w:tr>
      <w:tr w:rsidR="00BE55D1" w:rsidRPr="00A1535A" w:rsidTr="008528AB">
        <w:trPr>
          <w:cantSplit/>
        </w:trPr>
        <w:tc>
          <w:tcPr>
            <w:tcW w:w="2427" w:type="pct"/>
          </w:tcPr>
          <w:p w:rsidR="00BE55D1" w:rsidRPr="00A1535A" w:rsidRDefault="00BE55D1" w:rsidP="00D40817">
            <w:pPr>
              <w:jc w:val="both"/>
              <w:rPr>
                <w:rFonts w:eastAsia="Calibri"/>
                <w:sz w:val="20"/>
              </w:rPr>
            </w:pPr>
            <w:r w:rsidRPr="00A1535A">
              <w:rPr>
                <w:rFonts w:eastAsia="Calibri"/>
                <w:sz w:val="20"/>
              </w:rPr>
              <w:t>April 23, 2009</w:t>
            </w:r>
          </w:p>
          <w:p w:rsidR="00BE55D1" w:rsidRPr="00A1535A" w:rsidRDefault="00BE55D1" w:rsidP="00D40817">
            <w:pPr>
              <w:jc w:val="both"/>
              <w:rPr>
                <w:rFonts w:eastAsia="Calibri"/>
                <w:sz w:val="20"/>
              </w:rPr>
            </w:pPr>
            <w:r w:rsidRPr="00A1535A">
              <w:rPr>
                <w:rFonts w:eastAsia="Calibri"/>
                <w:sz w:val="20"/>
              </w:rPr>
              <w:t>Provincial Court of British Columbia</w:t>
            </w:r>
          </w:p>
          <w:p w:rsidR="00BE55D1" w:rsidRPr="00A1535A" w:rsidRDefault="00BE55D1" w:rsidP="00D40817">
            <w:pPr>
              <w:jc w:val="both"/>
              <w:rPr>
                <w:rFonts w:eastAsia="Calibri"/>
                <w:sz w:val="20"/>
              </w:rPr>
            </w:pPr>
            <w:r w:rsidRPr="00A1535A">
              <w:rPr>
                <w:rFonts w:eastAsia="Calibri"/>
                <w:sz w:val="20"/>
              </w:rPr>
              <w:t>(Wallace J.)</w:t>
            </w:r>
          </w:p>
          <w:p w:rsidR="00BE55D1" w:rsidRPr="00A1535A" w:rsidRDefault="00BE55D1" w:rsidP="00D40817">
            <w:pPr>
              <w:jc w:val="both"/>
              <w:rPr>
                <w:rFonts w:eastAsia="Calibri"/>
                <w:sz w:val="20"/>
              </w:rPr>
            </w:pPr>
          </w:p>
        </w:tc>
        <w:tc>
          <w:tcPr>
            <w:tcW w:w="243" w:type="pct"/>
          </w:tcPr>
          <w:p w:rsidR="00BE55D1" w:rsidRPr="00A1535A" w:rsidRDefault="00BE55D1" w:rsidP="00D40817">
            <w:pPr>
              <w:jc w:val="both"/>
              <w:rPr>
                <w:rFonts w:eastAsia="Calibri"/>
                <w:sz w:val="20"/>
              </w:rPr>
            </w:pPr>
          </w:p>
        </w:tc>
        <w:tc>
          <w:tcPr>
            <w:tcW w:w="2330" w:type="pct"/>
          </w:tcPr>
          <w:p w:rsidR="00BE55D1" w:rsidRPr="00A1535A" w:rsidRDefault="00BE55D1" w:rsidP="00D40817">
            <w:pPr>
              <w:jc w:val="both"/>
              <w:rPr>
                <w:rFonts w:eastAsia="Calibri"/>
                <w:sz w:val="20"/>
              </w:rPr>
            </w:pPr>
            <w:r w:rsidRPr="00A1535A">
              <w:rPr>
                <w:rFonts w:eastAsia="Calibri"/>
                <w:sz w:val="20"/>
              </w:rPr>
              <w:t>Conviction for production of marihuana and possession of marihuana for the purpose of trafficking</w:t>
            </w:r>
          </w:p>
        </w:tc>
      </w:tr>
      <w:tr w:rsidR="00BE55D1" w:rsidRPr="00A1535A" w:rsidTr="008528AB">
        <w:trPr>
          <w:cantSplit/>
        </w:trPr>
        <w:tc>
          <w:tcPr>
            <w:tcW w:w="2427" w:type="pct"/>
          </w:tcPr>
          <w:p w:rsidR="00BE55D1" w:rsidRPr="00A1535A" w:rsidRDefault="00BE55D1" w:rsidP="00D40817">
            <w:pPr>
              <w:jc w:val="both"/>
              <w:rPr>
                <w:rFonts w:eastAsia="Calibri"/>
                <w:sz w:val="20"/>
              </w:rPr>
            </w:pPr>
            <w:r w:rsidRPr="00A1535A">
              <w:rPr>
                <w:rFonts w:eastAsia="Calibri"/>
                <w:sz w:val="20"/>
              </w:rPr>
              <w:t>March 1, 2012</w:t>
            </w:r>
          </w:p>
          <w:p w:rsidR="00BE55D1" w:rsidRPr="00A1535A" w:rsidRDefault="00BE55D1" w:rsidP="00D40817">
            <w:pPr>
              <w:jc w:val="both"/>
              <w:rPr>
                <w:rFonts w:eastAsia="Calibri"/>
                <w:sz w:val="20"/>
              </w:rPr>
            </w:pPr>
            <w:r w:rsidRPr="00A1535A">
              <w:rPr>
                <w:rFonts w:eastAsia="Calibri"/>
                <w:sz w:val="20"/>
              </w:rPr>
              <w:t>Court of Appeal for British Columbia (Vancouver)</w:t>
            </w:r>
          </w:p>
          <w:p w:rsidR="00BE55D1" w:rsidRPr="00A1535A" w:rsidRDefault="00BE55D1" w:rsidP="00D40817">
            <w:pPr>
              <w:jc w:val="both"/>
              <w:rPr>
                <w:rFonts w:eastAsia="Calibri"/>
                <w:sz w:val="20"/>
              </w:rPr>
            </w:pPr>
            <w:r w:rsidRPr="00A1535A">
              <w:rPr>
                <w:rFonts w:eastAsia="Calibri"/>
                <w:sz w:val="20"/>
              </w:rPr>
              <w:t>(Smith, Neilson, Bennett JJ.A.)</w:t>
            </w:r>
          </w:p>
          <w:p w:rsidR="00BE55D1" w:rsidRPr="00A1535A" w:rsidRDefault="00BE55D1" w:rsidP="00D40817">
            <w:pPr>
              <w:jc w:val="both"/>
              <w:rPr>
                <w:rFonts w:eastAsia="Calibri"/>
                <w:sz w:val="20"/>
              </w:rPr>
            </w:pPr>
            <w:r w:rsidRPr="00A1535A">
              <w:rPr>
                <w:rFonts w:eastAsia="Calibri"/>
                <w:sz w:val="20"/>
              </w:rPr>
              <w:t>2012 BCCA 99</w:t>
            </w:r>
          </w:p>
          <w:p w:rsidR="00BE55D1" w:rsidRPr="00A1535A" w:rsidRDefault="00BE55D1" w:rsidP="00D40817">
            <w:pPr>
              <w:jc w:val="both"/>
              <w:rPr>
                <w:rFonts w:eastAsia="Calibri"/>
                <w:sz w:val="20"/>
              </w:rPr>
            </w:pPr>
          </w:p>
        </w:tc>
        <w:tc>
          <w:tcPr>
            <w:tcW w:w="243" w:type="pct"/>
          </w:tcPr>
          <w:p w:rsidR="00BE55D1" w:rsidRPr="00A1535A" w:rsidRDefault="00BE55D1" w:rsidP="00D40817">
            <w:pPr>
              <w:jc w:val="both"/>
              <w:rPr>
                <w:rFonts w:eastAsia="Calibri"/>
                <w:sz w:val="20"/>
              </w:rPr>
            </w:pPr>
          </w:p>
        </w:tc>
        <w:tc>
          <w:tcPr>
            <w:tcW w:w="2330" w:type="pct"/>
          </w:tcPr>
          <w:p w:rsidR="00BE55D1" w:rsidRPr="00A1535A" w:rsidRDefault="00BE55D1" w:rsidP="00D40817">
            <w:pPr>
              <w:jc w:val="both"/>
              <w:rPr>
                <w:rFonts w:eastAsia="Calibri"/>
                <w:sz w:val="20"/>
              </w:rPr>
            </w:pPr>
            <w:r w:rsidRPr="00A1535A">
              <w:rPr>
                <w:rFonts w:eastAsia="Calibri"/>
                <w:sz w:val="20"/>
              </w:rPr>
              <w:t>Appeal dismissed</w:t>
            </w:r>
          </w:p>
          <w:p w:rsidR="00BE55D1" w:rsidRPr="00A1535A" w:rsidRDefault="00BE55D1" w:rsidP="00D40817">
            <w:pPr>
              <w:jc w:val="both"/>
              <w:rPr>
                <w:rFonts w:eastAsia="Calibri"/>
                <w:sz w:val="20"/>
              </w:rPr>
            </w:pPr>
          </w:p>
        </w:tc>
      </w:tr>
      <w:tr w:rsidR="00BE55D1" w:rsidRPr="00A1535A" w:rsidTr="008528AB">
        <w:trPr>
          <w:cantSplit/>
        </w:trPr>
        <w:tc>
          <w:tcPr>
            <w:tcW w:w="2427" w:type="pct"/>
          </w:tcPr>
          <w:p w:rsidR="00BE55D1" w:rsidRPr="00A1535A" w:rsidRDefault="00BE55D1" w:rsidP="00D40817">
            <w:pPr>
              <w:jc w:val="both"/>
              <w:rPr>
                <w:rFonts w:eastAsia="Calibri"/>
                <w:sz w:val="20"/>
              </w:rPr>
            </w:pPr>
            <w:r w:rsidRPr="00A1535A">
              <w:rPr>
                <w:rFonts w:eastAsia="Calibri"/>
                <w:sz w:val="20"/>
              </w:rPr>
              <w:t>April 30, 2012</w:t>
            </w:r>
          </w:p>
          <w:p w:rsidR="00BE55D1" w:rsidRPr="00A1535A" w:rsidRDefault="00BE55D1" w:rsidP="00D40817">
            <w:pPr>
              <w:jc w:val="both"/>
              <w:rPr>
                <w:rFonts w:eastAsia="Calibri"/>
                <w:sz w:val="20"/>
              </w:rPr>
            </w:pPr>
            <w:r w:rsidRPr="00A1535A">
              <w:rPr>
                <w:rFonts w:eastAsia="Calibri"/>
                <w:sz w:val="20"/>
              </w:rPr>
              <w:t>Supreme Court of Canada</w:t>
            </w:r>
          </w:p>
        </w:tc>
        <w:tc>
          <w:tcPr>
            <w:tcW w:w="243" w:type="pct"/>
          </w:tcPr>
          <w:p w:rsidR="00BE55D1" w:rsidRPr="00A1535A" w:rsidRDefault="00BE55D1" w:rsidP="00D40817">
            <w:pPr>
              <w:jc w:val="both"/>
              <w:rPr>
                <w:rFonts w:eastAsia="Calibri"/>
                <w:sz w:val="20"/>
              </w:rPr>
            </w:pPr>
          </w:p>
        </w:tc>
        <w:tc>
          <w:tcPr>
            <w:tcW w:w="2330" w:type="pct"/>
          </w:tcPr>
          <w:p w:rsidR="00BE55D1" w:rsidRPr="00A1535A" w:rsidRDefault="00BE55D1" w:rsidP="00D40817">
            <w:pPr>
              <w:jc w:val="both"/>
              <w:rPr>
                <w:rFonts w:eastAsia="Calibri"/>
                <w:sz w:val="20"/>
              </w:rPr>
            </w:pPr>
            <w:r w:rsidRPr="00A1535A">
              <w:rPr>
                <w:rFonts w:eastAsia="Calibri"/>
                <w:sz w:val="20"/>
              </w:rPr>
              <w:t>Application for leave to appeal filed</w:t>
            </w:r>
          </w:p>
          <w:p w:rsidR="00BE55D1" w:rsidRPr="00A1535A" w:rsidRDefault="00BE55D1" w:rsidP="00D40817">
            <w:pPr>
              <w:jc w:val="both"/>
              <w:rPr>
                <w:rFonts w:eastAsia="Calibri"/>
                <w:sz w:val="20"/>
              </w:rPr>
            </w:pPr>
          </w:p>
        </w:tc>
      </w:tr>
    </w:tbl>
    <w:p w:rsidR="00EC09EE" w:rsidRDefault="00EC09EE" w:rsidP="00EC09EE">
      <w:pPr>
        <w:rPr>
          <w:sz w:val="20"/>
          <w:szCs w:val="20"/>
        </w:rPr>
      </w:pPr>
    </w:p>
    <w:p w:rsidR="00EC09EE" w:rsidRPr="00C50A5C" w:rsidRDefault="007333FF" w:rsidP="00EC09EE">
      <w:pPr>
        <w:rPr>
          <w:sz w:val="20"/>
          <w:szCs w:val="20"/>
        </w:rPr>
      </w:pPr>
      <w:r w:rsidRPr="007333FF">
        <w:rPr>
          <w:sz w:val="20"/>
          <w:szCs w:val="20"/>
          <w:lang w:val="fr-CA"/>
        </w:rPr>
        <w:pict>
          <v:rect id="_x0000_i1110" style="width:2in;height:1pt" o:hrpct="0" o:hralign="center" o:hrstd="t" o:hrnoshade="t" o:hr="t" fillcolor="black [3213]" stroked="f"/>
        </w:pict>
      </w:r>
    </w:p>
    <w:p w:rsidR="00EC09EE" w:rsidRDefault="00EC09EE" w:rsidP="00EC09EE">
      <w:pPr>
        <w:rPr>
          <w:sz w:val="20"/>
          <w:szCs w:val="20"/>
        </w:rPr>
      </w:pPr>
    </w:p>
    <w:p w:rsidR="00EC09EE" w:rsidRPr="001B157C" w:rsidRDefault="00EC09EE" w:rsidP="00EC09EE">
      <w:pPr>
        <w:rPr>
          <w:sz w:val="20"/>
          <w:szCs w:val="20"/>
          <w:u w:val="single"/>
          <w:lang w:val="fr-CA"/>
        </w:rPr>
      </w:pPr>
      <w:r w:rsidRPr="001B157C">
        <w:rPr>
          <w:sz w:val="20"/>
          <w:szCs w:val="20"/>
          <w:u w:val="single"/>
          <w:lang w:val="fr-CA"/>
        </w:rPr>
        <w:t>RÉSUMÉ DE L’AFFAIRE</w:t>
      </w:r>
    </w:p>
    <w:p w:rsidR="00EC09EE" w:rsidRDefault="00EC09EE" w:rsidP="00EC09E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E55D1" w:rsidRPr="00B6145B" w:rsidTr="00D40817">
        <w:tc>
          <w:tcPr>
            <w:tcW w:w="5000" w:type="pct"/>
            <w:gridSpan w:val="3"/>
          </w:tcPr>
          <w:p w:rsidR="00BE55D1" w:rsidRPr="00BE55D1" w:rsidRDefault="00BE55D1" w:rsidP="00D40817">
            <w:pPr>
              <w:jc w:val="both"/>
              <w:rPr>
                <w:rFonts w:eastAsia="Calibri"/>
                <w:sz w:val="20"/>
                <w:lang w:val="fr-CA"/>
              </w:rPr>
            </w:pPr>
            <w:r w:rsidRPr="00BE55D1">
              <w:rPr>
                <w:rFonts w:eastAsia="Calibri"/>
                <w:i/>
                <w:sz w:val="20"/>
                <w:lang w:val="fr-CA"/>
              </w:rPr>
              <w:t>Charte canadienne des droits et libertés</w:t>
            </w:r>
            <w:r w:rsidRPr="00BE55D1">
              <w:rPr>
                <w:rFonts w:eastAsia="Calibri"/>
                <w:sz w:val="20"/>
                <w:lang w:val="fr-CA"/>
              </w:rPr>
              <w:t xml:space="preserve"> – Fouilles, perquisitions et saisies – Article 8 de la </w:t>
            </w:r>
            <w:r w:rsidRPr="00BE55D1">
              <w:rPr>
                <w:rFonts w:eastAsia="Calibri"/>
                <w:i/>
                <w:sz w:val="20"/>
                <w:lang w:val="fr-CA"/>
              </w:rPr>
              <w:t>Charte</w:t>
            </w:r>
            <w:r w:rsidRPr="00BE55D1">
              <w:rPr>
                <w:rFonts w:eastAsia="Calibri"/>
                <w:sz w:val="20"/>
                <w:lang w:val="fr-CA"/>
              </w:rPr>
              <w:t xml:space="preserve"> – Droit criminel – Preuve – Admissibilité – Télémandat décerné – Validité du télémandat – Admission des éléments de preuve résultant de la perquisition à l’issue d’un voir dire – La cour siégeant en révision a-t-elle commis une erreur dans son examen au fond du mandat de perquisition? – L’étoffement de la preuve lors du voir dire était-il irrégulier et a-t-il entraîné une iniquité envers la demanderesse? – La Cour d’appel a-t-elle commis une erreur? – L’affaire soulève-t-elle des questions d’importance pour le public? </w:t>
            </w:r>
          </w:p>
        </w:tc>
      </w:tr>
      <w:tr w:rsidR="00BE55D1" w:rsidRPr="00B6145B" w:rsidTr="00D40817">
        <w:tc>
          <w:tcPr>
            <w:tcW w:w="5000" w:type="pct"/>
            <w:gridSpan w:val="3"/>
          </w:tcPr>
          <w:p w:rsidR="00BE55D1" w:rsidRPr="00BE55D1" w:rsidRDefault="00BE55D1" w:rsidP="00D40817">
            <w:pPr>
              <w:jc w:val="both"/>
              <w:rPr>
                <w:rFonts w:eastAsia="Calibri"/>
                <w:sz w:val="20"/>
                <w:lang w:val="fr-CA"/>
              </w:rPr>
            </w:pPr>
          </w:p>
        </w:tc>
      </w:tr>
      <w:tr w:rsidR="00BE55D1" w:rsidRPr="00BE55D1" w:rsidTr="00D40817">
        <w:tc>
          <w:tcPr>
            <w:tcW w:w="5000" w:type="pct"/>
            <w:gridSpan w:val="3"/>
          </w:tcPr>
          <w:p w:rsidR="00BE55D1" w:rsidRPr="00BE55D1" w:rsidRDefault="00BE55D1" w:rsidP="00D40817">
            <w:pPr>
              <w:jc w:val="both"/>
              <w:rPr>
                <w:rFonts w:eastAsia="Calibri"/>
                <w:sz w:val="20"/>
                <w:lang w:val="fr-CA"/>
              </w:rPr>
            </w:pPr>
            <w:r w:rsidRPr="00BE55D1">
              <w:rPr>
                <w:rFonts w:eastAsia="Calibri"/>
                <w:sz w:val="20"/>
                <w:lang w:val="fr-CA"/>
              </w:rPr>
              <w:t>Des éléments de preuve ont été obtenus à la suite de l’exécution par la GRC d’un télémandat sur la propriété rurale de la demanderesse près de Princeton, en Colombie-Britannique. Les policiers ont arrêté la demanderesse sur sa propriété rurale de 8 acres lorsqu’ils on trouvé une vaste culture de marihuana dans une grande cabane située sur son terrain. Les dossiers d’hydro-électricité et les données relatives à la consommation d’énergie concernant la propriété ont été obtenus et ils ont révélé que la consommation était élevée. La juge du procès a admis ces éléments de preuve au terme d’un voir dire. La demanderesse a été reconnue coupable de production et de possession de marihuana en vue d’en faire le trafic. L’appel a été rejeté.</w:t>
            </w:r>
          </w:p>
          <w:p w:rsidR="00BE55D1" w:rsidRPr="00BE55D1" w:rsidRDefault="00BE55D1" w:rsidP="00D40817">
            <w:pPr>
              <w:jc w:val="both"/>
              <w:rPr>
                <w:rFonts w:eastAsia="Calibri"/>
                <w:sz w:val="20"/>
                <w:lang w:val="fr-CA"/>
              </w:rPr>
            </w:pPr>
          </w:p>
        </w:tc>
      </w:tr>
      <w:tr w:rsidR="00BE55D1" w:rsidRPr="00B6145B" w:rsidTr="00D40817">
        <w:tc>
          <w:tcPr>
            <w:tcW w:w="2427" w:type="pct"/>
          </w:tcPr>
          <w:p w:rsidR="00BE55D1" w:rsidRPr="00BE55D1" w:rsidRDefault="00BE55D1" w:rsidP="00D40817">
            <w:pPr>
              <w:jc w:val="both"/>
              <w:rPr>
                <w:rFonts w:eastAsia="Calibri"/>
                <w:sz w:val="20"/>
                <w:lang w:val="fr-CA"/>
              </w:rPr>
            </w:pPr>
            <w:r w:rsidRPr="00BE55D1">
              <w:rPr>
                <w:rFonts w:eastAsia="Calibri"/>
                <w:sz w:val="20"/>
                <w:lang w:val="fr-CA"/>
              </w:rPr>
              <w:t>25 juillet 2008</w:t>
            </w:r>
          </w:p>
          <w:p w:rsidR="00BE55D1" w:rsidRPr="00BE55D1" w:rsidRDefault="00BE55D1" w:rsidP="00D40817">
            <w:pPr>
              <w:jc w:val="both"/>
              <w:rPr>
                <w:rFonts w:eastAsia="Calibri"/>
                <w:sz w:val="20"/>
                <w:lang w:val="fr-CA"/>
              </w:rPr>
            </w:pPr>
            <w:r w:rsidRPr="00BE55D1">
              <w:rPr>
                <w:rFonts w:eastAsia="Calibri"/>
                <w:sz w:val="20"/>
                <w:lang w:val="fr-CA"/>
              </w:rPr>
              <w:t xml:space="preserve">Cour provinciale de la Colombie-Britannique </w:t>
            </w:r>
          </w:p>
          <w:p w:rsidR="00BE55D1" w:rsidRPr="00BE55D1" w:rsidRDefault="00BE55D1" w:rsidP="00D40817">
            <w:pPr>
              <w:jc w:val="both"/>
              <w:rPr>
                <w:rFonts w:eastAsia="Calibri"/>
                <w:sz w:val="20"/>
                <w:lang w:val="fr-CA"/>
              </w:rPr>
            </w:pPr>
            <w:r w:rsidRPr="00BE55D1">
              <w:rPr>
                <w:rFonts w:eastAsia="Calibri"/>
                <w:sz w:val="20"/>
                <w:lang w:val="fr-CA"/>
              </w:rPr>
              <w:t>(Juge Wallace)</w:t>
            </w:r>
          </w:p>
          <w:p w:rsidR="00BE55D1" w:rsidRPr="00BE55D1" w:rsidRDefault="00BE55D1" w:rsidP="00D40817">
            <w:pPr>
              <w:jc w:val="both"/>
              <w:rPr>
                <w:rFonts w:eastAsia="Calibri"/>
                <w:sz w:val="20"/>
                <w:lang w:val="fr-CA"/>
              </w:rPr>
            </w:pPr>
          </w:p>
        </w:tc>
        <w:tc>
          <w:tcPr>
            <w:tcW w:w="243" w:type="pct"/>
          </w:tcPr>
          <w:p w:rsidR="00BE55D1" w:rsidRPr="00BE55D1" w:rsidRDefault="00BE55D1" w:rsidP="00D40817">
            <w:pPr>
              <w:jc w:val="both"/>
              <w:rPr>
                <w:rFonts w:eastAsia="Calibri"/>
                <w:sz w:val="20"/>
                <w:lang w:val="fr-CA"/>
              </w:rPr>
            </w:pPr>
          </w:p>
        </w:tc>
        <w:tc>
          <w:tcPr>
            <w:tcW w:w="2330" w:type="pct"/>
          </w:tcPr>
          <w:p w:rsidR="00BE55D1" w:rsidRPr="00BE55D1" w:rsidRDefault="00BE55D1" w:rsidP="00D40817">
            <w:pPr>
              <w:jc w:val="both"/>
              <w:rPr>
                <w:rFonts w:eastAsia="Calibri"/>
                <w:sz w:val="20"/>
                <w:lang w:val="fr-CA"/>
              </w:rPr>
            </w:pPr>
            <w:r w:rsidRPr="00BE55D1">
              <w:rPr>
                <w:rFonts w:eastAsia="Calibri"/>
                <w:sz w:val="20"/>
                <w:lang w:val="fr-CA"/>
              </w:rPr>
              <w:t>Voir dire</w:t>
            </w:r>
            <w:r w:rsidRPr="00BE55D1">
              <w:rPr>
                <w:rFonts w:eastAsia="Calibri"/>
                <w:i/>
                <w:sz w:val="20"/>
                <w:lang w:val="fr-CA"/>
              </w:rPr>
              <w:t xml:space="preserve"> </w:t>
            </w:r>
            <w:r w:rsidRPr="00BE55D1">
              <w:rPr>
                <w:rFonts w:eastAsia="Calibri"/>
                <w:sz w:val="20"/>
                <w:lang w:val="fr-CA"/>
              </w:rPr>
              <w:t>: les éléments de preuve ont été légalement obtenus à la suite de la perquisition et ils étaient recevables</w:t>
            </w:r>
          </w:p>
          <w:p w:rsidR="00BE55D1" w:rsidRPr="00BE55D1" w:rsidRDefault="00BE55D1" w:rsidP="00D40817">
            <w:pPr>
              <w:jc w:val="both"/>
              <w:rPr>
                <w:rFonts w:eastAsia="Calibri"/>
                <w:sz w:val="20"/>
                <w:lang w:val="fr-CA"/>
              </w:rPr>
            </w:pPr>
          </w:p>
        </w:tc>
      </w:tr>
      <w:tr w:rsidR="00BE55D1" w:rsidRPr="00B6145B" w:rsidTr="00D40817">
        <w:tc>
          <w:tcPr>
            <w:tcW w:w="2427" w:type="pct"/>
          </w:tcPr>
          <w:p w:rsidR="00BE55D1" w:rsidRPr="00BE55D1" w:rsidRDefault="00BE55D1" w:rsidP="00D40817">
            <w:pPr>
              <w:jc w:val="both"/>
              <w:rPr>
                <w:rFonts w:eastAsia="Calibri"/>
                <w:sz w:val="20"/>
                <w:lang w:val="fr-CA"/>
              </w:rPr>
            </w:pPr>
            <w:r w:rsidRPr="00BE55D1">
              <w:rPr>
                <w:rFonts w:eastAsia="Calibri"/>
                <w:sz w:val="20"/>
                <w:lang w:val="fr-CA"/>
              </w:rPr>
              <w:t>23 avril 2009</w:t>
            </w:r>
          </w:p>
          <w:p w:rsidR="00BE55D1" w:rsidRPr="00BE55D1" w:rsidRDefault="00BE55D1" w:rsidP="00D40817">
            <w:pPr>
              <w:jc w:val="both"/>
              <w:rPr>
                <w:rFonts w:eastAsia="Calibri"/>
                <w:sz w:val="20"/>
                <w:lang w:val="fr-CA"/>
              </w:rPr>
            </w:pPr>
            <w:r w:rsidRPr="00BE55D1">
              <w:rPr>
                <w:rFonts w:eastAsia="Calibri"/>
                <w:sz w:val="20"/>
                <w:lang w:val="fr-CA"/>
              </w:rPr>
              <w:t xml:space="preserve">Cour provinciale de la Colombie-Britannique </w:t>
            </w:r>
          </w:p>
          <w:p w:rsidR="00BE55D1" w:rsidRPr="00BE55D1" w:rsidRDefault="00BE55D1" w:rsidP="00D40817">
            <w:pPr>
              <w:jc w:val="both"/>
              <w:rPr>
                <w:rFonts w:eastAsia="Calibri"/>
                <w:sz w:val="20"/>
                <w:lang w:val="fr-CA"/>
              </w:rPr>
            </w:pPr>
            <w:r w:rsidRPr="00BE55D1">
              <w:rPr>
                <w:rFonts w:eastAsia="Calibri"/>
                <w:sz w:val="20"/>
                <w:lang w:val="fr-CA"/>
              </w:rPr>
              <w:t>(Juge Wallace)</w:t>
            </w:r>
          </w:p>
          <w:p w:rsidR="00BE55D1" w:rsidRPr="00BE55D1" w:rsidRDefault="00BE55D1" w:rsidP="00D40817">
            <w:pPr>
              <w:jc w:val="both"/>
              <w:rPr>
                <w:rFonts w:eastAsia="Calibri"/>
                <w:sz w:val="20"/>
                <w:lang w:val="fr-CA"/>
              </w:rPr>
            </w:pPr>
          </w:p>
        </w:tc>
        <w:tc>
          <w:tcPr>
            <w:tcW w:w="243" w:type="pct"/>
          </w:tcPr>
          <w:p w:rsidR="00BE55D1" w:rsidRPr="00BE55D1" w:rsidRDefault="00BE55D1" w:rsidP="00D40817">
            <w:pPr>
              <w:jc w:val="both"/>
              <w:rPr>
                <w:rFonts w:eastAsia="Calibri"/>
                <w:sz w:val="20"/>
                <w:lang w:val="fr-CA"/>
              </w:rPr>
            </w:pPr>
          </w:p>
        </w:tc>
        <w:tc>
          <w:tcPr>
            <w:tcW w:w="2330" w:type="pct"/>
          </w:tcPr>
          <w:p w:rsidR="00BE55D1" w:rsidRPr="00BE55D1" w:rsidRDefault="00BE55D1" w:rsidP="00D40817">
            <w:pPr>
              <w:jc w:val="both"/>
              <w:rPr>
                <w:rFonts w:eastAsia="Calibri"/>
                <w:sz w:val="20"/>
                <w:lang w:val="fr-CA"/>
              </w:rPr>
            </w:pPr>
            <w:r w:rsidRPr="00BE55D1">
              <w:rPr>
                <w:rFonts w:eastAsia="Calibri"/>
                <w:sz w:val="20"/>
                <w:lang w:val="fr-CA"/>
              </w:rPr>
              <w:t>Déclaration de culpabilité pour production de marihuana et possession de marihuana en vue d’en faire le trafic</w:t>
            </w:r>
          </w:p>
        </w:tc>
      </w:tr>
      <w:tr w:rsidR="00BE55D1" w:rsidRPr="00BE55D1" w:rsidTr="00D40817">
        <w:tc>
          <w:tcPr>
            <w:tcW w:w="2427" w:type="pct"/>
          </w:tcPr>
          <w:p w:rsidR="00BE55D1" w:rsidRPr="00BE55D1" w:rsidRDefault="00BE55D1" w:rsidP="00D40817">
            <w:pPr>
              <w:jc w:val="both"/>
              <w:rPr>
                <w:rFonts w:eastAsia="Calibri"/>
                <w:sz w:val="20"/>
                <w:lang w:val="fr-CA"/>
              </w:rPr>
            </w:pPr>
            <w:r w:rsidRPr="00BE55D1">
              <w:rPr>
                <w:rFonts w:eastAsia="Calibri"/>
                <w:sz w:val="20"/>
                <w:lang w:val="fr-CA"/>
              </w:rPr>
              <w:t>1</w:t>
            </w:r>
            <w:r w:rsidRPr="00BE55D1">
              <w:rPr>
                <w:rFonts w:eastAsia="Calibri"/>
                <w:sz w:val="20"/>
                <w:vertAlign w:val="superscript"/>
                <w:lang w:val="fr-CA"/>
              </w:rPr>
              <w:t>er</w:t>
            </w:r>
            <w:r w:rsidRPr="00BE55D1">
              <w:rPr>
                <w:rFonts w:eastAsia="Calibri"/>
                <w:sz w:val="20"/>
                <w:lang w:val="fr-CA"/>
              </w:rPr>
              <w:t xml:space="preserve"> mars 2012</w:t>
            </w:r>
          </w:p>
          <w:p w:rsidR="00BE55D1" w:rsidRPr="00BE55D1" w:rsidRDefault="00BE55D1" w:rsidP="00D40817">
            <w:pPr>
              <w:jc w:val="both"/>
              <w:rPr>
                <w:rFonts w:eastAsia="Calibri"/>
                <w:sz w:val="20"/>
                <w:lang w:val="fr-CA"/>
              </w:rPr>
            </w:pPr>
            <w:r w:rsidRPr="00BE55D1">
              <w:rPr>
                <w:rFonts w:eastAsia="Calibri"/>
                <w:sz w:val="20"/>
                <w:lang w:val="fr-CA"/>
              </w:rPr>
              <w:t>Cour d’appel de la Colombie-Britannique (Vancouver)</w:t>
            </w:r>
          </w:p>
          <w:p w:rsidR="00BE55D1" w:rsidRPr="00BE55D1" w:rsidRDefault="00BE55D1" w:rsidP="00D40817">
            <w:pPr>
              <w:jc w:val="both"/>
              <w:rPr>
                <w:rFonts w:eastAsia="Calibri"/>
                <w:sz w:val="20"/>
                <w:lang w:val="fr-CA"/>
              </w:rPr>
            </w:pPr>
            <w:r w:rsidRPr="00BE55D1">
              <w:rPr>
                <w:rFonts w:eastAsia="Calibri"/>
                <w:sz w:val="20"/>
                <w:lang w:val="fr-CA"/>
              </w:rPr>
              <w:t>(Juges Smith, Neilson et Bennett)</w:t>
            </w:r>
          </w:p>
          <w:p w:rsidR="00BE55D1" w:rsidRPr="00BE55D1" w:rsidRDefault="00BE55D1" w:rsidP="008528AB">
            <w:pPr>
              <w:jc w:val="both"/>
              <w:rPr>
                <w:rFonts w:eastAsia="Calibri"/>
                <w:sz w:val="20"/>
                <w:lang w:val="fr-CA"/>
              </w:rPr>
            </w:pPr>
            <w:r w:rsidRPr="00BE55D1">
              <w:rPr>
                <w:rFonts w:eastAsia="Calibri"/>
                <w:sz w:val="20"/>
                <w:lang w:val="fr-CA"/>
              </w:rPr>
              <w:t>2012 BCCA 99</w:t>
            </w:r>
          </w:p>
        </w:tc>
        <w:tc>
          <w:tcPr>
            <w:tcW w:w="243" w:type="pct"/>
          </w:tcPr>
          <w:p w:rsidR="00BE55D1" w:rsidRPr="00BE55D1" w:rsidRDefault="00BE55D1" w:rsidP="00D40817">
            <w:pPr>
              <w:jc w:val="both"/>
              <w:rPr>
                <w:rFonts w:eastAsia="Calibri"/>
                <w:sz w:val="20"/>
                <w:lang w:val="fr-CA"/>
              </w:rPr>
            </w:pPr>
          </w:p>
        </w:tc>
        <w:tc>
          <w:tcPr>
            <w:tcW w:w="2330" w:type="pct"/>
          </w:tcPr>
          <w:p w:rsidR="00BE55D1" w:rsidRPr="00BE55D1" w:rsidRDefault="00BE55D1" w:rsidP="00D40817">
            <w:pPr>
              <w:jc w:val="both"/>
              <w:rPr>
                <w:rFonts w:eastAsia="Calibri"/>
                <w:sz w:val="20"/>
                <w:lang w:val="fr-CA"/>
              </w:rPr>
            </w:pPr>
            <w:r w:rsidRPr="00BE55D1">
              <w:rPr>
                <w:rFonts w:eastAsia="Calibri"/>
                <w:sz w:val="20"/>
                <w:lang w:val="fr-CA"/>
              </w:rPr>
              <w:t>Appel rejeté</w:t>
            </w:r>
          </w:p>
          <w:p w:rsidR="00BE55D1" w:rsidRPr="00BE55D1" w:rsidRDefault="00BE55D1" w:rsidP="00D40817">
            <w:pPr>
              <w:jc w:val="both"/>
              <w:rPr>
                <w:rFonts w:eastAsia="Calibri"/>
                <w:sz w:val="20"/>
                <w:lang w:val="fr-CA"/>
              </w:rPr>
            </w:pPr>
          </w:p>
        </w:tc>
      </w:tr>
    </w:tbl>
    <w:p w:rsidR="008528AB" w:rsidRDefault="008528AB"/>
    <w:p w:rsidR="008528AB" w:rsidRDefault="008528AB">
      <w:r>
        <w:br w:type="page"/>
      </w:r>
    </w:p>
    <w:tbl>
      <w:tblPr>
        <w:tblW w:w="4952" w:type="pct"/>
        <w:tblLayout w:type="fixed"/>
        <w:tblCellMar>
          <w:left w:w="0" w:type="dxa"/>
          <w:bottom w:w="99" w:type="dxa"/>
          <w:right w:w="0" w:type="dxa"/>
        </w:tblCellMar>
        <w:tblLook w:val="04A0"/>
      </w:tblPr>
      <w:tblGrid>
        <w:gridCol w:w="4624"/>
        <w:gridCol w:w="463"/>
        <w:gridCol w:w="4440"/>
      </w:tblGrid>
      <w:tr w:rsidR="00BE55D1" w:rsidRPr="00BE55D1" w:rsidTr="008528AB">
        <w:trPr>
          <w:cantSplit/>
        </w:trPr>
        <w:tc>
          <w:tcPr>
            <w:tcW w:w="2427" w:type="pct"/>
          </w:tcPr>
          <w:p w:rsidR="00BE55D1" w:rsidRPr="00BE55D1" w:rsidRDefault="00BE55D1" w:rsidP="00D40817">
            <w:pPr>
              <w:jc w:val="both"/>
              <w:rPr>
                <w:rFonts w:eastAsia="Calibri"/>
                <w:sz w:val="20"/>
                <w:lang w:val="fr-CA"/>
              </w:rPr>
            </w:pPr>
            <w:r w:rsidRPr="00BE55D1">
              <w:rPr>
                <w:rFonts w:eastAsia="Calibri"/>
                <w:sz w:val="20"/>
                <w:lang w:val="fr-CA"/>
              </w:rPr>
              <w:lastRenderedPageBreak/>
              <w:t>30 avril 2012</w:t>
            </w:r>
          </w:p>
          <w:p w:rsidR="00BE55D1" w:rsidRPr="00BE55D1" w:rsidRDefault="00BE55D1" w:rsidP="00D40817">
            <w:pPr>
              <w:jc w:val="both"/>
              <w:rPr>
                <w:rFonts w:eastAsia="Calibri"/>
                <w:sz w:val="20"/>
                <w:lang w:val="fr-CA"/>
              </w:rPr>
            </w:pPr>
            <w:r w:rsidRPr="00BE55D1">
              <w:rPr>
                <w:rFonts w:eastAsia="Calibri"/>
                <w:sz w:val="20"/>
                <w:lang w:val="fr-CA"/>
              </w:rPr>
              <w:t>Cour suprême du Canada</w:t>
            </w:r>
          </w:p>
        </w:tc>
        <w:tc>
          <w:tcPr>
            <w:tcW w:w="243" w:type="pct"/>
          </w:tcPr>
          <w:p w:rsidR="00BE55D1" w:rsidRPr="00BE55D1" w:rsidRDefault="00BE55D1" w:rsidP="00D40817">
            <w:pPr>
              <w:jc w:val="both"/>
              <w:rPr>
                <w:rFonts w:eastAsia="Calibri"/>
                <w:sz w:val="20"/>
                <w:lang w:val="fr-CA"/>
              </w:rPr>
            </w:pPr>
          </w:p>
        </w:tc>
        <w:tc>
          <w:tcPr>
            <w:tcW w:w="2330" w:type="pct"/>
          </w:tcPr>
          <w:p w:rsidR="00BE55D1" w:rsidRPr="00BE55D1" w:rsidRDefault="00BE55D1" w:rsidP="00D40817">
            <w:pPr>
              <w:jc w:val="both"/>
              <w:rPr>
                <w:rFonts w:eastAsia="Calibri"/>
                <w:sz w:val="20"/>
                <w:lang w:val="fr-CA"/>
              </w:rPr>
            </w:pPr>
            <w:r w:rsidRPr="00BE55D1">
              <w:rPr>
                <w:rFonts w:eastAsia="Calibri"/>
                <w:sz w:val="20"/>
                <w:lang w:val="fr-CA"/>
              </w:rPr>
              <w:t xml:space="preserve">Demande d’autorisation d’appel déposée </w:t>
            </w:r>
          </w:p>
          <w:p w:rsidR="00BE55D1" w:rsidRPr="00BE55D1" w:rsidRDefault="00BE55D1" w:rsidP="00D40817">
            <w:pPr>
              <w:jc w:val="both"/>
              <w:rPr>
                <w:rFonts w:eastAsia="Calibri"/>
                <w:sz w:val="20"/>
                <w:lang w:val="fr-CA"/>
              </w:rPr>
            </w:pPr>
          </w:p>
        </w:tc>
      </w:tr>
    </w:tbl>
    <w:p w:rsidR="00EC09EE" w:rsidRDefault="00EC09EE" w:rsidP="00EC09EE">
      <w:pPr>
        <w:rPr>
          <w:sz w:val="20"/>
          <w:szCs w:val="20"/>
        </w:rPr>
      </w:pPr>
    </w:p>
    <w:p w:rsidR="00EC09EE" w:rsidRDefault="007333FF" w:rsidP="00EC09EE">
      <w:pPr>
        <w:rPr>
          <w:sz w:val="20"/>
          <w:szCs w:val="20"/>
        </w:rPr>
      </w:pPr>
      <w:r w:rsidRPr="007333FF">
        <w:rPr>
          <w:sz w:val="20"/>
          <w:szCs w:val="20"/>
          <w:lang w:val="fr-CA"/>
        </w:rPr>
        <w:pict>
          <v:rect id="_x0000_i1111" style="width:2in;height:1pt" o:hrpct="0" o:hralign="center" o:hrstd="t" o:hrnoshade="t" o:hr="t" fillcolor="black [3213]" stroked="f"/>
        </w:pict>
      </w:r>
    </w:p>
    <w:p w:rsidR="00EC09EE" w:rsidRDefault="00EC09EE" w:rsidP="00EC09E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528AB" w:rsidRPr="008A028C" w:rsidTr="00942EBA">
        <w:trPr>
          <w:cantSplit/>
        </w:trPr>
        <w:tc>
          <w:tcPr>
            <w:tcW w:w="1458" w:type="dxa"/>
          </w:tcPr>
          <w:p w:rsidR="008528AB" w:rsidRPr="008A028C" w:rsidRDefault="008528AB" w:rsidP="00942EBA">
            <w:pPr>
              <w:rPr>
                <w:sz w:val="20"/>
                <w:szCs w:val="20"/>
              </w:rPr>
            </w:pPr>
            <w:r w:rsidRPr="008A028C">
              <w:rPr>
                <w:rStyle w:val="SCCFileNumberChar"/>
                <w:sz w:val="20"/>
                <w:szCs w:val="20"/>
              </w:rPr>
              <w:t>34806</w:t>
            </w:r>
          </w:p>
          <w:p w:rsidR="008528AB" w:rsidRPr="008A028C" w:rsidRDefault="008528AB" w:rsidP="00942EBA">
            <w:pPr>
              <w:rPr>
                <w:b/>
                <w:sz w:val="20"/>
                <w:szCs w:val="20"/>
                <w:lang w:val="fr-CA"/>
              </w:rPr>
            </w:pPr>
          </w:p>
        </w:tc>
        <w:tc>
          <w:tcPr>
            <w:tcW w:w="8118" w:type="dxa"/>
          </w:tcPr>
          <w:p w:rsidR="008528AB" w:rsidRPr="008A028C" w:rsidRDefault="008528AB" w:rsidP="00942EBA">
            <w:pPr>
              <w:jc w:val="both"/>
              <w:rPr>
                <w:sz w:val="20"/>
                <w:szCs w:val="20"/>
              </w:rPr>
            </w:pPr>
            <w:r w:rsidRPr="008528AB">
              <w:rPr>
                <w:rStyle w:val="SCCLsocChar"/>
                <w:sz w:val="20"/>
                <w:szCs w:val="20"/>
                <w:lang w:val="en-CA"/>
              </w:rPr>
              <w:t>Herbert Harold Tower, Cedric Anthony Joseph Tower and Travis Jordan Tower, Administrators of the Estate of Cedric Bamford Tower, deceased v. Glenda Marie Estabrooks, Administrator of the Estate of</w:t>
            </w:r>
            <w:r w:rsidR="00C216E8">
              <w:rPr>
                <w:rStyle w:val="SCCLsocChar"/>
                <w:sz w:val="20"/>
                <w:szCs w:val="20"/>
                <w:lang w:val="en-CA"/>
              </w:rPr>
              <w:t xml:space="preserve"> Cedric Bamford Tower, deceased and</w:t>
            </w:r>
            <w:r w:rsidRPr="008528AB">
              <w:rPr>
                <w:rStyle w:val="SCCLsocChar"/>
                <w:sz w:val="20"/>
                <w:szCs w:val="20"/>
                <w:lang w:val="en-CA"/>
              </w:rPr>
              <w:t xml:space="preserve"> Shirley Ann Grant</w:t>
            </w:r>
            <w:r w:rsidRPr="008A028C">
              <w:rPr>
                <w:sz w:val="20"/>
                <w:szCs w:val="20"/>
              </w:rPr>
              <w:t xml:space="preserve"> (N.B.) (Civil) (By Leave)</w:t>
            </w:r>
          </w:p>
          <w:p w:rsidR="008528AB" w:rsidRPr="008A028C" w:rsidRDefault="008528AB" w:rsidP="00942EBA">
            <w:pPr>
              <w:rPr>
                <w:sz w:val="20"/>
                <w:szCs w:val="20"/>
              </w:rPr>
            </w:pPr>
          </w:p>
        </w:tc>
      </w:tr>
      <w:tr w:rsidR="008528AB" w:rsidRPr="008A028C" w:rsidTr="00942EBA">
        <w:trPr>
          <w:cantSplit/>
        </w:trPr>
        <w:tc>
          <w:tcPr>
            <w:tcW w:w="1458" w:type="dxa"/>
          </w:tcPr>
          <w:p w:rsidR="008528AB" w:rsidRPr="008A028C" w:rsidRDefault="008528AB" w:rsidP="00942EBA">
            <w:pPr>
              <w:rPr>
                <w:sz w:val="20"/>
                <w:szCs w:val="20"/>
              </w:rPr>
            </w:pPr>
            <w:r w:rsidRPr="008A028C">
              <w:rPr>
                <w:sz w:val="20"/>
                <w:szCs w:val="20"/>
              </w:rPr>
              <w:t>Coram :</w:t>
            </w:r>
          </w:p>
        </w:tc>
        <w:tc>
          <w:tcPr>
            <w:tcW w:w="8118" w:type="dxa"/>
          </w:tcPr>
          <w:p w:rsidR="008528AB" w:rsidRPr="008A028C" w:rsidRDefault="008528AB" w:rsidP="00942EBA">
            <w:pPr>
              <w:rPr>
                <w:sz w:val="20"/>
                <w:szCs w:val="20"/>
              </w:rPr>
            </w:pPr>
            <w:r w:rsidRPr="008528AB">
              <w:rPr>
                <w:rStyle w:val="SCCCoramChar"/>
                <w:sz w:val="20"/>
                <w:szCs w:val="20"/>
                <w:lang w:val="en-CA"/>
              </w:rPr>
              <w:t>McLachlin C.J. and Rothstein and Moldaver JJ.</w:t>
            </w:r>
          </w:p>
          <w:p w:rsidR="008528AB" w:rsidRPr="008A028C" w:rsidRDefault="008528AB" w:rsidP="00942EBA">
            <w:pPr>
              <w:rPr>
                <w:sz w:val="20"/>
                <w:szCs w:val="20"/>
                <w:u w:val="single"/>
              </w:rPr>
            </w:pPr>
          </w:p>
        </w:tc>
      </w:tr>
      <w:tr w:rsidR="008528AB" w:rsidRPr="00B6145B" w:rsidTr="00942EBA">
        <w:trPr>
          <w:cantSplit/>
        </w:trPr>
        <w:tc>
          <w:tcPr>
            <w:tcW w:w="9576" w:type="dxa"/>
            <w:gridSpan w:val="2"/>
          </w:tcPr>
          <w:p w:rsidR="008528AB" w:rsidRPr="008A028C" w:rsidRDefault="008528AB" w:rsidP="00942EBA">
            <w:pPr>
              <w:pStyle w:val="SCCShortJudgment"/>
              <w:rPr>
                <w:szCs w:val="20"/>
              </w:rPr>
            </w:pPr>
            <w:r w:rsidRPr="008A028C">
              <w:rPr>
                <w:szCs w:val="20"/>
              </w:rPr>
              <w:t>The motion for an extension of time to serve and file the application for leave to appeal is granted.  The application for leave to appeal from the judgment of the Court of Appeal of New Brunswick, Number 6-11-CA, 2012 NBCA 27, dated November 30, 2011, is dismissed with costs to the respondent Shirley Ann Grant.</w:t>
            </w:r>
          </w:p>
          <w:p w:rsidR="008528AB" w:rsidRPr="008A028C" w:rsidRDefault="008528AB" w:rsidP="00942EBA">
            <w:pPr>
              <w:pStyle w:val="SCCShortJudgment"/>
              <w:ind w:firstLine="0"/>
              <w:rPr>
                <w:szCs w:val="20"/>
              </w:rPr>
            </w:pPr>
          </w:p>
          <w:p w:rsidR="008528AB" w:rsidRPr="008A028C" w:rsidRDefault="008528AB" w:rsidP="00942EBA">
            <w:pPr>
              <w:pStyle w:val="SCCShortJudgment"/>
              <w:rPr>
                <w:szCs w:val="20"/>
                <w:lang w:val="fr-CA"/>
              </w:rPr>
            </w:pPr>
            <w:r w:rsidRPr="008A028C">
              <w:rPr>
                <w:szCs w:val="20"/>
                <w:lang w:val="fr-CA"/>
              </w:rPr>
              <w:t>La requête en prorogation du délai de signification et de dépôt de la demande d’autorisation d’appel est accueillie. La demande d’autorisation d’appel de l’arrêt de la Cour d’appel du Nouveau-Brunswick, numéro 6-11-CA, 2012 NBCA 27, daté du 30 novembre 2011, est rejetée avec dépens en faveur de l’intimée Shirley Ann Grant.</w:t>
            </w:r>
          </w:p>
        </w:tc>
      </w:tr>
    </w:tbl>
    <w:p w:rsidR="00EC09EE" w:rsidRPr="008528AB" w:rsidRDefault="00EC09EE" w:rsidP="00EC09EE">
      <w:pPr>
        <w:rPr>
          <w:sz w:val="20"/>
          <w:szCs w:val="20"/>
          <w:lang w:val="fr-CA"/>
        </w:rPr>
      </w:pPr>
    </w:p>
    <w:p w:rsidR="00EC09EE" w:rsidRPr="001B157C" w:rsidRDefault="00EC09EE" w:rsidP="00EC09EE">
      <w:pPr>
        <w:rPr>
          <w:sz w:val="20"/>
          <w:szCs w:val="20"/>
          <w:u w:val="single"/>
        </w:rPr>
      </w:pPr>
      <w:r w:rsidRPr="001B157C">
        <w:rPr>
          <w:sz w:val="20"/>
          <w:szCs w:val="20"/>
          <w:u w:val="single"/>
        </w:rPr>
        <w:t>CASE SUMMARY</w:t>
      </w:r>
    </w:p>
    <w:p w:rsidR="00EC09EE" w:rsidRDefault="00EC09EE" w:rsidP="00EC09E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23841" w:rsidRPr="00A1535A" w:rsidTr="00D40817">
        <w:tc>
          <w:tcPr>
            <w:tcW w:w="5000" w:type="pct"/>
            <w:gridSpan w:val="3"/>
          </w:tcPr>
          <w:p w:rsidR="00323841" w:rsidRPr="00A1535A" w:rsidRDefault="00323841" w:rsidP="00D40817">
            <w:pPr>
              <w:jc w:val="both"/>
              <w:rPr>
                <w:rFonts w:eastAsia="Calibri"/>
                <w:sz w:val="20"/>
              </w:rPr>
            </w:pPr>
            <w:r w:rsidRPr="00A1535A">
              <w:rPr>
                <w:rFonts w:eastAsia="Calibri"/>
                <w:sz w:val="20"/>
              </w:rPr>
              <w:t xml:space="preserve">Pensions – Pension benefits – Supplementary death benefits – Designated beneficiary – Family law – Divorce – Applicants’ late father naming respondent wife as beneficiary of benefits under </w:t>
            </w:r>
            <w:r w:rsidRPr="00A1535A">
              <w:rPr>
                <w:rFonts w:eastAsia="Calibri"/>
                <w:i/>
                <w:sz w:val="20"/>
              </w:rPr>
              <w:t>Public Service Superannuation Act</w:t>
            </w:r>
            <w:r w:rsidRPr="00A1535A">
              <w:rPr>
                <w:rFonts w:eastAsia="Calibri"/>
                <w:sz w:val="20"/>
              </w:rPr>
              <w:t xml:space="preserve">, R.S.C. 1985, c. P-36, and </w:t>
            </w:r>
            <w:r w:rsidRPr="00A1535A">
              <w:rPr>
                <w:rFonts w:eastAsia="Calibri"/>
                <w:i/>
                <w:sz w:val="20"/>
              </w:rPr>
              <w:t>Supplementary Death Benefit Regulations</w:t>
            </w:r>
            <w:r w:rsidRPr="00A1535A">
              <w:rPr>
                <w:rFonts w:eastAsia="Calibri"/>
                <w:sz w:val="20"/>
              </w:rPr>
              <w:t>, C.R.C., c. 1360 – Father and respondent subsequently divorcing – Whether trial judge erred in finding that respondent was entitled to receive benefits in spite of separation agreement and release.</w:t>
            </w:r>
          </w:p>
        </w:tc>
      </w:tr>
      <w:tr w:rsidR="00323841" w:rsidRPr="00A1535A" w:rsidTr="00D40817">
        <w:tc>
          <w:tcPr>
            <w:tcW w:w="5000" w:type="pct"/>
            <w:gridSpan w:val="3"/>
          </w:tcPr>
          <w:p w:rsidR="00323841" w:rsidRPr="00A1535A" w:rsidRDefault="00323841" w:rsidP="00D40817">
            <w:pPr>
              <w:jc w:val="both"/>
              <w:rPr>
                <w:rFonts w:eastAsia="Calibri"/>
                <w:sz w:val="20"/>
              </w:rPr>
            </w:pPr>
          </w:p>
        </w:tc>
      </w:tr>
      <w:tr w:rsidR="00323841" w:rsidRPr="00A1535A" w:rsidTr="00D40817">
        <w:tc>
          <w:tcPr>
            <w:tcW w:w="5000" w:type="pct"/>
            <w:gridSpan w:val="3"/>
          </w:tcPr>
          <w:p w:rsidR="00323841" w:rsidRPr="00A1535A" w:rsidRDefault="00323841" w:rsidP="00D40817">
            <w:pPr>
              <w:jc w:val="both"/>
              <w:rPr>
                <w:rFonts w:eastAsia="Calibri"/>
                <w:sz w:val="20"/>
              </w:rPr>
            </w:pPr>
            <w:r w:rsidRPr="00A1535A">
              <w:rPr>
                <w:rFonts w:eastAsia="Calibri"/>
                <w:sz w:val="20"/>
              </w:rPr>
              <w:t>The applicants brought an action claiming that the estate of their late father was entitled to the supplementary death benefits and pension benefits he had acquired during his lifetime as an employee with Correctional Service of Canada.  The father had named the respondent Shirley Grant, his wife at the time, as the beneficiary of the benefits.  The applicants claim those benefits belong to the estate as a result of the provisions of the separation agreement and the release executed at the time of their parents’ divorce.  The trial judge found that the respondent was entitled to receive the benefits and that this was not a situation where a constructive trust should be imposed.  The Court of Appeal dismissed the applicants’ appeal.</w:t>
            </w:r>
          </w:p>
          <w:p w:rsidR="00323841" w:rsidRPr="00A1535A" w:rsidRDefault="00323841" w:rsidP="00D40817">
            <w:pPr>
              <w:jc w:val="both"/>
              <w:rPr>
                <w:rFonts w:eastAsia="Calibri"/>
                <w:sz w:val="20"/>
              </w:rPr>
            </w:pPr>
          </w:p>
        </w:tc>
      </w:tr>
      <w:tr w:rsidR="00323841" w:rsidRPr="00A1535A" w:rsidTr="00D40817">
        <w:tc>
          <w:tcPr>
            <w:tcW w:w="2427" w:type="pct"/>
          </w:tcPr>
          <w:p w:rsidR="00323841" w:rsidRPr="00A1535A" w:rsidRDefault="00323841" w:rsidP="00D40817">
            <w:pPr>
              <w:jc w:val="both"/>
              <w:rPr>
                <w:rFonts w:eastAsia="Calibri"/>
                <w:sz w:val="20"/>
              </w:rPr>
            </w:pPr>
            <w:r w:rsidRPr="00A1535A">
              <w:rPr>
                <w:rFonts w:eastAsia="Calibri"/>
                <w:sz w:val="20"/>
              </w:rPr>
              <w:t>December 17, 2010</w:t>
            </w:r>
          </w:p>
          <w:p w:rsidR="00323841" w:rsidRPr="00A1535A" w:rsidRDefault="00323841" w:rsidP="00D40817">
            <w:pPr>
              <w:jc w:val="both"/>
              <w:rPr>
                <w:rFonts w:eastAsia="Calibri"/>
                <w:sz w:val="20"/>
              </w:rPr>
            </w:pPr>
            <w:r w:rsidRPr="00A1535A">
              <w:rPr>
                <w:rFonts w:eastAsia="Calibri"/>
                <w:sz w:val="20"/>
              </w:rPr>
              <w:t>Court of Queen’s Bench of New Brunswick</w:t>
            </w:r>
          </w:p>
          <w:p w:rsidR="00323841" w:rsidRPr="00A1535A" w:rsidRDefault="00323841" w:rsidP="00D40817">
            <w:pPr>
              <w:jc w:val="both"/>
              <w:rPr>
                <w:rFonts w:eastAsia="Calibri"/>
                <w:sz w:val="20"/>
              </w:rPr>
            </w:pPr>
            <w:r w:rsidRPr="00A1535A">
              <w:rPr>
                <w:rFonts w:eastAsia="Calibri"/>
                <w:sz w:val="20"/>
              </w:rPr>
              <w:t>(Savoie J.)</w:t>
            </w:r>
          </w:p>
          <w:p w:rsidR="00323841" w:rsidRPr="00A1535A" w:rsidRDefault="00323841" w:rsidP="00D40817">
            <w:pPr>
              <w:jc w:val="both"/>
              <w:rPr>
                <w:rFonts w:eastAsia="Calibri"/>
                <w:sz w:val="20"/>
                <w:lang w:val="fr-CA"/>
              </w:rPr>
            </w:pPr>
            <w:r w:rsidRPr="00A1535A">
              <w:rPr>
                <w:rFonts w:eastAsia="Calibri"/>
                <w:sz w:val="20"/>
                <w:lang w:val="fr-CA"/>
              </w:rPr>
              <w:t>2010 NBQB 418</w:t>
            </w:r>
          </w:p>
          <w:p w:rsidR="00323841" w:rsidRPr="00A1535A" w:rsidRDefault="00323841" w:rsidP="00D40817">
            <w:pPr>
              <w:jc w:val="both"/>
              <w:rPr>
                <w:rFonts w:eastAsia="Calibri"/>
                <w:sz w:val="20"/>
              </w:rPr>
            </w:pPr>
          </w:p>
        </w:tc>
        <w:tc>
          <w:tcPr>
            <w:tcW w:w="243" w:type="pct"/>
          </w:tcPr>
          <w:p w:rsidR="00323841" w:rsidRPr="00A1535A" w:rsidRDefault="00323841" w:rsidP="00D40817">
            <w:pPr>
              <w:jc w:val="both"/>
              <w:rPr>
                <w:rFonts w:eastAsia="Calibri"/>
                <w:sz w:val="20"/>
              </w:rPr>
            </w:pPr>
          </w:p>
        </w:tc>
        <w:tc>
          <w:tcPr>
            <w:tcW w:w="2330" w:type="pct"/>
          </w:tcPr>
          <w:p w:rsidR="00323841" w:rsidRPr="00A1535A" w:rsidRDefault="00323841" w:rsidP="00D40817">
            <w:pPr>
              <w:jc w:val="both"/>
              <w:rPr>
                <w:rFonts w:eastAsia="Calibri"/>
                <w:sz w:val="20"/>
              </w:rPr>
            </w:pPr>
            <w:r w:rsidRPr="00A1535A">
              <w:rPr>
                <w:rFonts w:eastAsia="Calibri"/>
                <w:sz w:val="20"/>
              </w:rPr>
              <w:t>Claim dismissed</w:t>
            </w:r>
          </w:p>
          <w:p w:rsidR="00323841" w:rsidRPr="00A1535A" w:rsidRDefault="00323841" w:rsidP="00D40817">
            <w:pPr>
              <w:jc w:val="both"/>
              <w:rPr>
                <w:rFonts w:eastAsia="Calibri"/>
                <w:sz w:val="20"/>
              </w:rPr>
            </w:pPr>
          </w:p>
        </w:tc>
      </w:tr>
      <w:tr w:rsidR="00323841" w:rsidRPr="00A1535A" w:rsidTr="00D40817">
        <w:tc>
          <w:tcPr>
            <w:tcW w:w="2427" w:type="pct"/>
          </w:tcPr>
          <w:p w:rsidR="00323841" w:rsidRPr="00A1535A" w:rsidRDefault="00323841" w:rsidP="00D40817">
            <w:pPr>
              <w:jc w:val="both"/>
              <w:rPr>
                <w:rFonts w:eastAsia="Calibri"/>
                <w:sz w:val="20"/>
              </w:rPr>
            </w:pPr>
            <w:r w:rsidRPr="00A1535A">
              <w:rPr>
                <w:rFonts w:eastAsia="Calibri"/>
                <w:sz w:val="20"/>
              </w:rPr>
              <w:t>November 30, 2011</w:t>
            </w:r>
          </w:p>
          <w:p w:rsidR="00323841" w:rsidRPr="00A1535A" w:rsidRDefault="00323841" w:rsidP="00D40817">
            <w:pPr>
              <w:jc w:val="both"/>
              <w:rPr>
                <w:rFonts w:eastAsia="Calibri"/>
                <w:sz w:val="20"/>
              </w:rPr>
            </w:pPr>
            <w:r w:rsidRPr="00A1535A">
              <w:rPr>
                <w:rFonts w:eastAsia="Calibri"/>
                <w:sz w:val="20"/>
              </w:rPr>
              <w:t>Court of Appeal of New Brunswick</w:t>
            </w:r>
          </w:p>
          <w:p w:rsidR="00323841" w:rsidRPr="00A1535A" w:rsidRDefault="00323841" w:rsidP="00D40817">
            <w:pPr>
              <w:jc w:val="both"/>
              <w:rPr>
                <w:rFonts w:eastAsia="Calibri"/>
                <w:sz w:val="20"/>
              </w:rPr>
            </w:pPr>
            <w:r w:rsidRPr="00A1535A">
              <w:rPr>
                <w:rFonts w:eastAsia="Calibri"/>
                <w:sz w:val="20"/>
              </w:rPr>
              <w:t>(Turnbull, Bell and Green JJ.A.)</w:t>
            </w:r>
          </w:p>
          <w:p w:rsidR="00323841" w:rsidRPr="00A1535A" w:rsidRDefault="00323841" w:rsidP="00D40817">
            <w:pPr>
              <w:jc w:val="both"/>
              <w:rPr>
                <w:rFonts w:eastAsia="Calibri"/>
                <w:sz w:val="20"/>
              </w:rPr>
            </w:pPr>
            <w:r w:rsidRPr="00A1535A">
              <w:rPr>
                <w:rFonts w:eastAsia="Calibri"/>
                <w:sz w:val="20"/>
              </w:rPr>
              <w:t>2012 NBCA 27</w:t>
            </w:r>
          </w:p>
          <w:p w:rsidR="00323841" w:rsidRPr="00A1535A" w:rsidRDefault="00323841" w:rsidP="00D40817">
            <w:pPr>
              <w:jc w:val="both"/>
              <w:rPr>
                <w:rFonts w:eastAsia="Calibri"/>
                <w:sz w:val="20"/>
              </w:rPr>
            </w:pPr>
          </w:p>
        </w:tc>
        <w:tc>
          <w:tcPr>
            <w:tcW w:w="243" w:type="pct"/>
          </w:tcPr>
          <w:p w:rsidR="00323841" w:rsidRPr="00A1535A" w:rsidRDefault="00323841" w:rsidP="00D40817">
            <w:pPr>
              <w:jc w:val="both"/>
              <w:rPr>
                <w:rFonts w:eastAsia="Calibri"/>
                <w:sz w:val="20"/>
              </w:rPr>
            </w:pPr>
          </w:p>
        </w:tc>
        <w:tc>
          <w:tcPr>
            <w:tcW w:w="2330" w:type="pct"/>
          </w:tcPr>
          <w:p w:rsidR="00323841" w:rsidRPr="00A1535A" w:rsidRDefault="00323841" w:rsidP="00D40817">
            <w:pPr>
              <w:jc w:val="both"/>
              <w:rPr>
                <w:rFonts w:eastAsia="Calibri"/>
                <w:sz w:val="20"/>
              </w:rPr>
            </w:pPr>
            <w:r w:rsidRPr="00A1535A">
              <w:rPr>
                <w:rFonts w:eastAsia="Calibri"/>
                <w:sz w:val="20"/>
              </w:rPr>
              <w:t>Appeal dismissed</w:t>
            </w:r>
          </w:p>
        </w:tc>
      </w:tr>
      <w:tr w:rsidR="00323841" w:rsidRPr="00A1535A" w:rsidTr="00D40817">
        <w:tc>
          <w:tcPr>
            <w:tcW w:w="2427" w:type="pct"/>
          </w:tcPr>
          <w:p w:rsidR="00323841" w:rsidRPr="00A1535A" w:rsidRDefault="00323841" w:rsidP="00D40817">
            <w:pPr>
              <w:jc w:val="both"/>
              <w:rPr>
                <w:rFonts w:eastAsia="Calibri"/>
                <w:sz w:val="20"/>
              </w:rPr>
            </w:pPr>
            <w:r w:rsidRPr="00A1535A">
              <w:rPr>
                <w:rFonts w:eastAsia="Calibri"/>
                <w:sz w:val="20"/>
              </w:rPr>
              <w:t>May 4, 2012</w:t>
            </w:r>
          </w:p>
          <w:p w:rsidR="00323841" w:rsidRPr="00A1535A" w:rsidRDefault="00323841" w:rsidP="00D40817">
            <w:pPr>
              <w:jc w:val="both"/>
              <w:rPr>
                <w:rFonts w:eastAsia="Calibri"/>
                <w:sz w:val="20"/>
              </w:rPr>
            </w:pPr>
            <w:r w:rsidRPr="00A1535A">
              <w:rPr>
                <w:rFonts w:eastAsia="Calibri"/>
                <w:sz w:val="20"/>
              </w:rPr>
              <w:t>Supreme Court of Canada</w:t>
            </w:r>
          </w:p>
          <w:p w:rsidR="00323841" w:rsidRPr="00A1535A" w:rsidRDefault="00323841" w:rsidP="00D40817">
            <w:pPr>
              <w:jc w:val="both"/>
              <w:rPr>
                <w:rFonts w:eastAsia="Calibri"/>
                <w:sz w:val="20"/>
              </w:rPr>
            </w:pPr>
          </w:p>
        </w:tc>
        <w:tc>
          <w:tcPr>
            <w:tcW w:w="243" w:type="pct"/>
          </w:tcPr>
          <w:p w:rsidR="00323841" w:rsidRPr="00A1535A" w:rsidRDefault="00323841" w:rsidP="00D40817">
            <w:pPr>
              <w:jc w:val="both"/>
              <w:rPr>
                <w:rFonts w:eastAsia="Calibri"/>
                <w:sz w:val="20"/>
              </w:rPr>
            </w:pPr>
          </w:p>
        </w:tc>
        <w:tc>
          <w:tcPr>
            <w:tcW w:w="2330" w:type="pct"/>
          </w:tcPr>
          <w:p w:rsidR="00323841" w:rsidRPr="00A1535A" w:rsidRDefault="00323841" w:rsidP="00D40817">
            <w:pPr>
              <w:jc w:val="both"/>
              <w:rPr>
                <w:rFonts w:eastAsia="Calibri"/>
                <w:sz w:val="20"/>
              </w:rPr>
            </w:pPr>
            <w:r w:rsidRPr="00A1535A">
              <w:rPr>
                <w:rFonts w:eastAsia="Calibri"/>
                <w:sz w:val="20"/>
              </w:rPr>
              <w:t>Application for leave to appeal filed</w:t>
            </w:r>
          </w:p>
          <w:p w:rsidR="00323841" w:rsidRPr="00A1535A" w:rsidRDefault="00323841" w:rsidP="00D40817">
            <w:pPr>
              <w:jc w:val="both"/>
              <w:rPr>
                <w:rFonts w:eastAsia="Calibri"/>
                <w:sz w:val="20"/>
              </w:rPr>
            </w:pPr>
          </w:p>
        </w:tc>
      </w:tr>
      <w:tr w:rsidR="00323841" w:rsidRPr="00A1535A" w:rsidTr="00D40817">
        <w:tc>
          <w:tcPr>
            <w:tcW w:w="2427" w:type="pct"/>
          </w:tcPr>
          <w:p w:rsidR="00323841" w:rsidRPr="00A1535A" w:rsidRDefault="00323841" w:rsidP="00D40817">
            <w:pPr>
              <w:jc w:val="both"/>
              <w:rPr>
                <w:rFonts w:eastAsia="Calibri"/>
                <w:sz w:val="20"/>
              </w:rPr>
            </w:pPr>
            <w:r w:rsidRPr="00A1535A">
              <w:rPr>
                <w:rFonts w:eastAsia="Calibri"/>
                <w:sz w:val="20"/>
              </w:rPr>
              <w:lastRenderedPageBreak/>
              <w:t>May 25, 2012</w:t>
            </w:r>
          </w:p>
          <w:p w:rsidR="00323841" w:rsidRPr="00A1535A" w:rsidRDefault="00323841" w:rsidP="00D40817">
            <w:pPr>
              <w:jc w:val="both"/>
              <w:rPr>
                <w:rFonts w:eastAsia="Calibri"/>
                <w:sz w:val="20"/>
              </w:rPr>
            </w:pPr>
            <w:r w:rsidRPr="00A1535A">
              <w:rPr>
                <w:rFonts w:eastAsia="Calibri"/>
                <w:sz w:val="20"/>
              </w:rPr>
              <w:t>Supreme Court of Canada</w:t>
            </w:r>
          </w:p>
        </w:tc>
        <w:tc>
          <w:tcPr>
            <w:tcW w:w="243" w:type="pct"/>
          </w:tcPr>
          <w:p w:rsidR="00323841" w:rsidRPr="00A1535A" w:rsidRDefault="00323841" w:rsidP="00D40817">
            <w:pPr>
              <w:jc w:val="both"/>
              <w:rPr>
                <w:rFonts w:eastAsia="Calibri"/>
                <w:sz w:val="20"/>
              </w:rPr>
            </w:pPr>
          </w:p>
        </w:tc>
        <w:tc>
          <w:tcPr>
            <w:tcW w:w="2330" w:type="pct"/>
          </w:tcPr>
          <w:p w:rsidR="00323841" w:rsidRPr="00A1535A" w:rsidRDefault="00323841" w:rsidP="00D40817">
            <w:pPr>
              <w:jc w:val="both"/>
              <w:rPr>
                <w:rFonts w:eastAsia="Calibri"/>
                <w:sz w:val="20"/>
              </w:rPr>
            </w:pPr>
            <w:r w:rsidRPr="00A1535A">
              <w:rPr>
                <w:rFonts w:eastAsia="Calibri"/>
                <w:sz w:val="20"/>
              </w:rPr>
              <w:t>Motion for an extension of time filed</w:t>
            </w:r>
          </w:p>
        </w:tc>
      </w:tr>
    </w:tbl>
    <w:p w:rsidR="00EC09EE" w:rsidRDefault="00EC09EE" w:rsidP="00EC09EE">
      <w:pPr>
        <w:rPr>
          <w:sz w:val="20"/>
          <w:szCs w:val="20"/>
        </w:rPr>
      </w:pPr>
    </w:p>
    <w:p w:rsidR="00EC09EE" w:rsidRPr="00C50A5C" w:rsidRDefault="007333FF" w:rsidP="00EC09EE">
      <w:pPr>
        <w:rPr>
          <w:sz w:val="20"/>
          <w:szCs w:val="20"/>
        </w:rPr>
      </w:pPr>
      <w:r w:rsidRPr="007333FF">
        <w:rPr>
          <w:sz w:val="20"/>
          <w:szCs w:val="20"/>
          <w:lang w:val="fr-CA"/>
        </w:rPr>
        <w:pict>
          <v:rect id="_x0000_i1112" style="width:2in;height:1pt" o:hrpct="0" o:hralign="center" o:hrstd="t" o:hrnoshade="t" o:hr="t" fillcolor="black [3213]" stroked="f"/>
        </w:pict>
      </w:r>
    </w:p>
    <w:p w:rsidR="00EC09EE" w:rsidRDefault="00EC09EE" w:rsidP="00EC09EE">
      <w:pPr>
        <w:rPr>
          <w:sz w:val="20"/>
          <w:szCs w:val="20"/>
        </w:rPr>
      </w:pPr>
    </w:p>
    <w:p w:rsidR="00EC09EE" w:rsidRPr="001B157C" w:rsidRDefault="00EC09EE" w:rsidP="00EC09EE">
      <w:pPr>
        <w:rPr>
          <w:sz w:val="20"/>
          <w:szCs w:val="20"/>
          <w:u w:val="single"/>
          <w:lang w:val="fr-CA"/>
        </w:rPr>
      </w:pPr>
      <w:r w:rsidRPr="001B157C">
        <w:rPr>
          <w:sz w:val="20"/>
          <w:szCs w:val="20"/>
          <w:u w:val="single"/>
          <w:lang w:val="fr-CA"/>
        </w:rPr>
        <w:t>RÉSUMÉ DE L’AFFAIRE</w:t>
      </w:r>
    </w:p>
    <w:p w:rsidR="00EC09EE" w:rsidRDefault="00EC09EE" w:rsidP="00EC09EE">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323841" w:rsidRPr="00B6145B" w:rsidTr="00D40817">
        <w:tc>
          <w:tcPr>
            <w:tcW w:w="5000" w:type="pct"/>
            <w:gridSpan w:val="3"/>
          </w:tcPr>
          <w:p w:rsidR="00323841" w:rsidRPr="00A1535A" w:rsidRDefault="00323841" w:rsidP="00D40817">
            <w:pPr>
              <w:jc w:val="both"/>
              <w:rPr>
                <w:rFonts w:eastAsia="Calibri"/>
                <w:sz w:val="20"/>
                <w:lang w:val="fr-CA"/>
              </w:rPr>
            </w:pPr>
            <w:r w:rsidRPr="00A1535A">
              <w:rPr>
                <w:rFonts w:eastAsia="Calibri"/>
                <w:sz w:val="20"/>
                <w:lang w:val="fr-CA"/>
              </w:rPr>
              <w:t xml:space="preserve">Pensions – Prestations de retraite – Prestations supplémentaires de décès – Bénéficiaire désignée – Droit de la famille – Divorce – Le défunt père des demandeurs a nommé son épouse bénéficiaire des prestations payables en vertu de la </w:t>
            </w:r>
            <w:r w:rsidRPr="00A1535A">
              <w:rPr>
                <w:rFonts w:eastAsia="Calibri"/>
                <w:i/>
                <w:sz w:val="20"/>
                <w:lang w:val="fr-CA"/>
              </w:rPr>
              <w:t>Loi sur la pension de la fonction publique</w:t>
            </w:r>
            <w:r w:rsidRPr="00A1535A">
              <w:rPr>
                <w:rFonts w:eastAsia="Calibri"/>
                <w:sz w:val="20"/>
                <w:lang w:val="fr-CA"/>
              </w:rPr>
              <w:t>, L.R.C. 1985, ch. P-36 et du</w:t>
            </w:r>
            <w:r w:rsidRPr="00A1535A">
              <w:rPr>
                <w:rFonts w:eastAsia="Calibri"/>
                <w:i/>
                <w:sz w:val="20"/>
                <w:lang w:val="fr-CA"/>
              </w:rPr>
              <w:t xml:space="preserve"> Règlement sur les prestations supplémentaires de décès</w:t>
            </w:r>
            <w:r w:rsidRPr="00A1535A">
              <w:rPr>
                <w:rFonts w:eastAsia="Calibri"/>
                <w:sz w:val="20"/>
                <w:lang w:val="fr-CA"/>
              </w:rPr>
              <w:t>, C.R.C., ch. 1360 – Le père et l’intimée se sont divorcés par la suite – Le juge de première instance a-t-il eu tort de conclure que l'intimée avait le droit de recevoir des prestations malgré l'entente de séparation et la renonciation?</w:t>
            </w:r>
          </w:p>
        </w:tc>
      </w:tr>
      <w:tr w:rsidR="00323841" w:rsidRPr="00B6145B" w:rsidTr="00D40817">
        <w:tc>
          <w:tcPr>
            <w:tcW w:w="5000" w:type="pct"/>
            <w:gridSpan w:val="3"/>
          </w:tcPr>
          <w:p w:rsidR="00323841" w:rsidRPr="00A1535A" w:rsidRDefault="00323841" w:rsidP="00D40817">
            <w:pPr>
              <w:jc w:val="both"/>
              <w:rPr>
                <w:rFonts w:eastAsia="Calibri"/>
                <w:sz w:val="20"/>
                <w:lang w:val="fr-CA"/>
              </w:rPr>
            </w:pPr>
          </w:p>
        </w:tc>
      </w:tr>
      <w:tr w:rsidR="00323841" w:rsidRPr="00A1535A" w:rsidTr="00D40817">
        <w:tc>
          <w:tcPr>
            <w:tcW w:w="5000" w:type="pct"/>
            <w:gridSpan w:val="3"/>
          </w:tcPr>
          <w:p w:rsidR="00323841" w:rsidRPr="00A1535A" w:rsidRDefault="00323841" w:rsidP="00D40817">
            <w:pPr>
              <w:jc w:val="both"/>
              <w:rPr>
                <w:rFonts w:eastAsia="Calibri"/>
                <w:sz w:val="20"/>
                <w:lang w:val="fr-CA"/>
              </w:rPr>
            </w:pPr>
            <w:r w:rsidRPr="00A1535A">
              <w:rPr>
                <w:rFonts w:eastAsia="Calibri"/>
                <w:sz w:val="20"/>
                <w:lang w:val="fr-CA"/>
              </w:rPr>
              <w:t>Les demandeurs ont intenté une action alléguant que la succession de leur défunt père avait droit aux prestations supplémentaires de décès et aux prestations de retraite qu'il avait acquises de son vivant comme employé du Service correctionnel du Canada. Le père avait nommé l'intimée Shirley Grant, son épouse à l'époque, bénéficiaire des prestations. Les demandeurs allèguent que ces prestations appartiennent à la succession en raison des dispositions de l'entente de séparation et de la renonciation signée au moment du divorce de leurs parents. Le juge de première instance a conclu que l'intimée avait droit de recevoir des prestations et qu'il ne s'agissait pas d'une situation où une fiducie constructoire devait être imposée. La Cour d'appel a rejeté l'appel des demandeurs.</w:t>
            </w:r>
          </w:p>
          <w:p w:rsidR="00323841" w:rsidRPr="00A1535A" w:rsidRDefault="00323841" w:rsidP="00D40817">
            <w:pPr>
              <w:jc w:val="both"/>
              <w:rPr>
                <w:rFonts w:eastAsia="Calibri"/>
                <w:sz w:val="20"/>
                <w:lang w:val="fr-CA"/>
              </w:rPr>
            </w:pPr>
          </w:p>
        </w:tc>
      </w:tr>
      <w:tr w:rsidR="00323841" w:rsidRPr="00A1535A" w:rsidTr="00D40817">
        <w:tc>
          <w:tcPr>
            <w:tcW w:w="2427" w:type="pct"/>
          </w:tcPr>
          <w:p w:rsidR="00323841" w:rsidRPr="00A1535A" w:rsidRDefault="00323841" w:rsidP="00D40817">
            <w:pPr>
              <w:jc w:val="both"/>
              <w:rPr>
                <w:rFonts w:eastAsia="Calibri"/>
                <w:sz w:val="20"/>
                <w:lang w:val="fr-CA"/>
              </w:rPr>
            </w:pPr>
            <w:r w:rsidRPr="00A1535A">
              <w:rPr>
                <w:rFonts w:eastAsia="Calibri"/>
                <w:sz w:val="20"/>
                <w:lang w:val="fr-CA"/>
              </w:rPr>
              <w:t>17 décembre 2010</w:t>
            </w:r>
          </w:p>
          <w:p w:rsidR="00323841" w:rsidRPr="00A1535A" w:rsidRDefault="00323841" w:rsidP="00D40817">
            <w:pPr>
              <w:jc w:val="both"/>
              <w:rPr>
                <w:rFonts w:eastAsia="Calibri"/>
                <w:sz w:val="20"/>
                <w:lang w:val="fr-CA"/>
              </w:rPr>
            </w:pPr>
            <w:r w:rsidRPr="00A1535A">
              <w:rPr>
                <w:rFonts w:eastAsia="Calibri"/>
                <w:sz w:val="20"/>
                <w:lang w:val="fr-CA"/>
              </w:rPr>
              <w:t xml:space="preserve">Cour du Banc de la Reine du Nouveau-Brunswick </w:t>
            </w:r>
          </w:p>
          <w:p w:rsidR="00323841" w:rsidRPr="00A1535A" w:rsidRDefault="00323841" w:rsidP="00D40817">
            <w:pPr>
              <w:jc w:val="both"/>
              <w:rPr>
                <w:rFonts w:eastAsia="Calibri"/>
                <w:sz w:val="20"/>
                <w:lang w:val="fr-CA"/>
              </w:rPr>
            </w:pPr>
            <w:r w:rsidRPr="00A1535A">
              <w:rPr>
                <w:rFonts w:eastAsia="Calibri"/>
                <w:sz w:val="20"/>
                <w:lang w:val="fr-CA"/>
              </w:rPr>
              <w:t>(Juge Savoie)</w:t>
            </w:r>
          </w:p>
          <w:p w:rsidR="00323841" w:rsidRPr="00A1535A" w:rsidRDefault="00323841" w:rsidP="00D40817">
            <w:pPr>
              <w:jc w:val="both"/>
              <w:rPr>
                <w:rFonts w:eastAsia="Calibri"/>
                <w:sz w:val="20"/>
                <w:lang w:val="fr-CA"/>
              </w:rPr>
            </w:pPr>
            <w:r w:rsidRPr="00A1535A">
              <w:rPr>
                <w:rFonts w:eastAsia="Calibri"/>
                <w:sz w:val="20"/>
                <w:lang w:val="fr-CA"/>
              </w:rPr>
              <w:t>2010 NBQB 418</w:t>
            </w:r>
          </w:p>
          <w:p w:rsidR="00323841" w:rsidRPr="00A1535A" w:rsidRDefault="00323841" w:rsidP="00D40817">
            <w:pPr>
              <w:jc w:val="both"/>
              <w:rPr>
                <w:rFonts w:eastAsia="Calibri"/>
                <w:sz w:val="20"/>
                <w:lang w:val="fr-CA"/>
              </w:rPr>
            </w:pPr>
          </w:p>
        </w:tc>
        <w:tc>
          <w:tcPr>
            <w:tcW w:w="243" w:type="pct"/>
          </w:tcPr>
          <w:p w:rsidR="00323841" w:rsidRPr="00A1535A" w:rsidRDefault="00323841" w:rsidP="00D40817">
            <w:pPr>
              <w:jc w:val="both"/>
              <w:rPr>
                <w:rFonts w:eastAsia="Calibri"/>
                <w:sz w:val="20"/>
                <w:lang w:val="fr-CA"/>
              </w:rPr>
            </w:pPr>
          </w:p>
        </w:tc>
        <w:tc>
          <w:tcPr>
            <w:tcW w:w="2330" w:type="pct"/>
          </w:tcPr>
          <w:p w:rsidR="00323841" w:rsidRPr="00A1535A" w:rsidRDefault="00323841" w:rsidP="00D40817">
            <w:pPr>
              <w:jc w:val="both"/>
              <w:rPr>
                <w:rFonts w:eastAsia="Calibri"/>
                <w:sz w:val="20"/>
                <w:lang w:val="fr-CA"/>
              </w:rPr>
            </w:pPr>
            <w:r w:rsidRPr="00A1535A">
              <w:rPr>
                <w:rFonts w:eastAsia="Calibri"/>
                <w:sz w:val="20"/>
                <w:lang w:val="fr-CA"/>
              </w:rPr>
              <w:t>Demande rejetée</w:t>
            </w:r>
          </w:p>
          <w:p w:rsidR="00323841" w:rsidRPr="00A1535A" w:rsidRDefault="00323841" w:rsidP="00D40817">
            <w:pPr>
              <w:jc w:val="both"/>
              <w:rPr>
                <w:rFonts w:eastAsia="Calibri"/>
                <w:sz w:val="20"/>
                <w:lang w:val="fr-CA"/>
              </w:rPr>
            </w:pPr>
          </w:p>
        </w:tc>
      </w:tr>
      <w:tr w:rsidR="00323841" w:rsidRPr="00A1535A" w:rsidTr="00D40817">
        <w:tc>
          <w:tcPr>
            <w:tcW w:w="2427" w:type="pct"/>
          </w:tcPr>
          <w:p w:rsidR="00323841" w:rsidRPr="00A1535A" w:rsidRDefault="00323841" w:rsidP="00D40817">
            <w:pPr>
              <w:jc w:val="both"/>
              <w:rPr>
                <w:rFonts w:eastAsia="Calibri"/>
                <w:sz w:val="20"/>
                <w:lang w:val="fr-CA"/>
              </w:rPr>
            </w:pPr>
            <w:r w:rsidRPr="00A1535A">
              <w:rPr>
                <w:rFonts w:eastAsia="Calibri"/>
                <w:sz w:val="20"/>
                <w:lang w:val="fr-CA"/>
              </w:rPr>
              <w:t>30 novembre 2011</w:t>
            </w:r>
          </w:p>
          <w:p w:rsidR="00323841" w:rsidRPr="00A1535A" w:rsidRDefault="00323841" w:rsidP="00D40817">
            <w:pPr>
              <w:jc w:val="both"/>
              <w:rPr>
                <w:rFonts w:eastAsia="Calibri"/>
                <w:sz w:val="20"/>
                <w:lang w:val="fr-CA"/>
              </w:rPr>
            </w:pPr>
            <w:r w:rsidRPr="00A1535A">
              <w:rPr>
                <w:rFonts w:eastAsia="Calibri"/>
                <w:sz w:val="20"/>
                <w:lang w:val="fr-CA"/>
              </w:rPr>
              <w:t xml:space="preserve">Cour d'appel du Nouveau-Brunswick </w:t>
            </w:r>
          </w:p>
          <w:p w:rsidR="00323841" w:rsidRPr="00A1535A" w:rsidRDefault="00323841" w:rsidP="00D40817">
            <w:pPr>
              <w:jc w:val="both"/>
              <w:rPr>
                <w:rFonts w:eastAsia="Calibri"/>
                <w:sz w:val="20"/>
              </w:rPr>
            </w:pPr>
            <w:r w:rsidRPr="00A1535A">
              <w:rPr>
                <w:rFonts w:eastAsia="Calibri"/>
                <w:sz w:val="20"/>
              </w:rPr>
              <w:t>(Juges Turnbull, Bell et Green)</w:t>
            </w:r>
          </w:p>
          <w:p w:rsidR="00323841" w:rsidRPr="00A1535A" w:rsidRDefault="00323841" w:rsidP="00D40817">
            <w:pPr>
              <w:jc w:val="both"/>
              <w:rPr>
                <w:rFonts w:eastAsia="Calibri"/>
                <w:sz w:val="20"/>
                <w:lang w:val="fr-CA"/>
              </w:rPr>
            </w:pPr>
            <w:r w:rsidRPr="00A1535A">
              <w:rPr>
                <w:rFonts w:eastAsia="Calibri"/>
                <w:sz w:val="20"/>
                <w:lang w:val="fr-CA"/>
              </w:rPr>
              <w:t>2012 NBCA 27</w:t>
            </w:r>
          </w:p>
          <w:p w:rsidR="00323841" w:rsidRPr="00A1535A" w:rsidRDefault="00323841" w:rsidP="00D40817">
            <w:pPr>
              <w:jc w:val="both"/>
              <w:rPr>
                <w:rFonts w:eastAsia="Calibri"/>
                <w:sz w:val="20"/>
                <w:lang w:val="fr-CA"/>
              </w:rPr>
            </w:pPr>
          </w:p>
        </w:tc>
        <w:tc>
          <w:tcPr>
            <w:tcW w:w="243" w:type="pct"/>
          </w:tcPr>
          <w:p w:rsidR="00323841" w:rsidRPr="00A1535A" w:rsidRDefault="00323841" w:rsidP="00D40817">
            <w:pPr>
              <w:jc w:val="both"/>
              <w:rPr>
                <w:rFonts w:eastAsia="Calibri"/>
                <w:sz w:val="20"/>
                <w:lang w:val="fr-CA"/>
              </w:rPr>
            </w:pPr>
          </w:p>
        </w:tc>
        <w:tc>
          <w:tcPr>
            <w:tcW w:w="2330" w:type="pct"/>
          </w:tcPr>
          <w:p w:rsidR="00323841" w:rsidRPr="00A1535A" w:rsidRDefault="00323841" w:rsidP="00D40817">
            <w:pPr>
              <w:jc w:val="both"/>
              <w:rPr>
                <w:rFonts w:eastAsia="Calibri"/>
                <w:sz w:val="20"/>
                <w:lang w:val="fr-CA"/>
              </w:rPr>
            </w:pPr>
            <w:r w:rsidRPr="00A1535A">
              <w:rPr>
                <w:rFonts w:eastAsia="Calibri"/>
                <w:sz w:val="20"/>
                <w:lang w:val="fr-CA"/>
              </w:rPr>
              <w:t>Appel rejeté</w:t>
            </w:r>
          </w:p>
        </w:tc>
      </w:tr>
      <w:tr w:rsidR="00323841" w:rsidRPr="00A1535A" w:rsidTr="00D40817">
        <w:tc>
          <w:tcPr>
            <w:tcW w:w="2427" w:type="pct"/>
          </w:tcPr>
          <w:p w:rsidR="00323841" w:rsidRPr="00A1535A" w:rsidRDefault="00323841" w:rsidP="00D40817">
            <w:pPr>
              <w:jc w:val="both"/>
              <w:rPr>
                <w:rFonts w:eastAsia="Calibri"/>
                <w:sz w:val="20"/>
                <w:lang w:val="fr-CA"/>
              </w:rPr>
            </w:pPr>
            <w:r w:rsidRPr="00A1535A">
              <w:rPr>
                <w:rFonts w:eastAsia="Calibri"/>
                <w:sz w:val="20"/>
                <w:lang w:val="fr-CA"/>
              </w:rPr>
              <w:t>4 mai 2012</w:t>
            </w:r>
          </w:p>
          <w:p w:rsidR="00323841" w:rsidRPr="00A1535A" w:rsidRDefault="00323841" w:rsidP="00D40817">
            <w:pPr>
              <w:jc w:val="both"/>
              <w:rPr>
                <w:rFonts w:eastAsia="Calibri"/>
                <w:sz w:val="20"/>
                <w:lang w:val="fr-CA"/>
              </w:rPr>
            </w:pPr>
            <w:r w:rsidRPr="00A1535A">
              <w:rPr>
                <w:rFonts w:eastAsia="Calibri"/>
                <w:sz w:val="20"/>
                <w:lang w:val="fr-CA"/>
              </w:rPr>
              <w:t>Cour suprême du Canada</w:t>
            </w:r>
          </w:p>
          <w:p w:rsidR="00323841" w:rsidRPr="00A1535A" w:rsidRDefault="00323841" w:rsidP="00D40817">
            <w:pPr>
              <w:jc w:val="both"/>
              <w:rPr>
                <w:rFonts w:eastAsia="Calibri"/>
                <w:sz w:val="20"/>
                <w:lang w:val="fr-CA"/>
              </w:rPr>
            </w:pPr>
          </w:p>
        </w:tc>
        <w:tc>
          <w:tcPr>
            <w:tcW w:w="243" w:type="pct"/>
          </w:tcPr>
          <w:p w:rsidR="00323841" w:rsidRPr="00A1535A" w:rsidRDefault="00323841" w:rsidP="00D40817">
            <w:pPr>
              <w:jc w:val="both"/>
              <w:rPr>
                <w:rFonts w:eastAsia="Calibri"/>
                <w:sz w:val="20"/>
                <w:lang w:val="fr-CA"/>
              </w:rPr>
            </w:pPr>
          </w:p>
        </w:tc>
        <w:tc>
          <w:tcPr>
            <w:tcW w:w="2330" w:type="pct"/>
          </w:tcPr>
          <w:p w:rsidR="00323841" w:rsidRPr="00A1535A" w:rsidRDefault="00323841" w:rsidP="00D40817">
            <w:pPr>
              <w:jc w:val="both"/>
              <w:rPr>
                <w:rFonts w:eastAsia="Calibri"/>
                <w:sz w:val="20"/>
                <w:lang w:val="fr-CA"/>
              </w:rPr>
            </w:pPr>
            <w:r w:rsidRPr="00A1535A">
              <w:rPr>
                <w:rFonts w:eastAsia="Calibri"/>
                <w:sz w:val="20"/>
                <w:lang w:val="fr-CA"/>
              </w:rPr>
              <w:t>Demande d'autorisation d'appel, déposée</w:t>
            </w:r>
          </w:p>
          <w:p w:rsidR="00323841" w:rsidRPr="00A1535A" w:rsidRDefault="00323841" w:rsidP="00D40817">
            <w:pPr>
              <w:jc w:val="both"/>
              <w:rPr>
                <w:rFonts w:eastAsia="Calibri"/>
                <w:sz w:val="20"/>
                <w:lang w:val="fr-CA"/>
              </w:rPr>
            </w:pPr>
          </w:p>
        </w:tc>
      </w:tr>
      <w:tr w:rsidR="00323841" w:rsidRPr="00B6145B" w:rsidTr="00D40817">
        <w:tc>
          <w:tcPr>
            <w:tcW w:w="2427" w:type="pct"/>
          </w:tcPr>
          <w:p w:rsidR="00323841" w:rsidRPr="00A1535A" w:rsidRDefault="00323841" w:rsidP="00D40817">
            <w:pPr>
              <w:jc w:val="both"/>
              <w:rPr>
                <w:rFonts w:eastAsia="Calibri"/>
                <w:sz w:val="20"/>
                <w:lang w:val="fr-CA"/>
              </w:rPr>
            </w:pPr>
            <w:r w:rsidRPr="00A1535A">
              <w:rPr>
                <w:rFonts w:eastAsia="Calibri"/>
                <w:sz w:val="20"/>
                <w:lang w:val="fr-CA"/>
              </w:rPr>
              <w:t>25 mai 2012</w:t>
            </w:r>
          </w:p>
          <w:p w:rsidR="00323841" w:rsidRPr="00A1535A" w:rsidRDefault="00323841" w:rsidP="00D40817">
            <w:pPr>
              <w:jc w:val="both"/>
              <w:rPr>
                <w:rFonts w:eastAsia="Calibri"/>
                <w:sz w:val="20"/>
                <w:lang w:val="fr-CA"/>
              </w:rPr>
            </w:pPr>
            <w:r w:rsidRPr="00A1535A">
              <w:rPr>
                <w:rFonts w:eastAsia="Calibri"/>
                <w:sz w:val="20"/>
                <w:lang w:val="fr-CA"/>
              </w:rPr>
              <w:t>Cour suprême du Canada</w:t>
            </w:r>
          </w:p>
        </w:tc>
        <w:tc>
          <w:tcPr>
            <w:tcW w:w="243" w:type="pct"/>
          </w:tcPr>
          <w:p w:rsidR="00323841" w:rsidRPr="00A1535A" w:rsidRDefault="00323841" w:rsidP="00D40817">
            <w:pPr>
              <w:jc w:val="both"/>
              <w:rPr>
                <w:rFonts w:eastAsia="Calibri"/>
                <w:sz w:val="20"/>
                <w:lang w:val="fr-CA"/>
              </w:rPr>
            </w:pPr>
          </w:p>
        </w:tc>
        <w:tc>
          <w:tcPr>
            <w:tcW w:w="2330" w:type="pct"/>
          </w:tcPr>
          <w:p w:rsidR="00323841" w:rsidRPr="00A1535A" w:rsidRDefault="00323841" w:rsidP="00D40817">
            <w:pPr>
              <w:jc w:val="both"/>
              <w:rPr>
                <w:rFonts w:eastAsia="Calibri"/>
                <w:sz w:val="20"/>
                <w:lang w:val="fr-CA"/>
              </w:rPr>
            </w:pPr>
            <w:r w:rsidRPr="00A1535A">
              <w:rPr>
                <w:rFonts w:eastAsia="Calibri"/>
                <w:sz w:val="20"/>
                <w:lang w:val="fr-CA"/>
              </w:rPr>
              <w:t>Requête en prorogation de délai, déposée</w:t>
            </w:r>
          </w:p>
        </w:tc>
      </w:tr>
    </w:tbl>
    <w:p w:rsidR="00EC09EE" w:rsidRPr="00323841" w:rsidRDefault="00EC09EE" w:rsidP="00EC09EE">
      <w:pPr>
        <w:rPr>
          <w:sz w:val="20"/>
          <w:szCs w:val="20"/>
          <w:lang w:val="fr-CA"/>
        </w:rPr>
      </w:pPr>
    </w:p>
    <w:p w:rsidR="00EC09EE" w:rsidRDefault="007333FF" w:rsidP="00EC09EE">
      <w:pPr>
        <w:rPr>
          <w:sz w:val="20"/>
          <w:szCs w:val="20"/>
        </w:rPr>
      </w:pPr>
      <w:r w:rsidRPr="007333FF">
        <w:rPr>
          <w:sz w:val="20"/>
          <w:szCs w:val="20"/>
          <w:lang w:val="fr-CA"/>
        </w:rPr>
        <w:pict>
          <v:rect id="_x0000_i1113" style="width:2in;height:1pt" o:hrpct="0" o:hralign="center" o:hrstd="t" o:hrnoshade="t" o:hr="t" fillcolor="black [3213]" stroked="f"/>
        </w:pict>
      </w:r>
    </w:p>
    <w:p w:rsidR="00EC09EE" w:rsidRDefault="00EC09EE" w:rsidP="00EC09E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528AB" w:rsidRPr="008A028C" w:rsidTr="00942EBA">
        <w:trPr>
          <w:cantSplit/>
        </w:trPr>
        <w:tc>
          <w:tcPr>
            <w:tcW w:w="1458" w:type="dxa"/>
          </w:tcPr>
          <w:p w:rsidR="008528AB" w:rsidRPr="008A028C" w:rsidRDefault="008528AB" w:rsidP="00942EBA">
            <w:pPr>
              <w:rPr>
                <w:sz w:val="20"/>
                <w:szCs w:val="20"/>
              </w:rPr>
            </w:pPr>
            <w:r w:rsidRPr="008A028C">
              <w:rPr>
                <w:rStyle w:val="SCCFileNumberChar"/>
                <w:sz w:val="20"/>
                <w:szCs w:val="20"/>
              </w:rPr>
              <w:t>34811</w:t>
            </w:r>
          </w:p>
          <w:p w:rsidR="008528AB" w:rsidRPr="008A028C" w:rsidRDefault="008528AB" w:rsidP="00942EBA">
            <w:pPr>
              <w:rPr>
                <w:b/>
                <w:sz w:val="20"/>
                <w:szCs w:val="20"/>
                <w:lang w:val="fr-CA"/>
              </w:rPr>
            </w:pPr>
          </w:p>
        </w:tc>
        <w:tc>
          <w:tcPr>
            <w:tcW w:w="8118" w:type="dxa"/>
          </w:tcPr>
          <w:p w:rsidR="008528AB" w:rsidRPr="008A028C" w:rsidRDefault="008528AB" w:rsidP="00942EBA">
            <w:pPr>
              <w:jc w:val="both"/>
              <w:rPr>
                <w:sz w:val="20"/>
                <w:szCs w:val="20"/>
              </w:rPr>
            </w:pPr>
            <w:r w:rsidRPr="008528AB">
              <w:rPr>
                <w:rStyle w:val="SCCLsocChar"/>
                <w:sz w:val="20"/>
                <w:szCs w:val="20"/>
                <w:lang w:val="en-CA"/>
              </w:rPr>
              <w:t>Ivanco Keremelevski v. Ukrainian Orthodox Church St. Mary, Peter Anhel, Katherine Miske, Bill Miske, Tamara Antonuik and others as John Doe 1, 2, 3</w:t>
            </w:r>
            <w:r w:rsidRPr="008A028C">
              <w:rPr>
                <w:sz w:val="20"/>
                <w:szCs w:val="20"/>
              </w:rPr>
              <w:t xml:space="preserve"> (B.C.) (Civil) (By Leave)</w:t>
            </w:r>
          </w:p>
          <w:p w:rsidR="008528AB" w:rsidRPr="008A028C" w:rsidRDefault="008528AB" w:rsidP="00942EBA">
            <w:pPr>
              <w:rPr>
                <w:sz w:val="20"/>
                <w:szCs w:val="20"/>
              </w:rPr>
            </w:pPr>
          </w:p>
        </w:tc>
      </w:tr>
      <w:tr w:rsidR="008528AB" w:rsidRPr="008A028C" w:rsidTr="00942EBA">
        <w:trPr>
          <w:cantSplit/>
        </w:trPr>
        <w:tc>
          <w:tcPr>
            <w:tcW w:w="1458" w:type="dxa"/>
          </w:tcPr>
          <w:p w:rsidR="008528AB" w:rsidRPr="008A028C" w:rsidRDefault="008528AB" w:rsidP="00942EBA">
            <w:pPr>
              <w:rPr>
                <w:sz w:val="20"/>
                <w:szCs w:val="20"/>
              </w:rPr>
            </w:pPr>
            <w:r w:rsidRPr="008A028C">
              <w:rPr>
                <w:sz w:val="20"/>
                <w:szCs w:val="20"/>
              </w:rPr>
              <w:t>Coram :</w:t>
            </w:r>
          </w:p>
        </w:tc>
        <w:tc>
          <w:tcPr>
            <w:tcW w:w="8118" w:type="dxa"/>
          </w:tcPr>
          <w:p w:rsidR="008528AB" w:rsidRPr="008A028C" w:rsidRDefault="008528AB" w:rsidP="00942EBA">
            <w:pPr>
              <w:rPr>
                <w:sz w:val="20"/>
                <w:szCs w:val="20"/>
              </w:rPr>
            </w:pPr>
            <w:r w:rsidRPr="008528AB">
              <w:rPr>
                <w:rStyle w:val="SCCCoramChar"/>
                <w:sz w:val="20"/>
                <w:szCs w:val="20"/>
                <w:lang w:val="en-CA"/>
              </w:rPr>
              <w:t>McLachlin C.J. and Rothstein and Moldaver JJ.</w:t>
            </w:r>
          </w:p>
          <w:p w:rsidR="008528AB" w:rsidRPr="008A028C" w:rsidRDefault="008528AB" w:rsidP="00942EBA">
            <w:pPr>
              <w:rPr>
                <w:sz w:val="20"/>
                <w:szCs w:val="20"/>
                <w:u w:val="single"/>
              </w:rPr>
            </w:pPr>
          </w:p>
        </w:tc>
      </w:tr>
      <w:tr w:rsidR="008528AB" w:rsidRPr="00B6145B" w:rsidTr="00942EBA">
        <w:trPr>
          <w:cantSplit/>
        </w:trPr>
        <w:tc>
          <w:tcPr>
            <w:tcW w:w="9576" w:type="dxa"/>
            <w:gridSpan w:val="2"/>
          </w:tcPr>
          <w:p w:rsidR="008528AB" w:rsidRPr="008A028C" w:rsidRDefault="008528AB" w:rsidP="00942EBA">
            <w:pPr>
              <w:pStyle w:val="SCCShortJudgment"/>
              <w:rPr>
                <w:szCs w:val="20"/>
              </w:rPr>
            </w:pPr>
            <w:r w:rsidRPr="008A028C">
              <w:rPr>
                <w:szCs w:val="20"/>
              </w:rPr>
              <w:lastRenderedPageBreak/>
              <w:t>The motion for an extension of time to serve and file the application for leave to appeal is granted. The motion for indigent status is dismissed. The application for leave to appeal from the judgment of the Court of Appeal for British Columbia (Vancouver), Number CA038960, 2011 BCCA 436, dated October 28, 2011, is dismissed with costs.</w:t>
            </w:r>
          </w:p>
          <w:p w:rsidR="008528AB" w:rsidRPr="008A028C" w:rsidRDefault="008528AB" w:rsidP="00942EBA">
            <w:pPr>
              <w:pStyle w:val="SCCShortJudgment"/>
              <w:ind w:firstLine="0"/>
              <w:rPr>
                <w:szCs w:val="20"/>
              </w:rPr>
            </w:pPr>
          </w:p>
          <w:p w:rsidR="008528AB" w:rsidRPr="008A028C" w:rsidRDefault="008528AB" w:rsidP="00942EBA">
            <w:pPr>
              <w:pStyle w:val="SCCShortJudgment"/>
              <w:rPr>
                <w:szCs w:val="20"/>
                <w:lang w:val="fr-CA"/>
              </w:rPr>
            </w:pPr>
            <w:r w:rsidRPr="008A028C">
              <w:rPr>
                <w:szCs w:val="20"/>
                <w:lang w:val="fr-CA"/>
              </w:rPr>
              <w:t>La requête en prorogation du délai de signification et de dépôt de la demande d’autorisation d’appel est accueillie. La requête en vue de se faire reconnaître le statut d’indigent est rejetée. La demande d’autorisation d’appel de l’arrêt de la Cour d’appel de la Colombie-Britannique (Vancouver), numéro CA038960, 2011 BCCA 436, daté du 28 octobre 2011, est rejetée avec dépens.</w:t>
            </w:r>
          </w:p>
        </w:tc>
      </w:tr>
    </w:tbl>
    <w:p w:rsidR="00EC09EE" w:rsidRPr="008528AB" w:rsidRDefault="00EC09EE" w:rsidP="00EC09EE">
      <w:pPr>
        <w:rPr>
          <w:sz w:val="20"/>
          <w:szCs w:val="20"/>
          <w:lang w:val="fr-CA"/>
        </w:rPr>
      </w:pPr>
    </w:p>
    <w:p w:rsidR="00EC09EE" w:rsidRPr="001B157C" w:rsidRDefault="00EC09EE" w:rsidP="00EC09EE">
      <w:pPr>
        <w:rPr>
          <w:sz w:val="20"/>
          <w:szCs w:val="20"/>
          <w:u w:val="single"/>
        </w:rPr>
      </w:pPr>
      <w:r w:rsidRPr="001B157C">
        <w:rPr>
          <w:sz w:val="20"/>
          <w:szCs w:val="20"/>
          <w:u w:val="single"/>
        </w:rPr>
        <w:t>CASE SUMMARY</w:t>
      </w:r>
    </w:p>
    <w:p w:rsidR="00EC09EE" w:rsidRDefault="00EC09EE" w:rsidP="00EC09E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23841" w:rsidRPr="00A1535A" w:rsidTr="00D40817">
        <w:trPr>
          <w:trHeight w:val="20"/>
        </w:trPr>
        <w:tc>
          <w:tcPr>
            <w:tcW w:w="5000" w:type="pct"/>
            <w:gridSpan w:val="3"/>
          </w:tcPr>
          <w:p w:rsidR="00323841" w:rsidRPr="00A1535A" w:rsidRDefault="00323841" w:rsidP="00D40817">
            <w:pPr>
              <w:jc w:val="both"/>
              <w:rPr>
                <w:rFonts w:eastAsia="Calibri"/>
                <w:sz w:val="20"/>
              </w:rPr>
            </w:pPr>
            <w:r w:rsidRPr="00A1535A">
              <w:rPr>
                <w:rFonts w:eastAsia="Calibri"/>
                <w:sz w:val="20"/>
              </w:rPr>
              <w:t>Charter of Rights - Civil procedure – Appeals – Leave to appeal – Applicant’s motion for summary judgment against one of the Respondents dismissed – Applicant seeking leave to appeal – Whether Applicant subjected to cruel and unusual treatment – Whether Applicant’s right to fair hearing violated.</w:t>
            </w:r>
          </w:p>
        </w:tc>
      </w:tr>
      <w:tr w:rsidR="00323841" w:rsidRPr="00A1535A" w:rsidTr="00D40817">
        <w:tc>
          <w:tcPr>
            <w:tcW w:w="5000" w:type="pct"/>
            <w:gridSpan w:val="3"/>
          </w:tcPr>
          <w:p w:rsidR="00323841" w:rsidRPr="00A1535A" w:rsidRDefault="00323841" w:rsidP="00D40817">
            <w:pPr>
              <w:jc w:val="both"/>
              <w:rPr>
                <w:rFonts w:eastAsia="Calibri"/>
                <w:sz w:val="20"/>
              </w:rPr>
            </w:pPr>
          </w:p>
        </w:tc>
      </w:tr>
      <w:tr w:rsidR="00323841" w:rsidRPr="00A1535A" w:rsidTr="00D40817">
        <w:tc>
          <w:tcPr>
            <w:tcW w:w="5000" w:type="pct"/>
            <w:gridSpan w:val="3"/>
          </w:tcPr>
          <w:p w:rsidR="00323841" w:rsidRPr="00A1535A" w:rsidRDefault="00323841" w:rsidP="00D40817">
            <w:pPr>
              <w:jc w:val="both"/>
              <w:rPr>
                <w:rFonts w:eastAsia="Calibri"/>
                <w:sz w:val="20"/>
              </w:rPr>
            </w:pPr>
            <w:r w:rsidRPr="00A1535A">
              <w:rPr>
                <w:rFonts w:eastAsia="Calibri"/>
                <w:sz w:val="20"/>
              </w:rPr>
              <w:t>Mr. Keremelevski brought an action seeking damages for defamation, slander assault conspiracy and numerous other claims after an altercation between him and members of The Ukrainian Orthodox Church and its priest.  One of the Respondents, Mr. Miske, had been named as a defendant, but his name did not appear in the style of cause in the response to the claim, although he was expressly referred to in the defendants’ denial of allegations within the body of the pleading.  The response was immediately amended after the omission was brought to the attention of the defendants’ counsel.  Mr. Keremelevski’s application for a default judgment against Mr. Miske was dismissed as were his motions that the Crown be required to pay for an interpreter and for a summary trial.  Mr. Keremelevski sought an order for directions and an order for leave to appeal.</w:t>
            </w:r>
          </w:p>
          <w:p w:rsidR="00323841" w:rsidRPr="00A1535A" w:rsidRDefault="00323841" w:rsidP="00D40817">
            <w:pPr>
              <w:jc w:val="both"/>
              <w:rPr>
                <w:rFonts w:eastAsia="Calibri"/>
                <w:sz w:val="20"/>
              </w:rPr>
            </w:pPr>
          </w:p>
        </w:tc>
      </w:tr>
      <w:tr w:rsidR="00323841" w:rsidRPr="00A1535A" w:rsidTr="00D40817">
        <w:tc>
          <w:tcPr>
            <w:tcW w:w="2427" w:type="pct"/>
          </w:tcPr>
          <w:p w:rsidR="00323841" w:rsidRPr="00A1535A" w:rsidRDefault="00323841" w:rsidP="00D40817">
            <w:pPr>
              <w:jc w:val="both"/>
              <w:rPr>
                <w:rFonts w:eastAsia="Calibri"/>
                <w:sz w:val="20"/>
              </w:rPr>
            </w:pPr>
            <w:r w:rsidRPr="00A1535A">
              <w:rPr>
                <w:rFonts w:eastAsia="Calibri"/>
                <w:sz w:val="20"/>
              </w:rPr>
              <w:t>June 7, 2011</w:t>
            </w:r>
          </w:p>
          <w:p w:rsidR="00323841" w:rsidRPr="00A1535A" w:rsidRDefault="00323841" w:rsidP="00D40817">
            <w:pPr>
              <w:jc w:val="both"/>
              <w:rPr>
                <w:rFonts w:eastAsia="Calibri"/>
                <w:sz w:val="20"/>
              </w:rPr>
            </w:pPr>
            <w:r w:rsidRPr="00A1535A">
              <w:rPr>
                <w:rFonts w:eastAsia="Calibri"/>
                <w:sz w:val="20"/>
              </w:rPr>
              <w:t>Court of Appeal for British Columbia (Vancouver)</w:t>
            </w:r>
          </w:p>
          <w:p w:rsidR="00323841" w:rsidRPr="00A1535A" w:rsidRDefault="00323841" w:rsidP="00D40817">
            <w:pPr>
              <w:jc w:val="both"/>
              <w:rPr>
                <w:rFonts w:eastAsia="Calibri"/>
                <w:sz w:val="20"/>
              </w:rPr>
            </w:pPr>
            <w:r w:rsidRPr="00A1535A">
              <w:rPr>
                <w:rFonts w:eastAsia="Calibri"/>
                <w:sz w:val="20"/>
              </w:rPr>
              <w:t>(Smith J.A.)</w:t>
            </w:r>
          </w:p>
          <w:p w:rsidR="00323841" w:rsidRPr="00A1535A" w:rsidRDefault="00323841" w:rsidP="00D40817">
            <w:pPr>
              <w:jc w:val="both"/>
              <w:rPr>
                <w:rFonts w:eastAsia="Calibri"/>
                <w:sz w:val="20"/>
              </w:rPr>
            </w:pPr>
          </w:p>
        </w:tc>
        <w:tc>
          <w:tcPr>
            <w:tcW w:w="243" w:type="pct"/>
          </w:tcPr>
          <w:p w:rsidR="00323841" w:rsidRPr="00A1535A" w:rsidRDefault="00323841" w:rsidP="00D40817">
            <w:pPr>
              <w:jc w:val="both"/>
              <w:rPr>
                <w:rFonts w:eastAsia="Calibri"/>
                <w:sz w:val="20"/>
              </w:rPr>
            </w:pPr>
          </w:p>
        </w:tc>
        <w:tc>
          <w:tcPr>
            <w:tcW w:w="2330" w:type="pct"/>
          </w:tcPr>
          <w:p w:rsidR="00323841" w:rsidRPr="00A1535A" w:rsidRDefault="00323841" w:rsidP="00D40817">
            <w:pPr>
              <w:jc w:val="both"/>
              <w:rPr>
                <w:rFonts w:eastAsia="Calibri"/>
                <w:sz w:val="20"/>
              </w:rPr>
            </w:pPr>
            <w:r w:rsidRPr="00A1535A">
              <w:rPr>
                <w:rFonts w:eastAsia="Calibri"/>
                <w:sz w:val="20"/>
              </w:rPr>
              <w:t>Applicant’s application for directions, for leave to appeal an order dismissing his motion for summary judgment and for indigent status, dismissed</w:t>
            </w:r>
          </w:p>
          <w:p w:rsidR="00323841" w:rsidRPr="00A1535A" w:rsidRDefault="00323841" w:rsidP="00D40817">
            <w:pPr>
              <w:jc w:val="both"/>
              <w:rPr>
                <w:rFonts w:eastAsia="Calibri"/>
                <w:sz w:val="20"/>
              </w:rPr>
            </w:pPr>
          </w:p>
        </w:tc>
      </w:tr>
      <w:tr w:rsidR="00323841" w:rsidRPr="00A1535A" w:rsidTr="00D40817">
        <w:tc>
          <w:tcPr>
            <w:tcW w:w="2427" w:type="pct"/>
          </w:tcPr>
          <w:p w:rsidR="00323841" w:rsidRPr="00A1535A" w:rsidRDefault="00323841" w:rsidP="00D40817">
            <w:pPr>
              <w:jc w:val="both"/>
              <w:rPr>
                <w:rFonts w:eastAsia="Calibri"/>
                <w:sz w:val="20"/>
              </w:rPr>
            </w:pPr>
            <w:r w:rsidRPr="00A1535A">
              <w:rPr>
                <w:rFonts w:eastAsia="Calibri"/>
                <w:sz w:val="20"/>
              </w:rPr>
              <w:t>October 28, 2011</w:t>
            </w:r>
          </w:p>
          <w:p w:rsidR="00323841" w:rsidRPr="00A1535A" w:rsidRDefault="00323841" w:rsidP="00D40817">
            <w:pPr>
              <w:jc w:val="both"/>
              <w:rPr>
                <w:rFonts w:eastAsia="Calibri"/>
                <w:sz w:val="20"/>
              </w:rPr>
            </w:pPr>
            <w:r w:rsidRPr="00A1535A">
              <w:rPr>
                <w:rFonts w:eastAsia="Calibri"/>
                <w:sz w:val="20"/>
              </w:rPr>
              <w:t>Court of Appeal for British Columbia (Vancouver)</w:t>
            </w:r>
          </w:p>
          <w:p w:rsidR="00323841" w:rsidRPr="00A1535A" w:rsidRDefault="00323841" w:rsidP="00D40817">
            <w:pPr>
              <w:jc w:val="both"/>
              <w:rPr>
                <w:rFonts w:eastAsia="Calibri"/>
                <w:sz w:val="20"/>
              </w:rPr>
            </w:pPr>
            <w:r w:rsidRPr="00A1535A">
              <w:rPr>
                <w:rFonts w:eastAsia="Calibri"/>
                <w:sz w:val="20"/>
              </w:rPr>
              <w:t>(Hinkson, Kirkpatrick and Newbury JJ.A.)</w:t>
            </w:r>
          </w:p>
          <w:p w:rsidR="00323841" w:rsidRPr="00A1535A" w:rsidRDefault="00323841" w:rsidP="00D40817">
            <w:pPr>
              <w:jc w:val="both"/>
              <w:rPr>
                <w:rFonts w:eastAsia="Calibri"/>
                <w:sz w:val="20"/>
              </w:rPr>
            </w:pPr>
            <w:r w:rsidRPr="00A1535A">
              <w:rPr>
                <w:rFonts w:eastAsia="Calibri"/>
                <w:sz w:val="20"/>
              </w:rPr>
              <w:t>2011 BCCA 436</w:t>
            </w:r>
          </w:p>
          <w:p w:rsidR="00323841" w:rsidRPr="00A1535A" w:rsidRDefault="00323841" w:rsidP="00D40817">
            <w:pPr>
              <w:jc w:val="both"/>
              <w:rPr>
                <w:rFonts w:eastAsia="Calibri"/>
                <w:sz w:val="20"/>
              </w:rPr>
            </w:pPr>
          </w:p>
        </w:tc>
        <w:tc>
          <w:tcPr>
            <w:tcW w:w="243" w:type="pct"/>
          </w:tcPr>
          <w:p w:rsidR="00323841" w:rsidRPr="00A1535A" w:rsidRDefault="00323841" w:rsidP="00D40817">
            <w:pPr>
              <w:jc w:val="both"/>
              <w:rPr>
                <w:rFonts w:eastAsia="Calibri"/>
                <w:sz w:val="20"/>
              </w:rPr>
            </w:pPr>
          </w:p>
        </w:tc>
        <w:tc>
          <w:tcPr>
            <w:tcW w:w="2330" w:type="pct"/>
          </w:tcPr>
          <w:p w:rsidR="00323841" w:rsidRPr="00A1535A" w:rsidRDefault="00323841" w:rsidP="00D40817">
            <w:pPr>
              <w:jc w:val="both"/>
              <w:rPr>
                <w:rFonts w:eastAsia="Calibri"/>
                <w:sz w:val="20"/>
              </w:rPr>
            </w:pPr>
            <w:r w:rsidRPr="00A1535A">
              <w:rPr>
                <w:rFonts w:eastAsia="Calibri"/>
                <w:sz w:val="20"/>
              </w:rPr>
              <w:t>Appeal dismissed</w:t>
            </w:r>
          </w:p>
          <w:p w:rsidR="00323841" w:rsidRPr="00A1535A" w:rsidRDefault="00323841" w:rsidP="00D40817">
            <w:pPr>
              <w:jc w:val="both"/>
              <w:rPr>
                <w:rFonts w:eastAsia="Calibri"/>
                <w:sz w:val="20"/>
              </w:rPr>
            </w:pPr>
          </w:p>
        </w:tc>
      </w:tr>
      <w:tr w:rsidR="00323841" w:rsidRPr="00A1535A" w:rsidTr="00D40817">
        <w:tc>
          <w:tcPr>
            <w:tcW w:w="2427" w:type="pct"/>
          </w:tcPr>
          <w:p w:rsidR="00323841" w:rsidRPr="00A1535A" w:rsidRDefault="00323841" w:rsidP="00D40817">
            <w:pPr>
              <w:jc w:val="both"/>
              <w:rPr>
                <w:rFonts w:eastAsia="Calibri"/>
                <w:sz w:val="20"/>
              </w:rPr>
            </w:pPr>
            <w:r w:rsidRPr="00A1535A">
              <w:rPr>
                <w:rFonts w:eastAsia="Calibri"/>
                <w:sz w:val="20"/>
              </w:rPr>
              <w:t>February 27, 2012</w:t>
            </w:r>
          </w:p>
          <w:p w:rsidR="00323841" w:rsidRPr="00A1535A" w:rsidRDefault="00323841" w:rsidP="00D40817">
            <w:pPr>
              <w:jc w:val="both"/>
              <w:rPr>
                <w:rFonts w:eastAsia="Calibri"/>
                <w:sz w:val="20"/>
              </w:rPr>
            </w:pPr>
            <w:r w:rsidRPr="00A1535A">
              <w:rPr>
                <w:rFonts w:eastAsia="Calibri"/>
                <w:sz w:val="20"/>
              </w:rPr>
              <w:t>Supreme Court of Canada</w:t>
            </w:r>
          </w:p>
          <w:p w:rsidR="00323841" w:rsidRPr="00A1535A" w:rsidRDefault="00323841" w:rsidP="00D40817">
            <w:pPr>
              <w:jc w:val="both"/>
              <w:rPr>
                <w:rFonts w:eastAsia="Calibri"/>
                <w:sz w:val="20"/>
              </w:rPr>
            </w:pPr>
          </w:p>
        </w:tc>
        <w:tc>
          <w:tcPr>
            <w:tcW w:w="243" w:type="pct"/>
          </w:tcPr>
          <w:p w:rsidR="00323841" w:rsidRPr="00A1535A" w:rsidRDefault="00323841" w:rsidP="00D40817">
            <w:pPr>
              <w:jc w:val="both"/>
              <w:rPr>
                <w:rFonts w:eastAsia="Calibri"/>
                <w:sz w:val="20"/>
              </w:rPr>
            </w:pPr>
          </w:p>
        </w:tc>
        <w:tc>
          <w:tcPr>
            <w:tcW w:w="2330" w:type="pct"/>
          </w:tcPr>
          <w:p w:rsidR="00323841" w:rsidRPr="00A1535A" w:rsidRDefault="00323841" w:rsidP="00D40817">
            <w:pPr>
              <w:jc w:val="both"/>
              <w:rPr>
                <w:rFonts w:eastAsia="Calibri"/>
                <w:sz w:val="20"/>
              </w:rPr>
            </w:pPr>
            <w:r w:rsidRPr="00A1535A">
              <w:rPr>
                <w:rFonts w:eastAsia="Calibri"/>
                <w:sz w:val="20"/>
              </w:rPr>
              <w:t>Application for leave to appeal and motion for extension of time in which to serve and file application for leave to appeal filed</w:t>
            </w:r>
          </w:p>
        </w:tc>
      </w:tr>
    </w:tbl>
    <w:p w:rsidR="00EC09EE" w:rsidRDefault="00EC09EE" w:rsidP="00EC09EE">
      <w:pPr>
        <w:rPr>
          <w:sz w:val="20"/>
          <w:szCs w:val="20"/>
        </w:rPr>
      </w:pPr>
    </w:p>
    <w:p w:rsidR="00EC09EE" w:rsidRPr="00C50A5C" w:rsidRDefault="007333FF" w:rsidP="00EC09EE">
      <w:pPr>
        <w:rPr>
          <w:sz w:val="20"/>
          <w:szCs w:val="20"/>
        </w:rPr>
      </w:pPr>
      <w:r w:rsidRPr="007333FF">
        <w:rPr>
          <w:sz w:val="20"/>
          <w:szCs w:val="20"/>
          <w:lang w:val="fr-CA"/>
        </w:rPr>
        <w:pict>
          <v:rect id="_x0000_i1114" style="width:2in;height:1pt" o:hrpct="0" o:hralign="center" o:hrstd="t" o:hrnoshade="t" o:hr="t" fillcolor="black [3213]" stroked="f"/>
        </w:pict>
      </w:r>
    </w:p>
    <w:p w:rsidR="00EC09EE" w:rsidRDefault="00EC09EE" w:rsidP="00EC09EE">
      <w:pPr>
        <w:rPr>
          <w:sz w:val="20"/>
          <w:szCs w:val="20"/>
        </w:rPr>
      </w:pPr>
    </w:p>
    <w:p w:rsidR="00EC09EE" w:rsidRPr="001B157C" w:rsidRDefault="00EC09EE" w:rsidP="00EC09EE">
      <w:pPr>
        <w:rPr>
          <w:sz w:val="20"/>
          <w:szCs w:val="20"/>
          <w:u w:val="single"/>
          <w:lang w:val="fr-CA"/>
        </w:rPr>
      </w:pPr>
      <w:r w:rsidRPr="001B157C">
        <w:rPr>
          <w:sz w:val="20"/>
          <w:szCs w:val="20"/>
          <w:u w:val="single"/>
          <w:lang w:val="fr-CA"/>
        </w:rPr>
        <w:t>RÉSUMÉ DE L’AFFAIRE</w:t>
      </w:r>
    </w:p>
    <w:p w:rsidR="00EC09EE" w:rsidRDefault="00EC09EE" w:rsidP="00EC09EE">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23841" w:rsidRPr="00B6145B" w:rsidTr="00D40817">
        <w:tc>
          <w:tcPr>
            <w:tcW w:w="5000" w:type="pct"/>
            <w:gridSpan w:val="3"/>
          </w:tcPr>
          <w:p w:rsidR="00323841" w:rsidRPr="00323841" w:rsidRDefault="00323841" w:rsidP="00D40817">
            <w:pPr>
              <w:jc w:val="both"/>
              <w:rPr>
                <w:rFonts w:eastAsia="Calibri"/>
                <w:sz w:val="20"/>
                <w:lang w:val="fr-CA"/>
              </w:rPr>
            </w:pPr>
            <w:r w:rsidRPr="00323841">
              <w:rPr>
                <w:rFonts w:eastAsia="Calibri"/>
                <w:sz w:val="20"/>
                <w:lang w:val="fr-CA"/>
              </w:rPr>
              <w:t>Charte des droits – Procédure civile – Appels – Autorisation d’appel – Rejet de la requête en jugement sommaire déposée par le demandeur contre l’un des intimés – Autorisation d’appel sollicitée par le demandeur – Le demandeur a-t-il subi des traitements cruels et inusités? – Y a-t-il eu violation du droit du demandeur à une audience équitable?</w:t>
            </w:r>
          </w:p>
        </w:tc>
      </w:tr>
      <w:tr w:rsidR="00323841" w:rsidRPr="00B6145B" w:rsidTr="00D40817">
        <w:tc>
          <w:tcPr>
            <w:tcW w:w="5000" w:type="pct"/>
            <w:gridSpan w:val="3"/>
          </w:tcPr>
          <w:p w:rsidR="00323841" w:rsidRPr="00323841" w:rsidRDefault="00323841" w:rsidP="00D40817">
            <w:pPr>
              <w:jc w:val="both"/>
              <w:rPr>
                <w:rFonts w:eastAsia="Calibri"/>
                <w:sz w:val="20"/>
                <w:lang w:val="fr-CA"/>
              </w:rPr>
            </w:pPr>
          </w:p>
        </w:tc>
      </w:tr>
      <w:tr w:rsidR="00323841" w:rsidRPr="00B6145B" w:rsidTr="00D40817">
        <w:tc>
          <w:tcPr>
            <w:tcW w:w="5000" w:type="pct"/>
            <w:gridSpan w:val="3"/>
          </w:tcPr>
          <w:p w:rsidR="00323841" w:rsidRPr="00323841" w:rsidRDefault="00323841" w:rsidP="00D40817">
            <w:pPr>
              <w:jc w:val="both"/>
              <w:rPr>
                <w:rFonts w:eastAsia="Calibri"/>
                <w:sz w:val="20"/>
                <w:lang w:val="fr-CA"/>
              </w:rPr>
            </w:pPr>
            <w:r w:rsidRPr="00323841">
              <w:rPr>
                <w:rFonts w:eastAsia="Calibri"/>
                <w:sz w:val="20"/>
                <w:lang w:val="fr-CA"/>
              </w:rPr>
              <w:t xml:space="preserve">M. Keremelevski a intenté une action en dommages-intérêts pour diffamation, complot en vue de le diffamer et de nombreuses autres allégations à la suite d’une altercation entre lui et des membres ainsi que le prêtre de l’Église ukrainienne orthodoxe. L’un des intimés, M. Miske, était visé par l’action, mais son nom ne figurait pas dans l’intitulé apparaissant sur la réponse à la déclaration. Il a cependant été expressément nommé dans le déni opposé par les </w:t>
            </w:r>
            <w:r w:rsidRPr="00323841">
              <w:rPr>
                <w:rFonts w:eastAsia="Calibri"/>
                <w:sz w:val="20"/>
                <w:lang w:val="fr-CA"/>
              </w:rPr>
              <w:lastRenderedPageBreak/>
              <w:t xml:space="preserve">défendeurs aux allégations qui fait partie des actes de procédures. On a modifié sur-le-champ la réponse après que l’omission ait été portée à l’attention des avocats des défendeurs. La demande de jugement par défaut présentée par M. Keremelevski contre M. Miske a été rejetée, tout comme sa requête en vue de contraindre la Couronne à payer les services d’un interprète et sa requête en procès sommaire. M. Keremelevski a demandé des directives et une ordonnance lui accordant l’autorisation d’interjeter appel. </w:t>
            </w:r>
          </w:p>
          <w:p w:rsidR="00323841" w:rsidRPr="00323841" w:rsidRDefault="00323841" w:rsidP="00D40817">
            <w:pPr>
              <w:jc w:val="both"/>
              <w:rPr>
                <w:rFonts w:eastAsia="Calibri"/>
                <w:sz w:val="20"/>
                <w:lang w:val="fr-CA"/>
              </w:rPr>
            </w:pPr>
          </w:p>
        </w:tc>
      </w:tr>
      <w:tr w:rsidR="00323841" w:rsidRPr="00B6145B" w:rsidTr="00D40817">
        <w:tc>
          <w:tcPr>
            <w:tcW w:w="2427" w:type="pct"/>
          </w:tcPr>
          <w:p w:rsidR="00323841" w:rsidRPr="00323841" w:rsidRDefault="00323841" w:rsidP="00D40817">
            <w:pPr>
              <w:jc w:val="both"/>
              <w:rPr>
                <w:rFonts w:eastAsia="Calibri"/>
                <w:sz w:val="20"/>
                <w:lang w:val="fr-CA"/>
              </w:rPr>
            </w:pPr>
            <w:r w:rsidRPr="00323841">
              <w:rPr>
                <w:rFonts w:eastAsia="Calibri"/>
                <w:sz w:val="20"/>
                <w:lang w:val="fr-CA"/>
              </w:rPr>
              <w:lastRenderedPageBreak/>
              <w:t>7 juin 2011</w:t>
            </w:r>
          </w:p>
          <w:p w:rsidR="00323841" w:rsidRPr="00323841" w:rsidRDefault="00323841" w:rsidP="00D40817">
            <w:pPr>
              <w:rPr>
                <w:rFonts w:eastAsia="Calibri"/>
                <w:sz w:val="20"/>
                <w:lang w:val="fr-CA"/>
              </w:rPr>
            </w:pPr>
            <w:r w:rsidRPr="00323841">
              <w:rPr>
                <w:rFonts w:eastAsia="Calibri"/>
                <w:sz w:val="20"/>
                <w:lang w:val="fr-CA"/>
              </w:rPr>
              <w:t>Cour d’appel de la Colombie-Britannique (Vancouver)</w:t>
            </w:r>
          </w:p>
          <w:p w:rsidR="00323841" w:rsidRPr="00323841" w:rsidRDefault="00323841" w:rsidP="00D40817">
            <w:pPr>
              <w:jc w:val="both"/>
              <w:rPr>
                <w:rFonts w:eastAsia="Calibri"/>
                <w:sz w:val="20"/>
                <w:lang w:val="fr-CA"/>
              </w:rPr>
            </w:pPr>
            <w:r w:rsidRPr="00323841">
              <w:rPr>
                <w:rFonts w:eastAsia="Calibri"/>
                <w:sz w:val="20"/>
                <w:lang w:val="fr-CA"/>
              </w:rPr>
              <w:t>(Juge Smith)</w:t>
            </w:r>
          </w:p>
          <w:p w:rsidR="00323841" w:rsidRPr="00323841" w:rsidRDefault="00323841" w:rsidP="00D40817">
            <w:pPr>
              <w:jc w:val="both"/>
              <w:rPr>
                <w:rFonts w:eastAsia="Calibri"/>
                <w:sz w:val="20"/>
                <w:lang w:val="fr-CA"/>
              </w:rPr>
            </w:pPr>
          </w:p>
        </w:tc>
        <w:tc>
          <w:tcPr>
            <w:tcW w:w="243" w:type="pct"/>
          </w:tcPr>
          <w:p w:rsidR="00323841" w:rsidRPr="00323841" w:rsidRDefault="00323841" w:rsidP="00D40817">
            <w:pPr>
              <w:jc w:val="both"/>
              <w:rPr>
                <w:rFonts w:eastAsia="Calibri"/>
                <w:sz w:val="20"/>
                <w:lang w:val="fr-CA"/>
              </w:rPr>
            </w:pPr>
          </w:p>
        </w:tc>
        <w:tc>
          <w:tcPr>
            <w:tcW w:w="2330" w:type="pct"/>
          </w:tcPr>
          <w:p w:rsidR="00323841" w:rsidRPr="00323841" w:rsidRDefault="00323841" w:rsidP="00D40817">
            <w:pPr>
              <w:jc w:val="both"/>
              <w:rPr>
                <w:rFonts w:eastAsia="Calibri"/>
                <w:sz w:val="20"/>
                <w:lang w:val="fr-CA"/>
              </w:rPr>
            </w:pPr>
            <w:r w:rsidRPr="00323841">
              <w:rPr>
                <w:rFonts w:eastAsia="Calibri"/>
                <w:sz w:val="20"/>
                <w:lang w:val="fr-CA"/>
              </w:rPr>
              <w:t>Demande du demandeur en vue d’obtenir des directives, l’autorisation d’interjeter appel de l’ordonnance rejetant sa requête en jugement sommaire et un jugement le déclarant plaideur impécunieux, rejetée</w:t>
            </w:r>
          </w:p>
          <w:p w:rsidR="00323841" w:rsidRPr="00323841" w:rsidRDefault="00323841" w:rsidP="00D40817">
            <w:pPr>
              <w:jc w:val="both"/>
              <w:rPr>
                <w:rFonts w:eastAsia="Calibri"/>
                <w:sz w:val="20"/>
                <w:lang w:val="fr-CA"/>
              </w:rPr>
            </w:pPr>
          </w:p>
        </w:tc>
      </w:tr>
      <w:tr w:rsidR="00323841" w:rsidRPr="00323841" w:rsidTr="00D40817">
        <w:tc>
          <w:tcPr>
            <w:tcW w:w="2427" w:type="pct"/>
          </w:tcPr>
          <w:p w:rsidR="00323841" w:rsidRPr="00323841" w:rsidRDefault="00323841" w:rsidP="00D40817">
            <w:pPr>
              <w:jc w:val="both"/>
              <w:rPr>
                <w:rFonts w:eastAsia="Calibri"/>
                <w:sz w:val="20"/>
                <w:lang w:val="fr-CA"/>
              </w:rPr>
            </w:pPr>
            <w:r w:rsidRPr="00323841">
              <w:rPr>
                <w:rFonts w:eastAsia="Calibri"/>
                <w:sz w:val="20"/>
                <w:lang w:val="fr-CA"/>
              </w:rPr>
              <w:t>28 octobre 2011</w:t>
            </w:r>
          </w:p>
          <w:p w:rsidR="00323841" w:rsidRPr="00323841" w:rsidRDefault="00323841" w:rsidP="00D40817">
            <w:pPr>
              <w:rPr>
                <w:rFonts w:eastAsia="Calibri"/>
                <w:sz w:val="20"/>
                <w:lang w:val="fr-CA"/>
              </w:rPr>
            </w:pPr>
            <w:r w:rsidRPr="00323841">
              <w:rPr>
                <w:rFonts w:eastAsia="Calibri"/>
                <w:sz w:val="20"/>
                <w:lang w:val="fr-CA"/>
              </w:rPr>
              <w:t>Cour d’appel de la Colombie-Britannique  (Vancouver)</w:t>
            </w:r>
          </w:p>
          <w:p w:rsidR="00323841" w:rsidRPr="00B54293" w:rsidRDefault="00323841" w:rsidP="00D40817">
            <w:pPr>
              <w:jc w:val="both"/>
              <w:rPr>
                <w:rFonts w:eastAsia="Calibri"/>
                <w:sz w:val="20"/>
              </w:rPr>
            </w:pPr>
            <w:r w:rsidRPr="00B54293">
              <w:rPr>
                <w:rFonts w:eastAsia="Calibri"/>
                <w:sz w:val="20"/>
              </w:rPr>
              <w:t>(Juges Hinkson, Kirkpatrick et Newbury)</w:t>
            </w:r>
          </w:p>
          <w:p w:rsidR="00323841" w:rsidRPr="00B54293" w:rsidRDefault="00323841" w:rsidP="00D40817">
            <w:pPr>
              <w:jc w:val="both"/>
              <w:rPr>
                <w:rFonts w:eastAsia="Calibri"/>
                <w:sz w:val="20"/>
              </w:rPr>
            </w:pPr>
            <w:r w:rsidRPr="00B54293">
              <w:rPr>
                <w:rFonts w:eastAsia="Calibri"/>
                <w:sz w:val="20"/>
              </w:rPr>
              <w:t>2011 BCCA 436</w:t>
            </w:r>
          </w:p>
          <w:p w:rsidR="00323841" w:rsidRPr="00B54293" w:rsidRDefault="00323841" w:rsidP="00D40817">
            <w:pPr>
              <w:jc w:val="both"/>
              <w:rPr>
                <w:rFonts w:eastAsia="Calibri"/>
                <w:sz w:val="20"/>
              </w:rPr>
            </w:pPr>
          </w:p>
        </w:tc>
        <w:tc>
          <w:tcPr>
            <w:tcW w:w="243" w:type="pct"/>
          </w:tcPr>
          <w:p w:rsidR="00323841" w:rsidRPr="00B54293" w:rsidRDefault="00323841" w:rsidP="00D40817">
            <w:pPr>
              <w:jc w:val="both"/>
              <w:rPr>
                <w:rFonts w:eastAsia="Calibri"/>
                <w:sz w:val="20"/>
              </w:rPr>
            </w:pPr>
          </w:p>
        </w:tc>
        <w:tc>
          <w:tcPr>
            <w:tcW w:w="2330" w:type="pct"/>
          </w:tcPr>
          <w:p w:rsidR="00323841" w:rsidRPr="00323841" w:rsidRDefault="00323841" w:rsidP="00D40817">
            <w:pPr>
              <w:jc w:val="both"/>
              <w:rPr>
                <w:rFonts w:eastAsia="Calibri"/>
                <w:sz w:val="20"/>
                <w:lang w:val="fr-CA"/>
              </w:rPr>
            </w:pPr>
            <w:r w:rsidRPr="00323841">
              <w:rPr>
                <w:rFonts w:eastAsia="Calibri"/>
                <w:sz w:val="20"/>
                <w:lang w:val="fr-CA"/>
              </w:rPr>
              <w:t>Appel rejeté</w:t>
            </w:r>
          </w:p>
          <w:p w:rsidR="00323841" w:rsidRPr="00323841" w:rsidRDefault="00323841" w:rsidP="00D40817">
            <w:pPr>
              <w:jc w:val="both"/>
              <w:rPr>
                <w:rFonts w:eastAsia="Calibri"/>
                <w:sz w:val="20"/>
                <w:lang w:val="fr-CA"/>
              </w:rPr>
            </w:pPr>
          </w:p>
        </w:tc>
      </w:tr>
      <w:tr w:rsidR="00323841" w:rsidRPr="00B6145B" w:rsidTr="00D40817">
        <w:tc>
          <w:tcPr>
            <w:tcW w:w="2427" w:type="pct"/>
          </w:tcPr>
          <w:p w:rsidR="00323841" w:rsidRPr="00323841" w:rsidRDefault="00323841" w:rsidP="00D40817">
            <w:pPr>
              <w:jc w:val="both"/>
              <w:rPr>
                <w:rFonts w:eastAsia="Calibri"/>
                <w:sz w:val="20"/>
                <w:lang w:val="fr-CA"/>
              </w:rPr>
            </w:pPr>
            <w:r w:rsidRPr="00323841">
              <w:rPr>
                <w:rFonts w:eastAsia="Calibri"/>
                <w:sz w:val="20"/>
                <w:lang w:val="fr-CA"/>
              </w:rPr>
              <w:t>27 février 2012</w:t>
            </w:r>
          </w:p>
          <w:p w:rsidR="00323841" w:rsidRPr="00323841" w:rsidRDefault="00323841" w:rsidP="00D40817">
            <w:pPr>
              <w:jc w:val="both"/>
              <w:rPr>
                <w:rFonts w:eastAsia="Calibri"/>
                <w:sz w:val="20"/>
                <w:lang w:val="fr-CA"/>
              </w:rPr>
            </w:pPr>
            <w:r w:rsidRPr="00323841">
              <w:rPr>
                <w:rFonts w:eastAsia="Calibri"/>
                <w:sz w:val="20"/>
                <w:lang w:val="fr-CA"/>
              </w:rPr>
              <w:t>Cour suprême du Canada</w:t>
            </w:r>
          </w:p>
          <w:p w:rsidR="00323841" w:rsidRPr="00323841" w:rsidRDefault="00323841" w:rsidP="00D40817">
            <w:pPr>
              <w:jc w:val="both"/>
              <w:rPr>
                <w:rFonts w:eastAsia="Calibri"/>
                <w:sz w:val="20"/>
                <w:lang w:val="fr-CA"/>
              </w:rPr>
            </w:pPr>
          </w:p>
        </w:tc>
        <w:tc>
          <w:tcPr>
            <w:tcW w:w="243" w:type="pct"/>
          </w:tcPr>
          <w:p w:rsidR="00323841" w:rsidRPr="00323841" w:rsidRDefault="00323841" w:rsidP="00D40817">
            <w:pPr>
              <w:jc w:val="both"/>
              <w:rPr>
                <w:rFonts w:eastAsia="Calibri"/>
                <w:sz w:val="20"/>
                <w:lang w:val="fr-CA"/>
              </w:rPr>
            </w:pPr>
          </w:p>
        </w:tc>
        <w:tc>
          <w:tcPr>
            <w:tcW w:w="2330" w:type="pct"/>
          </w:tcPr>
          <w:p w:rsidR="00323841" w:rsidRPr="00323841" w:rsidRDefault="00323841" w:rsidP="00D40817">
            <w:pPr>
              <w:jc w:val="both"/>
              <w:rPr>
                <w:rFonts w:eastAsia="Calibri"/>
                <w:sz w:val="20"/>
                <w:lang w:val="fr-CA"/>
              </w:rPr>
            </w:pPr>
            <w:r w:rsidRPr="00323841">
              <w:rPr>
                <w:rFonts w:eastAsia="Calibri"/>
                <w:sz w:val="20"/>
                <w:lang w:val="fr-CA"/>
              </w:rPr>
              <w:t xml:space="preserve">Demande d’autorisation d’appel et requête en prorogation du délai pour signifier et déposer la demande d’autorisation d’appel déposées </w:t>
            </w:r>
          </w:p>
        </w:tc>
      </w:tr>
    </w:tbl>
    <w:p w:rsidR="00EC09EE" w:rsidRPr="00323841" w:rsidRDefault="00EC09EE" w:rsidP="00EC09EE">
      <w:pPr>
        <w:rPr>
          <w:sz w:val="20"/>
          <w:szCs w:val="20"/>
          <w:lang w:val="fr-CA"/>
        </w:rPr>
      </w:pPr>
    </w:p>
    <w:p w:rsidR="00EC09EE" w:rsidRDefault="007333FF" w:rsidP="00EC09EE">
      <w:pPr>
        <w:rPr>
          <w:sz w:val="20"/>
          <w:szCs w:val="20"/>
        </w:rPr>
      </w:pPr>
      <w:r w:rsidRPr="007333FF">
        <w:rPr>
          <w:sz w:val="20"/>
          <w:szCs w:val="20"/>
          <w:lang w:val="fr-CA"/>
        </w:rPr>
        <w:pict>
          <v:rect id="_x0000_i1115" style="width:2in;height:1pt" o:hrpct="0" o:hralign="center" o:hrstd="t" o:hrnoshade="t" o:hr="t" fillcolor="black [3213]" stroked="f"/>
        </w:pict>
      </w:r>
    </w:p>
    <w:p w:rsidR="00EC09EE" w:rsidRDefault="00EC09EE" w:rsidP="00EC09EE">
      <w:pPr>
        <w:rPr>
          <w:sz w:val="20"/>
          <w:szCs w:val="20"/>
        </w:rPr>
      </w:pPr>
    </w:p>
    <w:p w:rsidR="00EC09EE" w:rsidRDefault="00EC09EE" w:rsidP="008D292F">
      <w:pPr>
        <w:rPr>
          <w:sz w:val="20"/>
          <w:szCs w:val="20"/>
          <w:lang w:val="fr-CA"/>
        </w:rPr>
      </w:pPr>
    </w:p>
    <w:p w:rsidR="00EC09EE" w:rsidRPr="00C50A5C" w:rsidRDefault="00EC09EE"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20.07.2012</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jc w:val="both"/>
        <w:rPr>
          <w:sz w:val="20"/>
          <w:szCs w:val="20"/>
          <w:lang w:val="fr-CA"/>
        </w:rPr>
      </w:pPr>
      <w:r w:rsidRPr="00A4260E">
        <w:rPr>
          <w:sz w:val="20"/>
          <w:szCs w:val="20"/>
          <w:lang w:val="fr-CA"/>
        </w:rPr>
        <w:t>Before / Devant:   THE REGISTRAR / LE REGISTRAIRE</w:t>
      </w:r>
    </w:p>
    <w:p w:rsidR="00B56106" w:rsidRPr="00A4260E" w:rsidRDefault="00B56106" w:rsidP="00B56106">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56106" w:rsidRPr="00A4260E" w:rsidTr="00B56106">
        <w:trPr>
          <w:trHeight w:val="151"/>
        </w:trPr>
        <w:tc>
          <w:tcPr>
            <w:tcW w:w="4338" w:type="dxa"/>
          </w:tcPr>
          <w:p w:rsidR="00B56106" w:rsidRPr="00A4260E" w:rsidRDefault="007333FF" w:rsidP="00B56106">
            <w:pPr>
              <w:tabs>
                <w:tab w:val="left" w:pos="-1440"/>
                <w:tab w:val="left" w:pos="-720"/>
              </w:tabs>
              <w:jc w:val="both"/>
              <w:rPr>
                <w:sz w:val="20"/>
                <w:szCs w:val="20"/>
                <w:lang w:val="fr-CA"/>
              </w:rPr>
            </w:pP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r w:rsidR="00B56106" w:rsidRPr="00A4260E">
              <w:rPr>
                <w:b/>
                <w:bCs/>
                <w:sz w:val="20"/>
                <w:szCs w:val="20"/>
                <w:lang w:val="fr-CA"/>
              </w:rPr>
              <w:t>Miscellaneous motions</w:t>
            </w:r>
          </w:p>
          <w:p w:rsidR="00B56106" w:rsidRPr="00A4260E" w:rsidRDefault="007333FF" w:rsidP="00B56106">
            <w:pPr>
              <w:tabs>
                <w:tab w:val="left" w:pos="-1440"/>
                <w:tab w:val="left" w:pos="-720"/>
              </w:tabs>
              <w:jc w:val="both"/>
              <w:rPr>
                <w:sz w:val="20"/>
                <w:szCs w:val="20"/>
                <w:lang w:val="fr-CA"/>
              </w:rPr>
            </w:pP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p>
        </w:tc>
        <w:tc>
          <w:tcPr>
            <w:tcW w:w="1170" w:type="dxa"/>
          </w:tcPr>
          <w:p w:rsidR="00B56106" w:rsidRPr="00A4260E" w:rsidRDefault="00B56106" w:rsidP="00B56106">
            <w:pPr>
              <w:jc w:val="both"/>
              <w:rPr>
                <w:sz w:val="20"/>
                <w:szCs w:val="20"/>
                <w:lang w:val="fr-CA"/>
              </w:rPr>
            </w:pPr>
          </w:p>
          <w:p w:rsidR="00B56106" w:rsidRPr="00A4260E" w:rsidRDefault="00B56106" w:rsidP="00B56106">
            <w:pPr>
              <w:jc w:val="both"/>
              <w:rPr>
                <w:sz w:val="20"/>
                <w:szCs w:val="20"/>
                <w:lang w:val="fr-CA"/>
              </w:rPr>
            </w:pPr>
          </w:p>
        </w:tc>
        <w:tc>
          <w:tcPr>
            <w:tcW w:w="4327" w:type="dxa"/>
          </w:tcPr>
          <w:p w:rsidR="00B56106" w:rsidRPr="00A4260E" w:rsidRDefault="007333FF" w:rsidP="00B56106">
            <w:pPr>
              <w:jc w:val="both"/>
              <w:rPr>
                <w:b/>
                <w:sz w:val="20"/>
                <w:szCs w:val="20"/>
                <w:lang w:val="fr-CA"/>
              </w:rPr>
            </w:pP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r w:rsidR="00B56106" w:rsidRPr="00A4260E">
              <w:rPr>
                <w:b/>
                <w:bCs/>
                <w:sz w:val="20"/>
                <w:szCs w:val="20"/>
                <w:lang w:val="fr-CA"/>
              </w:rPr>
              <w:t>Requêtes diverses</w:t>
            </w:r>
          </w:p>
          <w:p w:rsidR="00B56106" w:rsidRPr="00A4260E" w:rsidRDefault="007333FF" w:rsidP="00B56106">
            <w:pPr>
              <w:jc w:val="both"/>
              <w:rPr>
                <w:b/>
                <w:sz w:val="20"/>
                <w:szCs w:val="20"/>
                <w:lang w:val="fr-CA"/>
              </w:rPr>
            </w:pPr>
            <w:r w:rsidRPr="00A4260E">
              <w:rPr>
                <w:b/>
                <w:sz w:val="20"/>
                <w:szCs w:val="20"/>
              </w:rPr>
              <w:fldChar w:fldCharType="begin"/>
            </w:r>
            <w:r w:rsidR="00B56106" w:rsidRPr="00A4260E">
              <w:rPr>
                <w:b/>
                <w:sz w:val="20"/>
                <w:szCs w:val="20"/>
                <w:lang w:val="fr-CA"/>
              </w:rPr>
              <w:instrText xml:space="preserve"> SEQ CHAPTER \h \r 1</w:instrText>
            </w:r>
            <w:r w:rsidRPr="00A4260E">
              <w:rPr>
                <w:b/>
                <w:sz w:val="20"/>
                <w:szCs w:val="20"/>
              </w:rPr>
              <w:fldChar w:fldCharType="end"/>
            </w:r>
            <w:r w:rsidRPr="00A4260E">
              <w:rPr>
                <w:b/>
                <w:sz w:val="20"/>
                <w:szCs w:val="20"/>
              </w:rPr>
              <w:fldChar w:fldCharType="begin"/>
            </w:r>
            <w:r w:rsidR="00B56106" w:rsidRPr="00A4260E">
              <w:rPr>
                <w:b/>
                <w:sz w:val="20"/>
                <w:szCs w:val="20"/>
                <w:lang w:val="fr-CA"/>
              </w:rPr>
              <w:instrText xml:space="preserve"> SEQ CHAPTER \h \r 1</w:instrText>
            </w:r>
            <w:r w:rsidRPr="00A4260E">
              <w:rPr>
                <w:b/>
                <w:sz w:val="20"/>
                <w:szCs w:val="20"/>
              </w:rPr>
              <w:fldChar w:fldCharType="end"/>
            </w:r>
          </w:p>
        </w:tc>
      </w:tr>
      <w:tr w:rsidR="00B56106" w:rsidRPr="00A4260E" w:rsidTr="00B56106">
        <w:trPr>
          <w:trHeight w:val="150"/>
        </w:trPr>
        <w:tc>
          <w:tcPr>
            <w:tcW w:w="4338" w:type="dxa"/>
          </w:tcPr>
          <w:p w:rsidR="00B56106" w:rsidRPr="00A4260E" w:rsidRDefault="00B56106" w:rsidP="00B56106">
            <w:pPr>
              <w:tabs>
                <w:tab w:val="left" w:pos="-1440"/>
                <w:tab w:val="left" w:pos="-720"/>
              </w:tabs>
              <w:jc w:val="both"/>
              <w:rPr>
                <w:sz w:val="20"/>
                <w:szCs w:val="20"/>
                <w:lang w:val="fr-CA"/>
              </w:rPr>
            </w:pPr>
            <w:r w:rsidRPr="00A4260E">
              <w:rPr>
                <w:sz w:val="20"/>
                <w:szCs w:val="20"/>
                <w:lang w:val="fr-CA"/>
              </w:rPr>
              <w:t>Loc Nguyen</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ab/>
              <w:t>c. (34736)</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Re/Max du Cartier Inc. (Qc)</w:t>
            </w:r>
          </w:p>
        </w:tc>
        <w:tc>
          <w:tcPr>
            <w:tcW w:w="1170" w:type="dxa"/>
          </w:tcPr>
          <w:p w:rsidR="00B56106" w:rsidRPr="00A4260E" w:rsidRDefault="00B56106" w:rsidP="00B56106">
            <w:pPr>
              <w:jc w:val="both"/>
              <w:rPr>
                <w:sz w:val="20"/>
                <w:szCs w:val="20"/>
                <w:lang w:val="fr-CA"/>
              </w:rPr>
            </w:pPr>
          </w:p>
        </w:tc>
        <w:tc>
          <w:tcPr>
            <w:tcW w:w="4327" w:type="dxa"/>
          </w:tcPr>
          <w:p w:rsidR="00B56106" w:rsidRPr="00A4260E" w:rsidRDefault="00B56106" w:rsidP="00B56106">
            <w:pPr>
              <w:jc w:val="both"/>
              <w:rPr>
                <w:sz w:val="20"/>
                <w:szCs w:val="20"/>
                <w:lang w:val="fr-CA"/>
              </w:rPr>
            </w:pPr>
          </w:p>
        </w:tc>
      </w:tr>
    </w:tbl>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lang w:val="fr-CA"/>
        </w:rPr>
      </w:pPr>
      <w:r w:rsidRPr="00A4260E">
        <w:rPr>
          <w:b/>
          <w:sz w:val="20"/>
          <w:szCs w:val="20"/>
          <w:lang w:val="fr-CA"/>
        </w:rPr>
        <w:t>DISMISSED / REJETÉES</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jc w:val="both"/>
        <w:rPr>
          <w:sz w:val="20"/>
          <w:szCs w:val="20"/>
          <w:lang w:val="fr-CA"/>
        </w:rPr>
      </w:pPr>
      <w:r w:rsidRPr="00A4260E">
        <w:rPr>
          <w:b/>
          <w:bCs/>
          <w:sz w:val="20"/>
          <w:szCs w:val="20"/>
          <w:lang w:val="fr-CA"/>
        </w:rPr>
        <w:t>À LA SUITE DE LA REQUÊTE</w:t>
      </w:r>
      <w:r w:rsidRPr="00A4260E">
        <w:rPr>
          <w:bCs/>
          <w:sz w:val="20"/>
          <w:szCs w:val="20"/>
          <w:lang w:val="fr-CA"/>
        </w:rPr>
        <w:t xml:space="preserve"> </w:t>
      </w:r>
      <w:r w:rsidRPr="00A4260E">
        <w:rPr>
          <w:sz w:val="20"/>
          <w:szCs w:val="20"/>
          <w:lang w:val="fr-CA"/>
        </w:rPr>
        <w:t>du demandeur en vertu de la règle 32(2) pour déposer une requête en invalidité constitutionnelle;</w:t>
      </w:r>
    </w:p>
    <w:p w:rsidR="00B56106" w:rsidRPr="00A4260E" w:rsidRDefault="00B56106" w:rsidP="00B56106">
      <w:pPr>
        <w:jc w:val="both"/>
        <w:rPr>
          <w:sz w:val="20"/>
          <w:szCs w:val="20"/>
          <w:lang w:val="fr-CA"/>
        </w:rPr>
      </w:pPr>
    </w:p>
    <w:p w:rsidR="00B56106" w:rsidRPr="00A4260E" w:rsidRDefault="00B56106" w:rsidP="00B56106">
      <w:pPr>
        <w:jc w:val="both"/>
        <w:rPr>
          <w:bCs/>
          <w:sz w:val="20"/>
          <w:szCs w:val="20"/>
          <w:lang w:val="fr-CA"/>
        </w:rPr>
      </w:pPr>
      <w:r w:rsidRPr="00A4260E">
        <w:rPr>
          <w:b/>
          <w:bCs/>
          <w:sz w:val="20"/>
          <w:szCs w:val="20"/>
          <w:lang w:val="fr-CA"/>
        </w:rPr>
        <w:t xml:space="preserve">À LA SUITE DE LA REQUÊTE </w:t>
      </w:r>
      <w:r w:rsidRPr="00A4260E">
        <w:rPr>
          <w:bCs/>
          <w:sz w:val="20"/>
          <w:szCs w:val="20"/>
          <w:lang w:val="fr-CA"/>
        </w:rPr>
        <w:t xml:space="preserve">du demandeur en vue de déposer un Avis de renvoi en vertu de l’art. 53 de la </w:t>
      </w:r>
      <w:r w:rsidRPr="00A4260E">
        <w:rPr>
          <w:bCs/>
          <w:i/>
          <w:sz w:val="20"/>
          <w:szCs w:val="20"/>
          <w:lang w:val="fr-CA"/>
        </w:rPr>
        <w:t>Loi sur la Cour suprême</w:t>
      </w:r>
      <w:r w:rsidRPr="00A4260E">
        <w:rPr>
          <w:bCs/>
          <w:sz w:val="20"/>
          <w:szCs w:val="20"/>
          <w:lang w:val="fr-CA"/>
        </w:rPr>
        <w:t>;</w:t>
      </w:r>
    </w:p>
    <w:p w:rsidR="00B56106" w:rsidRPr="00A4260E" w:rsidRDefault="00B56106" w:rsidP="00B56106">
      <w:pPr>
        <w:jc w:val="both"/>
        <w:rPr>
          <w:bCs/>
          <w:sz w:val="20"/>
          <w:szCs w:val="20"/>
          <w:lang w:val="fr-CA"/>
        </w:rPr>
      </w:pPr>
    </w:p>
    <w:p w:rsidR="00B56106" w:rsidRPr="00A4260E" w:rsidRDefault="00B56106" w:rsidP="00B56106">
      <w:pPr>
        <w:jc w:val="both"/>
        <w:rPr>
          <w:bCs/>
          <w:sz w:val="20"/>
          <w:szCs w:val="20"/>
          <w:lang w:val="fr-CA"/>
        </w:rPr>
      </w:pPr>
      <w:r w:rsidRPr="00A4260E">
        <w:rPr>
          <w:b/>
          <w:bCs/>
          <w:sz w:val="20"/>
          <w:szCs w:val="20"/>
          <w:lang w:val="fr-CA"/>
        </w:rPr>
        <w:t xml:space="preserve">À LA SUITE DE LA REQUÊTE </w:t>
      </w:r>
      <w:r w:rsidRPr="00A4260E">
        <w:rPr>
          <w:bCs/>
          <w:sz w:val="20"/>
          <w:szCs w:val="20"/>
          <w:lang w:val="fr-CA"/>
        </w:rPr>
        <w:t xml:space="preserve">du demandeur pour dispense d’observation des règles et en prorogation de délai pour démontrer l’impossibilité d’agir; </w:t>
      </w:r>
    </w:p>
    <w:p w:rsidR="00B56106" w:rsidRPr="00A4260E" w:rsidRDefault="00B56106" w:rsidP="00B56106">
      <w:pPr>
        <w:jc w:val="both"/>
        <w:rPr>
          <w:b/>
          <w:bCs/>
          <w:sz w:val="20"/>
          <w:szCs w:val="20"/>
          <w:lang w:val="fr-CA"/>
        </w:rPr>
      </w:pPr>
    </w:p>
    <w:p w:rsidR="00B56106" w:rsidRPr="00A4260E" w:rsidRDefault="00B56106" w:rsidP="00B56106">
      <w:pPr>
        <w:jc w:val="both"/>
        <w:rPr>
          <w:sz w:val="20"/>
          <w:szCs w:val="20"/>
          <w:lang w:val="fr-CA"/>
        </w:rPr>
      </w:pPr>
      <w:r w:rsidRPr="00A4260E">
        <w:rPr>
          <w:b/>
          <w:bCs/>
          <w:sz w:val="20"/>
          <w:szCs w:val="20"/>
          <w:lang w:val="fr-CA"/>
        </w:rPr>
        <w:t xml:space="preserve">ÉTANT DONNÉ QUE </w:t>
      </w:r>
      <w:r w:rsidRPr="00A4260E">
        <w:rPr>
          <w:sz w:val="20"/>
          <w:szCs w:val="20"/>
          <w:lang w:val="fr-CA"/>
        </w:rPr>
        <w:t>tous les documents concernant la demande d’autorisation d’appel ont été soumis à l’examen de la Cour le 4 juin 2012;</w:t>
      </w:r>
    </w:p>
    <w:p w:rsidR="00B56106" w:rsidRPr="00A4260E" w:rsidRDefault="00B56106" w:rsidP="00B56106">
      <w:pPr>
        <w:jc w:val="both"/>
        <w:rPr>
          <w:sz w:val="20"/>
          <w:szCs w:val="20"/>
          <w:lang w:val="fr-CA"/>
        </w:rPr>
      </w:pPr>
    </w:p>
    <w:p w:rsidR="00B56106" w:rsidRPr="00A4260E" w:rsidRDefault="00B56106" w:rsidP="00B56106">
      <w:pPr>
        <w:jc w:val="both"/>
        <w:rPr>
          <w:sz w:val="20"/>
          <w:szCs w:val="20"/>
          <w:lang w:val="fr-CA"/>
        </w:rPr>
      </w:pPr>
      <w:r w:rsidRPr="00A4260E">
        <w:rPr>
          <w:b/>
          <w:sz w:val="20"/>
          <w:szCs w:val="20"/>
          <w:lang w:val="fr-CA"/>
        </w:rPr>
        <w:t>ÉTANT DONNÉ QUE</w:t>
      </w:r>
      <w:r w:rsidRPr="00A4260E">
        <w:rPr>
          <w:sz w:val="20"/>
          <w:szCs w:val="20"/>
          <w:lang w:val="fr-CA"/>
        </w:rPr>
        <w:t xml:space="preserve"> la requête en invalidité constitutionnelle est prématurée;</w:t>
      </w:r>
    </w:p>
    <w:p w:rsidR="00B56106" w:rsidRPr="00A4260E" w:rsidRDefault="00B56106" w:rsidP="00B56106">
      <w:pPr>
        <w:jc w:val="both"/>
        <w:rPr>
          <w:sz w:val="20"/>
          <w:szCs w:val="20"/>
          <w:lang w:val="fr-CA"/>
        </w:rPr>
      </w:pPr>
    </w:p>
    <w:p w:rsidR="00B56106" w:rsidRPr="00A4260E" w:rsidRDefault="00B56106" w:rsidP="00B56106">
      <w:pPr>
        <w:jc w:val="both"/>
        <w:rPr>
          <w:sz w:val="20"/>
          <w:szCs w:val="20"/>
          <w:lang w:val="fr-CA"/>
        </w:rPr>
      </w:pPr>
      <w:r w:rsidRPr="00A4260E">
        <w:rPr>
          <w:b/>
          <w:sz w:val="20"/>
          <w:szCs w:val="20"/>
          <w:lang w:val="fr-CA"/>
        </w:rPr>
        <w:t>ÉTANT DONNÉ QUE</w:t>
      </w:r>
      <w:r w:rsidRPr="00A4260E">
        <w:rPr>
          <w:sz w:val="20"/>
          <w:szCs w:val="20"/>
          <w:lang w:val="fr-CA"/>
        </w:rPr>
        <w:t xml:space="preserve"> le demandeur n’avait pas la qualité requise pour déposer un Avis de renvoi;</w:t>
      </w:r>
    </w:p>
    <w:p w:rsidR="00B56106" w:rsidRPr="00A4260E" w:rsidRDefault="00B56106" w:rsidP="00B56106">
      <w:pPr>
        <w:jc w:val="both"/>
        <w:rPr>
          <w:sz w:val="20"/>
          <w:szCs w:val="20"/>
          <w:lang w:val="fr-CA"/>
        </w:rPr>
      </w:pPr>
    </w:p>
    <w:p w:rsidR="00B56106" w:rsidRPr="00A4260E" w:rsidRDefault="00B56106" w:rsidP="00B56106">
      <w:pPr>
        <w:jc w:val="both"/>
        <w:rPr>
          <w:sz w:val="20"/>
          <w:szCs w:val="20"/>
          <w:lang w:val="fr-CA"/>
        </w:rPr>
      </w:pPr>
      <w:r w:rsidRPr="00A4260E">
        <w:rPr>
          <w:b/>
          <w:bCs/>
          <w:sz w:val="20"/>
          <w:szCs w:val="20"/>
          <w:lang w:val="fr-CA"/>
        </w:rPr>
        <w:t xml:space="preserve">ET ÉTANT DONNÉ QUE </w:t>
      </w:r>
      <w:r w:rsidRPr="00A4260E">
        <w:rPr>
          <w:sz w:val="20"/>
          <w:szCs w:val="20"/>
          <w:lang w:val="fr-CA"/>
        </w:rPr>
        <w:t xml:space="preserve">le par. 32(2) des </w:t>
      </w:r>
      <w:r w:rsidRPr="00A4260E">
        <w:rPr>
          <w:i/>
          <w:iCs/>
          <w:sz w:val="20"/>
          <w:szCs w:val="20"/>
          <w:lang w:val="fr-CA"/>
        </w:rPr>
        <w:t>Règles</w:t>
      </w:r>
      <w:r w:rsidRPr="00A4260E">
        <w:rPr>
          <w:sz w:val="20"/>
          <w:szCs w:val="20"/>
          <w:lang w:val="fr-CA"/>
        </w:rPr>
        <w:t xml:space="preserve"> m’autorise à refuser le dépôt de documents après que la demande d’autorisation d’appel a été soumise à l’examen de la Cour;</w:t>
      </w:r>
    </w:p>
    <w:p w:rsidR="00B56106" w:rsidRPr="00A4260E" w:rsidRDefault="00B56106" w:rsidP="00B56106">
      <w:pPr>
        <w:jc w:val="both"/>
        <w:rPr>
          <w:sz w:val="20"/>
          <w:szCs w:val="20"/>
          <w:lang w:val="fr-CA"/>
        </w:rPr>
      </w:pPr>
    </w:p>
    <w:p w:rsidR="00B56106" w:rsidRPr="00A4260E" w:rsidRDefault="00B56106" w:rsidP="00B56106">
      <w:pPr>
        <w:jc w:val="both"/>
        <w:rPr>
          <w:sz w:val="20"/>
          <w:szCs w:val="20"/>
          <w:lang w:val="fr-CA"/>
        </w:rPr>
      </w:pPr>
      <w:r w:rsidRPr="00A4260E">
        <w:rPr>
          <w:b/>
          <w:bCs/>
          <w:sz w:val="20"/>
          <w:szCs w:val="20"/>
          <w:lang w:val="fr-CA"/>
        </w:rPr>
        <w:t xml:space="preserve">IL EST ORDONNÉ CE QUI SUIT : </w:t>
      </w:r>
    </w:p>
    <w:p w:rsidR="00B56106" w:rsidRPr="00A4260E" w:rsidRDefault="00B56106" w:rsidP="00B56106">
      <w:pPr>
        <w:jc w:val="both"/>
        <w:rPr>
          <w:sz w:val="20"/>
          <w:szCs w:val="20"/>
          <w:lang w:val="fr-CA"/>
        </w:rPr>
      </w:pPr>
    </w:p>
    <w:p w:rsidR="00B56106" w:rsidRPr="00A4260E" w:rsidRDefault="00B56106" w:rsidP="00B56106">
      <w:pPr>
        <w:ind w:left="720"/>
        <w:jc w:val="both"/>
        <w:rPr>
          <w:b/>
          <w:bCs/>
          <w:sz w:val="20"/>
          <w:szCs w:val="20"/>
        </w:rPr>
      </w:pPr>
      <w:r w:rsidRPr="00A4260E">
        <w:rPr>
          <w:sz w:val="20"/>
          <w:szCs w:val="20"/>
        </w:rPr>
        <w:t>Les requêtes sont rejetées.</w: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jc w:val="both"/>
        <w:rPr>
          <w:sz w:val="20"/>
          <w:szCs w:val="20"/>
        </w:rPr>
      </w:pPr>
      <w:r w:rsidRPr="00A4260E">
        <w:rPr>
          <w:b/>
          <w:bCs/>
          <w:sz w:val="20"/>
          <w:szCs w:val="20"/>
        </w:rPr>
        <w:t>UPON A MOTION</w:t>
      </w:r>
      <w:r w:rsidRPr="00A4260E">
        <w:rPr>
          <w:bCs/>
          <w:sz w:val="20"/>
          <w:szCs w:val="20"/>
        </w:rPr>
        <w:t xml:space="preserve"> of the applicant under Rule 32(2) to file a motion</w:t>
      </w:r>
      <w:r w:rsidRPr="00A4260E">
        <w:rPr>
          <w:sz w:val="20"/>
          <w:szCs w:val="20"/>
        </w:rPr>
        <w:t xml:space="preserve"> for declaration of constitutional invalidity;</w:t>
      </w:r>
    </w:p>
    <w:p w:rsidR="00B56106" w:rsidRPr="00A4260E" w:rsidRDefault="00B56106" w:rsidP="00B56106">
      <w:pPr>
        <w:jc w:val="both"/>
        <w:rPr>
          <w:sz w:val="20"/>
          <w:szCs w:val="20"/>
        </w:rPr>
      </w:pPr>
    </w:p>
    <w:p w:rsidR="00B56106" w:rsidRPr="00A4260E" w:rsidRDefault="00B56106" w:rsidP="00B56106">
      <w:pPr>
        <w:jc w:val="both"/>
        <w:rPr>
          <w:bCs/>
          <w:sz w:val="20"/>
          <w:szCs w:val="20"/>
        </w:rPr>
      </w:pPr>
      <w:r w:rsidRPr="00A4260E">
        <w:rPr>
          <w:b/>
          <w:bCs/>
          <w:sz w:val="20"/>
          <w:szCs w:val="20"/>
        </w:rPr>
        <w:t>UPON A MOTION</w:t>
      </w:r>
      <w:r w:rsidRPr="00A4260E">
        <w:rPr>
          <w:bCs/>
          <w:sz w:val="20"/>
          <w:szCs w:val="20"/>
        </w:rPr>
        <w:t xml:space="preserve"> of the applicant to file a Notice of Reference pursuant to s. 53 of the </w:t>
      </w:r>
      <w:r w:rsidRPr="00A4260E">
        <w:rPr>
          <w:bCs/>
          <w:i/>
          <w:sz w:val="20"/>
          <w:szCs w:val="20"/>
        </w:rPr>
        <w:t>Supreme Court Act</w:t>
      </w:r>
      <w:r w:rsidRPr="00A4260E">
        <w:rPr>
          <w:bCs/>
          <w:sz w:val="20"/>
          <w:szCs w:val="20"/>
        </w:rPr>
        <w:t>;</w:t>
      </w:r>
    </w:p>
    <w:p w:rsidR="00B56106" w:rsidRPr="00A4260E" w:rsidRDefault="00B56106" w:rsidP="00B56106">
      <w:pPr>
        <w:jc w:val="both"/>
        <w:rPr>
          <w:bCs/>
          <w:sz w:val="20"/>
          <w:szCs w:val="20"/>
        </w:rPr>
      </w:pPr>
    </w:p>
    <w:p w:rsidR="00B56106" w:rsidRPr="00A4260E" w:rsidRDefault="00B56106" w:rsidP="00B56106">
      <w:pPr>
        <w:jc w:val="both"/>
        <w:rPr>
          <w:bCs/>
          <w:sz w:val="20"/>
          <w:szCs w:val="20"/>
        </w:rPr>
      </w:pPr>
      <w:r w:rsidRPr="00A4260E">
        <w:rPr>
          <w:b/>
          <w:bCs/>
          <w:sz w:val="20"/>
          <w:szCs w:val="20"/>
        </w:rPr>
        <w:t>UPON A MOTION</w:t>
      </w:r>
      <w:r w:rsidRPr="00A4260E">
        <w:rPr>
          <w:bCs/>
          <w:sz w:val="20"/>
          <w:szCs w:val="20"/>
        </w:rPr>
        <w:t xml:space="preserve"> of the applicant for exemption from compliance with the rules and for an extension of time to show why it is impossible to act; </w:t>
      </w:r>
    </w:p>
    <w:p w:rsidR="00B56106" w:rsidRPr="00A4260E" w:rsidRDefault="00B56106" w:rsidP="00B56106">
      <w:pPr>
        <w:jc w:val="both"/>
        <w:rPr>
          <w:b/>
          <w:bCs/>
          <w:sz w:val="20"/>
          <w:szCs w:val="20"/>
        </w:rPr>
      </w:pPr>
    </w:p>
    <w:p w:rsidR="00B56106" w:rsidRPr="00A4260E" w:rsidRDefault="00B56106" w:rsidP="00B56106">
      <w:pPr>
        <w:jc w:val="both"/>
        <w:rPr>
          <w:sz w:val="20"/>
          <w:szCs w:val="20"/>
        </w:rPr>
      </w:pPr>
      <w:r w:rsidRPr="00A4260E">
        <w:rPr>
          <w:b/>
          <w:bCs/>
          <w:sz w:val="20"/>
          <w:szCs w:val="20"/>
        </w:rPr>
        <w:t>WHEREAS</w:t>
      </w:r>
      <w:r w:rsidRPr="00A4260E">
        <w:rPr>
          <w:bCs/>
          <w:sz w:val="20"/>
          <w:szCs w:val="20"/>
        </w:rPr>
        <w:t xml:space="preserve"> </w:t>
      </w:r>
      <w:r w:rsidRPr="00A4260E">
        <w:rPr>
          <w:sz w:val="20"/>
          <w:szCs w:val="20"/>
        </w:rPr>
        <w:t>all documents relating to the application for leave to appeal were submitted to the Court for consideration on June 4, 2012;</w:t>
      </w:r>
    </w:p>
    <w:p w:rsidR="00B56106" w:rsidRPr="00A4260E" w:rsidRDefault="00B56106" w:rsidP="00B56106">
      <w:pPr>
        <w:jc w:val="both"/>
        <w:rPr>
          <w:sz w:val="20"/>
          <w:szCs w:val="20"/>
        </w:rPr>
      </w:pPr>
    </w:p>
    <w:p w:rsidR="00B56106" w:rsidRPr="00A4260E" w:rsidRDefault="00B56106" w:rsidP="00B56106">
      <w:pPr>
        <w:jc w:val="both"/>
        <w:rPr>
          <w:sz w:val="20"/>
          <w:szCs w:val="20"/>
        </w:rPr>
      </w:pPr>
      <w:r w:rsidRPr="00A4260E">
        <w:rPr>
          <w:b/>
          <w:bCs/>
          <w:sz w:val="20"/>
          <w:szCs w:val="20"/>
        </w:rPr>
        <w:t>WHEREAS</w:t>
      </w:r>
      <w:r w:rsidRPr="00A4260E">
        <w:rPr>
          <w:sz w:val="20"/>
          <w:szCs w:val="20"/>
        </w:rPr>
        <w:t xml:space="preserve"> the motion for declaration of constitutional invalidity is premature;</w:t>
      </w:r>
    </w:p>
    <w:p w:rsidR="00B56106" w:rsidRPr="00A4260E" w:rsidRDefault="00B56106" w:rsidP="00B56106">
      <w:pPr>
        <w:jc w:val="both"/>
        <w:rPr>
          <w:sz w:val="20"/>
          <w:szCs w:val="20"/>
        </w:rPr>
      </w:pPr>
    </w:p>
    <w:p w:rsidR="00B56106" w:rsidRPr="00A4260E" w:rsidRDefault="00B56106" w:rsidP="00B56106">
      <w:pPr>
        <w:jc w:val="both"/>
        <w:rPr>
          <w:sz w:val="20"/>
          <w:szCs w:val="20"/>
        </w:rPr>
      </w:pPr>
      <w:r w:rsidRPr="00A4260E">
        <w:rPr>
          <w:b/>
          <w:bCs/>
          <w:sz w:val="20"/>
          <w:szCs w:val="20"/>
        </w:rPr>
        <w:t>WHEREAS</w:t>
      </w:r>
      <w:r w:rsidRPr="00A4260E">
        <w:rPr>
          <w:bCs/>
          <w:sz w:val="20"/>
          <w:szCs w:val="20"/>
        </w:rPr>
        <w:t xml:space="preserve"> the applicant does not have standing to file a Notice of Reference</w:t>
      </w:r>
      <w:r w:rsidRPr="00A4260E">
        <w:rPr>
          <w:sz w:val="20"/>
          <w:szCs w:val="20"/>
        </w:rPr>
        <w:t>;</w:t>
      </w:r>
    </w:p>
    <w:p w:rsidR="00B56106" w:rsidRPr="00A4260E" w:rsidRDefault="00B56106" w:rsidP="00B56106">
      <w:pPr>
        <w:jc w:val="both"/>
        <w:rPr>
          <w:sz w:val="20"/>
          <w:szCs w:val="20"/>
        </w:rPr>
      </w:pPr>
    </w:p>
    <w:p w:rsidR="00B56106" w:rsidRPr="00A4260E" w:rsidRDefault="00B56106" w:rsidP="00B56106">
      <w:pPr>
        <w:jc w:val="both"/>
        <w:rPr>
          <w:sz w:val="20"/>
          <w:szCs w:val="20"/>
        </w:rPr>
      </w:pPr>
      <w:r w:rsidRPr="00A4260E">
        <w:rPr>
          <w:b/>
          <w:bCs/>
          <w:sz w:val="20"/>
          <w:szCs w:val="20"/>
        </w:rPr>
        <w:lastRenderedPageBreak/>
        <w:t>AND WHEREAS</w:t>
      </w:r>
      <w:r w:rsidRPr="00A4260E">
        <w:rPr>
          <w:bCs/>
          <w:sz w:val="20"/>
          <w:szCs w:val="20"/>
        </w:rPr>
        <w:t xml:space="preserve"> s.</w:t>
      </w:r>
      <w:r w:rsidRPr="00A4260E">
        <w:rPr>
          <w:sz w:val="20"/>
          <w:szCs w:val="20"/>
        </w:rPr>
        <w:t xml:space="preserve"> 32(2) of the </w:t>
      </w:r>
      <w:r w:rsidRPr="00A4260E">
        <w:rPr>
          <w:i/>
          <w:sz w:val="20"/>
          <w:szCs w:val="20"/>
        </w:rPr>
        <w:t>Rules</w:t>
      </w:r>
      <w:r w:rsidRPr="00A4260E">
        <w:rPr>
          <w:sz w:val="20"/>
          <w:szCs w:val="20"/>
        </w:rPr>
        <w:t xml:space="preserve"> provides that I may refuse the filing of documents after the application for leave to appeal has been submitted to the Court;</w:t>
      </w:r>
    </w:p>
    <w:p w:rsidR="00B56106" w:rsidRPr="00A4260E" w:rsidRDefault="00B56106" w:rsidP="00B56106">
      <w:pPr>
        <w:jc w:val="both"/>
        <w:rPr>
          <w:sz w:val="20"/>
          <w:szCs w:val="20"/>
        </w:rPr>
      </w:pPr>
    </w:p>
    <w:p w:rsidR="00B56106" w:rsidRPr="00A4260E" w:rsidRDefault="00B56106" w:rsidP="00B56106">
      <w:pPr>
        <w:jc w:val="both"/>
        <w:rPr>
          <w:sz w:val="20"/>
          <w:szCs w:val="20"/>
        </w:rPr>
      </w:pPr>
      <w:r w:rsidRPr="00A4260E">
        <w:rPr>
          <w:b/>
          <w:bCs/>
          <w:sz w:val="20"/>
          <w:szCs w:val="20"/>
        </w:rPr>
        <w:t xml:space="preserve">IT IS HEREBY ORDERED THAT: </w:t>
      </w:r>
    </w:p>
    <w:p w:rsidR="00B56106" w:rsidRPr="00A4260E" w:rsidRDefault="00B56106" w:rsidP="00B56106">
      <w:pPr>
        <w:jc w:val="both"/>
        <w:rPr>
          <w:sz w:val="20"/>
          <w:szCs w:val="20"/>
        </w:rPr>
      </w:pPr>
    </w:p>
    <w:p w:rsidR="00B56106" w:rsidRPr="00A4260E" w:rsidRDefault="00B56106" w:rsidP="00B56106">
      <w:pPr>
        <w:ind w:left="720"/>
        <w:jc w:val="both"/>
        <w:rPr>
          <w:b/>
          <w:bCs/>
          <w:sz w:val="20"/>
          <w:szCs w:val="20"/>
        </w:rPr>
      </w:pPr>
      <w:r w:rsidRPr="00A4260E">
        <w:rPr>
          <w:sz w:val="20"/>
          <w:szCs w:val="20"/>
        </w:rPr>
        <w:t>The motions are dismissed.</w:t>
      </w:r>
    </w:p>
    <w:p w:rsidR="00B56106" w:rsidRPr="00A4260E" w:rsidRDefault="00B56106" w:rsidP="00B56106">
      <w:pPr>
        <w:tabs>
          <w:tab w:val="left" w:pos="-1440"/>
          <w:tab w:val="left" w:pos="-720"/>
        </w:tabs>
        <w:jc w:val="both"/>
        <w:rPr>
          <w:sz w:val="20"/>
          <w:szCs w:val="20"/>
          <w:lang w:val="fr-CA"/>
        </w:rPr>
      </w:pPr>
    </w:p>
    <w:p w:rsidR="00B56106" w:rsidRPr="00A4260E" w:rsidRDefault="007333FF" w:rsidP="00B56106">
      <w:pPr>
        <w:tabs>
          <w:tab w:val="left" w:pos="-1440"/>
          <w:tab w:val="left" w:pos="-720"/>
        </w:tabs>
        <w:jc w:val="both"/>
        <w:rPr>
          <w:sz w:val="20"/>
          <w:szCs w:val="20"/>
          <w:lang w:val="fr-CA"/>
        </w:rPr>
      </w:pPr>
      <w:r w:rsidRPr="007333FF">
        <w:rPr>
          <w:sz w:val="20"/>
          <w:szCs w:val="20"/>
          <w:lang w:val="fr-CA"/>
        </w:rPr>
        <w:pict>
          <v:rect id="_x0000_i1118" style="width:2in;height:1pt" o:hrpct="0" o:hralign="center" o:hrstd="t" o:hrnoshade="t" o:hr="t" fillcolor="black [3213]" stroked="f"/>
        </w:pic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rPr>
      </w:pPr>
      <w:r w:rsidRPr="00A4260E">
        <w:rPr>
          <w:sz w:val="20"/>
          <w:szCs w:val="20"/>
        </w:rPr>
        <w:t>24.07.2012</w: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r w:rsidRPr="00A4260E">
        <w:rPr>
          <w:sz w:val="20"/>
          <w:szCs w:val="20"/>
        </w:rPr>
        <w:t>Before / Devant :   THE DEPUTY REGISTRAR / LA REGISTRAIRE ADJOINTE</w:t>
      </w:r>
    </w:p>
    <w:p w:rsidR="00B56106" w:rsidRPr="00A4260E" w:rsidRDefault="00B56106" w:rsidP="00B56106">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56106" w:rsidRPr="00B6145B" w:rsidTr="00B56106">
        <w:tc>
          <w:tcPr>
            <w:tcW w:w="4338" w:type="dxa"/>
          </w:tcPr>
          <w:p w:rsidR="00B56106" w:rsidRPr="00A4260E" w:rsidRDefault="007333FF" w:rsidP="00B56106">
            <w:pPr>
              <w:tabs>
                <w:tab w:val="left" w:pos="-1440"/>
                <w:tab w:val="left" w:pos="-720"/>
              </w:tabs>
              <w:jc w:val="both"/>
              <w:rPr>
                <w:b/>
                <w:sz w:val="20"/>
                <w:szCs w:val="20"/>
              </w:rPr>
            </w:pP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r w:rsidR="00B56106" w:rsidRPr="00A4260E">
              <w:rPr>
                <w:b/>
                <w:bCs/>
                <w:sz w:val="20"/>
                <w:szCs w:val="20"/>
              </w:rPr>
              <w:t>Motion to extend the time to serve and file the applicant’s reply to July 20, 2012</w:t>
            </w: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p>
        </w:tc>
        <w:tc>
          <w:tcPr>
            <w:tcW w:w="1170" w:type="dxa"/>
          </w:tcPr>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tc>
        <w:tc>
          <w:tcPr>
            <w:tcW w:w="4327" w:type="dxa"/>
          </w:tcPr>
          <w:p w:rsidR="00B56106" w:rsidRPr="00A4260E" w:rsidRDefault="007333FF" w:rsidP="00B56106">
            <w:pPr>
              <w:tabs>
                <w:tab w:val="left" w:pos="-1440"/>
                <w:tab w:val="left" w:pos="-720"/>
              </w:tabs>
              <w:jc w:val="both"/>
              <w:rPr>
                <w:sz w:val="20"/>
                <w:szCs w:val="20"/>
                <w:lang w:val="fr-CA"/>
              </w:rPr>
            </w:pP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r w:rsidR="00B56106" w:rsidRPr="00A4260E">
              <w:rPr>
                <w:b/>
                <w:bCs/>
                <w:sz w:val="20"/>
                <w:szCs w:val="20"/>
                <w:lang w:val="fr-CA"/>
              </w:rPr>
              <w:t>Requête en prorogation du délai de signification et de dépôt de la réplique du demandeur jusqu’au 20 juillet 2012</w:t>
            </w: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p>
        </w:tc>
      </w:tr>
      <w:tr w:rsidR="00B56106" w:rsidRPr="00A4260E" w:rsidTr="00B56106">
        <w:tc>
          <w:tcPr>
            <w:tcW w:w="4338" w:type="dxa"/>
          </w:tcPr>
          <w:p w:rsidR="00B56106" w:rsidRPr="00A4260E" w:rsidRDefault="00B56106" w:rsidP="00B56106">
            <w:pPr>
              <w:tabs>
                <w:tab w:val="left" w:pos="-1440"/>
                <w:tab w:val="left" w:pos="-720"/>
              </w:tabs>
              <w:jc w:val="both"/>
              <w:rPr>
                <w:sz w:val="20"/>
                <w:szCs w:val="20"/>
              </w:rPr>
            </w:pPr>
            <w:r w:rsidRPr="00A4260E">
              <w:rPr>
                <w:sz w:val="20"/>
                <w:szCs w:val="20"/>
              </w:rPr>
              <w:t>Reggie Lee Harris</w: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r w:rsidRPr="00A4260E">
              <w:rPr>
                <w:sz w:val="20"/>
                <w:szCs w:val="20"/>
              </w:rPr>
              <w:tab/>
              <w:t>v. (34835)</w: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lang w:val="fr-CA"/>
              </w:rPr>
            </w:pPr>
            <w:r w:rsidRPr="00A4260E">
              <w:rPr>
                <w:sz w:val="20"/>
                <w:szCs w:val="20"/>
              </w:rPr>
              <w:t xml:space="preserve">Her Majesty the Queen (Crim.) </w:t>
            </w:r>
            <w:r w:rsidRPr="00A4260E">
              <w:rPr>
                <w:sz w:val="20"/>
                <w:szCs w:val="20"/>
                <w:lang w:val="fr-CA"/>
              </w:rPr>
              <w:t>(Sask.)</w:t>
            </w:r>
          </w:p>
        </w:tc>
        <w:tc>
          <w:tcPr>
            <w:tcW w:w="1170" w:type="dxa"/>
          </w:tcPr>
          <w:p w:rsidR="00B56106" w:rsidRPr="00A4260E" w:rsidRDefault="00B56106" w:rsidP="00B56106">
            <w:pPr>
              <w:tabs>
                <w:tab w:val="left" w:pos="-1440"/>
                <w:tab w:val="left" w:pos="-720"/>
              </w:tabs>
              <w:jc w:val="both"/>
              <w:rPr>
                <w:sz w:val="20"/>
                <w:szCs w:val="20"/>
                <w:lang w:val="fr-CA"/>
              </w:rPr>
            </w:pPr>
          </w:p>
        </w:tc>
        <w:tc>
          <w:tcPr>
            <w:tcW w:w="4327" w:type="dxa"/>
          </w:tcPr>
          <w:p w:rsidR="00B56106" w:rsidRPr="00A4260E" w:rsidRDefault="00B56106" w:rsidP="00B56106">
            <w:pPr>
              <w:tabs>
                <w:tab w:val="left" w:pos="-1440"/>
                <w:tab w:val="left" w:pos="-720"/>
              </w:tabs>
              <w:jc w:val="both"/>
              <w:rPr>
                <w:sz w:val="20"/>
                <w:szCs w:val="20"/>
                <w:lang w:val="fr-CA"/>
              </w:rPr>
            </w:pPr>
          </w:p>
        </w:tc>
      </w:tr>
    </w:tbl>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b/>
          <w:sz w:val="20"/>
          <w:szCs w:val="20"/>
          <w:lang w:val="fr-CA"/>
        </w:rPr>
      </w:pPr>
      <w:r w:rsidRPr="00A4260E">
        <w:rPr>
          <w:b/>
          <w:sz w:val="20"/>
          <w:szCs w:val="20"/>
          <w:lang w:val="fr-CA"/>
        </w:rPr>
        <w:t>GRANTED / ACCORDÉE</w:t>
      </w:r>
    </w:p>
    <w:p w:rsidR="00B56106" w:rsidRPr="00A4260E" w:rsidRDefault="00B56106" w:rsidP="00B56106">
      <w:pPr>
        <w:tabs>
          <w:tab w:val="left" w:pos="-1440"/>
          <w:tab w:val="left" w:pos="-720"/>
        </w:tabs>
        <w:jc w:val="both"/>
        <w:rPr>
          <w:sz w:val="20"/>
          <w:szCs w:val="20"/>
          <w:lang w:val="fr-CA"/>
        </w:rPr>
      </w:pPr>
    </w:p>
    <w:p w:rsidR="00B56106" w:rsidRPr="00A4260E" w:rsidRDefault="007333FF" w:rsidP="00B56106">
      <w:pPr>
        <w:tabs>
          <w:tab w:val="left" w:pos="-1440"/>
          <w:tab w:val="left" w:pos="-720"/>
        </w:tabs>
        <w:jc w:val="both"/>
        <w:rPr>
          <w:sz w:val="20"/>
          <w:szCs w:val="20"/>
          <w:lang w:val="fr-CA"/>
        </w:rPr>
      </w:pPr>
      <w:r w:rsidRPr="007333FF">
        <w:rPr>
          <w:sz w:val="20"/>
          <w:szCs w:val="20"/>
          <w:lang w:val="fr-CA"/>
        </w:rPr>
        <w:pict>
          <v:rect id="_x0000_i1119" style="width:2in;height:1pt" o:hrpct="0" o:hralign="center" o:hrstd="t" o:hrnoshade="t" o:hr="t" fillcolor="black [3213]" stroked="f"/>
        </w:pic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rPr>
      </w:pPr>
      <w:r w:rsidRPr="00A4260E">
        <w:rPr>
          <w:sz w:val="20"/>
          <w:szCs w:val="20"/>
        </w:rPr>
        <w:t>24.07.2012</w: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r w:rsidRPr="00A4260E">
        <w:rPr>
          <w:sz w:val="20"/>
          <w:szCs w:val="20"/>
        </w:rPr>
        <w:t>Before / Devant :   THE DEPUTY REGISTRAR / LA REGISTRAIRE ADJOINTE</w:t>
      </w:r>
    </w:p>
    <w:p w:rsidR="00B56106" w:rsidRPr="00A4260E" w:rsidRDefault="00B56106" w:rsidP="00B56106">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56106" w:rsidRPr="00B6145B" w:rsidTr="00B56106">
        <w:tc>
          <w:tcPr>
            <w:tcW w:w="4338" w:type="dxa"/>
          </w:tcPr>
          <w:p w:rsidR="00B56106" w:rsidRPr="00A4260E" w:rsidRDefault="007333FF" w:rsidP="00B56106">
            <w:pPr>
              <w:tabs>
                <w:tab w:val="left" w:pos="-1440"/>
                <w:tab w:val="left" w:pos="-720"/>
              </w:tabs>
              <w:jc w:val="both"/>
              <w:rPr>
                <w:b/>
                <w:sz w:val="20"/>
                <w:szCs w:val="20"/>
              </w:rPr>
            </w:pP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r w:rsidR="00B56106" w:rsidRPr="00A4260E">
              <w:rPr>
                <w:b/>
                <w:bCs/>
                <w:sz w:val="20"/>
                <w:szCs w:val="20"/>
              </w:rPr>
              <w:t>Motion to extend the time to serve and file the respondent's factum and the book of authorities on cross-appeal to July 6, 2012</w:t>
            </w: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p>
        </w:tc>
        <w:tc>
          <w:tcPr>
            <w:tcW w:w="1170" w:type="dxa"/>
          </w:tcPr>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tc>
        <w:tc>
          <w:tcPr>
            <w:tcW w:w="4327" w:type="dxa"/>
          </w:tcPr>
          <w:p w:rsidR="00B56106" w:rsidRPr="00A4260E" w:rsidRDefault="007333FF" w:rsidP="00B56106">
            <w:pPr>
              <w:tabs>
                <w:tab w:val="left" w:pos="-1440"/>
                <w:tab w:val="left" w:pos="-720"/>
              </w:tabs>
              <w:jc w:val="both"/>
              <w:rPr>
                <w:sz w:val="20"/>
                <w:szCs w:val="20"/>
                <w:lang w:val="fr-CA"/>
              </w:rPr>
            </w:pP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r w:rsidR="00B56106" w:rsidRPr="00A4260E">
              <w:rPr>
                <w:b/>
                <w:bCs/>
                <w:sz w:val="20"/>
                <w:szCs w:val="20"/>
                <w:lang w:val="fr-CA"/>
              </w:rPr>
              <w:t xml:space="preserve">Requête en prorogation du délai de signification et de dépôt des mémoire et recueil de sources des intimées sur l’appel incident jusqu’au 6 juillet 2012 </w:t>
            </w:r>
          </w:p>
        </w:tc>
      </w:tr>
      <w:tr w:rsidR="00B56106" w:rsidRPr="00A4260E" w:rsidTr="00B56106">
        <w:tc>
          <w:tcPr>
            <w:tcW w:w="4338" w:type="dxa"/>
          </w:tcPr>
          <w:p w:rsidR="00B56106" w:rsidRPr="00A4260E" w:rsidRDefault="00B56106" w:rsidP="00B56106">
            <w:pPr>
              <w:tabs>
                <w:tab w:val="left" w:pos="-1440"/>
                <w:tab w:val="left" w:pos="-720"/>
              </w:tabs>
              <w:jc w:val="both"/>
              <w:rPr>
                <w:sz w:val="20"/>
                <w:szCs w:val="20"/>
                <w:lang w:val="fr-CA"/>
              </w:rPr>
            </w:pPr>
            <w:r w:rsidRPr="00A4260E">
              <w:rPr>
                <w:sz w:val="20"/>
                <w:szCs w:val="20"/>
                <w:lang w:val="fr-CA"/>
              </w:rPr>
              <w:t>Sun-Rype Products Ltd. et al.</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rPr>
            </w:pPr>
            <w:r w:rsidRPr="00A4260E">
              <w:rPr>
                <w:sz w:val="20"/>
                <w:szCs w:val="20"/>
                <w:lang w:val="fr-CA"/>
              </w:rPr>
              <w:tab/>
            </w:r>
            <w:r w:rsidRPr="00A4260E">
              <w:rPr>
                <w:sz w:val="20"/>
                <w:szCs w:val="20"/>
              </w:rPr>
              <w:t>v. (34283)</w: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lang w:val="fr-CA"/>
              </w:rPr>
            </w:pPr>
            <w:r w:rsidRPr="00A4260E">
              <w:rPr>
                <w:sz w:val="20"/>
                <w:szCs w:val="20"/>
              </w:rPr>
              <w:t xml:space="preserve">Archer Daniels Midland Company et al. </w:t>
            </w:r>
            <w:r w:rsidRPr="00A4260E">
              <w:rPr>
                <w:sz w:val="20"/>
                <w:szCs w:val="20"/>
                <w:lang w:val="fr-CA"/>
              </w:rPr>
              <w:t>(B.C.)</w:t>
            </w:r>
          </w:p>
        </w:tc>
        <w:tc>
          <w:tcPr>
            <w:tcW w:w="1170" w:type="dxa"/>
          </w:tcPr>
          <w:p w:rsidR="00B56106" w:rsidRPr="00A4260E" w:rsidRDefault="00B56106" w:rsidP="00B56106">
            <w:pPr>
              <w:tabs>
                <w:tab w:val="left" w:pos="-1440"/>
                <w:tab w:val="left" w:pos="-720"/>
              </w:tabs>
              <w:jc w:val="both"/>
              <w:rPr>
                <w:sz w:val="20"/>
                <w:szCs w:val="20"/>
                <w:lang w:val="fr-CA"/>
              </w:rPr>
            </w:pPr>
          </w:p>
        </w:tc>
        <w:tc>
          <w:tcPr>
            <w:tcW w:w="4327" w:type="dxa"/>
          </w:tcPr>
          <w:p w:rsidR="00B56106" w:rsidRPr="00A4260E" w:rsidRDefault="00B56106" w:rsidP="00B56106">
            <w:pPr>
              <w:tabs>
                <w:tab w:val="left" w:pos="-1440"/>
                <w:tab w:val="left" w:pos="-720"/>
              </w:tabs>
              <w:jc w:val="both"/>
              <w:rPr>
                <w:sz w:val="20"/>
                <w:szCs w:val="20"/>
                <w:lang w:val="fr-CA"/>
              </w:rPr>
            </w:pPr>
          </w:p>
        </w:tc>
      </w:tr>
    </w:tbl>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b/>
          <w:sz w:val="20"/>
          <w:szCs w:val="20"/>
          <w:lang w:val="fr-CA"/>
        </w:rPr>
      </w:pPr>
      <w:r w:rsidRPr="00A4260E">
        <w:rPr>
          <w:b/>
          <w:sz w:val="20"/>
          <w:szCs w:val="20"/>
          <w:lang w:val="fr-CA"/>
        </w:rPr>
        <w:t>GRANTED / ACCORDÉE</w:t>
      </w:r>
    </w:p>
    <w:p w:rsidR="00B56106" w:rsidRPr="00A4260E" w:rsidRDefault="00B56106" w:rsidP="00B56106">
      <w:pPr>
        <w:tabs>
          <w:tab w:val="left" w:pos="-1440"/>
          <w:tab w:val="left" w:pos="-720"/>
        </w:tabs>
        <w:jc w:val="both"/>
        <w:rPr>
          <w:sz w:val="20"/>
          <w:szCs w:val="20"/>
          <w:lang w:val="fr-CA"/>
        </w:rPr>
      </w:pPr>
    </w:p>
    <w:p w:rsidR="00B56106" w:rsidRPr="00A4260E" w:rsidRDefault="007333FF" w:rsidP="00B56106">
      <w:pPr>
        <w:tabs>
          <w:tab w:val="left" w:pos="-1440"/>
          <w:tab w:val="left" w:pos="-720"/>
        </w:tabs>
        <w:jc w:val="both"/>
        <w:rPr>
          <w:sz w:val="20"/>
          <w:szCs w:val="20"/>
          <w:lang w:val="fr-CA"/>
        </w:rPr>
      </w:pPr>
      <w:r w:rsidRPr="007333FF">
        <w:rPr>
          <w:sz w:val="20"/>
          <w:szCs w:val="20"/>
          <w:lang w:val="fr-CA"/>
        </w:rPr>
        <w:pict>
          <v:rect id="_x0000_i1120" style="width:2in;height:1pt" o:hrpct="0" o:hralign="center" o:hrstd="t" o:hrnoshade="t" o:hr="t" fillcolor="black [3213]" stroked="f"/>
        </w:pic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rPr>
          <w:sz w:val="20"/>
          <w:szCs w:val="20"/>
        </w:rPr>
      </w:pPr>
      <w:r w:rsidRPr="00A4260E">
        <w:rPr>
          <w:sz w:val="20"/>
          <w:szCs w:val="20"/>
        </w:rPr>
        <w:br w:type="page"/>
      </w:r>
    </w:p>
    <w:p w:rsidR="00B56106" w:rsidRPr="00A4260E" w:rsidRDefault="00B56106" w:rsidP="00B56106">
      <w:pPr>
        <w:tabs>
          <w:tab w:val="left" w:pos="-1440"/>
          <w:tab w:val="left" w:pos="-720"/>
        </w:tabs>
        <w:jc w:val="both"/>
        <w:rPr>
          <w:sz w:val="20"/>
          <w:szCs w:val="20"/>
        </w:rPr>
      </w:pPr>
      <w:r w:rsidRPr="00A4260E">
        <w:rPr>
          <w:sz w:val="20"/>
          <w:szCs w:val="20"/>
        </w:rPr>
        <w:lastRenderedPageBreak/>
        <w:t>24.07.2012</w: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r w:rsidRPr="00A4260E">
        <w:rPr>
          <w:sz w:val="20"/>
          <w:szCs w:val="20"/>
        </w:rPr>
        <w:t>Before / Devant :   THE DEPUTY REGISTRAR / LA REGISTRAIRE ADJOINTE</w:t>
      </w:r>
    </w:p>
    <w:p w:rsidR="00B56106" w:rsidRPr="00A4260E" w:rsidRDefault="00B56106" w:rsidP="00B56106">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56106" w:rsidRPr="00B6145B" w:rsidTr="00B56106">
        <w:tc>
          <w:tcPr>
            <w:tcW w:w="4338" w:type="dxa"/>
          </w:tcPr>
          <w:p w:rsidR="00B56106" w:rsidRPr="00A4260E" w:rsidRDefault="007333FF" w:rsidP="00B56106">
            <w:pPr>
              <w:tabs>
                <w:tab w:val="left" w:pos="-1440"/>
                <w:tab w:val="left" w:pos="-720"/>
              </w:tabs>
              <w:jc w:val="both"/>
              <w:rPr>
                <w:b/>
                <w:sz w:val="20"/>
                <w:szCs w:val="20"/>
              </w:rPr>
            </w:pP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r w:rsidR="00B56106" w:rsidRPr="00A4260E">
              <w:rPr>
                <w:b/>
                <w:bCs/>
                <w:sz w:val="20"/>
                <w:szCs w:val="20"/>
              </w:rPr>
              <w:t xml:space="preserve">Motion to extend the time to serve and file the appellants’ factum in response pursuant to Rule 29(4), the supplemental record and the supplemental book of authorities to July 6, 2012 </w:t>
            </w: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p>
        </w:tc>
        <w:tc>
          <w:tcPr>
            <w:tcW w:w="1170" w:type="dxa"/>
          </w:tcPr>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tc>
        <w:tc>
          <w:tcPr>
            <w:tcW w:w="4327" w:type="dxa"/>
          </w:tcPr>
          <w:p w:rsidR="00B56106" w:rsidRPr="00A4260E" w:rsidRDefault="007333FF" w:rsidP="00B56106">
            <w:pPr>
              <w:tabs>
                <w:tab w:val="left" w:pos="-1440"/>
                <w:tab w:val="left" w:pos="-720"/>
              </w:tabs>
              <w:jc w:val="both"/>
              <w:rPr>
                <w:sz w:val="20"/>
                <w:szCs w:val="20"/>
                <w:lang w:val="fr-CA"/>
              </w:rPr>
            </w:pP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r w:rsidR="00B56106" w:rsidRPr="00A4260E">
              <w:rPr>
                <w:b/>
                <w:bCs/>
                <w:sz w:val="20"/>
                <w:szCs w:val="20"/>
                <w:lang w:val="fr-CA"/>
              </w:rPr>
              <w:t xml:space="preserve">Requête des demandeurs en prorogation du délai de signification et de dépôt de leur mémoire en réponse en vertu du par. 29(4) des </w:t>
            </w:r>
            <w:r w:rsidR="00B56106" w:rsidRPr="00A4260E">
              <w:rPr>
                <w:b/>
                <w:bCs/>
                <w:i/>
                <w:sz w:val="20"/>
                <w:szCs w:val="20"/>
                <w:lang w:val="fr-CA"/>
              </w:rPr>
              <w:t>Règles</w:t>
            </w:r>
            <w:r w:rsidR="00B56106" w:rsidRPr="00A4260E">
              <w:rPr>
                <w:b/>
                <w:bCs/>
                <w:sz w:val="20"/>
                <w:szCs w:val="20"/>
                <w:lang w:val="fr-CA"/>
              </w:rPr>
              <w:t>, leur dossier supplémentaire et leur recueil de sources supplémentaire jusqu’au 6 juillet 2012</w:t>
            </w: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p>
        </w:tc>
      </w:tr>
      <w:tr w:rsidR="00B56106" w:rsidRPr="00A4260E" w:rsidTr="00B56106">
        <w:tc>
          <w:tcPr>
            <w:tcW w:w="4338" w:type="dxa"/>
          </w:tcPr>
          <w:p w:rsidR="00B56106" w:rsidRPr="00A4260E" w:rsidRDefault="00B56106" w:rsidP="00B56106">
            <w:pPr>
              <w:tabs>
                <w:tab w:val="left" w:pos="-1440"/>
                <w:tab w:val="left" w:pos="-720"/>
              </w:tabs>
              <w:jc w:val="both"/>
              <w:rPr>
                <w:sz w:val="20"/>
                <w:szCs w:val="20"/>
                <w:lang w:val="fr-CA"/>
              </w:rPr>
            </w:pPr>
            <w:r w:rsidRPr="00A4260E">
              <w:rPr>
                <w:sz w:val="20"/>
                <w:szCs w:val="20"/>
                <w:lang w:val="fr-CA"/>
              </w:rPr>
              <w:t>Pro-Sys Consultants Ltd. et al.</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ab/>
              <w:t>v. (34282)</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Microsoft Corporation et al. (B.C.)</w:t>
            </w:r>
          </w:p>
        </w:tc>
        <w:tc>
          <w:tcPr>
            <w:tcW w:w="1170" w:type="dxa"/>
          </w:tcPr>
          <w:p w:rsidR="00B56106" w:rsidRPr="00A4260E" w:rsidRDefault="00B56106" w:rsidP="00B56106">
            <w:pPr>
              <w:tabs>
                <w:tab w:val="left" w:pos="-1440"/>
                <w:tab w:val="left" w:pos="-720"/>
              </w:tabs>
              <w:jc w:val="both"/>
              <w:rPr>
                <w:sz w:val="20"/>
                <w:szCs w:val="20"/>
                <w:lang w:val="fr-CA"/>
              </w:rPr>
            </w:pPr>
          </w:p>
        </w:tc>
        <w:tc>
          <w:tcPr>
            <w:tcW w:w="4327" w:type="dxa"/>
          </w:tcPr>
          <w:p w:rsidR="00B56106" w:rsidRPr="00A4260E" w:rsidRDefault="00B56106" w:rsidP="00B56106">
            <w:pPr>
              <w:tabs>
                <w:tab w:val="left" w:pos="-1440"/>
                <w:tab w:val="left" w:pos="-720"/>
              </w:tabs>
              <w:jc w:val="both"/>
              <w:rPr>
                <w:sz w:val="20"/>
                <w:szCs w:val="20"/>
                <w:lang w:val="fr-CA"/>
              </w:rPr>
            </w:pPr>
          </w:p>
        </w:tc>
      </w:tr>
    </w:tbl>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b/>
          <w:sz w:val="20"/>
          <w:szCs w:val="20"/>
          <w:lang w:val="fr-CA"/>
        </w:rPr>
      </w:pPr>
      <w:r w:rsidRPr="00A4260E">
        <w:rPr>
          <w:b/>
          <w:sz w:val="20"/>
          <w:szCs w:val="20"/>
          <w:lang w:val="fr-CA"/>
        </w:rPr>
        <w:t>GRANTED / ACCORDÉE</w:t>
      </w:r>
    </w:p>
    <w:p w:rsidR="00B56106" w:rsidRPr="00A4260E" w:rsidRDefault="00B56106" w:rsidP="00B56106">
      <w:pPr>
        <w:tabs>
          <w:tab w:val="left" w:pos="-1440"/>
          <w:tab w:val="left" w:pos="-720"/>
        </w:tabs>
        <w:jc w:val="both"/>
        <w:rPr>
          <w:sz w:val="20"/>
          <w:szCs w:val="20"/>
          <w:lang w:val="fr-CA"/>
        </w:rPr>
      </w:pPr>
    </w:p>
    <w:p w:rsidR="00B56106" w:rsidRPr="00A4260E" w:rsidRDefault="007333FF" w:rsidP="00B56106">
      <w:pPr>
        <w:tabs>
          <w:tab w:val="left" w:pos="-1440"/>
          <w:tab w:val="left" w:pos="-720"/>
        </w:tabs>
        <w:jc w:val="both"/>
        <w:rPr>
          <w:sz w:val="20"/>
          <w:szCs w:val="20"/>
          <w:lang w:val="fr-CA"/>
        </w:rPr>
      </w:pPr>
      <w:r w:rsidRPr="007333FF">
        <w:rPr>
          <w:sz w:val="20"/>
          <w:szCs w:val="20"/>
          <w:lang w:val="fr-CA"/>
        </w:rPr>
        <w:pict>
          <v:rect id="_x0000_i1121" style="width:2in;height:1pt" o:hrpct="0" o:hralign="center" o:hrstd="t" o:hrnoshade="t" o:hr="t" fillcolor="black [3213]" stroked="f"/>
        </w:pic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26.07.2012</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Before / Devant :   LEBEL J. / LE JUGE LEBEL</w:t>
      </w:r>
    </w:p>
    <w:p w:rsidR="00B56106" w:rsidRPr="00A4260E" w:rsidRDefault="00B56106" w:rsidP="00B5610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56106" w:rsidRPr="00B6145B" w:rsidTr="00B56106">
        <w:tc>
          <w:tcPr>
            <w:tcW w:w="4338" w:type="dxa"/>
          </w:tcPr>
          <w:p w:rsidR="00B56106" w:rsidRPr="00A4260E" w:rsidRDefault="007333FF" w:rsidP="00B56106">
            <w:pPr>
              <w:tabs>
                <w:tab w:val="left" w:pos="-1440"/>
                <w:tab w:val="left" w:pos="-720"/>
              </w:tabs>
              <w:jc w:val="both"/>
              <w:rPr>
                <w:b/>
                <w:sz w:val="20"/>
                <w:szCs w:val="20"/>
              </w:rPr>
            </w:pP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r w:rsidR="00B56106" w:rsidRPr="00A4260E">
              <w:rPr>
                <w:b/>
                <w:bCs/>
                <w:sz w:val="20"/>
                <w:szCs w:val="20"/>
              </w:rPr>
              <w:t>Motion to substitute parties</w:t>
            </w: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p>
        </w:tc>
        <w:tc>
          <w:tcPr>
            <w:tcW w:w="1170" w:type="dxa"/>
          </w:tcPr>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tc>
        <w:tc>
          <w:tcPr>
            <w:tcW w:w="4327" w:type="dxa"/>
          </w:tcPr>
          <w:p w:rsidR="00B56106" w:rsidRPr="00A4260E" w:rsidRDefault="007333FF" w:rsidP="00B56106">
            <w:pPr>
              <w:tabs>
                <w:tab w:val="left" w:pos="-1440"/>
                <w:tab w:val="left" w:pos="-720"/>
              </w:tabs>
              <w:jc w:val="both"/>
              <w:rPr>
                <w:b/>
                <w:sz w:val="20"/>
                <w:szCs w:val="20"/>
                <w:lang w:val="fr-CA"/>
              </w:rPr>
            </w:pP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r w:rsidR="00B56106" w:rsidRPr="00A4260E">
              <w:rPr>
                <w:b/>
                <w:bCs/>
                <w:sz w:val="20"/>
                <w:szCs w:val="20"/>
                <w:lang w:val="fr-CA"/>
              </w:rPr>
              <w:t>Requête en substitution d’une partie</w:t>
            </w:r>
            <w:r w:rsidRPr="00A4260E">
              <w:rPr>
                <w:b/>
                <w:sz w:val="20"/>
                <w:szCs w:val="20"/>
              </w:rPr>
              <w:fldChar w:fldCharType="begin"/>
            </w:r>
            <w:r w:rsidR="00B56106" w:rsidRPr="00A4260E">
              <w:rPr>
                <w:b/>
                <w:sz w:val="20"/>
                <w:szCs w:val="20"/>
                <w:lang w:val="fr-CA"/>
              </w:rPr>
              <w:instrText xml:space="preserve"> SEQ CHAPTER \h \r 1</w:instrText>
            </w:r>
            <w:r w:rsidRPr="00A4260E">
              <w:rPr>
                <w:b/>
                <w:sz w:val="20"/>
                <w:szCs w:val="20"/>
              </w:rPr>
              <w:fldChar w:fldCharType="end"/>
            </w:r>
            <w:r w:rsidRPr="00A4260E">
              <w:rPr>
                <w:b/>
                <w:sz w:val="20"/>
                <w:szCs w:val="20"/>
              </w:rPr>
              <w:fldChar w:fldCharType="begin"/>
            </w:r>
            <w:r w:rsidR="00B56106" w:rsidRPr="00A4260E">
              <w:rPr>
                <w:b/>
                <w:sz w:val="20"/>
                <w:szCs w:val="20"/>
                <w:lang w:val="fr-CA"/>
              </w:rPr>
              <w:instrText xml:space="preserve"> SEQ CHAPTER \h \r 1</w:instrText>
            </w:r>
            <w:r w:rsidRPr="00A4260E">
              <w:rPr>
                <w:b/>
                <w:sz w:val="20"/>
                <w:szCs w:val="20"/>
              </w:rPr>
              <w:fldChar w:fldCharType="end"/>
            </w:r>
            <w:r w:rsidRPr="00A4260E">
              <w:rPr>
                <w:b/>
                <w:sz w:val="20"/>
                <w:szCs w:val="20"/>
              </w:rPr>
              <w:fldChar w:fldCharType="begin"/>
            </w:r>
            <w:r w:rsidR="00B56106" w:rsidRPr="00A4260E">
              <w:rPr>
                <w:b/>
                <w:sz w:val="20"/>
                <w:szCs w:val="20"/>
                <w:lang w:val="fr-CA"/>
              </w:rPr>
              <w:instrText xml:space="preserve"> SEQ CHAPTER \h \r 1</w:instrText>
            </w:r>
            <w:r w:rsidRPr="00A4260E">
              <w:rPr>
                <w:b/>
                <w:sz w:val="20"/>
                <w:szCs w:val="20"/>
              </w:rPr>
              <w:fldChar w:fldCharType="end"/>
            </w:r>
          </w:p>
        </w:tc>
      </w:tr>
      <w:tr w:rsidR="00B56106" w:rsidRPr="00B6145B" w:rsidTr="00B56106">
        <w:tc>
          <w:tcPr>
            <w:tcW w:w="4338" w:type="dxa"/>
          </w:tcPr>
          <w:p w:rsidR="00B56106" w:rsidRPr="00A4260E" w:rsidRDefault="00B56106" w:rsidP="00B56106">
            <w:pPr>
              <w:tabs>
                <w:tab w:val="left" w:pos="-1440"/>
                <w:tab w:val="left" w:pos="-720"/>
              </w:tabs>
              <w:jc w:val="both"/>
              <w:rPr>
                <w:sz w:val="20"/>
                <w:szCs w:val="20"/>
                <w:lang w:val="fr-CA"/>
              </w:rPr>
            </w:pPr>
            <w:r w:rsidRPr="00A4260E">
              <w:rPr>
                <w:sz w:val="20"/>
                <w:szCs w:val="20"/>
                <w:lang w:val="fr-CA"/>
              </w:rPr>
              <w:t>Agence du Revenu du Québec</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ab/>
              <w:t>c. (34393)</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Jean Riopel et autres (Qc)</w:t>
            </w:r>
          </w:p>
        </w:tc>
        <w:tc>
          <w:tcPr>
            <w:tcW w:w="1170" w:type="dxa"/>
          </w:tcPr>
          <w:p w:rsidR="00B56106" w:rsidRPr="00A4260E" w:rsidRDefault="00B56106" w:rsidP="00B56106">
            <w:pPr>
              <w:tabs>
                <w:tab w:val="left" w:pos="-1440"/>
                <w:tab w:val="left" w:pos="-720"/>
              </w:tabs>
              <w:jc w:val="both"/>
              <w:rPr>
                <w:sz w:val="20"/>
                <w:szCs w:val="20"/>
                <w:lang w:val="fr-CA"/>
              </w:rPr>
            </w:pPr>
          </w:p>
        </w:tc>
        <w:tc>
          <w:tcPr>
            <w:tcW w:w="4327" w:type="dxa"/>
          </w:tcPr>
          <w:p w:rsidR="00B56106" w:rsidRPr="00A4260E" w:rsidRDefault="00B56106" w:rsidP="00B56106">
            <w:pPr>
              <w:tabs>
                <w:tab w:val="left" w:pos="-1440"/>
                <w:tab w:val="left" w:pos="-720"/>
              </w:tabs>
              <w:jc w:val="both"/>
              <w:rPr>
                <w:sz w:val="20"/>
                <w:szCs w:val="20"/>
                <w:lang w:val="fr-CA"/>
              </w:rPr>
            </w:pPr>
          </w:p>
        </w:tc>
      </w:tr>
    </w:tbl>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b/>
          <w:sz w:val="20"/>
          <w:szCs w:val="20"/>
          <w:lang w:val="fr-CA"/>
        </w:rPr>
      </w:pPr>
      <w:r w:rsidRPr="00A4260E">
        <w:rPr>
          <w:b/>
          <w:sz w:val="20"/>
          <w:szCs w:val="20"/>
          <w:lang w:val="fr-CA"/>
        </w:rPr>
        <w:t>GRANTED / ACCORDÉE</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spacing w:line="233" w:lineRule="auto"/>
        <w:jc w:val="both"/>
        <w:rPr>
          <w:sz w:val="20"/>
          <w:szCs w:val="20"/>
          <w:lang w:val="fr-FR"/>
        </w:rPr>
      </w:pPr>
      <w:r w:rsidRPr="00A4260E">
        <w:rPr>
          <w:b/>
          <w:bCs/>
          <w:sz w:val="20"/>
          <w:szCs w:val="20"/>
          <w:lang w:val="fr-CA"/>
        </w:rPr>
        <w:t xml:space="preserve">À LA SUITE DE LA REQUÊTE </w:t>
      </w:r>
      <w:r w:rsidRPr="00A4260E">
        <w:rPr>
          <w:bCs/>
          <w:sz w:val="20"/>
          <w:szCs w:val="20"/>
          <w:lang w:val="fr-CA"/>
        </w:rPr>
        <w:t>présentée par le procureur général du Canada pour qu’il soit substitué à l’Agence du revenu du Canada à titre de partie, pour que soit modifié son statut de sorte qu’il soit intervenant et pour qu’il soit autorisé à déposer et à signifier un mémoire de même qu’à présenter une plaidoirie orale;</w:t>
      </w:r>
    </w:p>
    <w:p w:rsidR="00B56106" w:rsidRPr="00A4260E" w:rsidRDefault="00B56106" w:rsidP="00B56106">
      <w:pPr>
        <w:spacing w:line="233" w:lineRule="auto"/>
        <w:jc w:val="both"/>
        <w:rPr>
          <w:b/>
          <w:bCs/>
          <w:sz w:val="20"/>
          <w:szCs w:val="20"/>
          <w:lang w:val="fr-CA"/>
        </w:rPr>
      </w:pPr>
    </w:p>
    <w:p w:rsidR="00B56106" w:rsidRPr="00A4260E" w:rsidRDefault="00B56106" w:rsidP="00B56106">
      <w:pPr>
        <w:spacing w:line="233" w:lineRule="auto"/>
        <w:jc w:val="both"/>
        <w:rPr>
          <w:sz w:val="20"/>
          <w:szCs w:val="20"/>
          <w:lang w:val="fr-CA"/>
        </w:rPr>
      </w:pPr>
      <w:r w:rsidRPr="00A4260E">
        <w:rPr>
          <w:b/>
          <w:bCs/>
          <w:sz w:val="20"/>
          <w:szCs w:val="20"/>
          <w:lang w:val="fr-CA"/>
        </w:rPr>
        <w:t xml:space="preserve">ET APRÈS EXAMEN </w:t>
      </w:r>
      <w:r w:rsidRPr="00A4260E">
        <w:rPr>
          <w:sz w:val="20"/>
          <w:szCs w:val="20"/>
          <w:lang w:val="fr-CA"/>
        </w:rPr>
        <w:t xml:space="preserve">des documents déposés; </w:t>
      </w:r>
    </w:p>
    <w:p w:rsidR="00B56106" w:rsidRPr="00A4260E" w:rsidRDefault="00B56106" w:rsidP="00B56106">
      <w:pPr>
        <w:spacing w:line="233" w:lineRule="auto"/>
        <w:jc w:val="both"/>
        <w:rPr>
          <w:sz w:val="20"/>
          <w:szCs w:val="20"/>
          <w:lang w:val="fr-CA"/>
        </w:rPr>
      </w:pPr>
    </w:p>
    <w:p w:rsidR="00B56106" w:rsidRPr="00A4260E" w:rsidRDefault="00B56106" w:rsidP="00B56106">
      <w:pPr>
        <w:spacing w:line="233" w:lineRule="auto"/>
        <w:jc w:val="both"/>
        <w:rPr>
          <w:sz w:val="20"/>
          <w:szCs w:val="20"/>
          <w:lang w:val="fr-CA"/>
        </w:rPr>
      </w:pPr>
      <w:r w:rsidRPr="00A4260E">
        <w:rPr>
          <w:b/>
          <w:bCs/>
          <w:sz w:val="20"/>
          <w:szCs w:val="20"/>
          <w:lang w:val="fr-CA"/>
        </w:rPr>
        <w:t xml:space="preserve">IL EST ORDONNÉ CE QUI SUIT : </w:t>
      </w:r>
    </w:p>
    <w:p w:rsidR="00B56106" w:rsidRPr="00A4260E" w:rsidRDefault="00B56106" w:rsidP="00B56106">
      <w:pPr>
        <w:spacing w:line="233" w:lineRule="auto"/>
        <w:jc w:val="both"/>
        <w:rPr>
          <w:sz w:val="20"/>
          <w:szCs w:val="20"/>
          <w:lang w:val="fr-CA"/>
        </w:rPr>
      </w:pPr>
    </w:p>
    <w:p w:rsidR="00B56106" w:rsidRPr="00A4260E" w:rsidRDefault="00B56106" w:rsidP="00B56106">
      <w:pPr>
        <w:spacing w:line="233" w:lineRule="auto"/>
        <w:jc w:val="both"/>
        <w:rPr>
          <w:sz w:val="20"/>
          <w:szCs w:val="20"/>
          <w:lang w:val="fr-CA"/>
        </w:rPr>
      </w:pPr>
      <w:r w:rsidRPr="00A4260E">
        <w:rPr>
          <w:sz w:val="20"/>
          <w:szCs w:val="20"/>
          <w:lang w:val="fr-CA"/>
        </w:rPr>
        <w:t>La requête présentée par le procureur général du Canada pour qu’il soit substitué à l’Agence du revenu du Canada est accueillie.</w:t>
      </w:r>
    </w:p>
    <w:p w:rsidR="00B56106" w:rsidRPr="00A4260E" w:rsidRDefault="00B56106" w:rsidP="00B56106">
      <w:pPr>
        <w:spacing w:line="233" w:lineRule="auto"/>
        <w:jc w:val="both"/>
        <w:rPr>
          <w:sz w:val="20"/>
          <w:szCs w:val="20"/>
          <w:lang w:val="fr-CA"/>
        </w:rPr>
      </w:pPr>
    </w:p>
    <w:p w:rsidR="00B56106" w:rsidRPr="00A4260E" w:rsidRDefault="00B56106" w:rsidP="00B56106">
      <w:pPr>
        <w:spacing w:line="233" w:lineRule="auto"/>
        <w:jc w:val="both"/>
        <w:rPr>
          <w:sz w:val="20"/>
          <w:szCs w:val="20"/>
          <w:lang w:val="fr-CA"/>
        </w:rPr>
      </w:pPr>
      <w:r w:rsidRPr="00A4260E">
        <w:rPr>
          <w:sz w:val="20"/>
          <w:szCs w:val="20"/>
          <w:lang w:val="fr-CA"/>
        </w:rPr>
        <w:t>La requête en modification de statut présentée par le procureur général du Canada</w:t>
      </w:r>
      <w:r w:rsidR="007333FF" w:rsidRPr="00A4260E">
        <w:rPr>
          <w:sz w:val="20"/>
          <w:szCs w:val="20"/>
        </w:rPr>
        <w:fldChar w:fldCharType="begin"/>
      </w:r>
      <w:r w:rsidRPr="00A4260E">
        <w:rPr>
          <w:sz w:val="20"/>
          <w:szCs w:val="20"/>
          <w:lang w:val="fr-FR"/>
        </w:rPr>
        <w:instrText xml:space="preserve"> SEQ CHAPTER \h \r 1</w:instrText>
      </w:r>
      <w:r w:rsidR="007333FF" w:rsidRPr="00A4260E">
        <w:rPr>
          <w:sz w:val="20"/>
          <w:szCs w:val="20"/>
        </w:rPr>
        <w:fldChar w:fldCharType="end"/>
      </w:r>
      <w:r w:rsidRPr="00A4260E">
        <w:rPr>
          <w:sz w:val="20"/>
          <w:szCs w:val="20"/>
          <w:lang w:val="fr-FR"/>
        </w:rPr>
        <w:t xml:space="preserve"> </w:t>
      </w:r>
      <w:r w:rsidRPr="00A4260E">
        <w:rPr>
          <w:sz w:val="20"/>
          <w:szCs w:val="20"/>
          <w:lang w:val="fr-CA"/>
        </w:rPr>
        <w:t>est accueillie et cet intervenant est autorisé à signifier et à déposer un mémoire d’au plus 10 pages au plus tard le 23 août 2012.</w:t>
      </w:r>
    </w:p>
    <w:p w:rsidR="00B56106" w:rsidRPr="00A4260E" w:rsidRDefault="00B56106" w:rsidP="00B56106">
      <w:pPr>
        <w:spacing w:line="233" w:lineRule="auto"/>
        <w:jc w:val="both"/>
        <w:rPr>
          <w:sz w:val="20"/>
          <w:szCs w:val="20"/>
          <w:lang w:val="fr-CA"/>
        </w:rPr>
      </w:pPr>
    </w:p>
    <w:p w:rsidR="00B56106" w:rsidRPr="00A4260E" w:rsidRDefault="00B56106" w:rsidP="00B56106">
      <w:pPr>
        <w:spacing w:line="233" w:lineRule="auto"/>
        <w:jc w:val="both"/>
        <w:rPr>
          <w:sz w:val="20"/>
          <w:szCs w:val="20"/>
          <w:lang w:val="fr-CA"/>
        </w:rPr>
      </w:pPr>
      <w:r w:rsidRPr="00A4260E">
        <w:rPr>
          <w:sz w:val="20"/>
          <w:szCs w:val="20"/>
          <w:lang w:val="fr-CA"/>
        </w:rPr>
        <w:t>La requête en vue de présenter une plaidoirie orale est rejetée.</w:t>
      </w:r>
    </w:p>
    <w:p w:rsidR="00B56106" w:rsidRPr="00A4260E" w:rsidRDefault="00B56106" w:rsidP="00B56106">
      <w:pPr>
        <w:spacing w:line="233" w:lineRule="auto"/>
        <w:jc w:val="both"/>
        <w:rPr>
          <w:sz w:val="20"/>
          <w:szCs w:val="20"/>
          <w:lang w:val="fr-CA"/>
        </w:rPr>
      </w:pPr>
    </w:p>
    <w:p w:rsidR="00B56106" w:rsidRPr="00A4260E" w:rsidRDefault="00B56106" w:rsidP="00B56106">
      <w:pPr>
        <w:shd w:val="clear" w:color="auto" w:fill="FFFFFF"/>
        <w:jc w:val="both"/>
        <w:rPr>
          <w:bCs/>
          <w:sz w:val="20"/>
          <w:szCs w:val="20"/>
          <w:lang w:val="fr-FR"/>
        </w:rPr>
      </w:pPr>
      <w:r w:rsidRPr="00A4260E">
        <w:rPr>
          <w:bCs/>
          <w:sz w:val="20"/>
          <w:szCs w:val="20"/>
          <w:lang w:val="fr-FR"/>
        </w:rPr>
        <w:t>L’intervenant n'a pas le droit de soulever de nouvelles questions, de produire d'autres éléments de preuve ni de compléter de quelque autre façon le dossier des parties.</w:t>
      </w:r>
    </w:p>
    <w:p w:rsidR="00B56106" w:rsidRPr="00A4260E" w:rsidRDefault="00B56106" w:rsidP="00B56106">
      <w:pPr>
        <w:shd w:val="clear" w:color="auto" w:fill="FFFFFF"/>
        <w:jc w:val="both"/>
        <w:rPr>
          <w:sz w:val="20"/>
          <w:szCs w:val="20"/>
          <w:lang w:val="fr-FR"/>
        </w:rPr>
      </w:pPr>
    </w:p>
    <w:p w:rsidR="00B56106" w:rsidRPr="00A4260E" w:rsidRDefault="00B56106" w:rsidP="00B56106">
      <w:pPr>
        <w:spacing w:line="233" w:lineRule="auto"/>
        <w:jc w:val="both"/>
        <w:rPr>
          <w:sz w:val="20"/>
          <w:szCs w:val="20"/>
          <w:lang w:val="fr-CA"/>
        </w:rPr>
      </w:pPr>
      <w:r w:rsidRPr="00A4260E">
        <w:rPr>
          <w:sz w:val="20"/>
          <w:szCs w:val="20"/>
          <w:lang w:val="fr-CA"/>
        </w:rPr>
        <w:t>Conformément à l’al. 59(1)</w:t>
      </w:r>
      <w:r w:rsidRPr="00A4260E">
        <w:rPr>
          <w:i/>
          <w:iCs/>
          <w:sz w:val="20"/>
          <w:szCs w:val="20"/>
          <w:lang w:val="fr-CA"/>
        </w:rPr>
        <w:t>a</w:t>
      </w:r>
      <w:r w:rsidRPr="00A4260E">
        <w:rPr>
          <w:sz w:val="20"/>
          <w:szCs w:val="20"/>
          <w:lang w:val="fr-CA"/>
        </w:rPr>
        <w:t xml:space="preserve">) des </w:t>
      </w:r>
      <w:r w:rsidRPr="00A4260E">
        <w:rPr>
          <w:i/>
          <w:iCs/>
          <w:sz w:val="20"/>
          <w:szCs w:val="20"/>
          <w:lang w:val="fr-CA"/>
        </w:rPr>
        <w:t>Règles de la Cour suprême du Canada</w:t>
      </w:r>
      <w:r w:rsidRPr="00A4260E">
        <w:rPr>
          <w:sz w:val="20"/>
          <w:szCs w:val="20"/>
          <w:lang w:val="fr-CA"/>
        </w:rPr>
        <w:t>, l’intervenant paiera à l’appelante et aux intimés tous les débours supplémentaires résultant de son intervention.</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spacing w:line="233" w:lineRule="auto"/>
        <w:jc w:val="both"/>
        <w:rPr>
          <w:sz w:val="20"/>
          <w:szCs w:val="20"/>
        </w:rPr>
      </w:pPr>
      <w:r w:rsidRPr="00A4260E">
        <w:rPr>
          <w:b/>
          <w:bCs/>
          <w:sz w:val="20"/>
          <w:szCs w:val="20"/>
        </w:rPr>
        <w:t>UPON A MOTION</w:t>
      </w:r>
      <w:r w:rsidRPr="00A4260E">
        <w:rPr>
          <w:bCs/>
          <w:sz w:val="20"/>
          <w:szCs w:val="20"/>
        </w:rPr>
        <w:t xml:space="preserve"> by the Attorney General of Canada to be substituted for the Canada Revenue Agency as a party, to change its status to that of intervener and for an order granting permission to serve and file a factum and to present oral argument;</w:t>
      </w:r>
    </w:p>
    <w:p w:rsidR="00B56106" w:rsidRPr="00A4260E" w:rsidRDefault="00B56106" w:rsidP="00B56106">
      <w:pPr>
        <w:spacing w:line="233" w:lineRule="auto"/>
        <w:jc w:val="both"/>
        <w:rPr>
          <w:b/>
          <w:bCs/>
          <w:sz w:val="20"/>
          <w:szCs w:val="20"/>
        </w:rPr>
      </w:pPr>
    </w:p>
    <w:p w:rsidR="00B56106" w:rsidRPr="00A4260E" w:rsidRDefault="00B56106" w:rsidP="00B56106">
      <w:pPr>
        <w:spacing w:line="233" w:lineRule="auto"/>
        <w:jc w:val="both"/>
        <w:rPr>
          <w:sz w:val="20"/>
          <w:szCs w:val="20"/>
        </w:rPr>
      </w:pPr>
      <w:r w:rsidRPr="00A4260E">
        <w:rPr>
          <w:b/>
          <w:bCs/>
          <w:sz w:val="20"/>
          <w:szCs w:val="20"/>
        </w:rPr>
        <w:t>AND HAVING READ</w:t>
      </w:r>
      <w:r w:rsidRPr="00A4260E">
        <w:rPr>
          <w:bCs/>
          <w:sz w:val="20"/>
          <w:szCs w:val="20"/>
        </w:rPr>
        <w:t xml:space="preserve"> the material filed</w:t>
      </w:r>
      <w:r w:rsidRPr="00A4260E">
        <w:rPr>
          <w:sz w:val="20"/>
          <w:szCs w:val="20"/>
        </w:rPr>
        <w:t xml:space="preserve">; </w:t>
      </w:r>
    </w:p>
    <w:p w:rsidR="00B56106" w:rsidRPr="00A4260E" w:rsidRDefault="00B56106" w:rsidP="00B56106">
      <w:pPr>
        <w:spacing w:line="233" w:lineRule="auto"/>
        <w:jc w:val="both"/>
        <w:rPr>
          <w:sz w:val="20"/>
          <w:szCs w:val="20"/>
        </w:rPr>
      </w:pPr>
    </w:p>
    <w:p w:rsidR="00B56106" w:rsidRPr="00A4260E" w:rsidRDefault="00B56106" w:rsidP="00B56106">
      <w:pPr>
        <w:jc w:val="both"/>
        <w:rPr>
          <w:sz w:val="20"/>
          <w:szCs w:val="20"/>
        </w:rPr>
      </w:pPr>
      <w:r w:rsidRPr="00A4260E">
        <w:rPr>
          <w:b/>
          <w:bCs/>
          <w:sz w:val="20"/>
          <w:szCs w:val="20"/>
        </w:rPr>
        <w:t>IT IS HEREBY ORDERED THAT:</w:t>
      </w:r>
      <w:r w:rsidRPr="00A4260E">
        <w:rPr>
          <w:bCs/>
          <w:sz w:val="20"/>
          <w:szCs w:val="20"/>
        </w:rPr>
        <w:t xml:space="preserve"> </w:t>
      </w:r>
    </w:p>
    <w:p w:rsidR="00B56106" w:rsidRPr="00A4260E" w:rsidRDefault="00B56106" w:rsidP="00B56106">
      <w:pPr>
        <w:spacing w:line="233" w:lineRule="auto"/>
        <w:jc w:val="both"/>
        <w:rPr>
          <w:sz w:val="20"/>
          <w:szCs w:val="20"/>
        </w:rPr>
      </w:pPr>
    </w:p>
    <w:p w:rsidR="00B56106" w:rsidRPr="00A4260E" w:rsidRDefault="00B56106" w:rsidP="00B56106">
      <w:pPr>
        <w:spacing w:line="233" w:lineRule="auto"/>
        <w:jc w:val="both"/>
        <w:rPr>
          <w:sz w:val="20"/>
          <w:szCs w:val="20"/>
        </w:rPr>
      </w:pPr>
      <w:r w:rsidRPr="00A4260E">
        <w:rPr>
          <w:sz w:val="20"/>
          <w:szCs w:val="20"/>
        </w:rPr>
        <w:t>The motion by the Attorney General of Canada to be substituted as a party for the Canada Revenue Agency is granted.</w:t>
      </w:r>
    </w:p>
    <w:p w:rsidR="00B56106" w:rsidRPr="00A4260E" w:rsidRDefault="00B56106" w:rsidP="00B56106">
      <w:pPr>
        <w:tabs>
          <w:tab w:val="left" w:pos="1603"/>
        </w:tabs>
        <w:spacing w:line="233" w:lineRule="auto"/>
        <w:jc w:val="both"/>
        <w:rPr>
          <w:sz w:val="20"/>
          <w:szCs w:val="20"/>
          <w:highlight w:val="cyan"/>
        </w:rPr>
      </w:pPr>
    </w:p>
    <w:p w:rsidR="00B56106" w:rsidRPr="00A4260E" w:rsidRDefault="00B56106" w:rsidP="00B56106">
      <w:pPr>
        <w:spacing w:line="233" w:lineRule="auto"/>
        <w:jc w:val="both"/>
        <w:rPr>
          <w:sz w:val="20"/>
          <w:szCs w:val="20"/>
        </w:rPr>
      </w:pPr>
      <w:r w:rsidRPr="00A4260E">
        <w:rPr>
          <w:sz w:val="20"/>
          <w:szCs w:val="20"/>
        </w:rPr>
        <w:t xml:space="preserve">The motion </w:t>
      </w:r>
      <w:r w:rsidRPr="00A4260E">
        <w:rPr>
          <w:bCs/>
          <w:sz w:val="20"/>
          <w:szCs w:val="20"/>
        </w:rPr>
        <w:t>by the Attorney General of Canada to change its status to that of intervener is granted and the said intervener shall be entitled to serve and file a factum not to exceed 10 pages in length on or before August 23, 2012.</w:t>
      </w:r>
      <w:r w:rsidR="007333FF" w:rsidRPr="00A4260E">
        <w:rPr>
          <w:sz w:val="20"/>
          <w:szCs w:val="20"/>
        </w:rPr>
        <w:fldChar w:fldCharType="begin"/>
      </w:r>
      <w:r w:rsidRPr="00A4260E">
        <w:rPr>
          <w:sz w:val="20"/>
          <w:szCs w:val="20"/>
        </w:rPr>
        <w:instrText xml:space="preserve"> SEQ CHAPTER \h \r 1</w:instrText>
      </w:r>
      <w:r w:rsidR="007333FF" w:rsidRPr="00A4260E">
        <w:rPr>
          <w:sz w:val="20"/>
          <w:szCs w:val="20"/>
        </w:rPr>
        <w:fldChar w:fldCharType="end"/>
      </w:r>
    </w:p>
    <w:p w:rsidR="00B56106" w:rsidRPr="00A4260E" w:rsidRDefault="00B56106" w:rsidP="00B56106">
      <w:pPr>
        <w:spacing w:line="233" w:lineRule="auto"/>
        <w:jc w:val="both"/>
        <w:rPr>
          <w:sz w:val="20"/>
          <w:szCs w:val="20"/>
        </w:rPr>
      </w:pPr>
    </w:p>
    <w:p w:rsidR="00B56106" w:rsidRPr="00A4260E" w:rsidRDefault="00B56106" w:rsidP="00B56106">
      <w:pPr>
        <w:spacing w:line="233" w:lineRule="auto"/>
        <w:jc w:val="both"/>
        <w:rPr>
          <w:sz w:val="20"/>
          <w:szCs w:val="20"/>
        </w:rPr>
      </w:pPr>
      <w:r w:rsidRPr="00A4260E">
        <w:rPr>
          <w:sz w:val="20"/>
          <w:szCs w:val="20"/>
        </w:rPr>
        <w:t>The request to present oral argument is dismissed.</w:t>
      </w:r>
    </w:p>
    <w:p w:rsidR="00B56106" w:rsidRPr="00A4260E" w:rsidRDefault="00B56106" w:rsidP="00B56106">
      <w:pPr>
        <w:spacing w:line="233" w:lineRule="auto"/>
        <w:jc w:val="both"/>
        <w:rPr>
          <w:sz w:val="20"/>
          <w:szCs w:val="20"/>
        </w:rPr>
      </w:pPr>
    </w:p>
    <w:p w:rsidR="00B56106" w:rsidRPr="00A4260E" w:rsidRDefault="00B56106" w:rsidP="00B56106">
      <w:pPr>
        <w:shd w:val="clear" w:color="auto" w:fill="FFFFFF"/>
        <w:jc w:val="both"/>
        <w:rPr>
          <w:bCs/>
          <w:sz w:val="20"/>
          <w:szCs w:val="20"/>
        </w:rPr>
      </w:pPr>
      <w:r w:rsidRPr="00A4260E">
        <w:rPr>
          <w:bCs/>
          <w:sz w:val="20"/>
          <w:szCs w:val="20"/>
        </w:rPr>
        <w:t>The intervener shall not be entitled to raise new issues or to adduce further evidence or otherwise to supplement the record of the parties.</w:t>
      </w:r>
    </w:p>
    <w:p w:rsidR="00B56106" w:rsidRPr="00A4260E" w:rsidRDefault="00B56106" w:rsidP="00B56106">
      <w:pPr>
        <w:shd w:val="clear" w:color="auto" w:fill="FFFFFF"/>
        <w:jc w:val="both"/>
        <w:rPr>
          <w:sz w:val="20"/>
          <w:szCs w:val="20"/>
        </w:rPr>
      </w:pPr>
    </w:p>
    <w:p w:rsidR="00B56106" w:rsidRPr="00A4260E" w:rsidRDefault="00B56106" w:rsidP="00B56106">
      <w:pPr>
        <w:spacing w:line="233" w:lineRule="auto"/>
        <w:jc w:val="both"/>
        <w:rPr>
          <w:sz w:val="20"/>
          <w:szCs w:val="20"/>
        </w:rPr>
      </w:pPr>
      <w:r w:rsidRPr="00A4260E">
        <w:rPr>
          <w:sz w:val="20"/>
          <w:szCs w:val="20"/>
        </w:rPr>
        <w:t>Pursuant to Rule 59(1)(</w:t>
      </w:r>
      <w:r w:rsidRPr="00A4260E">
        <w:rPr>
          <w:i/>
          <w:sz w:val="20"/>
          <w:szCs w:val="20"/>
        </w:rPr>
        <w:t>a</w:t>
      </w:r>
      <w:r w:rsidRPr="00A4260E">
        <w:rPr>
          <w:sz w:val="20"/>
          <w:szCs w:val="20"/>
        </w:rPr>
        <w:t xml:space="preserve">) of the </w:t>
      </w:r>
      <w:r w:rsidRPr="00A4260E">
        <w:rPr>
          <w:i/>
          <w:sz w:val="20"/>
          <w:szCs w:val="20"/>
        </w:rPr>
        <w:t>Rules of the</w:t>
      </w:r>
      <w:r w:rsidRPr="00A4260E">
        <w:rPr>
          <w:sz w:val="20"/>
          <w:szCs w:val="20"/>
        </w:rPr>
        <w:t xml:space="preserve"> </w:t>
      </w:r>
      <w:r w:rsidRPr="00A4260E">
        <w:rPr>
          <w:i/>
          <w:sz w:val="20"/>
          <w:szCs w:val="20"/>
        </w:rPr>
        <w:t>Supreme Court of Canada</w:t>
      </w:r>
      <w:r w:rsidRPr="00A4260E">
        <w:rPr>
          <w:sz w:val="20"/>
          <w:szCs w:val="20"/>
        </w:rPr>
        <w:t xml:space="preserve"> the intervener shall pay to the appellant and respondent any additional disbursements occasioned to the appellant and respondent by its intervention.</w:t>
      </w:r>
    </w:p>
    <w:p w:rsidR="00B56106" w:rsidRPr="00A4260E" w:rsidRDefault="00B56106" w:rsidP="00B56106">
      <w:pPr>
        <w:tabs>
          <w:tab w:val="left" w:pos="-1440"/>
          <w:tab w:val="left" w:pos="-720"/>
        </w:tabs>
        <w:jc w:val="both"/>
        <w:rPr>
          <w:sz w:val="20"/>
          <w:szCs w:val="20"/>
        </w:rPr>
      </w:pPr>
    </w:p>
    <w:p w:rsidR="00B56106" w:rsidRPr="00A4260E" w:rsidRDefault="007333FF" w:rsidP="00B56106">
      <w:pPr>
        <w:tabs>
          <w:tab w:val="left" w:pos="-1440"/>
          <w:tab w:val="left" w:pos="-720"/>
        </w:tabs>
        <w:jc w:val="both"/>
        <w:rPr>
          <w:sz w:val="20"/>
          <w:szCs w:val="20"/>
        </w:rPr>
      </w:pPr>
      <w:r w:rsidRPr="007333FF">
        <w:rPr>
          <w:sz w:val="20"/>
          <w:szCs w:val="20"/>
          <w:lang w:val="fr-CA"/>
        </w:rPr>
        <w:pict>
          <v:rect id="_x0000_i1122" style="width:2in;height:1pt" o:hrpct="0" o:hralign="center" o:hrstd="t" o:hrnoshade="t" o:hr="t" fillcolor="black [3213]" stroked="f"/>
        </w:pic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27.07.2012</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Before / Devant :   LEBEL J. / LE JUGE LEBEL</w:t>
      </w:r>
    </w:p>
    <w:p w:rsidR="00B56106" w:rsidRPr="00A4260E" w:rsidRDefault="00B56106" w:rsidP="00B5610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56106" w:rsidRPr="00B6145B" w:rsidTr="00B56106">
        <w:tc>
          <w:tcPr>
            <w:tcW w:w="4338" w:type="dxa"/>
          </w:tcPr>
          <w:p w:rsidR="00B56106" w:rsidRPr="00A4260E" w:rsidRDefault="007333FF" w:rsidP="00B56106">
            <w:pPr>
              <w:tabs>
                <w:tab w:val="left" w:pos="-1440"/>
                <w:tab w:val="left" w:pos="-720"/>
              </w:tabs>
              <w:jc w:val="both"/>
              <w:rPr>
                <w:b/>
                <w:sz w:val="20"/>
                <w:szCs w:val="20"/>
              </w:rPr>
            </w:pP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r w:rsidR="00B56106" w:rsidRPr="00A4260E">
              <w:rPr>
                <w:b/>
                <w:bCs/>
                <w:sz w:val="20"/>
                <w:szCs w:val="20"/>
              </w:rPr>
              <w:t>Motion to extend time to serve and file the respondent’s factum and book of authorities to July 20, 2012 and for an order pursuant to Rule 71(3) permitting oral argument at the hearing of the appeal</w:t>
            </w: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p>
        </w:tc>
        <w:tc>
          <w:tcPr>
            <w:tcW w:w="1170" w:type="dxa"/>
          </w:tcPr>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tc>
        <w:tc>
          <w:tcPr>
            <w:tcW w:w="4327" w:type="dxa"/>
          </w:tcPr>
          <w:p w:rsidR="00B56106" w:rsidRPr="00A4260E" w:rsidRDefault="007333FF" w:rsidP="00B56106">
            <w:pPr>
              <w:tabs>
                <w:tab w:val="left" w:pos="-1440"/>
                <w:tab w:val="left" w:pos="-720"/>
              </w:tabs>
              <w:jc w:val="both"/>
              <w:rPr>
                <w:b/>
                <w:sz w:val="20"/>
                <w:szCs w:val="20"/>
                <w:lang w:val="fr-CA"/>
              </w:rPr>
            </w:pP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r w:rsidR="00B56106" w:rsidRPr="00A4260E">
              <w:rPr>
                <w:b/>
                <w:bCs/>
                <w:sz w:val="20"/>
                <w:szCs w:val="20"/>
                <w:lang w:val="fr-CA"/>
              </w:rPr>
              <w:t xml:space="preserve">Requête de l'intimé en prorogation du délai de signification et de dépôt de ses mémoire et recueil de sources jusqu'au 20 juillet 2012, et en vue de présenter une plaidoirie orale lors de l'audition en vertu du par. 71(3) des </w:t>
            </w:r>
            <w:r w:rsidR="00B56106" w:rsidRPr="00A4260E">
              <w:rPr>
                <w:b/>
                <w:bCs/>
                <w:i/>
                <w:iCs/>
                <w:sz w:val="20"/>
                <w:szCs w:val="20"/>
                <w:lang w:val="fr-CA"/>
              </w:rPr>
              <w:t>Règles</w:t>
            </w: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r w:rsidRPr="00A4260E">
              <w:rPr>
                <w:b/>
                <w:sz w:val="20"/>
                <w:szCs w:val="20"/>
              </w:rPr>
              <w:fldChar w:fldCharType="begin"/>
            </w:r>
            <w:r w:rsidR="00B56106" w:rsidRPr="00A4260E">
              <w:rPr>
                <w:b/>
                <w:sz w:val="20"/>
                <w:szCs w:val="20"/>
                <w:lang w:val="fr-CA"/>
              </w:rPr>
              <w:instrText xml:space="preserve"> SEQ CHAPTER \h \r 1</w:instrText>
            </w:r>
            <w:r w:rsidRPr="00A4260E">
              <w:rPr>
                <w:b/>
                <w:sz w:val="20"/>
                <w:szCs w:val="20"/>
              </w:rPr>
              <w:fldChar w:fldCharType="end"/>
            </w:r>
            <w:r w:rsidRPr="00A4260E">
              <w:rPr>
                <w:b/>
                <w:sz w:val="20"/>
                <w:szCs w:val="20"/>
              </w:rPr>
              <w:fldChar w:fldCharType="begin"/>
            </w:r>
            <w:r w:rsidR="00B56106" w:rsidRPr="00A4260E">
              <w:rPr>
                <w:b/>
                <w:sz w:val="20"/>
                <w:szCs w:val="20"/>
                <w:lang w:val="fr-CA"/>
              </w:rPr>
              <w:instrText xml:space="preserve"> SEQ CHAPTER \h \r 1</w:instrText>
            </w:r>
            <w:r w:rsidRPr="00A4260E">
              <w:rPr>
                <w:b/>
                <w:sz w:val="20"/>
                <w:szCs w:val="20"/>
              </w:rPr>
              <w:fldChar w:fldCharType="end"/>
            </w:r>
            <w:r w:rsidRPr="00A4260E">
              <w:rPr>
                <w:b/>
                <w:sz w:val="20"/>
                <w:szCs w:val="20"/>
              </w:rPr>
              <w:fldChar w:fldCharType="begin"/>
            </w:r>
            <w:r w:rsidR="00B56106" w:rsidRPr="00A4260E">
              <w:rPr>
                <w:b/>
                <w:sz w:val="20"/>
                <w:szCs w:val="20"/>
                <w:lang w:val="fr-CA"/>
              </w:rPr>
              <w:instrText xml:space="preserve"> SEQ CHAPTER \h \r 1</w:instrText>
            </w:r>
            <w:r w:rsidRPr="00A4260E">
              <w:rPr>
                <w:b/>
                <w:sz w:val="20"/>
                <w:szCs w:val="20"/>
              </w:rPr>
              <w:fldChar w:fldCharType="end"/>
            </w:r>
          </w:p>
        </w:tc>
      </w:tr>
      <w:tr w:rsidR="00B56106" w:rsidRPr="00A4260E" w:rsidTr="00B56106">
        <w:tc>
          <w:tcPr>
            <w:tcW w:w="4338" w:type="dxa"/>
          </w:tcPr>
          <w:p w:rsidR="00B56106" w:rsidRPr="00A4260E" w:rsidRDefault="00B56106" w:rsidP="00B56106">
            <w:pPr>
              <w:tabs>
                <w:tab w:val="left" w:pos="-1440"/>
                <w:tab w:val="left" w:pos="-720"/>
              </w:tabs>
              <w:jc w:val="both"/>
              <w:rPr>
                <w:sz w:val="20"/>
                <w:szCs w:val="20"/>
              </w:rPr>
            </w:pPr>
            <w:r w:rsidRPr="00A4260E">
              <w:rPr>
                <w:sz w:val="20"/>
                <w:szCs w:val="20"/>
              </w:rPr>
              <w:t>Her Majesty the Queen</w: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r w:rsidRPr="00A4260E">
              <w:rPr>
                <w:sz w:val="20"/>
                <w:szCs w:val="20"/>
              </w:rPr>
              <w:tab/>
              <w:t>v. (34694)</w: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r w:rsidRPr="00A4260E">
              <w:rPr>
                <w:sz w:val="20"/>
                <w:szCs w:val="20"/>
              </w:rPr>
              <w:t>Kelly Joseph O’Brien (Crim.) (Man.)</w:t>
            </w:r>
          </w:p>
        </w:tc>
        <w:tc>
          <w:tcPr>
            <w:tcW w:w="1170" w:type="dxa"/>
          </w:tcPr>
          <w:p w:rsidR="00B56106" w:rsidRPr="00A4260E" w:rsidRDefault="00B56106" w:rsidP="00B56106">
            <w:pPr>
              <w:tabs>
                <w:tab w:val="left" w:pos="-1440"/>
                <w:tab w:val="left" w:pos="-720"/>
              </w:tabs>
              <w:jc w:val="both"/>
              <w:rPr>
                <w:sz w:val="20"/>
                <w:szCs w:val="20"/>
              </w:rPr>
            </w:pPr>
          </w:p>
        </w:tc>
        <w:tc>
          <w:tcPr>
            <w:tcW w:w="4327" w:type="dxa"/>
          </w:tcPr>
          <w:p w:rsidR="00B56106" w:rsidRPr="00A4260E" w:rsidRDefault="00B56106" w:rsidP="00B56106">
            <w:pPr>
              <w:tabs>
                <w:tab w:val="left" w:pos="-1440"/>
                <w:tab w:val="left" w:pos="-720"/>
              </w:tabs>
              <w:jc w:val="both"/>
              <w:rPr>
                <w:sz w:val="20"/>
                <w:szCs w:val="20"/>
              </w:rPr>
            </w:pPr>
          </w:p>
        </w:tc>
      </w:tr>
    </w:tbl>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b/>
          <w:sz w:val="20"/>
          <w:szCs w:val="20"/>
        </w:rPr>
      </w:pPr>
      <w:r w:rsidRPr="00A4260E">
        <w:rPr>
          <w:b/>
          <w:sz w:val="20"/>
          <w:szCs w:val="20"/>
        </w:rPr>
        <w:t>GRANTED / ACCORDÉE</w:t>
      </w:r>
    </w:p>
    <w:p w:rsidR="00B56106" w:rsidRPr="00A4260E" w:rsidRDefault="00B56106" w:rsidP="00B56106">
      <w:pPr>
        <w:tabs>
          <w:tab w:val="left" w:pos="-1440"/>
          <w:tab w:val="left" w:pos="-720"/>
        </w:tabs>
        <w:jc w:val="both"/>
        <w:rPr>
          <w:sz w:val="20"/>
          <w:szCs w:val="20"/>
        </w:rPr>
      </w:pPr>
    </w:p>
    <w:p w:rsidR="00B56106" w:rsidRPr="00A4260E" w:rsidRDefault="007333FF" w:rsidP="00B56106">
      <w:pPr>
        <w:tabs>
          <w:tab w:val="left" w:pos="-1440"/>
          <w:tab w:val="left" w:pos="-720"/>
        </w:tabs>
        <w:jc w:val="both"/>
        <w:rPr>
          <w:sz w:val="20"/>
          <w:szCs w:val="20"/>
        </w:rPr>
      </w:pPr>
      <w:r w:rsidRPr="007333FF">
        <w:rPr>
          <w:sz w:val="20"/>
          <w:szCs w:val="20"/>
          <w:lang w:val="fr-CA"/>
        </w:rPr>
        <w:pict>
          <v:rect id="_x0000_i1123" style="width:2in;height:1pt" o:hrpct="0" o:hralign="center" o:hrstd="t" o:hrnoshade="t" o:hr="t" fillcolor="black [3213]" stroked="f"/>
        </w:pic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31.07.2012</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Before / Devant :   LEBEL J. / LE JUGE LEBEL</w:t>
      </w:r>
    </w:p>
    <w:p w:rsidR="00B56106" w:rsidRPr="00A4260E" w:rsidRDefault="00B56106" w:rsidP="00B5610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56106" w:rsidRPr="00B6145B" w:rsidTr="00B56106">
        <w:tc>
          <w:tcPr>
            <w:tcW w:w="4338" w:type="dxa"/>
          </w:tcPr>
          <w:p w:rsidR="00B56106" w:rsidRPr="00A4260E" w:rsidRDefault="007333FF" w:rsidP="00B56106">
            <w:pPr>
              <w:tabs>
                <w:tab w:val="left" w:pos="-1440"/>
                <w:tab w:val="left" w:pos="-720"/>
              </w:tabs>
              <w:jc w:val="both"/>
              <w:rPr>
                <w:b/>
                <w:sz w:val="20"/>
                <w:szCs w:val="20"/>
              </w:rPr>
            </w:pP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r w:rsidR="00B56106" w:rsidRPr="00A4260E">
              <w:rPr>
                <w:b/>
                <w:bCs/>
                <w:sz w:val="20"/>
                <w:szCs w:val="20"/>
              </w:rPr>
              <w:t>Motion to expedite the application for leave</w:t>
            </w: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p>
        </w:tc>
        <w:tc>
          <w:tcPr>
            <w:tcW w:w="1170" w:type="dxa"/>
          </w:tcPr>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tc>
        <w:tc>
          <w:tcPr>
            <w:tcW w:w="4327" w:type="dxa"/>
          </w:tcPr>
          <w:p w:rsidR="00B56106" w:rsidRPr="00A4260E" w:rsidRDefault="007333FF" w:rsidP="00B56106">
            <w:pPr>
              <w:tabs>
                <w:tab w:val="left" w:pos="-1440"/>
                <w:tab w:val="left" w:pos="-720"/>
              </w:tabs>
              <w:jc w:val="both"/>
              <w:rPr>
                <w:b/>
                <w:sz w:val="20"/>
                <w:szCs w:val="20"/>
                <w:lang w:val="fr-CA"/>
              </w:rPr>
            </w:pP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r w:rsidR="00B56106" w:rsidRPr="00A4260E">
              <w:rPr>
                <w:b/>
                <w:bCs/>
                <w:sz w:val="20"/>
                <w:szCs w:val="20"/>
                <w:lang w:val="fr-CA"/>
              </w:rPr>
              <w:t>Requête visant à accélérer la procédure de demande d’autorisation d’appel</w:t>
            </w: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r w:rsidRPr="00A4260E">
              <w:rPr>
                <w:b/>
                <w:sz w:val="20"/>
                <w:szCs w:val="20"/>
              </w:rPr>
              <w:fldChar w:fldCharType="begin"/>
            </w:r>
            <w:r w:rsidR="00B56106" w:rsidRPr="00A4260E">
              <w:rPr>
                <w:b/>
                <w:sz w:val="20"/>
                <w:szCs w:val="20"/>
                <w:lang w:val="fr-CA"/>
              </w:rPr>
              <w:instrText xml:space="preserve"> SEQ CHAPTER \h \r 1</w:instrText>
            </w:r>
            <w:r w:rsidRPr="00A4260E">
              <w:rPr>
                <w:b/>
                <w:sz w:val="20"/>
                <w:szCs w:val="20"/>
              </w:rPr>
              <w:fldChar w:fldCharType="end"/>
            </w:r>
            <w:r w:rsidRPr="00A4260E">
              <w:rPr>
                <w:b/>
                <w:sz w:val="20"/>
                <w:szCs w:val="20"/>
              </w:rPr>
              <w:fldChar w:fldCharType="begin"/>
            </w:r>
            <w:r w:rsidR="00B56106" w:rsidRPr="00A4260E">
              <w:rPr>
                <w:b/>
                <w:sz w:val="20"/>
                <w:szCs w:val="20"/>
                <w:lang w:val="fr-CA"/>
              </w:rPr>
              <w:instrText xml:space="preserve"> SEQ CHAPTER \h \r 1</w:instrText>
            </w:r>
            <w:r w:rsidRPr="00A4260E">
              <w:rPr>
                <w:b/>
                <w:sz w:val="20"/>
                <w:szCs w:val="20"/>
              </w:rPr>
              <w:fldChar w:fldCharType="end"/>
            </w:r>
            <w:r w:rsidRPr="00A4260E">
              <w:rPr>
                <w:b/>
                <w:sz w:val="20"/>
                <w:szCs w:val="20"/>
              </w:rPr>
              <w:fldChar w:fldCharType="begin"/>
            </w:r>
            <w:r w:rsidR="00B56106" w:rsidRPr="00A4260E">
              <w:rPr>
                <w:b/>
                <w:sz w:val="20"/>
                <w:szCs w:val="20"/>
                <w:lang w:val="fr-CA"/>
              </w:rPr>
              <w:instrText xml:space="preserve"> SEQ CHAPTER \h \r 1</w:instrText>
            </w:r>
            <w:r w:rsidRPr="00A4260E">
              <w:rPr>
                <w:b/>
                <w:sz w:val="20"/>
                <w:szCs w:val="20"/>
              </w:rPr>
              <w:fldChar w:fldCharType="end"/>
            </w:r>
          </w:p>
        </w:tc>
      </w:tr>
      <w:tr w:rsidR="00B56106" w:rsidRPr="00A4260E" w:rsidTr="00B56106">
        <w:tc>
          <w:tcPr>
            <w:tcW w:w="4338" w:type="dxa"/>
          </w:tcPr>
          <w:p w:rsidR="00B56106" w:rsidRPr="00A4260E" w:rsidRDefault="00B56106" w:rsidP="00B56106">
            <w:pPr>
              <w:tabs>
                <w:tab w:val="left" w:pos="-1440"/>
                <w:tab w:val="left" w:pos="-720"/>
              </w:tabs>
              <w:jc w:val="both"/>
              <w:rPr>
                <w:sz w:val="20"/>
                <w:szCs w:val="20"/>
              </w:rPr>
            </w:pPr>
            <w:r w:rsidRPr="00A4260E">
              <w:rPr>
                <w:sz w:val="20"/>
                <w:szCs w:val="20"/>
              </w:rPr>
              <w:t>Teva Canada Limited</w: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r w:rsidRPr="00A4260E">
              <w:rPr>
                <w:sz w:val="20"/>
                <w:szCs w:val="20"/>
              </w:rPr>
              <w:tab/>
              <w:t>v. (34873)</w: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lang w:val="fr-CA"/>
              </w:rPr>
            </w:pPr>
            <w:r w:rsidRPr="00A4260E">
              <w:rPr>
                <w:sz w:val="20"/>
                <w:szCs w:val="20"/>
              </w:rPr>
              <w:t xml:space="preserve">Nycomed Canada Inc. et al. </w:t>
            </w:r>
            <w:r w:rsidRPr="00A4260E">
              <w:rPr>
                <w:sz w:val="20"/>
                <w:szCs w:val="20"/>
                <w:lang w:val="fr-CA"/>
              </w:rPr>
              <w:t>(F.C.)</w:t>
            </w:r>
          </w:p>
        </w:tc>
        <w:tc>
          <w:tcPr>
            <w:tcW w:w="1170" w:type="dxa"/>
          </w:tcPr>
          <w:p w:rsidR="00B56106" w:rsidRPr="00A4260E" w:rsidRDefault="00B56106" w:rsidP="00B56106">
            <w:pPr>
              <w:tabs>
                <w:tab w:val="left" w:pos="-1440"/>
                <w:tab w:val="left" w:pos="-720"/>
              </w:tabs>
              <w:jc w:val="both"/>
              <w:rPr>
                <w:sz w:val="20"/>
                <w:szCs w:val="20"/>
                <w:lang w:val="fr-CA"/>
              </w:rPr>
            </w:pPr>
          </w:p>
        </w:tc>
        <w:tc>
          <w:tcPr>
            <w:tcW w:w="4327" w:type="dxa"/>
          </w:tcPr>
          <w:p w:rsidR="00B56106" w:rsidRPr="00A4260E" w:rsidRDefault="00B56106" w:rsidP="00B56106">
            <w:pPr>
              <w:tabs>
                <w:tab w:val="left" w:pos="-1440"/>
                <w:tab w:val="left" w:pos="-720"/>
              </w:tabs>
              <w:jc w:val="both"/>
              <w:rPr>
                <w:sz w:val="20"/>
                <w:szCs w:val="20"/>
                <w:lang w:val="fr-CA"/>
              </w:rPr>
            </w:pPr>
          </w:p>
        </w:tc>
      </w:tr>
    </w:tbl>
    <w:p w:rsidR="00B56106" w:rsidRPr="00A4260E" w:rsidRDefault="00B56106" w:rsidP="00B56106">
      <w:pPr>
        <w:tabs>
          <w:tab w:val="left" w:pos="-1440"/>
          <w:tab w:val="left" w:pos="-720"/>
        </w:tabs>
        <w:jc w:val="both"/>
        <w:rPr>
          <w:b/>
          <w:sz w:val="20"/>
          <w:szCs w:val="20"/>
          <w:lang w:val="fr-CA"/>
        </w:rPr>
      </w:pPr>
      <w:r w:rsidRPr="00A4260E">
        <w:rPr>
          <w:b/>
          <w:sz w:val="20"/>
          <w:szCs w:val="20"/>
          <w:lang w:val="fr-CA"/>
        </w:rPr>
        <w:lastRenderedPageBreak/>
        <w:t>DISMISSED / REJETÉE</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ind w:right="-23"/>
        <w:jc w:val="both"/>
        <w:rPr>
          <w:sz w:val="20"/>
          <w:szCs w:val="20"/>
        </w:rPr>
      </w:pPr>
      <w:r w:rsidRPr="00A4260E">
        <w:rPr>
          <w:b/>
          <w:bCs/>
          <w:sz w:val="20"/>
          <w:szCs w:val="20"/>
        </w:rPr>
        <w:t>UPON APPLICATION</w:t>
      </w:r>
      <w:r w:rsidRPr="00A4260E">
        <w:rPr>
          <w:sz w:val="20"/>
          <w:szCs w:val="20"/>
        </w:rPr>
        <w:t xml:space="preserve"> by the applicant for an order to expedite the application for leave to appeal;</w:t>
      </w:r>
    </w:p>
    <w:p w:rsidR="00B56106" w:rsidRPr="00A4260E" w:rsidRDefault="00B56106" w:rsidP="00B56106">
      <w:pPr>
        <w:ind w:right="-23"/>
        <w:jc w:val="both"/>
        <w:rPr>
          <w:sz w:val="20"/>
          <w:szCs w:val="20"/>
        </w:rPr>
      </w:pPr>
    </w:p>
    <w:p w:rsidR="00B56106" w:rsidRPr="00A4260E" w:rsidRDefault="00B56106" w:rsidP="00B56106">
      <w:pPr>
        <w:ind w:right="-23"/>
        <w:jc w:val="both"/>
        <w:rPr>
          <w:sz w:val="20"/>
          <w:szCs w:val="20"/>
        </w:rPr>
      </w:pPr>
      <w:r w:rsidRPr="00A4260E">
        <w:rPr>
          <w:b/>
          <w:sz w:val="20"/>
          <w:szCs w:val="20"/>
        </w:rPr>
        <w:t>AND THE MATERIAL FILED</w:t>
      </w:r>
      <w:r w:rsidRPr="00A4260E">
        <w:rPr>
          <w:sz w:val="20"/>
          <w:szCs w:val="20"/>
        </w:rPr>
        <w:t xml:space="preserve"> having been read;</w:t>
      </w:r>
    </w:p>
    <w:p w:rsidR="00B56106" w:rsidRPr="00A4260E" w:rsidRDefault="00B56106" w:rsidP="00B56106">
      <w:pPr>
        <w:ind w:right="-23"/>
        <w:jc w:val="both"/>
        <w:rPr>
          <w:sz w:val="20"/>
          <w:szCs w:val="20"/>
        </w:rPr>
      </w:pPr>
    </w:p>
    <w:p w:rsidR="00B56106" w:rsidRPr="00A4260E" w:rsidRDefault="00B56106" w:rsidP="00B56106">
      <w:pPr>
        <w:ind w:right="-23"/>
        <w:jc w:val="both"/>
        <w:rPr>
          <w:b/>
          <w:bCs/>
          <w:sz w:val="20"/>
          <w:szCs w:val="20"/>
        </w:rPr>
      </w:pPr>
      <w:r w:rsidRPr="00A4260E">
        <w:rPr>
          <w:b/>
          <w:bCs/>
          <w:sz w:val="20"/>
          <w:szCs w:val="20"/>
        </w:rPr>
        <w:t>IT IS HEREBY ORDERED THAT:</w:t>
      </w:r>
    </w:p>
    <w:p w:rsidR="00B56106" w:rsidRPr="00A4260E" w:rsidRDefault="00B56106" w:rsidP="00B56106">
      <w:pPr>
        <w:ind w:right="-23"/>
        <w:jc w:val="both"/>
        <w:rPr>
          <w:b/>
          <w:bCs/>
          <w:sz w:val="20"/>
          <w:szCs w:val="20"/>
        </w:rPr>
      </w:pPr>
    </w:p>
    <w:p w:rsidR="00B56106" w:rsidRPr="00A4260E" w:rsidRDefault="00B56106" w:rsidP="00B56106">
      <w:pPr>
        <w:widowControl w:val="0"/>
        <w:numPr>
          <w:ilvl w:val="0"/>
          <w:numId w:val="36"/>
        </w:numPr>
        <w:autoSpaceDE w:val="0"/>
        <w:autoSpaceDN w:val="0"/>
        <w:adjustRightInd w:val="0"/>
        <w:ind w:left="1080" w:right="-23"/>
        <w:jc w:val="both"/>
        <w:rPr>
          <w:sz w:val="20"/>
          <w:szCs w:val="20"/>
        </w:rPr>
      </w:pPr>
      <w:r w:rsidRPr="00A4260E">
        <w:rPr>
          <w:sz w:val="20"/>
          <w:szCs w:val="20"/>
        </w:rPr>
        <w:t>The request to expedite the application for leave to appeal is dismissed.</w:t>
      </w:r>
    </w:p>
    <w:p w:rsidR="00B56106" w:rsidRPr="00A4260E" w:rsidRDefault="00B56106" w:rsidP="00B56106">
      <w:pPr>
        <w:ind w:left="1440" w:right="-23"/>
        <w:jc w:val="both"/>
        <w:rPr>
          <w:sz w:val="20"/>
          <w:szCs w:val="20"/>
        </w:rPr>
      </w:pPr>
    </w:p>
    <w:p w:rsidR="00B56106" w:rsidRPr="00A4260E" w:rsidRDefault="00B56106" w:rsidP="00B56106">
      <w:pPr>
        <w:widowControl w:val="0"/>
        <w:numPr>
          <w:ilvl w:val="0"/>
          <w:numId w:val="36"/>
        </w:numPr>
        <w:autoSpaceDE w:val="0"/>
        <w:autoSpaceDN w:val="0"/>
        <w:adjustRightInd w:val="0"/>
        <w:ind w:left="1080" w:right="-23"/>
        <w:jc w:val="both"/>
        <w:rPr>
          <w:rFonts w:cs="Shruti"/>
          <w:sz w:val="20"/>
          <w:szCs w:val="20"/>
        </w:rPr>
      </w:pPr>
      <w:r w:rsidRPr="00A4260E">
        <w:rPr>
          <w:sz w:val="20"/>
          <w:szCs w:val="20"/>
        </w:rPr>
        <w:t>There will be no order as to costs.</w: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ind w:right="-23"/>
        <w:jc w:val="both"/>
        <w:rPr>
          <w:sz w:val="20"/>
          <w:szCs w:val="20"/>
          <w:lang w:val="fr-FR"/>
        </w:rPr>
      </w:pPr>
      <w:r w:rsidRPr="00A4260E">
        <w:rPr>
          <w:b/>
          <w:bCs/>
          <w:sz w:val="20"/>
          <w:szCs w:val="20"/>
          <w:lang w:val="fr-FR"/>
        </w:rPr>
        <w:t>À LA SUITE DE LA DEMANDE</w:t>
      </w:r>
      <w:r w:rsidRPr="00A4260E">
        <w:rPr>
          <w:sz w:val="20"/>
          <w:szCs w:val="20"/>
          <w:lang w:val="fr-FR"/>
        </w:rPr>
        <w:t xml:space="preserve"> présentée par la demanderesse en vue d’obtenir le traitement accéléré de sa demande d’autorisation d’appel; </w:t>
      </w:r>
    </w:p>
    <w:p w:rsidR="00B56106" w:rsidRPr="00A4260E" w:rsidRDefault="00B56106" w:rsidP="00B56106">
      <w:pPr>
        <w:ind w:right="-23"/>
        <w:jc w:val="both"/>
        <w:rPr>
          <w:sz w:val="20"/>
          <w:szCs w:val="20"/>
          <w:lang w:val="fr-FR"/>
        </w:rPr>
      </w:pPr>
    </w:p>
    <w:p w:rsidR="00B56106" w:rsidRPr="00A4260E" w:rsidRDefault="00B56106" w:rsidP="00B56106">
      <w:pPr>
        <w:ind w:right="-23"/>
        <w:jc w:val="both"/>
        <w:rPr>
          <w:b/>
          <w:sz w:val="20"/>
          <w:szCs w:val="20"/>
          <w:lang w:val="fr-CA"/>
        </w:rPr>
      </w:pPr>
      <w:r w:rsidRPr="00A4260E">
        <w:rPr>
          <w:b/>
          <w:sz w:val="20"/>
          <w:szCs w:val="20"/>
          <w:lang w:val="fr-CA"/>
        </w:rPr>
        <w:t xml:space="preserve">ET APRÈS EXAMEN </w:t>
      </w:r>
      <w:r w:rsidRPr="00A4260E">
        <w:rPr>
          <w:sz w:val="20"/>
          <w:szCs w:val="20"/>
          <w:lang w:val="fr-CA"/>
        </w:rPr>
        <w:t>des documents déposés;</w:t>
      </w:r>
      <w:r w:rsidRPr="00A4260E">
        <w:rPr>
          <w:b/>
          <w:sz w:val="20"/>
          <w:szCs w:val="20"/>
          <w:lang w:val="fr-CA"/>
        </w:rPr>
        <w:t xml:space="preserve"> </w:t>
      </w:r>
    </w:p>
    <w:p w:rsidR="00B56106" w:rsidRPr="00A4260E" w:rsidRDefault="00B56106" w:rsidP="00B56106">
      <w:pPr>
        <w:ind w:right="-23"/>
        <w:jc w:val="both"/>
        <w:rPr>
          <w:sz w:val="20"/>
          <w:szCs w:val="20"/>
          <w:lang w:val="fr-CA"/>
        </w:rPr>
      </w:pPr>
    </w:p>
    <w:p w:rsidR="00B56106" w:rsidRPr="00A4260E" w:rsidRDefault="00B56106" w:rsidP="00B56106">
      <w:pPr>
        <w:ind w:right="-23"/>
        <w:jc w:val="both"/>
        <w:rPr>
          <w:b/>
          <w:bCs/>
          <w:sz w:val="20"/>
          <w:szCs w:val="20"/>
          <w:lang w:val="fr-FR"/>
        </w:rPr>
      </w:pPr>
      <w:r w:rsidRPr="00A4260E">
        <w:rPr>
          <w:b/>
          <w:bCs/>
          <w:sz w:val="20"/>
          <w:szCs w:val="20"/>
          <w:lang w:val="fr-FR"/>
        </w:rPr>
        <w:t xml:space="preserve">IL EST ORDONNÉ CE QUI SUIT: </w:t>
      </w:r>
    </w:p>
    <w:p w:rsidR="00B56106" w:rsidRPr="00A4260E" w:rsidRDefault="00B56106" w:rsidP="00B56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3"/>
        <w:jc w:val="both"/>
        <w:rPr>
          <w:b/>
          <w:bCs/>
          <w:sz w:val="20"/>
          <w:szCs w:val="20"/>
          <w:lang w:val="fr-FR"/>
        </w:rPr>
      </w:pPr>
    </w:p>
    <w:p w:rsidR="00B56106" w:rsidRPr="00A4260E" w:rsidRDefault="00B56106" w:rsidP="00B56106">
      <w:pPr>
        <w:widowControl w:val="0"/>
        <w:numPr>
          <w:ilvl w:val="0"/>
          <w:numId w:val="38"/>
        </w:numPr>
        <w:autoSpaceDE w:val="0"/>
        <w:autoSpaceDN w:val="0"/>
        <w:adjustRightInd w:val="0"/>
        <w:ind w:left="1080" w:right="-23"/>
        <w:jc w:val="both"/>
        <w:rPr>
          <w:sz w:val="20"/>
          <w:szCs w:val="20"/>
          <w:lang w:val="fr-FR"/>
        </w:rPr>
      </w:pPr>
      <w:r w:rsidRPr="00A4260E">
        <w:rPr>
          <w:sz w:val="20"/>
          <w:szCs w:val="20"/>
          <w:lang w:val="fr-FR"/>
        </w:rPr>
        <w:t>La demande de traitement accéléré de la demande d’autorisation d’appel est rejetée;</w:t>
      </w:r>
    </w:p>
    <w:p w:rsidR="00B56106" w:rsidRPr="00A4260E" w:rsidRDefault="00B56106" w:rsidP="00B56106">
      <w:pPr>
        <w:ind w:right="-23"/>
        <w:jc w:val="both"/>
        <w:rPr>
          <w:sz w:val="20"/>
          <w:szCs w:val="20"/>
          <w:lang w:val="fr-FR"/>
        </w:rPr>
      </w:pPr>
    </w:p>
    <w:p w:rsidR="00B56106" w:rsidRPr="00A4260E" w:rsidRDefault="00B56106" w:rsidP="00B56106">
      <w:pPr>
        <w:widowControl w:val="0"/>
        <w:numPr>
          <w:ilvl w:val="0"/>
          <w:numId w:val="38"/>
        </w:numPr>
        <w:autoSpaceDE w:val="0"/>
        <w:autoSpaceDN w:val="0"/>
        <w:adjustRightInd w:val="0"/>
        <w:ind w:left="1080" w:right="-23"/>
        <w:jc w:val="both"/>
        <w:rPr>
          <w:rFonts w:cs="Shruti"/>
          <w:sz w:val="20"/>
          <w:szCs w:val="20"/>
          <w:lang w:val="fr-CA"/>
        </w:rPr>
      </w:pPr>
      <w:r w:rsidRPr="00A4260E">
        <w:rPr>
          <w:sz w:val="20"/>
          <w:szCs w:val="20"/>
          <w:lang w:val="fr-FR"/>
        </w:rPr>
        <w:t xml:space="preserve">Aucune ordonnance ne sera prononcée relativement aux dépens. </w:t>
      </w:r>
    </w:p>
    <w:p w:rsidR="00B56106" w:rsidRPr="00A4260E" w:rsidRDefault="00B56106" w:rsidP="00B56106">
      <w:pPr>
        <w:tabs>
          <w:tab w:val="left" w:pos="-1440"/>
          <w:tab w:val="left" w:pos="-720"/>
        </w:tabs>
        <w:jc w:val="both"/>
        <w:rPr>
          <w:sz w:val="20"/>
          <w:szCs w:val="20"/>
          <w:lang w:val="fr-CA"/>
        </w:rPr>
      </w:pPr>
    </w:p>
    <w:p w:rsidR="00B56106" w:rsidRPr="00A4260E" w:rsidRDefault="007333FF" w:rsidP="00B56106">
      <w:pPr>
        <w:tabs>
          <w:tab w:val="left" w:pos="-1440"/>
          <w:tab w:val="left" w:pos="-720"/>
        </w:tabs>
        <w:jc w:val="both"/>
        <w:rPr>
          <w:sz w:val="20"/>
          <w:szCs w:val="20"/>
          <w:lang w:val="fr-CA"/>
        </w:rPr>
      </w:pPr>
      <w:r w:rsidRPr="007333FF">
        <w:rPr>
          <w:sz w:val="20"/>
          <w:szCs w:val="20"/>
          <w:lang w:val="fr-CA"/>
        </w:rPr>
        <w:pict>
          <v:rect id="_x0000_i1124" style="width:2in;height:1pt" o:hrpct="0" o:hralign="center" o:hrstd="t" o:hrnoshade="t" o:hr="t" fillcolor="black [3213]" stroked="f"/>
        </w:pic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rPr>
      </w:pPr>
      <w:r w:rsidRPr="00A4260E">
        <w:rPr>
          <w:sz w:val="20"/>
          <w:szCs w:val="20"/>
        </w:rPr>
        <w:t>02.08.2012</w: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r w:rsidRPr="00A4260E">
        <w:rPr>
          <w:sz w:val="20"/>
          <w:szCs w:val="20"/>
        </w:rPr>
        <w:t>Before / Devant :   THE DEPUTY REGISTRAR / LA REGISTRAIRE ADJOINTE</w:t>
      </w:r>
    </w:p>
    <w:p w:rsidR="00B56106" w:rsidRPr="00A4260E" w:rsidRDefault="00B56106" w:rsidP="00B56106">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56106" w:rsidRPr="00B6145B" w:rsidTr="00B56106">
        <w:tc>
          <w:tcPr>
            <w:tcW w:w="4338" w:type="dxa"/>
          </w:tcPr>
          <w:p w:rsidR="00B56106" w:rsidRPr="00A4260E" w:rsidRDefault="007333FF" w:rsidP="00B56106">
            <w:pPr>
              <w:tabs>
                <w:tab w:val="left" w:pos="-1440"/>
                <w:tab w:val="left" w:pos="-720"/>
              </w:tabs>
              <w:jc w:val="both"/>
              <w:rPr>
                <w:b/>
                <w:sz w:val="20"/>
                <w:szCs w:val="20"/>
              </w:rPr>
            </w:pP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r w:rsidR="00B56106" w:rsidRPr="00A4260E">
              <w:rPr>
                <w:b/>
                <w:bCs/>
                <w:sz w:val="20"/>
                <w:szCs w:val="20"/>
              </w:rPr>
              <w:t>Motion to extend the time to serve and file the respondent’s response to August 31, 2012</w:t>
            </w: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p>
        </w:tc>
        <w:tc>
          <w:tcPr>
            <w:tcW w:w="1170" w:type="dxa"/>
          </w:tcPr>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tc>
        <w:tc>
          <w:tcPr>
            <w:tcW w:w="4327" w:type="dxa"/>
          </w:tcPr>
          <w:p w:rsidR="00B56106" w:rsidRPr="00A4260E" w:rsidRDefault="007333FF" w:rsidP="00B56106">
            <w:pPr>
              <w:tabs>
                <w:tab w:val="left" w:pos="-1440"/>
                <w:tab w:val="left" w:pos="-720"/>
              </w:tabs>
              <w:jc w:val="both"/>
              <w:rPr>
                <w:sz w:val="20"/>
                <w:szCs w:val="20"/>
                <w:lang w:val="fr-CA"/>
              </w:rPr>
            </w:pP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r w:rsidR="00B56106" w:rsidRPr="00A4260E">
              <w:rPr>
                <w:b/>
                <w:bCs/>
                <w:sz w:val="20"/>
                <w:szCs w:val="20"/>
                <w:lang w:val="fr-CA"/>
              </w:rPr>
              <w:t>Requête en prorogation du délai de signification et de dépôt de la réponse des intimées jusqu’au 31 août 2012</w:t>
            </w: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p>
        </w:tc>
      </w:tr>
      <w:tr w:rsidR="00B56106" w:rsidRPr="00A4260E" w:rsidTr="00B56106">
        <w:tc>
          <w:tcPr>
            <w:tcW w:w="4338" w:type="dxa"/>
          </w:tcPr>
          <w:p w:rsidR="00B56106" w:rsidRPr="00A4260E" w:rsidRDefault="00B56106" w:rsidP="00B56106">
            <w:pPr>
              <w:tabs>
                <w:tab w:val="left" w:pos="-1440"/>
                <w:tab w:val="left" w:pos="-720"/>
              </w:tabs>
              <w:jc w:val="both"/>
              <w:rPr>
                <w:sz w:val="20"/>
                <w:szCs w:val="20"/>
              </w:rPr>
            </w:pPr>
            <w:r w:rsidRPr="00A4260E">
              <w:rPr>
                <w:sz w:val="20"/>
                <w:szCs w:val="20"/>
              </w:rPr>
              <w:t>Michael Peier</w: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r w:rsidRPr="00A4260E">
              <w:rPr>
                <w:sz w:val="20"/>
                <w:szCs w:val="20"/>
              </w:rPr>
              <w:tab/>
              <w:t>v. (34722)</w: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r w:rsidRPr="00A4260E">
              <w:rPr>
                <w:sz w:val="20"/>
                <w:szCs w:val="20"/>
              </w:rPr>
              <w:t>Cressey Whistler Townhomes Limited Partnership et al. (B.C.)</w:t>
            </w:r>
          </w:p>
        </w:tc>
        <w:tc>
          <w:tcPr>
            <w:tcW w:w="1170" w:type="dxa"/>
          </w:tcPr>
          <w:p w:rsidR="00B56106" w:rsidRPr="00A4260E" w:rsidRDefault="00B56106" w:rsidP="00B56106">
            <w:pPr>
              <w:tabs>
                <w:tab w:val="left" w:pos="-1440"/>
                <w:tab w:val="left" w:pos="-720"/>
              </w:tabs>
              <w:jc w:val="both"/>
              <w:rPr>
                <w:sz w:val="20"/>
                <w:szCs w:val="20"/>
              </w:rPr>
            </w:pPr>
          </w:p>
        </w:tc>
        <w:tc>
          <w:tcPr>
            <w:tcW w:w="4327" w:type="dxa"/>
          </w:tcPr>
          <w:p w:rsidR="00B56106" w:rsidRPr="00A4260E" w:rsidRDefault="00B56106" w:rsidP="00B56106">
            <w:pPr>
              <w:tabs>
                <w:tab w:val="left" w:pos="-1440"/>
                <w:tab w:val="left" w:pos="-720"/>
              </w:tabs>
              <w:jc w:val="both"/>
              <w:rPr>
                <w:sz w:val="20"/>
                <w:szCs w:val="20"/>
              </w:rPr>
            </w:pPr>
          </w:p>
        </w:tc>
      </w:tr>
    </w:tbl>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b/>
          <w:sz w:val="20"/>
          <w:szCs w:val="20"/>
          <w:lang w:val="fr-CA"/>
        </w:rPr>
      </w:pPr>
      <w:r w:rsidRPr="00A4260E">
        <w:rPr>
          <w:b/>
          <w:sz w:val="20"/>
          <w:szCs w:val="20"/>
          <w:lang w:val="fr-CA"/>
        </w:rPr>
        <w:t>GRANTED / ACCORDÉE</w:t>
      </w:r>
    </w:p>
    <w:p w:rsidR="00B56106" w:rsidRPr="00A4260E" w:rsidRDefault="00B56106" w:rsidP="00B56106">
      <w:pPr>
        <w:tabs>
          <w:tab w:val="left" w:pos="-1440"/>
          <w:tab w:val="left" w:pos="-720"/>
        </w:tabs>
        <w:jc w:val="both"/>
        <w:rPr>
          <w:sz w:val="20"/>
          <w:szCs w:val="20"/>
          <w:lang w:val="fr-CA"/>
        </w:rPr>
      </w:pPr>
    </w:p>
    <w:p w:rsidR="00B56106" w:rsidRPr="00A4260E" w:rsidRDefault="007333FF" w:rsidP="00B56106">
      <w:pPr>
        <w:tabs>
          <w:tab w:val="left" w:pos="-1440"/>
          <w:tab w:val="left" w:pos="-720"/>
        </w:tabs>
        <w:jc w:val="both"/>
        <w:rPr>
          <w:sz w:val="20"/>
          <w:szCs w:val="20"/>
          <w:lang w:val="fr-CA"/>
        </w:rPr>
      </w:pPr>
      <w:r w:rsidRPr="007333FF">
        <w:rPr>
          <w:sz w:val="20"/>
          <w:szCs w:val="20"/>
          <w:lang w:val="fr-CA"/>
        </w:rPr>
        <w:pict>
          <v:rect id="_x0000_i1125" style="width:2in;height:1pt" o:hrpct="0" o:hralign="center" o:hrstd="t" o:hrnoshade="t" o:hr="t" fillcolor="black [3213]" stroked="f"/>
        </w:pic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rPr>
          <w:sz w:val="20"/>
          <w:szCs w:val="20"/>
          <w:lang w:val="fr-CA"/>
        </w:rPr>
      </w:pPr>
      <w:r w:rsidRPr="00A4260E">
        <w:rPr>
          <w:sz w:val="20"/>
          <w:szCs w:val="20"/>
          <w:lang w:val="fr-CA"/>
        </w:rPr>
        <w:br w:type="page"/>
      </w:r>
    </w:p>
    <w:p w:rsidR="00B56106" w:rsidRPr="00A4260E" w:rsidRDefault="00B56106" w:rsidP="00B56106">
      <w:pPr>
        <w:tabs>
          <w:tab w:val="left" w:pos="-1440"/>
          <w:tab w:val="left" w:pos="-720"/>
        </w:tabs>
        <w:jc w:val="both"/>
        <w:rPr>
          <w:sz w:val="20"/>
          <w:szCs w:val="20"/>
          <w:lang w:val="fr-CA"/>
        </w:rPr>
      </w:pPr>
      <w:r w:rsidRPr="00A4260E">
        <w:rPr>
          <w:sz w:val="20"/>
          <w:szCs w:val="20"/>
          <w:lang w:val="fr-CA"/>
        </w:rPr>
        <w:lastRenderedPageBreak/>
        <w:t>08.08.2012</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Before / Devant :   MOLDAVER J. / LE JUGE MOLDAVER</w:t>
      </w:r>
    </w:p>
    <w:p w:rsidR="00B56106" w:rsidRPr="00A4260E" w:rsidRDefault="00B56106" w:rsidP="00B5610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56106" w:rsidRPr="00B6145B" w:rsidTr="00B56106">
        <w:tc>
          <w:tcPr>
            <w:tcW w:w="4338" w:type="dxa"/>
          </w:tcPr>
          <w:p w:rsidR="00B56106" w:rsidRPr="00A4260E" w:rsidRDefault="007333FF" w:rsidP="00B56106">
            <w:pPr>
              <w:tabs>
                <w:tab w:val="left" w:pos="-1440"/>
                <w:tab w:val="left" w:pos="-720"/>
              </w:tabs>
              <w:jc w:val="both"/>
              <w:rPr>
                <w:b/>
                <w:sz w:val="20"/>
                <w:szCs w:val="20"/>
              </w:rPr>
            </w:pP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r w:rsidR="00B56106" w:rsidRPr="00A4260E">
              <w:rPr>
                <w:b/>
                <w:bCs/>
                <w:sz w:val="20"/>
                <w:szCs w:val="20"/>
              </w:rPr>
              <w:t>Motion to appoint counsel: Mark C. Halfyard and Michael Dineen are assigned to act as counsel on behalf of the respondent, Harry Persaud Sanichar; the Attorney General of Ontario shall pay the reasonable fees and disbursement of Mark C. Halfyard and Michael Dineen at a rate of $185.00 per hour for the purpose of responding to the above-noted appeal. The factum of the respondent shall be filed no later than September 5, 2012</w:t>
            </w: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p>
        </w:tc>
        <w:tc>
          <w:tcPr>
            <w:tcW w:w="1170" w:type="dxa"/>
          </w:tcPr>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tc>
        <w:tc>
          <w:tcPr>
            <w:tcW w:w="4327" w:type="dxa"/>
          </w:tcPr>
          <w:p w:rsidR="00B56106" w:rsidRPr="00A4260E" w:rsidRDefault="007333FF" w:rsidP="00B56106">
            <w:pPr>
              <w:tabs>
                <w:tab w:val="left" w:pos="-1440"/>
                <w:tab w:val="left" w:pos="-720"/>
              </w:tabs>
              <w:jc w:val="both"/>
              <w:rPr>
                <w:b/>
                <w:sz w:val="20"/>
                <w:szCs w:val="20"/>
                <w:lang w:val="fr-FR"/>
              </w:rPr>
            </w:pPr>
            <w:r w:rsidRPr="00A4260E">
              <w:rPr>
                <w:sz w:val="20"/>
                <w:szCs w:val="20"/>
              </w:rPr>
              <w:fldChar w:fldCharType="begin"/>
            </w:r>
            <w:r w:rsidR="00B56106" w:rsidRPr="00A4260E">
              <w:rPr>
                <w:sz w:val="20"/>
                <w:szCs w:val="20"/>
                <w:lang w:val="fr-FR"/>
              </w:rPr>
              <w:instrText xml:space="preserve"> SEQ CHAPTER \h \r 1</w:instrText>
            </w:r>
            <w:r w:rsidRPr="00A4260E">
              <w:rPr>
                <w:sz w:val="20"/>
                <w:szCs w:val="20"/>
              </w:rPr>
              <w:fldChar w:fldCharType="end"/>
            </w:r>
            <w:r w:rsidR="00B56106" w:rsidRPr="00A4260E">
              <w:rPr>
                <w:b/>
                <w:bCs/>
                <w:sz w:val="20"/>
                <w:szCs w:val="20"/>
                <w:lang w:val="fr-FR"/>
              </w:rPr>
              <w:t>Requête en désignation de Mark C. Halfyard et Michael Dineen comme avocats agissant pour l’intimé, Harry Persaud Sanichar ; le procureur général de l’Ontario paiera les débours et les honoraires raisonnables de Mark C. Halfyard et Michael Dineen au taux de 185 $ l’heure pour répondre à l’appel. Le mémoire de l’intimé sera déposé au plus tard le 5 septembre 2012</w:t>
            </w:r>
            <w:r w:rsidR="00B56106" w:rsidRPr="00A4260E">
              <w:rPr>
                <w:sz w:val="20"/>
                <w:szCs w:val="20"/>
                <w:lang w:val="fr-FR"/>
              </w:rPr>
              <w:t xml:space="preserve"> </w:t>
            </w:r>
            <w:r w:rsidRPr="00A4260E">
              <w:rPr>
                <w:sz w:val="20"/>
                <w:szCs w:val="20"/>
              </w:rPr>
              <w:fldChar w:fldCharType="begin"/>
            </w:r>
            <w:r w:rsidR="00B56106" w:rsidRPr="00A4260E">
              <w:rPr>
                <w:sz w:val="20"/>
                <w:szCs w:val="20"/>
                <w:lang w:val="fr-FR"/>
              </w:rPr>
              <w:instrText xml:space="preserve"> SEQ CHAPTER \h \r 1</w:instrText>
            </w:r>
            <w:r w:rsidRPr="00A4260E">
              <w:rPr>
                <w:sz w:val="20"/>
                <w:szCs w:val="20"/>
              </w:rPr>
              <w:fldChar w:fldCharType="end"/>
            </w:r>
          </w:p>
        </w:tc>
      </w:tr>
      <w:tr w:rsidR="00B56106" w:rsidRPr="00A4260E" w:rsidTr="00B56106">
        <w:tc>
          <w:tcPr>
            <w:tcW w:w="4338" w:type="dxa"/>
          </w:tcPr>
          <w:p w:rsidR="00B56106" w:rsidRPr="00A4260E" w:rsidRDefault="00B56106" w:rsidP="00B56106">
            <w:pPr>
              <w:tabs>
                <w:tab w:val="left" w:pos="-1440"/>
                <w:tab w:val="left" w:pos="-720"/>
              </w:tabs>
              <w:jc w:val="both"/>
              <w:rPr>
                <w:sz w:val="20"/>
                <w:szCs w:val="20"/>
              </w:rPr>
            </w:pPr>
            <w:r w:rsidRPr="00A4260E">
              <w:rPr>
                <w:sz w:val="20"/>
                <w:szCs w:val="20"/>
              </w:rPr>
              <w:t>Her Majesty the Queen</w: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r w:rsidRPr="00A4260E">
              <w:rPr>
                <w:sz w:val="20"/>
                <w:szCs w:val="20"/>
              </w:rPr>
              <w:tab/>
              <w:t>v. (34720)</w: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r w:rsidRPr="00A4260E">
              <w:rPr>
                <w:sz w:val="20"/>
                <w:szCs w:val="20"/>
              </w:rPr>
              <w:t>Harry Persaud Sanichar (Crim.) (Ont.)</w:t>
            </w:r>
          </w:p>
        </w:tc>
        <w:tc>
          <w:tcPr>
            <w:tcW w:w="1170" w:type="dxa"/>
          </w:tcPr>
          <w:p w:rsidR="00B56106" w:rsidRPr="00A4260E" w:rsidRDefault="00B56106" w:rsidP="00B56106">
            <w:pPr>
              <w:tabs>
                <w:tab w:val="left" w:pos="-1440"/>
                <w:tab w:val="left" w:pos="-720"/>
              </w:tabs>
              <w:jc w:val="both"/>
              <w:rPr>
                <w:sz w:val="20"/>
                <w:szCs w:val="20"/>
              </w:rPr>
            </w:pPr>
          </w:p>
        </w:tc>
        <w:tc>
          <w:tcPr>
            <w:tcW w:w="4327" w:type="dxa"/>
          </w:tcPr>
          <w:p w:rsidR="00B56106" w:rsidRPr="00A4260E" w:rsidRDefault="00B56106" w:rsidP="00B56106">
            <w:pPr>
              <w:tabs>
                <w:tab w:val="left" w:pos="-1440"/>
                <w:tab w:val="left" w:pos="-720"/>
              </w:tabs>
              <w:jc w:val="both"/>
              <w:rPr>
                <w:sz w:val="20"/>
                <w:szCs w:val="20"/>
              </w:rPr>
            </w:pPr>
          </w:p>
        </w:tc>
      </w:tr>
    </w:tbl>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b/>
          <w:sz w:val="20"/>
          <w:szCs w:val="20"/>
        </w:rPr>
      </w:pPr>
      <w:r w:rsidRPr="00A4260E">
        <w:rPr>
          <w:b/>
          <w:sz w:val="20"/>
          <w:szCs w:val="20"/>
        </w:rPr>
        <w:t>GRANTED / ACCORDÉE</w:t>
      </w:r>
    </w:p>
    <w:p w:rsidR="00B56106" w:rsidRPr="00A4260E" w:rsidRDefault="00B56106" w:rsidP="00B56106">
      <w:pPr>
        <w:tabs>
          <w:tab w:val="left" w:pos="-1440"/>
          <w:tab w:val="left" w:pos="-720"/>
        </w:tabs>
        <w:jc w:val="both"/>
        <w:rPr>
          <w:sz w:val="20"/>
          <w:szCs w:val="20"/>
        </w:rPr>
      </w:pPr>
    </w:p>
    <w:p w:rsidR="00B56106" w:rsidRPr="00A4260E" w:rsidRDefault="007333FF" w:rsidP="00B56106">
      <w:pPr>
        <w:tabs>
          <w:tab w:val="left" w:pos="-1440"/>
          <w:tab w:val="left" w:pos="-720"/>
        </w:tabs>
        <w:jc w:val="both"/>
        <w:rPr>
          <w:sz w:val="20"/>
          <w:szCs w:val="20"/>
        </w:rPr>
      </w:pPr>
      <w:r w:rsidRPr="007333FF">
        <w:rPr>
          <w:sz w:val="20"/>
          <w:szCs w:val="20"/>
          <w:lang w:val="fr-CA"/>
        </w:rPr>
        <w:pict>
          <v:rect id="_x0000_i1126" style="width:2in;height:1pt" o:hrpct="0" o:hralign="center" o:hrstd="t" o:hrnoshade="t" o:hr="t" fillcolor="black [3213]" stroked="f"/>
        </w:pic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13.08.2012</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Before / Devant :   ROTHSTEIN J. / LE JUGE ROTHSTEIN</w:t>
      </w:r>
    </w:p>
    <w:p w:rsidR="00B56106" w:rsidRPr="00A4260E" w:rsidRDefault="00B56106" w:rsidP="00B5610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B56106" w:rsidRPr="00A4260E" w:rsidTr="00B56106">
        <w:tc>
          <w:tcPr>
            <w:tcW w:w="4338" w:type="dxa"/>
            <w:gridSpan w:val="2"/>
          </w:tcPr>
          <w:p w:rsidR="00B56106" w:rsidRPr="00A4260E" w:rsidRDefault="00B56106" w:rsidP="00B56106">
            <w:pPr>
              <w:rPr>
                <w:b/>
                <w:sz w:val="20"/>
                <w:szCs w:val="20"/>
              </w:rPr>
            </w:pPr>
            <w:r w:rsidRPr="00A4260E">
              <w:rPr>
                <w:b/>
                <w:sz w:val="20"/>
                <w:szCs w:val="20"/>
              </w:rPr>
              <w:t>Motions for leave to intervene</w:t>
            </w:r>
            <w:r w:rsidRPr="00A4260E">
              <w:rPr>
                <w:sz w:val="20"/>
                <w:szCs w:val="20"/>
              </w:rPr>
              <w:t xml:space="preserve"> </w:t>
            </w:r>
            <w:r w:rsidR="007333FF" w:rsidRPr="00A4260E">
              <w:rPr>
                <w:sz w:val="20"/>
                <w:szCs w:val="20"/>
              </w:rPr>
              <w:fldChar w:fldCharType="begin"/>
            </w:r>
            <w:r w:rsidRPr="00A4260E">
              <w:rPr>
                <w:sz w:val="20"/>
                <w:szCs w:val="20"/>
              </w:rPr>
              <w:instrText xml:space="preserve"> SEQ CHAPTER \h \r 1</w:instrText>
            </w:r>
            <w:r w:rsidR="007333FF" w:rsidRPr="00A4260E">
              <w:rPr>
                <w:sz w:val="20"/>
                <w:szCs w:val="20"/>
              </w:rPr>
              <w:fldChar w:fldCharType="end"/>
            </w:r>
          </w:p>
        </w:tc>
        <w:tc>
          <w:tcPr>
            <w:tcW w:w="1170" w:type="dxa"/>
          </w:tcPr>
          <w:p w:rsidR="00B56106" w:rsidRPr="00A4260E" w:rsidRDefault="00B56106" w:rsidP="00B56106">
            <w:pPr>
              <w:rPr>
                <w:sz w:val="20"/>
                <w:szCs w:val="20"/>
              </w:rPr>
            </w:pPr>
          </w:p>
          <w:p w:rsidR="00B56106" w:rsidRPr="00A4260E" w:rsidRDefault="00B56106" w:rsidP="00B56106">
            <w:pPr>
              <w:rPr>
                <w:sz w:val="20"/>
                <w:szCs w:val="20"/>
              </w:rPr>
            </w:pPr>
          </w:p>
        </w:tc>
        <w:tc>
          <w:tcPr>
            <w:tcW w:w="4327" w:type="dxa"/>
          </w:tcPr>
          <w:p w:rsidR="00B56106" w:rsidRPr="00A4260E" w:rsidRDefault="00B56106" w:rsidP="00B56106">
            <w:pPr>
              <w:rPr>
                <w:b/>
                <w:sz w:val="20"/>
                <w:szCs w:val="20"/>
              </w:rPr>
            </w:pPr>
            <w:r w:rsidRPr="00A4260E">
              <w:rPr>
                <w:b/>
                <w:bCs/>
                <w:sz w:val="20"/>
                <w:szCs w:val="20"/>
                <w:lang w:val="fr-CA"/>
              </w:rPr>
              <w:t>Requêtes en autorisation d’intervenir</w:t>
            </w:r>
            <w:r w:rsidRPr="00A4260E">
              <w:rPr>
                <w:sz w:val="20"/>
                <w:szCs w:val="20"/>
              </w:rPr>
              <w:t xml:space="preserve"> </w:t>
            </w:r>
            <w:r w:rsidR="007333FF" w:rsidRPr="00A4260E">
              <w:rPr>
                <w:sz w:val="20"/>
                <w:szCs w:val="20"/>
              </w:rPr>
              <w:fldChar w:fldCharType="begin"/>
            </w:r>
            <w:r w:rsidRPr="00A4260E">
              <w:rPr>
                <w:sz w:val="20"/>
                <w:szCs w:val="20"/>
              </w:rPr>
              <w:instrText xml:space="preserve"> SEQ CHAPTER \h \r 1</w:instrText>
            </w:r>
            <w:r w:rsidR="007333FF" w:rsidRPr="00A4260E">
              <w:rPr>
                <w:sz w:val="20"/>
                <w:szCs w:val="20"/>
              </w:rPr>
              <w:fldChar w:fldCharType="end"/>
            </w:r>
          </w:p>
        </w:tc>
      </w:tr>
      <w:tr w:rsidR="00B56106" w:rsidRPr="00A4260E" w:rsidTr="00B56106">
        <w:tc>
          <w:tcPr>
            <w:tcW w:w="1368" w:type="dxa"/>
          </w:tcPr>
          <w:p w:rsidR="00B56106" w:rsidRPr="00A4260E" w:rsidRDefault="00B56106" w:rsidP="00B56106">
            <w:pPr>
              <w:rPr>
                <w:sz w:val="20"/>
                <w:szCs w:val="20"/>
              </w:rPr>
            </w:pPr>
            <w:r w:rsidRPr="00A4260E">
              <w:rPr>
                <w:sz w:val="20"/>
                <w:szCs w:val="20"/>
              </w:rPr>
              <w:t>BY / PAR</w:t>
            </w:r>
          </w:p>
        </w:tc>
        <w:tc>
          <w:tcPr>
            <w:tcW w:w="2970" w:type="dxa"/>
          </w:tcPr>
          <w:p w:rsidR="00B56106" w:rsidRPr="00A4260E" w:rsidRDefault="00B56106" w:rsidP="00B56106">
            <w:pPr>
              <w:rPr>
                <w:sz w:val="20"/>
                <w:szCs w:val="20"/>
              </w:rPr>
            </w:pPr>
            <w:r w:rsidRPr="00A4260E">
              <w:rPr>
                <w:sz w:val="20"/>
                <w:szCs w:val="20"/>
              </w:rPr>
              <w:t>Attorney General of British Columbia;</w:t>
            </w: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rPr>
            </w:pPr>
            <w:r w:rsidRPr="00A4260E">
              <w:rPr>
                <w:sz w:val="20"/>
                <w:szCs w:val="20"/>
              </w:rPr>
              <w:t>City of Toronto;</w:t>
            </w: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rPr>
            </w:pPr>
            <w:r w:rsidRPr="00A4260E">
              <w:rPr>
                <w:sz w:val="20"/>
                <w:szCs w:val="20"/>
              </w:rPr>
              <w:t>Metrolinx</w:t>
            </w: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rPr>
            </w:pP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r w:rsidRPr="00A4260E">
              <w:rPr>
                <w:sz w:val="20"/>
                <w:szCs w:val="20"/>
              </w:rPr>
              <w:t>IN / DANS :</w:t>
            </w:r>
          </w:p>
        </w:tc>
        <w:tc>
          <w:tcPr>
            <w:tcW w:w="2970" w:type="dxa"/>
          </w:tcPr>
          <w:p w:rsidR="00B56106" w:rsidRPr="00A4260E" w:rsidRDefault="00B56106" w:rsidP="00B56106">
            <w:pPr>
              <w:rPr>
                <w:sz w:val="20"/>
                <w:szCs w:val="20"/>
              </w:rPr>
            </w:pPr>
            <w:r w:rsidRPr="00A4260E">
              <w:rPr>
                <w:sz w:val="20"/>
                <w:szCs w:val="20"/>
              </w:rPr>
              <w:t>Antrim Truck Centre Ltd.</w:t>
            </w:r>
          </w:p>
          <w:p w:rsidR="00B56106" w:rsidRPr="00A4260E" w:rsidRDefault="00B56106" w:rsidP="00B56106">
            <w:pPr>
              <w:rPr>
                <w:sz w:val="20"/>
                <w:szCs w:val="20"/>
              </w:rPr>
            </w:pP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rPr>
            </w:pPr>
            <w:r w:rsidRPr="00A4260E">
              <w:rPr>
                <w:sz w:val="20"/>
                <w:szCs w:val="20"/>
              </w:rPr>
              <w:tab/>
              <w:t>v. (34413)</w:t>
            </w:r>
          </w:p>
          <w:p w:rsidR="00B56106" w:rsidRPr="00A4260E" w:rsidRDefault="00B56106" w:rsidP="00B56106">
            <w:pPr>
              <w:rPr>
                <w:sz w:val="20"/>
                <w:szCs w:val="20"/>
              </w:rPr>
            </w:pP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jc w:val="both"/>
              <w:rPr>
                <w:sz w:val="20"/>
                <w:szCs w:val="20"/>
              </w:rPr>
            </w:pPr>
            <w:r w:rsidRPr="00A4260E">
              <w:rPr>
                <w:sz w:val="20"/>
                <w:szCs w:val="20"/>
              </w:rPr>
              <w:t>Her Majesty the Queen in Right of the Province of Ontario, as represented by the Minister of Transportation (Ont.)</w:t>
            </w: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bl>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r w:rsidRPr="00A4260E">
        <w:rPr>
          <w:b/>
          <w:sz w:val="20"/>
          <w:szCs w:val="20"/>
        </w:rPr>
        <w:t>GRANTED / ACCORDÉES</w:t>
      </w:r>
    </w:p>
    <w:p w:rsidR="00B56106" w:rsidRPr="00A4260E" w:rsidRDefault="00B56106" w:rsidP="00B56106">
      <w:pPr>
        <w:tabs>
          <w:tab w:val="left" w:pos="-1440"/>
          <w:tab w:val="left" w:pos="-720"/>
        </w:tabs>
        <w:jc w:val="both"/>
        <w:rPr>
          <w:sz w:val="20"/>
          <w:szCs w:val="20"/>
        </w:rPr>
      </w:pPr>
    </w:p>
    <w:p w:rsidR="00B56106" w:rsidRPr="00A4260E" w:rsidRDefault="00B56106" w:rsidP="00B56106">
      <w:pPr>
        <w:spacing w:line="233" w:lineRule="auto"/>
        <w:jc w:val="both"/>
        <w:rPr>
          <w:b/>
          <w:sz w:val="20"/>
          <w:szCs w:val="20"/>
        </w:rPr>
      </w:pPr>
      <w:r w:rsidRPr="00A4260E">
        <w:rPr>
          <w:b/>
          <w:sz w:val="20"/>
          <w:szCs w:val="20"/>
        </w:rPr>
        <w:t xml:space="preserve">UPON APPLICATIONS </w:t>
      </w:r>
      <w:r w:rsidRPr="00A4260E">
        <w:rPr>
          <w:sz w:val="20"/>
          <w:szCs w:val="20"/>
        </w:rPr>
        <w:t>by the Attorney General of British Columbia, the City of Toronto and Metrolinx for leave to intervene in the above appeal;</w:t>
      </w:r>
    </w:p>
    <w:p w:rsidR="00B56106" w:rsidRPr="00A4260E" w:rsidRDefault="00B56106" w:rsidP="00B56106">
      <w:pPr>
        <w:spacing w:line="233" w:lineRule="auto"/>
        <w:jc w:val="both"/>
        <w:rPr>
          <w:sz w:val="20"/>
          <w:szCs w:val="20"/>
        </w:rPr>
      </w:pPr>
    </w:p>
    <w:p w:rsidR="00B56106" w:rsidRPr="00A4260E" w:rsidRDefault="00B56106" w:rsidP="00B56106">
      <w:pPr>
        <w:spacing w:line="233" w:lineRule="auto"/>
        <w:jc w:val="both"/>
        <w:rPr>
          <w:sz w:val="20"/>
          <w:szCs w:val="20"/>
        </w:rPr>
      </w:pPr>
      <w:r w:rsidRPr="00A4260E">
        <w:rPr>
          <w:b/>
          <w:bCs/>
          <w:sz w:val="20"/>
          <w:szCs w:val="20"/>
        </w:rPr>
        <w:t>AND THE MATERIAL FILED</w:t>
      </w:r>
      <w:r w:rsidRPr="00A4260E">
        <w:rPr>
          <w:sz w:val="20"/>
          <w:szCs w:val="20"/>
        </w:rPr>
        <w:t xml:space="preserve"> having been read;</w:t>
      </w:r>
    </w:p>
    <w:p w:rsidR="00B56106" w:rsidRDefault="00B56106">
      <w:pPr>
        <w:rPr>
          <w:sz w:val="20"/>
          <w:szCs w:val="20"/>
        </w:rPr>
      </w:pPr>
      <w:r>
        <w:rPr>
          <w:sz w:val="20"/>
          <w:szCs w:val="20"/>
        </w:rPr>
        <w:br w:type="page"/>
      </w:r>
    </w:p>
    <w:p w:rsidR="00B56106" w:rsidRPr="00A4260E" w:rsidRDefault="00B56106" w:rsidP="00B56106">
      <w:pPr>
        <w:spacing w:line="233" w:lineRule="auto"/>
        <w:jc w:val="both"/>
        <w:rPr>
          <w:sz w:val="20"/>
          <w:szCs w:val="20"/>
        </w:rPr>
      </w:pPr>
      <w:r w:rsidRPr="00A4260E">
        <w:rPr>
          <w:b/>
          <w:bCs/>
          <w:sz w:val="20"/>
          <w:szCs w:val="20"/>
        </w:rPr>
        <w:lastRenderedPageBreak/>
        <w:t>IT IS HEREBY ORDERED THAT:</w:t>
      </w:r>
    </w:p>
    <w:p w:rsidR="00B56106" w:rsidRPr="00A4260E" w:rsidRDefault="00B56106" w:rsidP="00B56106">
      <w:pPr>
        <w:spacing w:line="233" w:lineRule="auto"/>
        <w:jc w:val="both"/>
        <w:rPr>
          <w:sz w:val="20"/>
          <w:szCs w:val="20"/>
        </w:rPr>
      </w:pPr>
    </w:p>
    <w:p w:rsidR="00B56106" w:rsidRPr="00A4260E" w:rsidRDefault="00B56106" w:rsidP="00B56106">
      <w:pPr>
        <w:spacing w:line="233" w:lineRule="auto"/>
        <w:jc w:val="both"/>
        <w:rPr>
          <w:sz w:val="20"/>
          <w:szCs w:val="20"/>
        </w:rPr>
      </w:pPr>
      <w:r w:rsidRPr="00A4260E">
        <w:rPr>
          <w:sz w:val="20"/>
          <w:szCs w:val="20"/>
        </w:rPr>
        <w:t>The motions for leave to intervene of the Attorney General of British Columbia, the City of Toronto and Metrolinx are granted and the said interveners shall be entitled to each serve and file a factum not to exceed 10 pages in length on or before October 9, 2012.</w:t>
      </w:r>
    </w:p>
    <w:p w:rsidR="00B56106" w:rsidRPr="00A4260E" w:rsidRDefault="00B56106" w:rsidP="00B56106">
      <w:pPr>
        <w:spacing w:line="233" w:lineRule="auto"/>
        <w:jc w:val="both"/>
        <w:rPr>
          <w:sz w:val="20"/>
          <w:szCs w:val="20"/>
        </w:rPr>
      </w:pPr>
    </w:p>
    <w:p w:rsidR="00B56106" w:rsidRPr="00A4260E" w:rsidRDefault="00B56106" w:rsidP="00B56106">
      <w:pPr>
        <w:spacing w:line="233" w:lineRule="auto"/>
        <w:jc w:val="both"/>
        <w:rPr>
          <w:sz w:val="20"/>
          <w:szCs w:val="20"/>
        </w:rPr>
      </w:pPr>
      <w:r w:rsidRPr="00A4260E">
        <w:rPr>
          <w:sz w:val="20"/>
          <w:szCs w:val="20"/>
        </w:rPr>
        <w:t>The requests to present oral argument are deferred to a date following receipt and consideration of the written arguments of the parties and the interveners.</w:t>
      </w:r>
    </w:p>
    <w:p w:rsidR="00B56106" w:rsidRPr="00A4260E" w:rsidRDefault="00B56106" w:rsidP="00B56106">
      <w:pPr>
        <w:spacing w:line="230" w:lineRule="auto"/>
        <w:jc w:val="both"/>
        <w:rPr>
          <w:sz w:val="20"/>
          <w:szCs w:val="20"/>
        </w:rPr>
      </w:pPr>
    </w:p>
    <w:p w:rsidR="00B56106" w:rsidRPr="00A4260E" w:rsidRDefault="007333FF" w:rsidP="00B56106">
      <w:pPr>
        <w:jc w:val="both"/>
        <w:rPr>
          <w:bCs/>
          <w:sz w:val="20"/>
          <w:szCs w:val="20"/>
        </w:rPr>
      </w:pP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r w:rsidR="00B56106" w:rsidRPr="00A4260E">
        <w:rPr>
          <w:bCs/>
          <w:sz w:val="20"/>
          <w:szCs w:val="20"/>
        </w:rPr>
        <w:t>The interveners are not entitled to raise new issues or to adduce further evidence or otherwise to supplement the record of the parties.</w:t>
      </w:r>
    </w:p>
    <w:p w:rsidR="00B56106" w:rsidRPr="00A4260E" w:rsidRDefault="00B56106" w:rsidP="00B56106">
      <w:pPr>
        <w:spacing w:line="233" w:lineRule="auto"/>
        <w:jc w:val="both"/>
        <w:rPr>
          <w:sz w:val="20"/>
          <w:szCs w:val="20"/>
        </w:rPr>
      </w:pPr>
    </w:p>
    <w:p w:rsidR="00B56106" w:rsidRPr="00A4260E" w:rsidRDefault="00B56106" w:rsidP="00B56106">
      <w:pPr>
        <w:spacing w:line="233" w:lineRule="auto"/>
        <w:jc w:val="both"/>
        <w:rPr>
          <w:sz w:val="20"/>
          <w:szCs w:val="20"/>
        </w:rPr>
      </w:pPr>
      <w:r w:rsidRPr="00A4260E">
        <w:rPr>
          <w:sz w:val="20"/>
          <w:szCs w:val="20"/>
        </w:rPr>
        <w:t>Pursuant to Rule 59(1)(</w:t>
      </w:r>
      <w:r w:rsidRPr="00A4260E">
        <w:rPr>
          <w:i/>
          <w:iCs/>
          <w:sz w:val="20"/>
          <w:szCs w:val="20"/>
        </w:rPr>
        <w:t>a</w:t>
      </w:r>
      <w:r w:rsidRPr="00A4260E">
        <w:rPr>
          <w:sz w:val="20"/>
          <w:szCs w:val="20"/>
        </w:rPr>
        <w:t xml:space="preserve">) of the </w:t>
      </w:r>
      <w:r w:rsidRPr="00A4260E">
        <w:rPr>
          <w:i/>
          <w:iCs/>
          <w:sz w:val="20"/>
          <w:szCs w:val="20"/>
        </w:rPr>
        <w:t>Rules of the Supreme Court of Canada</w:t>
      </w:r>
      <w:r w:rsidRPr="00A4260E">
        <w:rPr>
          <w:sz w:val="20"/>
          <w:szCs w:val="20"/>
        </w:rPr>
        <w:t>, the interveners shall pay to the appellant and respondent any additional disbursements occasioned to the appellant and respondent by their interventions.</w: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spacing w:line="233" w:lineRule="auto"/>
        <w:jc w:val="both"/>
        <w:rPr>
          <w:b/>
          <w:sz w:val="20"/>
          <w:szCs w:val="20"/>
          <w:lang w:val="fr-FR"/>
        </w:rPr>
      </w:pPr>
      <w:r w:rsidRPr="00A4260E">
        <w:rPr>
          <w:b/>
          <w:sz w:val="20"/>
          <w:szCs w:val="20"/>
          <w:lang w:val="fr-FR"/>
        </w:rPr>
        <w:t xml:space="preserve">À LA SUITE DES DEMANDES </w:t>
      </w:r>
      <w:r w:rsidRPr="00A4260E">
        <w:rPr>
          <w:sz w:val="20"/>
          <w:szCs w:val="20"/>
          <w:lang w:val="fr-FR"/>
        </w:rPr>
        <w:t xml:space="preserve">présentées par le procureur général de la Colombie-Britannique, la cité de Toronto et Metrolinx en vue d’intervenir dans l’appel; </w:t>
      </w:r>
    </w:p>
    <w:p w:rsidR="00B56106" w:rsidRPr="00A4260E" w:rsidRDefault="00B56106" w:rsidP="00B56106">
      <w:pPr>
        <w:spacing w:line="233" w:lineRule="auto"/>
        <w:jc w:val="both"/>
        <w:rPr>
          <w:sz w:val="20"/>
          <w:szCs w:val="20"/>
          <w:lang w:val="fr-FR"/>
        </w:rPr>
      </w:pPr>
    </w:p>
    <w:p w:rsidR="00B56106" w:rsidRPr="00A4260E" w:rsidRDefault="00B56106" w:rsidP="00B56106">
      <w:pPr>
        <w:spacing w:line="233" w:lineRule="auto"/>
        <w:jc w:val="both"/>
        <w:rPr>
          <w:sz w:val="20"/>
          <w:szCs w:val="20"/>
          <w:lang w:val="fr-FR"/>
        </w:rPr>
      </w:pPr>
      <w:r w:rsidRPr="00A4260E">
        <w:rPr>
          <w:b/>
          <w:bCs/>
          <w:sz w:val="20"/>
          <w:szCs w:val="20"/>
          <w:lang w:val="fr-FR"/>
        </w:rPr>
        <w:t xml:space="preserve">ET APRÈS EXAMEN </w:t>
      </w:r>
      <w:r w:rsidRPr="00A4260E">
        <w:rPr>
          <w:bCs/>
          <w:sz w:val="20"/>
          <w:szCs w:val="20"/>
          <w:lang w:val="fr-FR"/>
        </w:rPr>
        <w:t xml:space="preserve">des documents déposés, </w:t>
      </w:r>
    </w:p>
    <w:p w:rsidR="00B56106" w:rsidRPr="00A4260E" w:rsidRDefault="00B56106" w:rsidP="00B56106">
      <w:pPr>
        <w:spacing w:line="233" w:lineRule="auto"/>
        <w:jc w:val="center"/>
        <w:rPr>
          <w:sz w:val="20"/>
          <w:szCs w:val="20"/>
          <w:lang w:val="fr-FR"/>
        </w:rPr>
      </w:pPr>
    </w:p>
    <w:p w:rsidR="00B56106" w:rsidRPr="00A4260E" w:rsidRDefault="00B56106" w:rsidP="00B56106">
      <w:pPr>
        <w:spacing w:line="233" w:lineRule="auto"/>
        <w:jc w:val="both"/>
        <w:rPr>
          <w:sz w:val="20"/>
          <w:szCs w:val="20"/>
          <w:lang w:val="fr-FR"/>
        </w:rPr>
      </w:pPr>
      <w:r w:rsidRPr="00A4260E">
        <w:rPr>
          <w:b/>
          <w:bCs/>
          <w:sz w:val="20"/>
          <w:szCs w:val="20"/>
          <w:lang w:val="fr-FR"/>
        </w:rPr>
        <w:t xml:space="preserve">IL EST ORDONNÉ CE QUI SUIT : </w:t>
      </w:r>
    </w:p>
    <w:p w:rsidR="00B56106" w:rsidRPr="00A4260E" w:rsidRDefault="00B56106" w:rsidP="00B56106">
      <w:pPr>
        <w:spacing w:line="233" w:lineRule="auto"/>
        <w:jc w:val="both"/>
        <w:rPr>
          <w:sz w:val="20"/>
          <w:szCs w:val="20"/>
          <w:lang w:val="fr-FR"/>
        </w:rPr>
      </w:pPr>
    </w:p>
    <w:p w:rsidR="00B56106" w:rsidRPr="00A4260E" w:rsidRDefault="00B56106" w:rsidP="00B56106">
      <w:pPr>
        <w:spacing w:line="233" w:lineRule="auto"/>
        <w:jc w:val="both"/>
        <w:rPr>
          <w:sz w:val="20"/>
          <w:szCs w:val="20"/>
          <w:lang w:val="fr-FR"/>
        </w:rPr>
      </w:pPr>
      <w:r w:rsidRPr="00A4260E">
        <w:rPr>
          <w:sz w:val="20"/>
          <w:szCs w:val="20"/>
          <w:lang w:val="fr-FR"/>
        </w:rPr>
        <w:t xml:space="preserve">Les requêtes en autorisation d’intervenir du procureur général de la Colombie-Britannique, de la cité de Toronto et de Metrolinx sont accueillies et ces intervenants pourront signifier et déposer un mémoire d’au plus 10 pages au plus tard le 9 octobre 2012. </w:t>
      </w:r>
    </w:p>
    <w:p w:rsidR="00B56106" w:rsidRPr="00A4260E" w:rsidRDefault="00B56106" w:rsidP="00B56106">
      <w:pPr>
        <w:spacing w:line="233" w:lineRule="auto"/>
        <w:jc w:val="both"/>
        <w:rPr>
          <w:sz w:val="20"/>
          <w:szCs w:val="20"/>
          <w:lang w:val="fr-FR"/>
        </w:rPr>
      </w:pPr>
    </w:p>
    <w:p w:rsidR="00B56106" w:rsidRPr="00A4260E" w:rsidRDefault="00B56106" w:rsidP="00B56106">
      <w:pPr>
        <w:spacing w:line="233" w:lineRule="auto"/>
        <w:jc w:val="both"/>
        <w:rPr>
          <w:sz w:val="20"/>
          <w:szCs w:val="20"/>
          <w:lang w:val="fr-FR"/>
        </w:rPr>
      </w:pPr>
      <w:r w:rsidRPr="00A4260E">
        <w:rPr>
          <w:sz w:val="20"/>
          <w:szCs w:val="20"/>
          <w:lang w:val="fr-FR"/>
        </w:rPr>
        <w:t>La décision sur les demandes en vue de présenter une plaidoirie orale sera rendue après réception et examen des arguments écrits des parties et des intervenants.</w:t>
      </w:r>
    </w:p>
    <w:p w:rsidR="00B56106" w:rsidRPr="00A4260E" w:rsidRDefault="00B56106" w:rsidP="00B56106">
      <w:pPr>
        <w:spacing w:line="233" w:lineRule="auto"/>
        <w:jc w:val="both"/>
        <w:rPr>
          <w:sz w:val="20"/>
          <w:szCs w:val="20"/>
          <w:lang w:val="fr-FR"/>
        </w:rPr>
      </w:pPr>
    </w:p>
    <w:p w:rsidR="00B56106" w:rsidRPr="00A4260E" w:rsidRDefault="00B56106" w:rsidP="00B56106">
      <w:pPr>
        <w:spacing w:line="233" w:lineRule="auto"/>
        <w:jc w:val="both"/>
        <w:rPr>
          <w:sz w:val="20"/>
          <w:szCs w:val="20"/>
          <w:lang w:val="fr-FR"/>
        </w:rPr>
      </w:pPr>
      <w:r w:rsidRPr="00A4260E">
        <w:rPr>
          <w:sz w:val="20"/>
          <w:szCs w:val="20"/>
          <w:lang w:val="fr-FR"/>
        </w:rPr>
        <w:t>Les intervenants n'ont pas le droit de soulever de nouvelles questions, de produire d'autres éléments de preuve ni de compléter de quelque autre façon le dossier des parties.</w:t>
      </w:r>
    </w:p>
    <w:p w:rsidR="00B56106" w:rsidRPr="00A4260E" w:rsidRDefault="00B56106" w:rsidP="00B56106">
      <w:pPr>
        <w:spacing w:line="233" w:lineRule="auto"/>
        <w:jc w:val="both"/>
        <w:rPr>
          <w:sz w:val="20"/>
          <w:szCs w:val="20"/>
          <w:lang w:val="fr-FR"/>
        </w:rPr>
      </w:pPr>
    </w:p>
    <w:p w:rsidR="00B56106" w:rsidRPr="00A4260E" w:rsidRDefault="00B56106" w:rsidP="00B56106">
      <w:pPr>
        <w:spacing w:line="233" w:lineRule="auto"/>
        <w:jc w:val="both"/>
        <w:rPr>
          <w:sz w:val="20"/>
          <w:szCs w:val="20"/>
          <w:lang w:val="fr-FR"/>
        </w:rPr>
      </w:pPr>
      <w:r w:rsidRPr="00A4260E">
        <w:rPr>
          <w:sz w:val="20"/>
          <w:szCs w:val="20"/>
          <w:lang w:val="fr-FR"/>
        </w:rPr>
        <w:t>Conformément à l’al. 59(1)</w:t>
      </w:r>
      <w:r w:rsidRPr="00A4260E">
        <w:rPr>
          <w:i/>
          <w:sz w:val="20"/>
          <w:szCs w:val="20"/>
          <w:lang w:val="fr-FR"/>
        </w:rPr>
        <w:t>a</w:t>
      </w:r>
      <w:r w:rsidRPr="00A4260E">
        <w:rPr>
          <w:sz w:val="20"/>
          <w:szCs w:val="20"/>
          <w:lang w:val="fr-FR"/>
        </w:rPr>
        <w:t xml:space="preserve">) des </w:t>
      </w:r>
      <w:r w:rsidRPr="00A4260E">
        <w:rPr>
          <w:i/>
          <w:sz w:val="20"/>
          <w:szCs w:val="20"/>
          <w:lang w:val="fr-FR"/>
        </w:rPr>
        <w:t>Règles de la Cour suprême du Canada</w:t>
      </w:r>
      <w:r w:rsidRPr="00A4260E">
        <w:rPr>
          <w:sz w:val="20"/>
          <w:szCs w:val="20"/>
          <w:lang w:val="fr-FR"/>
        </w:rPr>
        <w:t>, les intervenants paieront à l’appelante et à l’intimée tous les débours supplémentaires résultant de leur intervention.</w:t>
      </w:r>
    </w:p>
    <w:p w:rsidR="00B56106" w:rsidRPr="00A4260E" w:rsidRDefault="00B56106" w:rsidP="00B56106">
      <w:pPr>
        <w:tabs>
          <w:tab w:val="left" w:pos="-1440"/>
          <w:tab w:val="left" w:pos="-720"/>
        </w:tabs>
        <w:jc w:val="both"/>
        <w:rPr>
          <w:sz w:val="20"/>
          <w:szCs w:val="20"/>
          <w:lang w:val="fr-FR"/>
        </w:rPr>
      </w:pPr>
    </w:p>
    <w:p w:rsidR="00B56106" w:rsidRPr="00A4260E" w:rsidRDefault="007333FF" w:rsidP="00B56106">
      <w:pPr>
        <w:tabs>
          <w:tab w:val="left" w:pos="-1440"/>
          <w:tab w:val="left" w:pos="-720"/>
        </w:tabs>
        <w:jc w:val="both"/>
        <w:rPr>
          <w:sz w:val="20"/>
          <w:szCs w:val="20"/>
          <w:lang w:val="fr-CA"/>
        </w:rPr>
      </w:pPr>
      <w:r w:rsidRPr="007333FF">
        <w:rPr>
          <w:sz w:val="20"/>
          <w:szCs w:val="20"/>
          <w:lang w:val="fr-CA"/>
        </w:rPr>
        <w:pict>
          <v:rect id="_x0000_i1127" style="width:2in;height:1pt" o:hrpct="0" o:hralign="center" o:hrstd="t" o:hrnoshade="t" o:hr="t" fillcolor="black [3213]" stroked="f"/>
        </w:pic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13.08.2012</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Before / Devant :   ROTHSTEIN J. / LE JUGE ROTHSTEIN</w:t>
      </w:r>
    </w:p>
    <w:p w:rsidR="00B56106" w:rsidRPr="00A4260E" w:rsidRDefault="00B56106" w:rsidP="00B5610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B56106" w:rsidRPr="00A4260E" w:rsidTr="00B56106">
        <w:tc>
          <w:tcPr>
            <w:tcW w:w="4338" w:type="dxa"/>
            <w:gridSpan w:val="2"/>
          </w:tcPr>
          <w:p w:rsidR="00B56106" w:rsidRPr="00A4260E" w:rsidRDefault="00B56106" w:rsidP="00B56106">
            <w:pPr>
              <w:rPr>
                <w:b/>
                <w:sz w:val="20"/>
                <w:szCs w:val="20"/>
              </w:rPr>
            </w:pPr>
            <w:r w:rsidRPr="00A4260E">
              <w:rPr>
                <w:b/>
                <w:sz w:val="20"/>
                <w:szCs w:val="20"/>
              </w:rPr>
              <w:t>Motion for leave to intervene</w:t>
            </w:r>
            <w:r w:rsidRPr="00A4260E">
              <w:rPr>
                <w:sz w:val="20"/>
                <w:szCs w:val="20"/>
              </w:rPr>
              <w:t xml:space="preserve"> </w:t>
            </w:r>
            <w:r w:rsidR="007333FF" w:rsidRPr="00A4260E">
              <w:rPr>
                <w:sz w:val="20"/>
                <w:szCs w:val="20"/>
              </w:rPr>
              <w:fldChar w:fldCharType="begin"/>
            </w:r>
            <w:r w:rsidRPr="00A4260E">
              <w:rPr>
                <w:sz w:val="20"/>
                <w:szCs w:val="20"/>
              </w:rPr>
              <w:instrText xml:space="preserve"> SEQ CHAPTER \h \r 1</w:instrText>
            </w:r>
            <w:r w:rsidR="007333FF" w:rsidRPr="00A4260E">
              <w:rPr>
                <w:sz w:val="20"/>
                <w:szCs w:val="20"/>
              </w:rPr>
              <w:fldChar w:fldCharType="end"/>
            </w:r>
          </w:p>
        </w:tc>
        <w:tc>
          <w:tcPr>
            <w:tcW w:w="1170" w:type="dxa"/>
          </w:tcPr>
          <w:p w:rsidR="00B56106" w:rsidRPr="00A4260E" w:rsidRDefault="00B56106" w:rsidP="00B56106">
            <w:pPr>
              <w:rPr>
                <w:sz w:val="20"/>
                <w:szCs w:val="20"/>
              </w:rPr>
            </w:pPr>
          </w:p>
          <w:p w:rsidR="00B56106" w:rsidRPr="00A4260E" w:rsidRDefault="00B56106" w:rsidP="00B56106">
            <w:pPr>
              <w:rPr>
                <w:sz w:val="20"/>
                <w:szCs w:val="20"/>
              </w:rPr>
            </w:pPr>
          </w:p>
        </w:tc>
        <w:tc>
          <w:tcPr>
            <w:tcW w:w="4327" w:type="dxa"/>
          </w:tcPr>
          <w:p w:rsidR="00B56106" w:rsidRPr="00A4260E" w:rsidRDefault="00B56106" w:rsidP="00B56106">
            <w:pPr>
              <w:rPr>
                <w:b/>
                <w:sz w:val="20"/>
                <w:szCs w:val="20"/>
              </w:rPr>
            </w:pPr>
            <w:r w:rsidRPr="00A4260E">
              <w:rPr>
                <w:b/>
                <w:bCs/>
                <w:sz w:val="20"/>
                <w:szCs w:val="20"/>
                <w:lang w:val="fr-CA"/>
              </w:rPr>
              <w:t>Requête en autorisation d’intervenir</w:t>
            </w:r>
            <w:r w:rsidRPr="00A4260E">
              <w:rPr>
                <w:sz w:val="20"/>
                <w:szCs w:val="20"/>
              </w:rPr>
              <w:t xml:space="preserve"> </w:t>
            </w:r>
            <w:r w:rsidR="007333FF" w:rsidRPr="00A4260E">
              <w:rPr>
                <w:sz w:val="20"/>
                <w:szCs w:val="20"/>
              </w:rPr>
              <w:fldChar w:fldCharType="begin"/>
            </w:r>
            <w:r w:rsidRPr="00A4260E">
              <w:rPr>
                <w:sz w:val="20"/>
                <w:szCs w:val="20"/>
              </w:rPr>
              <w:instrText xml:space="preserve"> SEQ CHAPTER \h \r 1</w:instrText>
            </w:r>
            <w:r w:rsidR="007333FF" w:rsidRPr="00A4260E">
              <w:rPr>
                <w:sz w:val="20"/>
                <w:szCs w:val="20"/>
              </w:rPr>
              <w:fldChar w:fldCharType="end"/>
            </w:r>
          </w:p>
        </w:tc>
      </w:tr>
      <w:tr w:rsidR="00B56106" w:rsidRPr="00A4260E" w:rsidTr="00B56106">
        <w:tc>
          <w:tcPr>
            <w:tcW w:w="1368" w:type="dxa"/>
          </w:tcPr>
          <w:p w:rsidR="00B56106" w:rsidRPr="00A4260E" w:rsidRDefault="00B56106" w:rsidP="00B56106">
            <w:pPr>
              <w:rPr>
                <w:sz w:val="20"/>
                <w:szCs w:val="20"/>
              </w:rPr>
            </w:pPr>
            <w:r w:rsidRPr="00A4260E">
              <w:rPr>
                <w:sz w:val="20"/>
                <w:szCs w:val="20"/>
              </w:rPr>
              <w:t>BY / PAR</w:t>
            </w:r>
          </w:p>
        </w:tc>
        <w:tc>
          <w:tcPr>
            <w:tcW w:w="2970" w:type="dxa"/>
          </w:tcPr>
          <w:p w:rsidR="00B56106" w:rsidRPr="00A4260E" w:rsidRDefault="00B56106" w:rsidP="00B56106">
            <w:pPr>
              <w:rPr>
                <w:sz w:val="20"/>
                <w:szCs w:val="20"/>
              </w:rPr>
            </w:pPr>
            <w:r w:rsidRPr="00A4260E">
              <w:rPr>
                <w:sz w:val="20"/>
                <w:szCs w:val="20"/>
              </w:rPr>
              <w:t>Attorney General of Ontario</w:t>
            </w: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rPr>
            </w:pP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r w:rsidRPr="00A4260E">
              <w:rPr>
                <w:sz w:val="20"/>
                <w:szCs w:val="20"/>
              </w:rPr>
              <w:t>IN / DANS :</w:t>
            </w:r>
          </w:p>
        </w:tc>
        <w:tc>
          <w:tcPr>
            <w:tcW w:w="2970" w:type="dxa"/>
          </w:tcPr>
          <w:p w:rsidR="00B56106" w:rsidRPr="00A4260E" w:rsidRDefault="00B56106" w:rsidP="00B56106">
            <w:pPr>
              <w:rPr>
                <w:sz w:val="20"/>
                <w:szCs w:val="20"/>
              </w:rPr>
            </w:pPr>
            <w:r w:rsidRPr="00A4260E">
              <w:rPr>
                <w:sz w:val="20"/>
                <w:szCs w:val="20"/>
              </w:rPr>
              <w:t>Her Majesty the Queen</w:t>
            </w:r>
          </w:p>
          <w:p w:rsidR="00B56106" w:rsidRPr="00A4260E" w:rsidRDefault="00B56106" w:rsidP="00B56106">
            <w:pPr>
              <w:rPr>
                <w:sz w:val="20"/>
                <w:szCs w:val="20"/>
              </w:rPr>
            </w:pP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rPr>
            </w:pPr>
            <w:r w:rsidRPr="00A4260E">
              <w:rPr>
                <w:sz w:val="20"/>
                <w:szCs w:val="20"/>
              </w:rPr>
              <w:tab/>
              <w:t>v. (34754)</w:t>
            </w:r>
          </w:p>
          <w:p w:rsidR="00B56106" w:rsidRPr="00A4260E" w:rsidRDefault="00B56106" w:rsidP="00B56106">
            <w:pPr>
              <w:rPr>
                <w:sz w:val="20"/>
                <w:szCs w:val="20"/>
              </w:rPr>
            </w:pP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jc w:val="both"/>
              <w:rPr>
                <w:sz w:val="20"/>
                <w:szCs w:val="20"/>
                <w:lang w:val="fr-CA"/>
              </w:rPr>
            </w:pPr>
            <w:r w:rsidRPr="00A4260E">
              <w:rPr>
                <w:sz w:val="20"/>
                <w:szCs w:val="20"/>
                <w:lang w:val="fr-CA"/>
              </w:rPr>
              <w:t>Christopher Baldree (Crim.) (Ont.)</w:t>
            </w:r>
          </w:p>
        </w:tc>
        <w:tc>
          <w:tcPr>
            <w:tcW w:w="1170" w:type="dxa"/>
          </w:tcPr>
          <w:p w:rsidR="00B56106" w:rsidRPr="00A4260E" w:rsidRDefault="00B56106" w:rsidP="00B56106">
            <w:pPr>
              <w:rPr>
                <w:sz w:val="20"/>
                <w:szCs w:val="20"/>
                <w:lang w:val="fr-CA"/>
              </w:rPr>
            </w:pPr>
          </w:p>
        </w:tc>
        <w:tc>
          <w:tcPr>
            <w:tcW w:w="4327" w:type="dxa"/>
          </w:tcPr>
          <w:p w:rsidR="00B56106" w:rsidRPr="00A4260E" w:rsidRDefault="00B56106" w:rsidP="00B56106">
            <w:pPr>
              <w:rPr>
                <w:sz w:val="20"/>
                <w:szCs w:val="20"/>
                <w:lang w:val="fr-CA"/>
              </w:rPr>
            </w:pPr>
          </w:p>
        </w:tc>
      </w:tr>
    </w:tbl>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lang w:val="fr-CA"/>
        </w:rPr>
      </w:pPr>
      <w:r w:rsidRPr="00A4260E">
        <w:rPr>
          <w:b/>
          <w:sz w:val="20"/>
          <w:szCs w:val="20"/>
          <w:lang w:val="fr-CA"/>
        </w:rPr>
        <w:t>GRANTED / ACCORDÉE</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spacing w:line="233" w:lineRule="auto"/>
        <w:jc w:val="both"/>
        <w:rPr>
          <w:sz w:val="20"/>
          <w:szCs w:val="20"/>
        </w:rPr>
      </w:pPr>
      <w:r w:rsidRPr="00A4260E">
        <w:rPr>
          <w:b/>
          <w:bCs/>
          <w:sz w:val="20"/>
          <w:szCs w:val="20"/>
        </w:rPr>
        <w:lastRenderedPageBreak/>
        <w:t xml:space="preserve">UPON APPLICATION </w:t>
      </w:r>
      <w:r w:rsidRPr="00A4260E">
        <w:rPr>
          <w:sz w:val="20"/>
          <w:szCs w:val="20"/>
        </w:rPr>
        <w:t>by the Attorney General of Ontario for leave to intervene in the above appeal;</w:t>
      </w:r>
    </w:p>
    <w:p w:rsidR="00B56106" w:rsidRPr="00A4260E" w:rsidRDefault="00B56106" w:rsidP="00B56106">
      <w:pPr>
        <w:spacing w:line="233" w:lineRule="auto"/>
        <w:jc w:val="both"/>
        <w:rPr>
          <w:sz w:val="20"/>
          <w:szCs w:val="20"/>
        </w:rPr>
      </w:pPr>
    </w:p>
    <w:p w:rsidR="00B56106" w:rsidRPr="00A4260E" w:rsidRDefault="00B56106" w:rsidP="00B56106">
      <w:pPr>
        <w:spacing w:line="233" w:lineRule="auto"/>
        <w:jc w:val="both"/>
        <w:rPr>
          <w:sz w:val="20"/>
          <w:szCs w:val="20"/>
        </w:rPr>
      </w:pPr>
      <w:r w:rsidRPr="00A4260E">
        <w:rPr>
          <w:b/>
          <w:bCs/>
          <w:sz w:val="20"/>
          <w:szCs w:val="20"/>
        </w:rPr>
        <w:t>AND THE MATERIAL FILED</w:t>
      </w:r>
      <w:r w:rsidRPr="00A4260E">
        <w:rPr>
          <w:sz w:val="20"/>
          <w:szCs w:val="20"/>
        </w:rPr>
        <w:t xml:space="preserve"> having been read;</w:t>
      </w:r>
    </w:p>
    <w:p w:rsidR="00B56106" w:rsidRPr="00A4260E" w:rsidRDefault="00B56106" w:rsidP="00B56106">
      <w:pPr>
        <w:spacing w:line="233" w:lineRule="auto"/>
        <w:jc w:val="both"/>
        <w:rPr>
          <w:sz w:val="20"/>
          <w:szCs w:val="20"/>
        </w:rPr>
      </w:pPr>
    </w:p>
    <w:p w:rsidR="00B56106" w:rsidRPr="00A4260E" w:rsidRDefault="00B56106" w:rsidP="00B56106">
      <w:pPr>
        <w:spacing w:line="233" w:lineRule="auto"/>
        <w:jc w:val="both"/>
        <w:rPr>
          <w:sz w:val="20"/>
          <w:szCs w:val="20"/>
        </w:rPr>
      </w:pPr>
      <w:r w:rsidRPr="00A4260E">
        <w:rPr>
          <w:b/>
          <w:bCs/>
          <w:sz w:val="20"/>
          <w:szCs w:val="20"/>
        </w:rPr>
        <w:t>IT IS HEREBY ORDERED THAT:</w:t>
      </w:r>
    </w:p>
    <w:p w:rsidR="00B56106" w:rsidRPr="00A4260E" w:rsidRDefault="00B56106" w:rsidP="00B56106">
      <w:pPr>
        <w:spacing w:line="233" w:lineRule="auto"/>
        <w:jc w:val="both"/>
        <w:rPr>
          <w:sz w:val="20"/>
          <w:szCs w:val="20"/>
        </w:rPr>
      </w:pPr>
    </w:p>
    <w:p w:rsidR="00B56106" w:rsidRPr="00A4260E" w:rsidRDefault="00B56106" w:rsidP="00B56106">
      <w:pPr>
        <w:spacing w:line="233" w:lineRule="auto"/>
        <w:jc w:val="both"/>
        <w:rPr>
          <w:sz w:val="20"/>
          <w:szCs w:val="20"/>
        </w:rPr>
      </w:pPr>
      <w:r w:rsidRPr="00A4260E">
        <w:rPr>
          <w:sz w:val="20"/>
          <w:szCs w:val="20"/>
        </w:rPr>
        <w:t>The motion for leave to intervene of the Attorney General of Ontario is granted and the said intervener shall be entitled to serve and file a factum not to exceed 10 pages in length on or before September 14, 2012.</w:t>
      </w:r>
    </w:p>
    <w:p w:rsidR="00B56106" w:rsidRPr="00A4260E" w:rsidRDefault="00B56106" w:rsidP="00B56106">
      <w:pPr>
        <w:spacing w:line="233" w:lineRule="auto"/>
        <w:jc w:val="both"/>
        <w:rPr>
          <w:sz w:val="20"/>
          <w:szCs w:val="20"/>
        </w:rPr>
      </w:pPr>
    </w:p>
    <w:p w:rsidR="00B56106" w:rsidRPr="00A4260E" w:rsidRDefault="00B56106" w:rsidP="00B56106">
      <w:pPr>
        <w:spacing w:line="233" w:lineRule="auto"/>
        <w:jc w:val="both"/>
        <w:rPr>
          <w:sz w:val="20"/>
          <w:szCs w:val="20"/>
        </w:rPr>
      </w:pPr>
      <w:r w:rsidRPr="00A4260E">
        <w:rPr>
          <w:sz w:val="20"/>
          <w:szCs w:val="20"/>
        </w:rPr>
        <w:t>The request to present oral argument is deferred to a date following receipt and consideration of the written arguments of the parties and the intervener.</w:t>
      </w:r>
    </w:p>
    <w:p w:rsidR="00B56106" w:rsidRPr="00A4260E" w:rsidRDefault="00B56106" w:rsidP="00B56106">
      <w:pPr>
        <w:spacing w:line="233" w:lineRule="auto"/>
        <w:jc w:val="both"/>
        <w:rPr>
          <w:sz w:val="20"/>
          <w:szCs w:val="20"/>
        </w:rPr>
      </w:pPr>
    </w:p>
    <w:p w:rsidR="00B56106" w:rsidRPr="00A4260E" w:rsidRDefault="00B56106" w:rsidP="00B56106">
      <w:pPr>
        <w:spacing w:line="233" w:lineRule="auto"/>
        <w:jc w:val="both"/>
        <w:rPr>
          <w:sz w:val="20"/>
          <w:szCs w:val="20"/>
        </w:rPr>
      </w:pPr>
      <w:r w:rsidRPr="00A4260E">
        <w:rPr>
          <w:sz w:val="20"/>
          <w:szCs w:val="20"/>
        </w:rPr>
        <w:t>The intervener is not entitled to raise new issues or to adduce further evidence or otherwise to supplement the record of the parties.</w:t>
      </w:r>
    </w:p>
    <w:p w:rsidR="00B56106" w:rsidRPr="00A4260E" w:rsidRDefault="00B56106" w:rsidP="00B56106">
      <w:pPr>
        <w:spacing w:line="233" w:lineRule="auto"/>
        <w:jc w:val="both"/>
        <w:rPr>
          <w:sz w:val="20"/>
          <w:szCs w:val="20"/>
        </w:rPr>
      </w:pPr>
    </w:p>
    <w:p w:rsidR="00B56106" w:rsidRPr="00A4260E" w:rsidRDefault="00B56106" w:rsidP="00B56106">
      <w:pPr>
        <w:spacing w:line="233" w:lineRule="auto"/>
        <w:jc w:val="both"/>
        <w:rPr>
          <w:sz w:val="20"/>
          <w:szCs w:val="20"/>
        </w:rPr>
      </w:pPr>
      <w:r w:rsidRPr="00A4260E">
        <w:rPr>
          <w:sz w:val="20"/>
          <w:szCs w:val="20"/>
        </w:rPr>
        <w:t>Pursuant to Rule 59(1)(</w:t>
      </w:r>
      <w:r w:rsidRPr="00A4260E">
        <w:rPr>
          <w:i/>
          <w:iCs/>
          <w:sz w:val="20"/>
          <w:szCs w:val="20"/>
        </w:rPr>
        <w:t>a</w:t>
      </w:r>
      <w:r w:rsidRPr="00A4260E">
        <w:rPr>
          <w:sz w:val="20"/>
          <w:szCs w:val="20"/>
        </w:rPr>
        <w:t xml:space="preserve">) of the </w:t>
      </w:r>
      <w:r w:rsidRPr="00A4260E">
        <w:rPr>
          <w:i/>
          <w:iCs/>
          <w:sz w:val="20"/>
          <w:szCs w:val="20"/>
        </w:rPr>
        <w:t>Rules of the Supreme Court of Canada</w:t>
      </w:r>
      <w:r w:rsidRPr="00A4260E">
        <w:rPr>
          <w:sz w:val="20"/>
          <w:szCs w:val="20"/>
        </w:rPr>
        <w:t xml:space="preserve">, the intervener shall pay to the appellant and respondent any additional disbursements occasioned to the appellant and respondent by its intervention. </w:t>
      </w:r>
    </w:p>
    <w:p w:rsidR="00B56106" w:rsidRPr="00A4260E" w:rsidRDefault="00B56106" w:rsidP="00B56106">
      <w:pPr>
        <w:spacing w:line="233" w:lineRule="auto"/>
        <w:rPr>
          <w:sz w:val="20"/>
          <w:szCs w:val="20"/>
        </w:rPr>
      </w:pPr>
    </w:p>
    <w:p w:rsidR="00B56106" w:rsidRPr="00A4260E" w:rsidRDefault="00B56106" w:rsidP="00B56106">
      <w:pPr>
        <w:spacing w:line="233" w:lineRule="auto"/>
        <w:jc w:val="both"/>
        <w:rPr>
          <w:sz w:val="20"/>
          <w:szCs w:val="20"/>
        </w:rPr>
      </w:pPr>
      <w:r w:rsidRPr="00A4260E">
        <w:rPr>
          <w:b/>
          <w:bCs/>
          <w:sz w:val="20"/>
          <w:szCs w:val="20"/>
        </w:rPr>
        <w:t>IT IS FURTHER ORDERED THAT:</w:t>
      </w:r>
      <w:r w:rsidRPr="00A4260E">
        <w:rPr>
          <w:sz w:val="20"/>
          <w:szCs w:val="20"/>
        </w:rPr>
        <w:t xml:space="preserve"> </w:t>
      </w:r>
    </w:p>
    <w:p w:rsidR="00B56106" w:rsidRPr="00A4260E" w:rsidRDefault="00B56106" w:rsidP="00B56106">
      <w:pPr>
        <w:spacing w:line="233" w:lineRule="auto"/>
        <w:jc w:val="both"/>
        <w:rPr>
          <w:sz w:val="20"/>
          <w:szCs w:val="20"/>
        </w:rPr>
      </w:pPr>
    </w:p>
    <w:p w:rsidR="00B56106" w:rsidRPr="00A4260E" w:rsidRDefault="00B56106" w:rsidP="00B56106">
      <w:pPr>
        <w:spacing w:line="233" w:lineRule="auto"/>
        <w:jc w:val="both"/>
        <w:rPr>
          <w:sz w:val="20"/>
          <w:szCs w:val="20"/>
        </w:rPr>
      </w:pPr>
      <w:r w:rsidRPr="00A4260E">
        <w:rPr>
          <w:sz w:val="20"/>
          <w:szCs w:val="20"/>
        </w:rPr>
        <w:t>The factum of the respondent shall be filed on or before October 5, 2012.</w: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spacing w:line="233" w:lineRule="auto"/>
        <w:jc w:val="both"/>
        <w:rPr>
          <w:sz w:val="20"/>
          <w:szCs w:val="20"/>
          <w:lang w:val="fr-FR"/>
        </w:rPr>
      </w:pPr>
      <w:r w:rsidRPr="00A4260E">
        <w:rPr>
          <w:b/>
          <w:bCs/>
          <w:sz w:val="20"/>
          <w:szCs w:val="20"/>
          <w:lang w:val="fr-FR"/>
        </w:rPr>
        <w:t xml:space="preserve">À LA SUITE DE LA DEMANDE </w:t>
      </w:r>
      <w:r w:rsidRPr="00A4260E">
        <w:rPr>
          <w:bCs/>
          <w:sz w:val="20"/>
          <w:szCs w:val="20"/>
          <w:lang w:val="fr-FR"/>
        </w:rPr>
        <w:t>d’autorisation d’intervenir dans l’appel présentée par le procureur général de l’Ontario</w:t>
      </w:r>
      <w:r w:rsidRPr="00A4260E">
        <w:rPr>
          <w:sz w:val="20"/>
          <w:szCs w:val="20"/>
          <w:lang w:val="fr-FR"/>
        </w:rPr>
        <w:t>;</w:t>
      </w:r>
    </w:p>
    <w:p w:rsidR="00B56106" w:rsidRPr="00A4260E" w:rsidRDefault="00B56106" w:rsidP="00B56106">
      <w:pPr>
        <w:spacing w:line="233" w:lineRule="auto"/>
        <w:jc w:val="both"/>
        <w:rPr>
          <w:sz w:val="20"/>
          <w:szCs w:val="20"/>
          <w:lang w:val="fr-FR"/>
        </w:rPr>
      </w:pPr>
    </w:p>
    <w:p w:rsidR="00B56106" w:rsidRPr="00A4260E" w:rsidRDefault="00B56106" w:rsidP="00B56106">
      <w:pPr>
        <w:spacing w:line="233" w:lineRule="auto"/>
        <w:jc w:val="both"/>
        <w:rPr>
          <w:sz w:val="20"/>
          <w:szCs w:val="20"/>
          <w:lang w:val="fr-CA"/>
        </w:rPr>
      </w:pPr>
      <w:r w:rsidRPr="00A4260E">
        <w:rPr>
          <w:b/>
          <w:bCs/>
          <w:sz w:val="20"/>
          <w:szCs w:val="20"/>
          <w:lang w:val="fr-CA"/>
        </w:rPr>
        <w:t xml:space="preserve">ET APRÈS EXAMEN </w:t>
      </w:r>
      <w:r w:rsidRPr="00A4260E">
        <w:rPr>
          <w:bCs/>
          <w:sz w:val="20"/>
          <w:szCs w:val="20"/>
          <w:lang w:val="fr-CA"/>
        </w:rPr>
        <w:t xml:space="preserve">des documents déposés, </w:t>
      </w:r>
    </w:p>
    <w:p w:rsidR="00B56106" w:rsidRPr="00A4260E" w:rsidRDefault="00B56106" w:rsidP="00B56106">
      <w:pPr>
        <w:spacing w:line="233" w:lineRule="auto"/>
        <w:jc w:val="both"/>
        <w:rPr>
          <w:sz w:val="20"/>
          <w:szCs w:val="20"/>
          <w:lang w:val="fr-CA"/>
        </w:rPr>
      </w:pPr>
    </w:p>
    <w:p w:rsidR="00B56106" w:rsidRPr="00A4260E" w:rsidRDefault="00B56106" w:rsidP="00B56106">
      <w:pPr>
        <w:spacing w:line="233" w:lineRule="auto"/>
        <w:jc w:val="both"/>
        <w:rPr>
          <w:b/>
          <w:bCs/>
          <w:sz w:val="20"/>
          <w:szCs w:val="20"/>
          <w:lang w:val="fr-FR"/>
        </w:rPr>
      </w:pPr>
      <w:r w:rsidRPr="00A4260E">
        <w:rPr>
          <w:b/>
          <w:bCs/>
          <w:sz w:val="20"/>
          <w:szCs w:val="20"/>
          <w:lang w:val="fr-FR"/>
        </w:rPr>
        <w:t xml:space="preserve">IL EST ORDONNÉ CE QUI SUIT : </w:t>
      </w:r>
    </w:p>
    <w:p w:rsidR="00B56106" w:rsidRPr="00A4260E" w:rsidRDefault="00B56106" w:rsidP="00B56106">
      <w:pPr>
        <w:spacing w:line="233" w:lineRule="auto"/>
        <w:jc w:val="both"/>
        <w:rPr>
          <w:sz w:val="20"/>
          <w:szCs w:val="20"/>
          <w:lang w:val="fr-FR"/>
        </w:rPr>
      </w:pPr>
    </w:p>
    <w:p w:rsidR="00B56106" w:rsidRPr="00A4260E" w:rsidRDefault="00B56106" w:rsidP="00B56106">
      <w:pPr>
        <w:spacing w:line="233" w:lineRule="auto"/>
        <w:jc w:val="both"/>
        <w:rPr>
          <w:sz w:val="20"/>
          <w:szCs w:val="20"/>
          <w:lang w:val="fr-CA"/>
        </w:rPr>
      </w:pPr>
      <w:r w:rsidRPr="00A4260E">
        <w:rPr>
          <w:sz w:val="20"/>
          <w:szCs w:val="20"/>
          <w:lang w:val="fr-FR"/>
        </w:rPr>
        <w:t xml:space="preserve">La demande d’autorisation d’intervenir présentée par le procureur général de l’Ontario est accueillie et cet intervenant pourra signifier et déposer un mémoire d’au plus 10 pages au plus tard le 14 septembre 2012. </w:t>
      </w:r>
    </w:p>
    <w:p w:rsidR="00B56106" w:rsidRPr="00A4260E" w:rsidRDefault="00B56106" w:rsidP="00B56106">
      <w:pPr>
        <w:spacing w:line="233" w:lineRule="auto"/>
        <w:jc w:val="both"/>
        <w:rPr>
          <w:sz w:val="20"/>
          <w:szCs w:val="20"/>
          <w:lang w:val="fr-CA"/>
        </w:rPr>
      </w:pPr>
    </w:p>
    <w:p w:rsidR="00B56106" w:rsidRPr="00A4260E" w:rsidRDefault="00B56106" w:rsidP="00B56106">
      <w:pPr>
        <w:spacing w:line="233" w:lineRule="auto"/>
        <w:jc w:val="both"/>
        <w:rPr>
          <w:sz w:val="20"/>
          <w:szCs w:val="20"/>
          <w:lang w:val="fr-FR"/>
        </w:rPr>
      </w:pPr>
      <w:r w:rsidRPr="00A4260E">
        <w:rPr>
          <w:sz w:val="20"/>
          <w:szCs w:val="20"/>
          <w:lang w:val="fr-FR"/>
        </w:rPr>
        <w:t>La décision sur la demande en vue de présenter une plaidoirie orale sera rendue après réception et examen des arguments écrits des parties et de l’intervenant.</w:t>
      </w:r>
    </w:p>
    <w:p w:rsidR="00B56106" w:rsidRPr="00A4260E" w:rsidRDefault="00B56106" w:rsidP="00B56106">
      <w:pPr>
        <w:spacing w:line="233" w:lineRule="auto"/>
        <w:jc w:val="both"/>
        <w:rPr>
          <w:sz w:val="20"/>
          <w:szCs w:val="20"/>
          <w:lang w:val="fr-FR"/>
        </w:rPr>
      </w:pPr>
    </w:p>
    <w:p w:rsidR="00B56106" w:rsidRPr="00A4260E" w:rsidRDefault="00B56106" w:rsidP="00B56106">
      <w:pPr>
        <w:spacing w:line="233" w:lineRule="auto"/>
        <w:jc w:val="both"/>
        <w:rPr>
          <w:sz w:val="20"/>
          <w:szCs w:val="20"/>
          <w:lang w:val="fr-FR"/>
        </w:rPr>
      </w:pPr>
      <w:r w:rsidRPr="00A4260E">
        <w:rPr>
          <w:sz w:val="20"/>
          <w:szCs w:val="20"/>
          <w:lang w:val="fr-FR"/>
        </w:rPr>
        <w:t>L’intervenant n'a pas le droit de soulever de nouvelles questions, de produire d'autres éléments de preuve ni de compléter de quelque autre façon le dossier des parties.</w:t>
      </w:r>
    </w:p>
    <w:p w:rsidR="00B56106" w:rsidRPr="00A4260E" w:rsidRDefault="00B56106" w:rsidP="00B56106">
      <w:pPr>
        <w:spacing w:line="233" w:lineRule="auto"/>
        <w:jc w:val="both"/>
        <w:rPr>
          <w:sz w:val="20"/>
          <w:szCs w:val="20"/>
          <w:lang w:val="fr-FR"/>
        </w:rPr>
      </w:pPr>
    </w:p>
    <w:p w:rsidR="00B56106" w:rsidRPr="00A4260E" w:rsidRDefault="00B56106" w:rsidP="00B56106">
      <w:pPr>
        <w:spacing w:line="233" w:lineRule="auto"/>
        <w:jc w:val="both"/>
        <w:rPr>
          <w:sz w:val="20"/>
          <w:szCs w:val="20"/>
          <w:lang w:val="fr-FR"/>
        </w:rPr>
      </w:pPr>
      <w:r w:rsidRPr="00A4260E">
        <w:rPr>
          <w:sz w:val="20"/>
          <w:szCs w:val="20"/>
          <w:lang w:val="fr-FR"/>
        </w:rPr>
        <w:t>Conformément à l’al. 59(1)</w:t>
      </w:r>
      <w:r w:rsidRPr="00A4260E">
        <w:rPr>
          <w:i/>
          <w:sz w:val="20"/>
          <w:szCs w:val="20"/>
          <w:lang w:val="fr-FR"/>
        </w:rPr>
        <w:t>a</w:t>
      </w:r>
      <w:r w:rsidRPr="00A4260E">
        <w:rPr>
          <w:sz w:val="20"/>
          <w:szCs w:val="20"/>
          <w:lang w:val="fr-FR"/>
        </w:rPr>
        <w:t xml:space="preserve">) des </w:t>
      </w:r>
      <w:r w:rsidRPr="00A4260E">
        <w:rPr>
          <w:i/>
          <w:sz w:val="20"/>
          <w:szCs w:val="20"/>
          <w:lang w:val="fr-FR"/>
        </w:rPr>
        <w:t>Règles de la Cour suprême du Canada</w:t>
      </w:r>
      <w:r w:rsidRPr="00A4260E">
        <w:rPr>
          <w:sz w:val="20"/>
          <w:szCs w:val="20"/>
          <w:lang w:val="fr-FR"/>
        </w:rPr>
        <w:t>, l’intervenant paiera à l’appelante et à l’intimé tous les débours supplémentaires résultant de son intervention.</w:t>
      </w:r>
    </w:p>
    <w:p w:rsidR="00B56106" w:rsidRPr="00A4260E" w:rsidRDefault="00B56106" w:rsidP="00B56106">
      <w:pPr>
        <w:spacing w:line="233" w:lineRule="auto"/>
        <w:jc w:val="both"/>
        <w:rPr>
          <w:sz w:val="20"/>
          <w:szCs w:val="20"/>
          <w:lang w:val="fr-FR"/>
        </w:rPr>
      </w:pPr>
    </w:p>
    <w:p w:rsidR="00B56106" w:rsidRPr="00A4260E" w:rsidRDefault="00B56106" w:rsidP="00B56106">
      <w:pPr>
        <w:spacing w:line="233" w:lineRule="auto"/>
        <w:jc w:val="both"/>
        <w:rPr>
          <w:sz w:val="20"/>
          <w:szCs w:val="20"/>
          <w:lang w:val="fr-FR"/>
        </w:rPr>
      </w:pPr>
      <w:r w:rsidRPr="00A4260E">
        <w:rPr>
          <w:b/>
          <w:bCs/>
          <w:sz w:val="20"/>
          <w:szCs w:val="20"/>
          <w:lang w:val="fr-FR"/>
        </w:rPr>
        <w:t xml:space="preserve">IL EST EN OUTRE ORDONNÉ QUE : </w:t>
      </w:r>
    </w:p>
    <w:p w:rsidR="00B56106" w:rsidRPr="00A4260E" w:rsidRDefault="00B56106" w:rsidP="00B56106">
      <w:pPr>
        <w:spacing w:line="233" w:lineRule="auto"/>
        <w:jc w:val="both"/>
        <w:rPr>
          <w:sz w:val="20"/>
          <w:szCs w:val="20"/>
          <w:lang w:val="fr-FR"/>
        </w:rPr>
      </w:pPr>
    </w:p>
    <w:p w:rsidR="00B56106" w:rsidRPr="00A4260E" w:rsidRDefault="00B56106" w:rsidP="00B56106">
      <w:pPr>
        <w:tabs>
          <w:tab w:val="left" w:pos="-1440"/>
          <w:tab w:val="left" w:pos="-720"/>
        </w:tabs>
        <w:jc w:val="both"/>
        <w:rPr>
          <w:sz w:val="20"/>
          <w:szCs w:val="20"/>
          <w:lang w:val="fr-CA"/>
        </w:rPr>
      </w:pPr>
      <w:r w:rsidRPr="00A4260E">
        <w:rPr>
          <w:sz w:val="20"/>
          <w:szCs w:val="20"/>
          <w:lang w:val="fr-FR"/>
        </w:rPr>
        <w:t>Le mémoire de l’intimé devra être déposé au plus tard le 5 octobre 2012.</w:t>
      </w:r>
    </w:p>
    <w:p w:rsidR="00B56106" w:rsidRPr="00A4260E" w:rsidRDefault="00B56106" w:rsidP="00B56106">
      <w:pPr>
        <w:tabs>
          <w:tab w:val="left" w:pos="-1440"/>
          <w:tab w:val="left" w:pos="-720"/>
        </w:tabs>
        <w:jc w:val="both"/>
        <w:rPr>
          <w:sz w:val="20"/>
          <w:szCs w:val="20"/>
          <w:lang w:val="fr-CA"/>
        </w:rPr>
      </w:pPr>
    </w:p>
    <w:p w:rsidR="00B56106" w:rsidRPr="00A4260E" w:rsidRDefault="007333FF" w:rsidP="00B56106">
      <w:pPr>
        <w:tabs>
          <w:tab w:val="left" w:pos="-1440"/>
          <w:tab w:val="left" w:pos="-720"/>
        </w:tabs>
        <w:jc w:val="both"/>
        <w:rPr>
          <w:sz w:val="20"/>
          <w:szCs w:val="20"/>
          <w:lang w:val="fr-CA"/>
        </w:rPr>
      </w:pPr>
      <w:r w:rsidRPr="007333FF">
        <w:rPr>
          <w:sz w:val="20"/>
          <w:szCs w:val="20"/>
          <w:lang w:val="fr-CA"/>
        </w:rPr>
        <w:pict>
          <v:rect id="_x0000_i1128" style="width:2in;height:1pt" o:hrpct="0" o:hralign="center" o:hrstd="t" o:hrnoshade="t" o:hr="t" fillcolor="black [3213]" stroked="f"/>
        </w:pict>
      </w:r>
    </w:p>
    <w:p w:rsidR="00B56106" w:rsidRPr="00A4260E" w:rsidRDefault="00B56106" w:rsidP="00B56106">
      <w:pPr>
        <w:tabs>
          <w:tab w:val="left" w:pos="-1440"/>
          <w:tab w:val="left" w:pos="-720"/>
        </w:tabs>
        <w:jc w:val="both"/>
        <w:rPr>
          <w:sz w:val="20"/>
          <w:szCs w:val="20"/>
          <w:lang w:val="fr-CA"/>
        </w:rPr>
      </w:pPr>
    </w:p>
    <w:p w:rsidR="00B56106" w:rsidRDefault="00B56106">
      <w:pPr>
        <w:rPr>
          <w:sz w:val="20"/>
          <w:szCs w:val="20"/>
          <w:lang w:val="fr-CA"/>
        </w:rPr>
      </w:pPr>
      <w:r>
        <w:rPr>
          <w:sz w:val="20"/>
          <w:szCs w:val="20"/>
          <w:lang w:val="fr-CA"/>
        </w:rPr>
        <w:br w:type="page"/>
      </w:r>
    </w:p>
    <w:p w:rsidR="00B56106" w:rsidRPr="00A4260E" w:rsidRDefault="00B56106" w:rsidP="00B56106">
      <w:pPr>
        <w:tabs>
          <w:tab w:val="left" w:pos="-1440"/>
          <w:tab w:val="left" w:pos="-720"/>
        </w:tabs>
        <w:jc w:val="both"/>
        <w:rPr>
          <w:sz w:val="20"/>
          <w:szCs w:val="20"/>
          <w:lang w:val="fr-CA"/>
        </w:rPr>
      </w:pPr>
      <w:r w:rsidRPr="00A4260E">
        <w:rPr>
          <w:sz w:val="20"/>
          <w:szCs w:val="20"/>
          <w:lang w:val="fr-CA"/>
        </w:rPr>
        <w:lastRenderedPageBreak/>
        <w:t>13.08.2012</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Before / Devant :   ROTHSTEIN J. / LE JUGE ROTHSTEIN</w:t>
      </w:r>
    </w:p>
    <w:p w:rsidR="00B56106" w:rsidRPr="00A4260E" w:rsidRDefault="00B56106" w:rsidP="00B5610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B56106" w:rsidRPr="00B6145B" w:rsidTr="00B56106">
        <w:tc>
          <w:tcPr>
            <w:tcW w:w="4338" w:type="dxa"/>
            <w:gridSpan w:val="2"/>
          </w:tcPr>
          <w:p w:rsidR="00B56106" w:rsidRPr="00A4260E" w:rsidRDefault="00B56106" w:rsidP="00B56106">
            <w:pPr>
              <w:jc w:val="both"/>
              <w:rPr>
                <w:b/>
                <w:sz w:val="20"/>
                <w:szCs w:val="20"/>
              </w:rPr>
            </w:pPr>
            <w:r w:rsidRPr="00A4260E">
              <w:rPr>
                <w:b/>
                <w:sz w:val="20"/>
                <w:szCs w:val="20"/>
              </w:rPr>
              <w:t xml:space="preserve">Order on interventions with respect to oral argument </w:t>
            </w:r>
            <w:r w:rsidR="007333FF" w:rsidRPr="00A4260E">
              <w:rPr>
                <w:b/>
                <w:sz w:val="20"/>
                <w:szCs w:val="20"/>
              </w:rPr>
              <w:fldChar w:fldCharType="begin"/>
            </w:r>
            <w:r w:rsidRPr="00A4260E">
              <w:rPr>
                <w:b/>
                <w:sz w:val="20"/>
                <w:szCs w:val="20"/>
              </w:rPr>
              <w:instrText xml:space="preserve"> SEQ CHAPTER \h \r 1</w:instrText>
            </w:r>
            <w:r w:rsidR="007333FF" w:rsidRPr="00A4260E">
              <w:rPr>
                <w:b/>
                <w:sz w:val="20"/>
                <w:szCs w:val="20"/>
              </w:rPr>
              <w:fldChar w:fldCharType="end"/>
            </w:r>
          </w:p>
        </w:tc>
        <w:tc>
          <w:tcPr>
            <w:tcW w:w="1170" w:type="dxa"/>
          </w:tcPr>
          <w:p w:rsidR="00B56106" w:rsidRPr="00A4260E" w:rsidRDefault="00B56106" w:rsidP="00B56106">
            <w:pPr>
              <w:rPr>
                <w:sz w:val="20"/>
                <w:szCs w:val="20"/>
              </w:rPr>
            </w:pPr>
          </w:p>
          <w:p w:rsidR="00B56106" w:rsidRPr="00A4260E" w:rsidRDefault="00B56106" w:rsidP="00B56106">
            <w:pPr>
              <w:rPr>
                <w:sz w:val="20"/>
                <w:szCs w:val="20"/>
              </w:rPr>
            </w:pPr>
          </w:p>
          <w:p w:rsidR="00B56106" w:rsidRPr="00A4260E" w:rsidRDefault="00B56106" w:rsidP="00B56106">
            <w:pPr>
              <w:rPr>
                <w:sz w:val="20"/>
                <w:szCs w:val="20"/>
              </w:rPr>
            </w:pPr>
          </w:p>
        </w:tc>
        <w:tc>
          <w:tcPr>
            <w:tcW w:w="4327" w:type="dxa"/>
          </w:tcPr>
          <w:p w:rsidR="00B56106" w:rsidRPr="00A4260E" w:rsidRDefault="00B56106" w:rsidP="00B56106">
            <w:pPr>
              <w:jc w:val="both"/>
              <w:rPr>
                <w:b/>
                <w:sz w:val="20"/>
                <w:szCs w:val="20"/>
                <w:lang w:val="fr-CA"/>
              </w:rPr>
            </w:pPr>
            <w:r w:rsidRPr="00A4260E">
              <w:rPr>
                <w:b/>
                <w:sz w:val="20"/>
                <w:szCs w:val="20"/>
                <w:lang w:val="fr-CA"/>
              </w:rPr>
              <w:t>Ordonnance relative à la présentation d’une plaidoirie orale par les intervenants</w:t>
            </w:r>
            <w:r w:rsidR="007333FF" w:rsidRPr="00A4260E">
              <w:rPr>
                <w:b/>
                <w:sz w:val="20"/>
                <w:szCs w:val="20"/>
              </w:rPr>
              <w:fldChar w:fldCharType="begin"/>
            </w:r>
            <w:r w:rsidRPr="00A4260E">
              <w:rPr>
                <w:b/>
                <w:sz w:val="20"/>
                <w:szCs w:val="20"/>
                <w:lang w:val="fr-CA"/>
              </w:rPr>
              <w:instrText xml:space="preserve"> SEQ CHAPTER \h \r 1</w:instrText>
            </w:r>
            <w:r w:rsidR="007333FF" w:rsidRPr="00A4260E">
              <w:rPr>
                <w:b/>
                <w:sz w:val="20"/>
                <w:szCs w:val="20"/>
              </w:rPr>
              <w:fldChar w:fldCharType="end"/>
            </w:r>
          </w:p>
        </w:tc>
      </w:tr>
      <w:tr w:rsidR="00B56106" w:rsidRPr="00A4260E" w:rsidTr="00B56106">
        <w:tc>
          <w:tcPr>
            <w:tcW w:w="1368" w:type="dxa"/>
          </w:tcPr>
          <w:p w:rsidR="00B56106" w:rsidRPr="00A4260E" w:rsidRDefault="00B56106" w:rsidP="00B56106">
            <w:pPr>
              <w:rPr>
                <w:sz w:val="20"/>
                <w:szCs w:val="20"/>
              </w:rPr>
            </w:pPr>
            <w:r w:rsidRPr="00A4260E">
              <w:rPr>
                <w:sz w:val="20"/>
                <w:szCs w:val="20"/>
              </w:rPr>
              <w:t>RE:</w:t>
            </w:r>
          </w:p>
        </w:tc>
        <w:tc>
          <w:tcPr>
            <w:tcW w:w="2970" w:type="dxa"/>
          </w:tcPr>
          <w:p w:rsidR="00B56106" w:rsidRPr="00A4260E" w:rsidRDefault="00B56106" w:rsidP="00B56106">
            <w:pPr>
              <w:rPr>
                <w:sz w:val="20"/>
                <w:szCs w:val="20"/>
              </w:rPr>
            </w:pPr>
            <w:r w:rsidRPr="00A4260E">
              <w:rPr>
                <w:sz w:val="20"/>
                <w:szCs w:val="20"/>
              </w:rPr>
              <w:t>Attorney General of Ontario;</w:t>
            </w: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rPr>
            </w:pPr>
            <w:r w:rsidRPr="00A4260E">
              <w:rPr>
                <w:sz w:val="20"/>
                <w:szCs w:val="20"/>
              </w:rPr>
              <w:t>Canadian Bar Association;</w:t>
            </w: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rPr>
            </w:pPr>
            <w:r w:rsidRPr="00A4260E">
              <w:rPr>
                <w:sz w:val="20"/>
                <w:szCs w:val="20"/>
              </w:rPr>
              <w:t>Trial Lawyers Association of British Columbia</w:t>
            </w: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rPr>
            </w:pP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r w:rsidRPr="00A4260E">
              <w:rPr>
                <w:sz w:val="20"/>
                <w:szCs w:val="20"/>
              </w:rPr>
              <w:t>IN / DANS :</w:t>
            </w:r>
          </w:p>
        </w:tc>
        <w:tc>
          <w:tcPr>
            <w:tcW w:w="2970" w:type="dxa"/>
          </w:tcPr>
          <w:p w:rsidR="00B56106" w:rsidRPr="00A4260E" w:rsidRDefault="00B56106" w:rsidP="00B56106">
            <w:pPr>
              <w:rPr>
                <w:sz w:val="20"/>
                <w:szCs w:val="20"/>
              </w:rPr>
            </w:pPr>
            <w:r w:rsidRPr="00A4260E">
              <w:rPr>
                <w:sz w:val="20"/>
                <w:szCs w:val="20"/>
              </w:rPr>
              <w:t>Eric Victor Cojocaru, an infant by his Guardian Ad Litem, Monica Cojocaru et al.</w:t>
            </w:r>
          </w:p>
          <w:p w:rsidR="00B56106" w:rsidRPr="00A4260E" w:rsidRDefault="00B56106" w:rsidP="00B56106">
            <w:pPr>
              <w:rPr>
                <w:sz w:val="20"/>
                <w:szCs w:val="20"/>
              </w:rPr>
            </w:pP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rPr>
            </w:pPr>
            <w:r w:rsidRPr="00A4260E">
              <w:rPr>
                <w:sz w:val="20"/>
                <w:szCs w:val="20"/>
              </w:rPr>
              <w:tab/>
              <w:t>c. (34304)</w:t>
            </w:r>
          </w:p>
          <w:p w:rsidR="00B56106" w:rsidRPr="00A4260E" w:rsidRDefault="00B56106" w:rsidP="00B56106">
            <w:pPr>
              <w:rPr>
                <w:sz w:val="20"/>
                <w:szCs w:val="20"/>
              </w:rPr>
            </w:pP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jc w:val="both"/>
              <w:rPr>
                <w:sz w:val="20"/>
                <w:szCs w:val="20"/>
                <w:lang w:val="fr-CA"/>
              </w:rPr>
            </w:pPr>
            <w:r w:rsidRPr="00A4260E">
              <w:rPr>
                <w:sz w:val="20"/>
                <w:szCs w:val="20"/>
              </w:rPr>
              <w:t xml:space="preserve">British Columbia Women’s Hospital and Health Center et al. </w:t>
            </w:r>
            <w:r w:rsidRPr="00A4260E">
              <w:rPr>
                <w:sz w:val="20"/>
                <w:szCs w:val="20"/>
                <w:lang w:val="fr-CA"/>
              </w:rPr>
              <w:t>(B.C.)</w:t>
            </w:r>
          </w:p>
        </w:tc>
        <w:tc>
          <w:tcPr>
            <w:tcW w:w="1170" w:type="dxa"/>
          </w:tcPr>
          <w:p w:rsidR="00B56106" w:rsidRPr="00A4260E" w:rsidRDefault="00B56106" w:rsidP="00B56106">
            <w:pPr>
              <w:rPr>
                <w:sz w:val="20"/>
                <w:szCs w:val="20"/>
                <w:lang w:val="fr-CA"/>
              </w:rPr>
            </w:pPr>
          </w:p>
        </w:tc>
        <w:tc>
          <w:tcPr>
            <w:tcW w:w="4327" w:type="dxa"/>
          </w:tcPr>
          <w:p w:rsidR="00B56106" w:rsidRPr="00A4260E" w:rsidRDefault="00B56106" w:rsidP="00B56106">
            <w:pPr>
              <w:rPr>
                <w:sz w:val="20"/>
                <w:szCs w:val="20"/>
                <w:lang w:val="fr-CA"/>
              </w:rPr>
            </w:pPr>
          </w:p>
        </w:tc>
      </w:tr>
    </w:tbl>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spacing w:line="233" w:lineRule="auto"/>
        <w:jc w:val="both"/>
        <w:rPr>
          <w:sz w:val="20"/>
          <w:szCs w:val="20"/>
        </w:rPr>
      </w:pPr>
      <w:r w:rsidRPr="00A4260E">
        <w:rPr>
          <w:b/>
          <w:bCs/>
          <w:sz w:val="20"/>
          <w:szCs w:val="20"/>
        </w:rPr>
        <w:t>FURTHER TO THE ORDER</w:t>
      </w:r>
      <w:r w:rsidRPr="00A4260E">
        <w:rPr>
          <w:sz w:val="20"/>
          <w:szCs w:val="20"/>
        </w:rPr>
        <w:t xml:space="preserve"> dated June 4, 2012, granting leave to intervene to</w:t>
      </w:r>
      <w:r w:rsidRPr="00A4260E">
        <w:rPr>
          <w:bCs/>
          <w:sz w:val="20"/>
          <w:szCs w:val="20"/>
        </w:rPr>
        <w:t xml:space="preserve"> </w:t>
      </w:r>
      <w:r w:rsidRPr="00A4260E">
        <w:rPr>
          <w:sz w:val="20"/>
          <w:szCs w:val="20"/>
        </w:rPr>
        <w:t xml:space="preserve">the Attorney General of Ontario, </w:t>
      </w:r>
      <w:r w:rsidR="007333FF" w:rsidRPr="00A4260E">
        <w:rPr>
          <w:sz w:val="20"/>
          <w:szCs w:val="20"/>
        </w:rPr>
        <w:fldChar w:fldCharType="begin"/>
      </w:r>
      <w:r w:rsidRPr="00A4260E">
        <w:rPr>
          <w:sz w:val="20"/>
          <w:szCs w:val="20"/>
        </w:rPr>
        <w:instrText xml:space="preserve"> SEQ CHAPTER \h \r 1</w:instrText>
      </w:r>
      <w:r w:rsidR="007333FF" w:rsidRPr="00A4260E">
        <w:rPr>
          <w:sz w:val="20"/>
          <w:szCs w:val="20"/>
        </w:rPr>
        <w:fldChar w:fldCharType="end"/>
      </w:r>
      <w:r w:rsidRPr="00A4260E">
        <w:rPr>
          <w:sz w:val="20"/>
          <w:szCs w:val="20"/>
        </w:rPr>
        <w:t>the Canadian Bar Association and the Trial Lawyers Association of British Columbia in the above appeal;</w:t>
      </w:r>
    </w:p>
    <w:p w:rsidR="00B56106" w:rsidRPr="00A4260E" w:rsidRDefault="00B56106" w:rsidP="00B56106">
      <w:pPr>
        <w:spacing w:line="233" w:lineRule="auto"/>
        <w:jc w:val="both"/>
        <w:rPr>
          <w:sz w:val="20"/>
          <w:szCs w:val="20"/>
        </w:rPr>
      </w:pPr>
    </w:p>
    <w:p w:rsidR="00B56106" w:rsidRPr="00A4260E" w:rsidRDefault="00B56106" w:rsidP="00B56106">
      <w:pPr>
        <w:spacing w:line="233" w:lineRule="auto"/>
        <w:jc w:val="both"/>
        <w:rPr>
          <w:sz w:val="20"/>
          <w:szCs w:val="20"/>
        </w:rPr>
      </w:pPr>
      <w:r w:rsidRPr="00A4260E">
        <w:rPr>
          <w:b/>
          <w:bCs/>
          <w:sz w:val="20"/>
          <w:szCs w:val="20"/>
        </w:rPr>
        <w:t>IT IS HEREBY FURTHER ORDERED THAT:</w:t>
      </w:r>
      <w:r w:rsidRPr="00A4260E">
        <w:rPr>
          <w:sz w:val="20"/>
          <w:szCs w:val="20"/>
        </w:rPr>
        <w:t xml:space="preserve"> each of the said interveners is granted permission to present oral argument not exceeding ten (10) minutes at the hearing of the appeal.</w:t>
      </w:r>
    </w:p>
    <w:p w:rsidR="00B56106" w:rsidRPr="00A4260E" w:rsidRDefault="00B56106" w:rsidP="00B56106">
      <w:pPr>
        <w:spacing w:line="225" w:lineRule="auto"/>
        <w:jc w:val="both"/>
        <w:rPr>
          <w:sz w:val="20"/>
          <w:szCs w:val="20"/>
        </w:rPr>
      </w:pPr>
    </w:p>
    <w:p w:rsidR="00B56106" w:rsidRPr="00A4260E" w:rsidRDefault="00B56106" w:rsidP="00B56106">
      <w:pPr>
        <w:spacing w:line="225" w:lineRule="auto"/>
        <w:jc w:val="both"/>
        <w:rPr>
          <w:sz w:val="20"/>
          <w:szCs w:val="20"/>
        </w:rPr>
      </w:pPr>
    </w:p>
    <w:p w:rsidR="00B56106" w:rsidRPr="00A4260E" w:rsidRDefault="00B56106" w:rsidP="00B56106">
      <w:pPr>
        <w:spacing w:line="225" w:lineRule="auto"/>
        <w:jc w:val="both"/>
        <w:rPr>
          <w:sz w:val="20"/>
          <w:szCs w:val="20"/>
        </w:rPr>
      </w:pPr>
    </w:p>
    <w:p w:rsidR="00B56106" w:rsidRPr="00A4260E" w:rsidRDefault="00B56106" w:rsidP="00B56106">
      <w:pPr>
        <w:spacing w:line="233" w:lineRule="auto"/>
        <w:jc w:val="both"/>
        <w:rPr>
          <w:sz w:val="20"/>
          <w:szCs w:val="20"/>
          <w:lang w:val="fr-FR"/>
        </w:rPr>
      </w:pPr>
      <w:r w:rsidRPr="00A4260E">
        <w:rPr>
          <w:b/>
          <w:bCs/>
          <w:sz w:val="20"/>
          <w:szCs w:val="20"/>
          <w:lang w:val="fr-FR"/>
        </w:rPr>
        <w:t xml:space="preserve">À LA SUITE DE L’ORDONNANCE </w:t>
      </w:r>
      <w:r w:rsidRPr="00A4260E">
        <w:rPr>
          <w:bCs/>
          <w:sz w:val="20"/>
          <w:szCs w:val="20"/>
          <w:lang w:val="fr-FR"/>
        </w:rPr>
        <w:t>datée du 4 juin 2012 autorisant le procureur général de l’Ontario, l’Association du</w:t>
      </w:r>
      <w:r w:rsidRPr="00A4260E">
        <w:rPr>
          <w:sz w:val="20"/>
          <w:szCs w:val="20"/>
          <w:lang w:val="fr-FR"/>
        </w:rPr>
        <w:t xml:space="preserve"> Barreau canadien et la Trial Lawyers Association of British Columbia</w:t>
      </w:r>
      <w:r w:rsidRPr="00A4260E">
        <w:rPr>
          <w:bCs/>
          <w:sz w:val="20"/>
          <w:szCs w:val="20"/>
          <w:lang w:val="fr-FR"/>
        </w:rPr>
        <w:t xml:space="preserve"> à intervenir dans l’appel</w:t>
      </w:r>
      <w:r w:rsidRPr="00A4260E">
        <w:rPr>
          <w:sz w:val="20"/>
          <w:szCs w:val="20"/>
          <w:lang w:val="fr-FR"/>
        </w:rPr>
        <w:t>;</w:t>
      </w:r>
    </w:p>
    <w:p w:rsidR="00B56106" w:rsidRPr="00A4260E" w:rsidRDefault="00B56106" w:rsidP="00B56106">
      <w:pPr>
        <w:spacing w:line="233" w:lineRule="auto"/>
        <w:jc w:val="both"/>
        <w:rPr>
          <w:sz w:val="20"/>
          <w:szCs w:val="20"/>
          <w:lang w:val="fr-FR"/>
        </w:rPr>
      </w:pPr>
    </w:p>
    <w:p w:rsidR="00B56106" w:rsidRPr="00A4260E" w:rsidRDefault="00B56106" w:rsidP="00B56106">
      <w:pPr>
        <w:spacing w:line="233" w:lineRule="auto"/>
        <w:jc w:val="both"/>
        <w:rPr>
          <w:sz w:val="20"/>
          <w:szCs w:val="20"/>
          <w:lang w:val="fr-CA"/>
        </w:rPr>
      </w:pPr>
      <w:r w:rsidRPr="00A4260E">
        <w:rPr>
          <w:b/>
          <w:bCs/>
          <w:sz w:val="20"/>
          <w:szCs w:val="20"/>
          <w:lang w:val="fr-FR"/>
        </w:rPr>
        <w:t xml:space="preserve">IL EST EN OUTRE ORDONNÉ QUE </w:t>
      </w:r>
      <w:r w:rsidRPr="00A4260E">
        <w:rPr>
          <w:bCs/>
          <w:sz w:val="20"/>
          <w:szCs w:val="20"/>
          <w:lang w:val="fr-FR"/>
        </w:rPr>
        <w:t xml:space="preserve">chacun de ces intervenants pourra présenter une plaidoirie orale d’au plus dix (10) minutes lors de l’audition de l’appel. </w:t>
      </w:r>
    </w:p>
    <w:p w:rsidR="00B56106" w:rsidRPr="00A4260E" w:rsidRDefault="00B56106" w:rsidP="00B56106">
      <w:pPr>
        <w:spacing w:line="233" w:lineRule="auto"/>
        <w:jc w:val="both"/>
        <w:rPr>
          <w:sz w:val="20"/>
          <w:szCs w:val="20"/>
          <w:lang w:val="fr-CA"/>
        </w:rPr>
      </w:pPr>
    </w:p>
    <w:p w:rsidR="00B56106" w:rsidRPr="00A4260E" w:rsidRDefault="007333FF" w:rsidP="00B56106">
      <w:pPr>
        <w:tabs>
          <w:tab w:val="left" w:pos="-1440"/>
          <w:tab w:val="left" w:pos="-720"/>
        </w:tabs>
        <w:jc w:val="both"/>
        <w:rPr>
          <w:sz w:val="20"/>
          <w:szCs w:val="20"/>
          <w:lang w:val="fr-CA"/>
        </w:rPr>
      </w:pPr>
      <w:r w:rsidRPr="007333FF">
        <w:rPr>
          <w:sz w:val="20"/>
          <w:szCs w:val="20"/>
          <w:lang w:val="fr-CA"/>
        </w:rPr>
        <w:pict>
          <v:rect id="_x0000_i1129" style="width:2in;height:1pt" o:hrpct="0" o:hralign="center" o:hrstd="t" o:hrnoshade="t" o:hr="t" fillcolor="black [3213]" stroked="f"/>
        </w:pic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15.08.2012</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Before / Devant :   ROTHSTEIN J. / LE JUGE ROTHSTEIN</w:t>
      </w:r>
    </w:p>
    <w:p w:rsidR="00B56106" w:rsidRPr="00A4260E" w:rsidRDefault="00B56106" w:rsidP="00B5610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56106" w:rsidRPr="00C832DD" w:rsidTr="00B56106">
        <w:tc>
          <w:tcPr>
            <w:tcW w:w="4338" w:type="dxa"/>
          </w:tcPr>
          <w:p w:rsidR="00B56106" w:rsidRPr="00A4260E" w:rsidRDefault="007333FF" w:rsidP="00B56106">
            <w:pPr>
              <w:tabs>
                <w:tab w:val="left" w:pos="-1440"/>
                <w:tab w:val="left" w:pos="-720"/>
              </w:tabs>
              <w:jc w:val="both"/>
              <w:rPr>
                <w:b/>
                <w:sz w:val="20"/>
                <w:szCs w:val="20"/>
              </w:rPr>
            </w:pP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r w:rsidR="00B56106" w:rsidRPr="00A4260E">
              <w:rPr>
                <w:b/>
                <w:bCs/>
                <w:sz w:val="20"/>
                <w:szCs w:val="20"/>
              </w:rPr>
              <w:t>Motion to extend the time to serve and file the notice of appeal to July 27, 2012</w:t>
            </w:r>
          </w:p>
        </w:tc>
        <w:tc>
          <w:tcPr>
            <w:tcW w:w="1170" w:type="dxa"/>
          </w:tcPr>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tc>
        <w:tc>
          <w:tcPr>
            <w:tcW w:w="4327" w:type="dxa"/>
          </w:tcPr>
          <w:p w:rsidR="00B56106" w:rsidRPr="00A4260E" w:rsidRDefault="007333FF" w:rsidP="00B56106">
            <w:pPr>
              <w:tabs>
                <w:tab w:val="left" w:pos="-1440"/>
                <w:tab w:val="left" w:pos="-720"/>
              </w:tabs>
              <w:jc w:val="both"/>
              <w:rPr>
                <w:sz w:val="20"/>
                <w:szCs w:val="20"/>
                <w:lang w:val="fr-CA"/>
              </w:rPr>
            </w:pP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r w:rsidR="00B56106" w:rsidRPr="00A4260E">
              <w:rPr>
                <w:b/>
                <w:bCs/>
                <w:sz w:val="20"/>
                <w:szCs w:val="20"/>
                <w:lang w:val="fr-CA"/>
              </w:rPr>
              <w:t xml:space="preserve">Requête en prorogation du délai de signification et de dépôt de l’avis d’appel jusqu’au 27 juillet 2012 </w:t>
            </w: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p>
        </w:tc>
      </w:tr>
      <w:tr w:rsidR="00B56106" w:rsidRPr="00A4260E" w:rsidTr="00B56106">
        <w:tc>
          <w:tcPr>
            <w:tcW w:w="4338" w:type="dxa"/>
          </w:tcPr>
          <w:p w:rsidR="00B56106" w:rsidRPr="00A4260E" w:rsidRDefault="00B56106" w:rsidP="00B56106">
            <w:pPr>
              <w:tabs>
                <w:tab w:val="left" w:pos="-1440"/>
                <w:tab w:val="left" w:pos="-720"/>
              </w:tabs>
              <w:jc w:val="both"/>
              <w:rPr>
                <w:sz w:val="20"/>
                <w:szCs w:val="20"/>
              </w:rPr>
            </w:pPr>
            <w:r w:rsidRPr="00A4260E">
              <w:rPr>
                <w:sz w:val="20"/>
                <w:szCs w:val="20"/>
              </w:rPr>
              <w:t>Erin Lee MacDonald et al.</w: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r w:rsidRPr="00A4260E">
              <w:rPr>
                <w:sz w:val="20"/>
                <w:szCs w:val="20"/>
              </w:rPr>
              <w:tab/>
              <w:t>v. (34914)</w: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r w:rsidRPr="00A4260E">
              <w:rPr>
                <w:sz w:val="20"/>
                <w:szCs w:val="20"/>
              </w:rPr>
              <w:t>Her Majesty the Queen (Crim.) (N.S.)</w:t>
            </w:r>
          </w:p>
        </w:tc>
        <w:tc>
          <w:tcPr>
            <w:tcW w:w="1170" w:type="dxa"/>
          </w:tcPr>
          <w:p w:rsidR="00B56106" w:rsidRPr="00A4260E" w:rsidRDefault="00B56106" w:rsidP="00B56106">
            <w:pPr>
              <w:tabs>
                <w:tab w:val="left" w:pos="-1440"/>
                <w:tab w:val="left" w:pos="-720"/>
              </w:tabs>
              <w:jc w:val="both"/>
              <w:rPr>
                <w:sz w:val="20"/>
                <w:szCs w:val="20"/>
              </w:rPr>
            </w:pPr>
          </w:p>
        </w:tc>
        <w:tc>
          <w:tcPr>
            <w:tcW w:w="4327" w:type="dxa"/>
          </w:tcPr>
          <w:p w:rsidR="00B56106" w:rsidRPr="00A4260E" w:rsidRDefault="00B56106" w:rsidP="00B56106">
            <w:pPr>
              <w:tabs>
                <w:tab w:val="left" w:pos="-1440"/>
                <w:tab w:val="left" w:pos="-720"/>
              </w:tabs>
              <w:jc w:val="both"/>
              <w:rPr>
                <w:sz w:val="20"/>
                <w:szCs w:val="20"/>
              </w:rPr>
            </w:pPr>
          </w:p>
        </w:tc>
      </w:tr>
    </w:tbl>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b/>
          <w:sz w:val="20"/>
          <w:szCs w:val="20"/>
        </w:rPr>
      </w:pPr>
      <w:r w:rsidRPr="00A4260E">
        <w:rPr>
          <w:b/>
          <w:sz w:val="20"/>
          <w:szCs w:val="20"/>
        </w:rPr>
        <w:t>GRANTED / ACCORDÉE</w:t>
      </w:r>
    </w:p>
    <w:p w:rsidR="00B56106" w:rsidRPr="00A4260E" w:rsidRDefault="00B56106" w:rsidP="00B56106">
      <w:pPr>
        <w:tabs>
          <w:tab w:val="left" w:pos="-1440"/>
          <w:tab w:val="left" w:pos="-720"/>
        </w:tabs>
        <w:jc w:val="both"/>
        <w:rPr>
          <w:sz w:val="20"/>
          <w:szCs w:val="20"/>
        </w:rPr>
      </w:pPr>
    </w:p>
    <w:p w:rsidR="00B56106" w:rsidRPr="00A4260E" w:rsidRDefault="007333FF" w:rsidP="00B56106">
      <w:pPr>
        <w:tabs>
          <w:tab w:val="left" w:pos="-1440"/>
          <w:tab w:val="left" w:pos="-720"/>
        </w:tabs>
        <w:jc w:val="both"/>
        <w:rPr>
          <w:sz w:val="20"/>
          <w:szCs w:val="20"/>
        </w:rPr>
      </w:pPr>
      <w:r w:rsidRPr="007333FF">
        <w:rPr>
          <w:sz w:val="20"/>
          <w:szCs w:val="20"/>
          <w:lang w:val="fr-CA"/>
        </w:rPr>
        <w:pict>
          <v:rect id="_x0000_i1130" style="width:2in;height:1pt" o:hrpct="0" o:hralign="center" o:hrstd="t" o:hrnoshade="t" o:hr="t" fillcolor="black [3213]" stroked="f"/>
        </w:pict>
      </w:r>
    </w:p>
    <w:p w:rsidR="00B56106" w:rsidRPr="00A4260E" w:rsidRDefault="00B56106" w:rsidP="00B56106">
      <w:pPr>
        <w:rPr>
          <w:sz w:val="20"/>
          <w:szCs w:val="20"/>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lastRenderedPageBreak/>
        <w:t>17.08.2012</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Before / Devant :   CROMWELL J. / LA JUGE CROMWELL</w:t>
      </w:r>
    </w:p>
    <w:p w:rsidR="00B56106" w:rsidRPr="00A4260E" w:rsidRDefault="00B56106" w:rsidP="00B5610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B56106" w:rsidRPr="00C832DD" w:rsidTr="00B56106">
        <w:tc>
          <w:tcPr>
            <w:tcW w:w="4338" w:type="dxa"/>
            <w:gridSpan w:val="2"/>
          </w:tcPr>
          <w:p w:rsidR="00B56106" w:rsidRPr="00A4260E" w:rsidRDefault="00B56106" w:rsidP="00B56106">
            <w:pPr>
              <w:jc w:val="both"/>
              <w:rPr>
                <w:b/>
                <w:sz w:val="20"/>
                <w:szCs w:val="20"/>
              </w:rPr>
            </w:pPr>
            <w:r w:rsidRPr="00A4260E">
              <w:rPr>
                <w:b/>
                <w:sz w:val="20"/>
                <w:szCs w:val="20"/>
              </w:rPr>
              <w:t xml:space="preserve">Order on intervention with respect to oral argument </w:t>
            </w:r>
            <w:r w:rsidR="007333FF" w:rsidRPr="00A4260E">
              <w:rPr>
                <w:b/>
                <w:sz w:val="20"/>
                <w:szCs w:val="20"/>
              </w:rPr>
              <w:fldChar w:fldCharType="begin"/>
            </w:r>
            <w:r w:rsidRPr="00A4260E">
              <w:rPr>
                <w:b/>
                <w:sz w:val="20"/>
                <w:szCs w:val="20"/>
              </w:rPr>
              <w:instrText xml:space="preserve"> SEQ CHAPTER \h \r 1</w:instrText>
            </w:r>
            <w:r w:rsidR="007333FF" w:rsidRPr="00A4260E">
              <w:rPr>
                <w:b/>
                <w:sz w:val="20"/>
                <w:szCs w:val="20"/>
              </w:rPr>
              <w:fldChar w:fldCharType="end"/>
            </w:r>
          </w:p>
        </w:tc>
        <w:tc>
          <w:tcPr>
            <w:tcW w:w="1170" w:type="dxa"/>
          </w:tcPr>
          <w:p w:rsidR="00B56106" w:rsidRPr="00A4260E" w:rsidRDefault="00B56106" w:rsidP="00B56106">
            <w:pPr>
              <w:rPr>
                <w:sz w:val="20"/>
                <w:szCs w:val="20"/>
              </w:rPr>
            </w:pPr>
          </w:p>
          <w:p w:rsidR="00B56106" w:rsidRPr="00A4260E" w:rsidRDefault="00B56106" w:rsidP="00B56106">
            <w:pPr>
              <w:rPr>
                <w:sz w:val="20"/>
                <w:szCs w:val="20"/>
              </w:rPr>
            </w:pPr>
          </w:p>
          <w:p w:rsidR="00B56106" w:rsidRPr="00A4260E" w:rsidRDefault="00B56106" w:rsidP="00B56106">
            <w:pPr>
              <w:rPr>
                <w:sz w:val="20"/>
                <w:szCs w:val="20"/>
              </w:rPr>
            </w:pPr>
          </w:p>
        </w:tc>
        <w:tc>
          <w:tcPr>
            <w:tcW w:w="4327" w:type="dxa"/>
          </w:tcPr>
          <w:p w:rsidR="00B56106" w:rsidRPr="00A4260E" w:rsidRDefault="00B56106" w:rsidP="00B56106">
            <w:pPr>
              <w:jc w:val="both"/>
              <w:rPr>
                <w:b/>
                <w:sz w:val="20"/>
                <w:szCs w:val="20"/>
                <w:lang w:val="fr-CA"/>
              </w:rPr>
            </w:pPr>
            <w:r w:rsidRPr="00A4260E">
              <w:rPr>
                <w:b/>
                <w:sz w:val="20"/>
                <w:szCs w:val="20"/>
                <w:lang w:val="fr-CA"/>
              </w:rPr>
              <w:t>Ordonnance relative à la présentation d’une plaidoirie orale par l’intervenante</w:t>
            </w:r>
            <w:r w:rsidR="007333FF" w:rsidRPr="00A4260E">
              <w:rPr>
                <w:b/>
                <w:sz w:val="20"/>
                <w:szCs w:val="20"/>
              </w:rPr>
              <w:fldChar w:fldCharType="begin"/>
            </w:r>
            <w:r w:rsidRPr="00A4260E">
              <w:rPr>
                <w:b/>
                <w:sz w:val="20"/>
                <w:szCs w:val="20"/>
                <w:lang w:val="fr-CA"/>
              </w:rPr>
              <w:instrText xml:space="preserve"> SEQ CHAPTER \h \r 1</w:instrText>
            </w:r>
            <w:r w:rsidR="007333FF" w:rsidRPr="00A4260E">
              <w:rPr>
                <w:b/>
                <w:sz w:val="20"/>
                <w:szCs w:val="20"/>
              </w:rPr>
              <w:fldChar w:fldCharType="end"/>
            </w:r>
          </w:p>
        </w:tc>
      </w:tr>
      <w:tr w:rsidR="00B56106" w:rsidRPr="00A4260E" w:rsidTr="00B56106">
        <w:tc>
          <w:tcPr>
            <w:tcW w:w="1368" w:type="dxa"/>
          </w:tcPr>
          <w:p w:rsidR="00B56106" w:rsidRPr="00A4260E" w:rsidRDefault="00B56106" w:rsidP="00B56106">
            <w:pPr>
              <w:rPr>
                <w:sz w:val="20"/>
                <w:szCs w:val="20"/>
              </w:rPr>
            </w:pPr>
            <w:r w:rsidRPr="00A4260E">
              <w:rPr>
                <w:sz w:val="20"/>
                <w:szCs w:val="20"/>
              </w:rPr>
              <w:t>RE:</w:t>
            </w:r>
          </w:p>
        </w:tc>
        <w:tc>
          <w:tcPr>
            <w:tcW w:w="2970" w:type="dxa"/>
          </w:tcPr>
          <w:p w:rsidR="00B56106" w:rsidRPr="00A4260E" w:rsidRDefault="00B56106" w:rsidP="00B56106">
            <w:pPr>
              <w:rPr>
                <w:sz w:val="20"/>
                <w:szCs w:val="20"/>
              </w:rPr>
            </w:pPr>
            <w:r w:rsidRPr="00A4260E">
              <w:rPr>
                <w:sz w:val="20"/>
                <w:szCs w:val="20"/>
              </w:rPr>
              <w:t>Criminal Lawyers' Association of Ontario</w:t>
            </w: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rPr>
            </w:pP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r w:rsidRPr="00A4260E">
              <w:rPr>
                <w:sz w:val="20"/>
                <w:szCs w:val="20"/>
              </w:rPr>
              <w:t>IN / DANS :</w:t>
            </w:r>
          </w:p>
        </w:tc>
        <w:tc>
          <w:tcPr>
            <w:tcW w:w="2970" w:type="dxa"/>
          </w:tcPr>
          <w:p w:rsidR="00B56106" w:rsidRPr="00A4260E" w:rsidRDefault="00B56106" w:rsidP="00B56106">
            <w:pPr>
              <w:rPr>
                <w:sz w:val="20"/>
                <w:szCs w:val="20"/>
              </w:rPr>
            </w:pPr>
            <w:r w:rsidRPr="00A4260E">
              <w:rPr>
                <w:sz w:val="20"/>
                <w:szCs w:val="20"/>
              </w:rPr>
              <w:t>Ivana Levkovic</w:t>
            </w:r>
          </w:p>
          <w:p w:rsidR="00B56106" w:rsidRPr="00A4260E" w:rsidRDefault="00B56106" w:rsidP="00B56106">
            <w:pPr>
              <w:rPr>
                <w:sz w:val="20"/>
                <w:szCs w:val="20"/>
              </w:rPr>
            </w:pP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rPr>
            </w:pPr>
            <w:r w:rsidRPr="00A4260E">
              <w:rPr>
                <w:sz w:val="20"/>
                <w:szCs w:val="20"/>
              </w:rPr>
              <w:tab/>
              <w:t>v. (34229)</w:t>
            </w:r>
          </w:p>
          <w:p w:rsidR="00B56106" w:rsidRPr="00A4260E" w:rsidRDefault="00B56106" w:rsidP="00B56106">
            <w:pPr>
              <w:rPr>
                <w:sz w:val="20"/>
                <w:szCs w:val="20"/>
              </w:rPr>
            </w:pP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jc w:val="both"/>
              <w:rPr>
                <w:sz w:val="20"/>
                <w:szCs w:val="20"/>
              </w:rPr>
            </w:pPr>
            <w:r w:rsidRPr="00A4260E">
              <w:rPr>
                <w:sz w:val="20"/>
                <w:szCs w:val="20"/>
              </w:rPr>
              <w:t>Her Majesty the Queen (Crim.) (Ont.)</w:t>
            </w: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bl>
    <w:p w:rsidR="00B56106" w:rsidRPr="00A4260E" w:rsidRDefault="00B56106" w:rsidP="00B56106">
      <w:pPr>
        <w:tabs>
          <w:tab w:val="left" w:pos="-1440"/>
          <w:tab w:val="left" w:pos="-720"/>
        </w:tabs>
        <w:jc w:val="both"/>
        <w:rPr>
          <w:sz w:val="20"/>
          <w:szCs w:val="20"/>
        </w:rPr>
      </w:pPr>
    </w:p>
    <w:p w:rsidR="00B56106" w:rsidRPr="00A4260E" w:rsidRDefault="00B56106" w:rsidP="00B56106">
      <w:pPr>
        <w:spacing w:line="230" w:lineRule="auto"/>
        <w:jc w:val="both"/>
        <w:rPr>
          <w:sz w:val="20"/>
          <w:szCs w:val="20"/>
        </w:rPr>
      </w:pPr>
      <w:r w:rsidRPr="00A4260E">
        <w:rPr>
          <w:b/>
          <w:bCs/>
          <w:sz w:val="20"/>
          <w:szCs w:val="20"/>
        </w:rPr>
        <w:t>FURTHER TO THE ORDER</w:t>
      </w:r>
      <w:r w:rsidRPr="00A4260E">
        <w:rPr>
          <w:sz w:val="20"/>
          <w:szCs w:val="20"/>
        </w:rPr>
        <w:t xml:space="preserve"> dated June 21, 2012, granting leave to intervene to the Criminal Lawyers' Association of Ontario;</w:t>
      </w:r>
    </w:p>
    <w:p w:rsidR="00B56106" w:rsidRPr="00A4260E" w:rsidRDefault="00B56106" w:rsidP="00B56106">
      <w:pPr>
        <w:spacing w:line="230" w:lineRule="auto"/>
        <w:jc w:val="both"/>
        <w:rPr>
          <w:sz w:val="20"/>
          <w:szCs w:val="20"/>
        </w:rPr>
      </w:pPr>
    </w:p>
    <w:p w:rsidR="00B56106" w:rsidRPr="00A4260E" w:rsidRDefault="00B56106" w:rsidP="00B56106">
      <w:pPr>
        <w:spacing w:line="230" w:lineRule="auto"/>
        <w:jc w:val="both"/>
        <w:rPr>
          <w:sz w:val="20"/>
          <w:szCs w:val="20"/>
        </w:rPr>
      </w:pPr>
      <w:r w:rsidRPr="00A4260E">
        <w:rPr>
          <w:b/>
          <w:bCs/>
          <w:sz w:val="20"/>
          <w:szCs w:val="20"/>
        </w:rPr>
        <w:t xml:space="preserve">IT IS HEREBY FURTHER ORDERED THAT </w:t>
      </w:r>
      <w:r w:rsidRPr="00A4260E">
        <w:rPr>
          <w:sz w:val="20"/>
          <w:szCs w:val="20"/>
        </w:rPr>
        <w:t>the said intervener is granted permission to present oral argument not exceeding ten (10) minutes at the hearing of the appeal.</w:t>
      </w:r>
    </w:p>
    <w:p w:rsidR="00B56106" w:rsidRPr="00A4260E" w:rsidRDefault="00B56106" w:rsidP="00B56106">
      <w:pPr>
        <w:spacing w:line="233" w:lineRule="auto"/>
        <w:jc w:val="both"/>
        <w:rPr>
          <w:sz w:val="20"/>
          <w:szCs w:val="20"/>
        </w:rPr>
      </w:pPr>
    </w:p>
    <w:p w:rsidR="00B56106" w:rsidRPr="00A4260E" w:rsidRDefault="00B56106" w:rsidP="00B56106">
      <w:pPr>
        <w:spacing w:line="233" w:lineRule="auto"/>
        <w:jc w:val="both"/>
        <w:rPr>
          <w:sz w:val="20"/>
          <w:szCs w:val="20"/>
        </w:rPr>
      </w:pPr>
    </w:p>
    <w:p w:rsidR="00B56106" w:rsidRPr="00A4260E" w:rsidRDefault="00B56106" w:rsidP="00B56106">
      <w:pPr>
        <w:spacing w:line="233" w:lineRule="auto"/>
        <w:jc w:val="both"/>
        <w:rPr>
          <w:sz w:val="20"/>
          <w:szCs w:val="20"/>
        </w:rPr>
      </w:pPr>
    </w:p>
    <w:p w:rsidR="00B56106" w:rsidRPr="00A4260E" w:rsidRDefault="00B56106" w:rsidP="00B56106">
      <w:pPr>
        <w:spacing w:line="230" w:lineRule="auto"/>
        <w:jc w:val="both"/>
        <w:rPr>
          <w:sz w:val="20"/>
          <w:szCs w:val="20"/>
          <w:lang w:val="fr-FR"/>
        </w:rPr>
      </w:pPr>
      <w:r w:rsidRPr="00A4260E">
        <w:rPr>
          <w:b/>
          <w:bCs/>
          <w:sz w:val="20"/>
          <w:szCs w:val="20"/>
          <w:lang w:val="fr-FR"/>
        </w:rPr>
        <w:t xml:space="preserve">À LA SUITE DE L’ORDONNANCE </w:t>
      </w:r>
      <w:r w:rsidRPr="00A4260E">
        <w:rPr>
          <w:bCs/>
          <w:sz w:val="20"/>
          <w:szCs w:val="20"/>
          <w:lang w:val="fr-FR"/>
        </w:rPr>
        <w:t xml:space="preserve">datée du 21 juin 2012 autorisant la </w:t>
      </w:r>
      <w:r w:rsidRPr="00A4260E">
        <w:rPr>
          <w:sz w:val="20"/>
          <w:szCs w:val="20"/>
          <w:lang w:val="fr-FR"/>
        </w:rPr>
        <w:t>Criminal Lawyers' Association of Ontario à intervenir;</w:t>
      </w:r>
    </w:p>
    <w:p w:rsidR="00B56106" w:rsidRPr="00A4260E" w:rsidRDefault="00B56106" w:rsidP="00B56106">
      <w:pPr>
        <w:spacing w:line="230" w:lineRule="auto"/>
        <w:jc w:val="both"/>
        <w:rPr>
          <w:sz w:val="20"/>
          <w:szCs w:val="20"/>
          <w:lang w:val="fr-FR"/>
        </w:rPr>
      </w:pPr>
    </w:p>
    <w:p w:rsidR="00B56106" w:rsidRPr="00A4260E" w:rsidRDefault="00B56106" w:rsidP="00B56106">
      <w:pPr>
        <w:spacing w:line="230" w:lineRule="auto"/>
        <w:jc w:val="both"/>
        <w:rPr>
          <w:sz w:val="20"/>
          <w:szCs w:val="20"/>
          <w:lang w:val="fr-FR"/>
        </w:rPr>
      </w:pPr>
      <w:r w:rsidRPr="00A4260E">
        <w:rPr>
          <w:b/>
          <w:bCs/>
          <w:sz w:val="20"/>
          <w:szCs w:val="20"/>
          <w:lang w:val="fr-FR"/>
        </w:rPr>
        <w:t xml:space="preserve">IL EST EN OUTRE ORDONNÉ QUE </w:t>
      </w:r>
      <w:r w:rsidRPr="00A4260E">
        <w:rPr>
          <w:bCs/>
          <w:sz w:val="20"/>
          <w:szCs w:val="20"/>
          <w:lang w:val="fr-FR"/>
        </w:rPr>
        <w:t xml:space="preserve">cette intervenante pourra présenter une plaidoirie orale d’au plus dix (10) minutes lors de l’audition de l’appel. </w:t>
      </w:r>
    </w:p>
    <w:p w:rsidR="00B56106" w:rsidRPr="00A4260E" w:rsidRDefault="00B56106" w:rsidP="00B56106">
      <w:pPr>
        <w:spacing w:line="233" w:lineRule="auto"/>
        <w:jc w:val="both"/>
        <w:rPr>
          <w:sz w:val="20"/>
          <w:szCs w:val="20"/>
          <w:lang w:val="fr-FR"/>
        </w:rPr>
      </w:pPr>
    </w:p>
    <w:p w:rsidR="00B56106" w:rsidRPr="00A4260E" w:rsidRDefault="007333FF" w:rsidP="00B56106">
      <w:pPr>
        <w:tabs>
          <w:tab w:val="left" w:pos="-1440"/>
          <w:tab w:val="left" w:pos="-720"/>
        </w:tabs>
        <w:jc w:val="both"/>
        <w:rPr>
          <w:sz w:val="20"/>
          <w:szCs w:val="20"/>
          <w:lang w:val="fr-CA"/>
        </w:rPr>
      </w:pPr>
      <w:r w:rsidRPr="007333FF">
        <w:rPr>
          <w:sz w:val="20"/>
          <w:szCs w:val="20"/>
          <w:lang w:val="fr-CA"/>
        </w:rPr>
        <w:pict>
          <v:rect id="_x0000_i1131" style="width:2in;height:1pt" o:hrpct="0" o:hralign="center" o:hrstd="t" o:hrnoshade="t" o:hr="t" fillcolor="black [3213]" stroked="f"/>
        </w:pic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17.08.2012</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Before / Devant :   CROMWELL J. / LE JUGE CROMWELL</w:t>
      </w:r>
    </w:p>
    <w:p w:rsidR="00B56106" w:rsidRPr="00A4260E" w:rsidRDefault="00B56106" w:rsidP="00B5610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56106" w:rsidRPr="00C832DD" w:rsidTr="00B56106">
        <w:tc>
          <w:tcPr>
            <w:tcW w:w="4338" w:type="dxa"/>
          </w:tcPr>
          <w:p w:rsidR="00B56106" w:rsidRPr="00A4260E" w:rsidRDefault="007333FF" w:rsidP="00B56106">
            <w:pPr>
              <w:tabs>
                <w:tab w:val="left" w:pos="-1440"/>
                <w:tab w:val="left" w:pos="-720"/>
              </w:tabs>
              <w:jc w:val="both"/>
              <w:rPr>
                <w:b/>
                <w:sz w:val="20"/>
                <w:szCs w:val="20"/>
              </w:rPr>
            </w:pP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r w:rsidR="00B56106" w:rsidRPr="00A4260E">
              <w:rPr>
                <w:b/>
                <w:bCs/>
                <w:sz w:val="20"/>
                <w:szCs w:val="20"/>
              </w:rPr>
              <w:t>Motion to extend time to serve and file the respondent’s factum and book of authorities to July 17, 2012 and for an order pursuant to Rule 71(3) permitting oral argument at the hearing of the appeal</w:t>
            </w: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p>
        </w:tc>
        <w:tc>
          <w:tcPr>
            <w:tcW w:w="1170" w:type="dxa"/>
          </w:tcPr>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tc>
        <w:tc>
          <w:tcPr>
            <w:tcW w:w="4327" w:type="dxa"/>
          </w:tcPr>
          <w:p w:rsidR="00B56106" w:rsidRPr="00A4260E" w:rsidRDefault="007333FF" w:rsidP="00B56106">
            <w:pPr>
              <w:tabs>
                <w:tab w:val="left" w:pos="-1440"/>
                <w:tab w:val="left" w:pos="-720"/>
              </w:tabs>
              <w:jc w:val="both"/>
              <w:rPr>
                <w:b/>
                <w:sz w:val="20"/>
                <w:szCs w:val="20"/>
                <w:lang w:val="fr-CA"/>
              </w:rPr>
            </w:pP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r w:rsidR="00B56106" w:rsidRPr="00A4260E">
              <w:rPr>
                <w:b/>
                <w:bCs/>
                <w:sz w:val="20"/>
                <w:szCs w:val="20"/>
                <w:lang w:val="fr-CA"/>
              </w:rPr>
              <w:t xml:space="preserve">Requête de l'intimé en prorogation du délai de signification et de dépôt de ses mémoire et recueil de sources jusqu'au 17 juillet 2012, et en vue de présenter une plaidoirie orale lors de l'audition en vertu du par. 71(3) des </w:t>
            </w:r>
            <w:r w:rsidR="00B56106" w:rsidRPr="00A4260E">
              <w:rPr>
                <w:b/>
                <w:bCs/>
                <w:i/>
                <w:iCs/>
                <w:sz w:val="20"/>
                <w:szCs w:val="20"/>
                <w:lang w:val="fr-CA"/>
              </w:rPr>
              <w:t>Règles</w:t>
            </w: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r w:rsidRPr="00A4260E">
              <w:rPr>
                <w:b/>
                <w:sz w:val="20"/>
                <w:szCs w:val="20"/>
              </w:rPr>
              <w:fldChar w:fldCharType="begin"/>
            </w:r>
            <w:r w:rsidR="00B56106" w:rsidRPr="00A4260E">
              <w:rPr>
                <w:b/>
                <w:sz w:val="20"/>
                <w:szCs w:val="20"/>
                <w:lang w:val="fr-CA"/>
              </w:rPr>
              <w:instrText xml:space="preserve"> SEQ CHAPTER \h \r 1</w:instrText>
            </w:r>
            <w:r w:rsidRPr="00A4260E">
              <w:rPr>
                <w:b/>
                <w:sz w:val="20"/>
                <w:szCs w:val="20"/>
              </w:rPr>
              <w:fldChar w:fldCharType="end"/>
            </w:r>
            <w:r w:rsidRPr="00A4260E">
              <w:rPr>
                <w:b/>
                <w:sz w:val="20"/>
                <w:szCs w:val="20"/>
              </w:rPr>
              <w:fldChar w:fldCharType="begin"/>
            </w:r>
            <w:r w:rsidR="00B56106" w:rsidRPr="00A4260E">
              <w:rPr>
                <w:b/>
                <w:sz w:val="20"/>
                <w:szCs w:val="20"/>
                <w:lang w:val="fr-CA"/>
              </w:rPr>
              <w:instrText xml:space="preserve"> SEQ CHAPTER \h \r 1</w:instrText>
            </w:r>
            <w:r w:rsidRPr="00A4260E">
              <w:rPr>
                <w:b/>
                <w:sz w:val="20"/>
                <w:szCs w:val="20"/>
              </w:rPr>
              <w:fldChar w:fldCharType="end"/>
            </w:r>
            <w:r w:rsidRPr="00A4260E">
              <w:rPr>
                <w:b/>
                <w:sz w:val="20"/>
                <w:szCs w:val="20"/>
              </w:rPr>
              <w:fldChar w:fldCharType="begin"/>
            </w:r>
            <w:r w:rsidR="00B56106" w:rsidRPr="00A4260E">
              <w:rPr>
                <w:b/>
                <w:sz w:val="20"/>
                <w:szCs w:val="20"/>
                <w:lang w:val="fr-CA"/>
              </w:rPr>
              <w:instrText xml:space="preserve"> SEQ CHAPTER \h \r 1</w:instrText>
            </w:r>
            <w:r w:rsidRPr="00A4260E">
              <w:rPr>
                <w:b/>
                <w:sz w:val="20"/>
                <w:szCs w:val="20"/>
              </w:rPr>
              <w:fldChar w:fldCharType="end"/>
            </w:r>
          </w:p>
        </w:tc>
      </w:tr>
      <w:tr w:rsidR="00B56106" w:rsidRPr="00A4260E" w:rsidTr="00B56106">
        <w:tc>
          <w:tcPr>
            <w:tcW w:w="4338" w:type="dxa"/>
          </w:tcPr>
          <w:p w:rsidR="00B56106" w:rsidRPr="00A4260E" w:rsidRDefault="00B56106" w:rsidP="00B56106">
            <w:pPr>
              <w:tabs>
                <w:tab w:val="left" w:pos="-1440"/>
                <w:tab w:val="left" w:pos="-720"/>
              </w:tabs>
              <w:jc w:val="both"/>
              <w:rPr>
                <w:sz w:val="20"/>
                <w:szCs w:val="20"/>
                <w:lang w:val="fr-CA"/>
              </w:rPr>
            </w:pPr>
            <w:r w:rsidRPr="00A4260E">
              <w:rPr>
                <w:sz w:val="20"/>
                <w:szCs w:val="20"/>
                <w:lang w:val="fr-CA"/>
              </w:rPr>
              <w:t>Brian Cuthbertson et al.</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ab/>
              <w:t>v. (34362)</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rPr>
            </w:pPr>
            <w:r w:rsidRPr="00A4260E">
              <w:rPr>
                <w:sz w:val="20"/>
                <w:szCs w:val="20"/>
              </w:rPr>
              <w:t>Hassan Rasouli by his Litigation Guardian and Substitute Decision Maker, Parichehr Salasel (Ont.)</w:t>
            </w:r>
          </w:p>
        </w:tc>
        <w:tc>
          <w:tcPr>
            <w:tcW w:w="1170" w:type="dxa"/>
          </w:tcPr>
          <w:p w:rsidR="00B56106" w:rsidRPr="00A4260E" w:rsidRDefault="00B56106" w:rsidP="00B56106">
            <w:pPr>
              <w:tabs>
                <w:tab w:val="left" w:pos="-1440"/>
                <w:tab w:val="left" w:pos="-720"/>
              </w:tabs>
              <w:jc w:val="both"/>
              <w:rPr>
                <w:sz w:val="20"/>
                <w:szCs w:val="20"/>
              </w:rPr>
            </w:pPr>
          </w:p>
        </w:tc>
        <w:tc>
          <w:tcPr>
            <w:tcW w:w="4327" w:type="dxa"/>
          </w:tcPr>
          <w:p w:rsidR="00B56106" w:rsidRPr="00A4260E" w:rsidRDefault="00B56106" w:rsidP="00B56106">
            <w:pPr>
              <w:tabs>
                <w:tab w:val="left" w:pos="-1440"/>
                <w:tab w:val="left" w:pos="-720"/>
              </w:tabs>
              <w:jc w:val="both"/>
              <w:rPr>
                <w:sz w:val="20"/>
                <w:szCs w:val="20"/>
              </w:rPr>
            </w:pPr>
          </w:p>
        </w:tc>
      </w:tr>
    </w:tbl>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b/>
          <w:sz w:val="20"/>
          <w:szCs w:val="20"/>
        </w:rPr>
      </w:pPr>
      <w:r w:rsidRPr="00A4260E">
        <w:rPr>
          <w:b/>
          <w:sz w:val="20"/>
          <w:szCs w:val="20"/>
        </w:rPr>
        <w:t>GRANTED / ACCORDÉE</w:t>
      </w:r>
    </w:p>
    <w:p w:rsidR="00B56106" w:rsidRPr="00A4260E" w:rsidRDefault="00B56106" w:rsidP="00B56106">
      <w:pPr>
        <w:tabs>
          <w:tab w:val="left" w:pos="-1440"/>
          <w:tab w:val="left" w:pos="-720"/>
        </w:tabs>
        <w:jc w:val="both"/>
        <w:rPr>
          <w:sz w:val="20"/>
          <w:szCs w:val="20"/>
        </w:rPr>
      </w:pPr>
    </w:p>
    <w:p w:rsidR="00B56106" w:rsidRPr="00A4260E" w:rsidRDefault="007333FF" w:rsidP="00B56106">
      <w:pPr>
        <w:tabs>
          <w:tab w:val="left" w:pos="-1440"/>
          <w:tab w:val="left" w:pos="-720"/>
        </w:tabs>
        <w:jc w:val="both"/>
        <w:rPr>
          <w:sz w:val="20"/>
          <w:szCs w:val="20"/>
        </w:rPr>
      </w:pPr>
      <w:r w:rsidRPr="007333FF">
        <w:rPr>
          <w:sz w:val="20"/>
          <w:szCs w:val="20"/>
          <w:lang w:val="fr-CA"/>
        </w:rPr>
        <w:pict>
          <v:rect id="_x0000_i1132" style="width:2in;height:1pt" o:hrpct="0" o:hralign="center" o:hrstd="t" o:hrnoshade="t" o:hr="t" fillcolor="black [3213]" stroked="f"/>
        </w:pict>
      </w:r>
    </w:p>
    <w:p w:rsidR="00B56106" w:rsidRPr="00A4260E" w:rsidRDefault="00B56106" w:rsidP="00B56106">
      <w:pPr>
        <w:tabs>
          <w:tab w:val="left" w:pos="-1440"/>
          <w:tab w:val="left" w:pos="-720"/>
        </w:tabs>
        <w:jc w:val="both"/>
        <w:rPr>
          <w:sz w:val="20"/>
          <w:szCs w:val="20"/>
        </w:rPr>
      </w:pPr>
    </w:p>
    <w:p w:rsidR="00B56106" w:rsidRDefault="00B56106">
      <w:pPr>
        <w:rPr>
          <w:sz w:val="20"/>
          <w:szCs w:val="20"/>
          <w:lang w:val="fr-CA"/>
        </w:rPr>
      </w:pPr>
      <w:r>
        <w:rPr>
          <w:sz w:val="20"/>
          <w:szCs w:val="20"/>
          <w:lang w:val="fr-CA"/>
        </w:rPr>
        <w:br w:type="page"/>
      </w:r>
    </w:p>
    <w:p w:rsidR="00B56106" w:rsidRPr="00A4260E" w:rsidRDefault="00B56106" w:rsidP="00B56106">
      <w:pPr>
        <w:tabs>
          <w:tab w:val="left" w:pos="-1440"/>
          <w:tab w:val="left" w:pos="-720"/>
        </w:tabs>
        <w:jc w:val="both"/>
        <w:rPr>
          <w:sz w:val="20"/>
          <w:szCs w:val="20"/>
          <w:lang w:val="fr-CA"/>
        </w:rPr>
      </w:pPr>
      <w:r w:rsidRPr="00A4260E">
        <w:rPr>
          <w:sz w:val="20"/>
          <w:szCs w:val="20"/>
          <w:lang w:val="fr-CA"/>
        </w:rPr>
        <w:lastRenderedPageBreak/>
        <w:t>17.08.2012</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Before / Devant :   CROMWELL J. / LA JUGE CROMWELL</w:t>
      </w:r>
    </w:p>
    <w:p w:rsidR="00B56106" w:rsidRPr="00A4260E" w:rsidRDefault="00B56106" w:rsidP="00B5610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B56106" w:rsidRPr="00C832DD" w:rsidTr="00B56106">
        <w:tc>
          <w:tcPr>
            <w:tcW w:w="4338" w:type="dxa"/>
            <w:gridSpan w:val="2"/>
          </w:tcPr>
          <w:p w:rsidR="00B56106" w:rsidRPr="00A4260E" w:rsidRDefault="00B56106" w:rsidP="00B56106">
            <w:pPr>
              <w:jc w:val="both"/>
              <w:rPr>
                <w:b/>
                <w:sz w:val="20"/>
                <w:szCs w:val="20"/>
              </w:rPr>
            </w:pPr>
            <w:r w:rsidRPr="00A4260E">
              <w:rPr>
                <w:b/>
                <w:sz w:val="20"/>
                <w:szCs w:val="20"/>
              </w:rPr>
              <w:t xml:space="preserve">Order on interventions with respect to oral argument </w:t>
            </w:r>
            <w:r w:rsidR="007333FF" w:rsidRPr="00A4260E">
              <w:rPr>
                <w:b/>
                <w:sz w:val="20"/>
                <w:szCs w:val="20"/>
              </w:rPr>
              <w:fldChar w:fldCharType="begin"/>
            </w:r>
            <w:r w:rsidRPr="00A4260E">
              <w:rPr>
                <w:b/>
                <w:sz w:val="20"/>
                <w:szCs w:val="20"/>
              </w:rPr>
              <w:instrText xml:space="preserve"> SEQ CHAPTER \h \r 1</w:instrText>
            </w:r>
            <w:r w:rsidR="007333FF" w:rsidRPr="00A4260E">
              <w:rPr>
                <w:b/>
                <w:sz w:val="20"/>
                <w:szCs w:val="20"/>
              </w:rPr>
              <w:fldChar w:fldCharType="end"/>
            </w:r>
          </w:p>
        </w:tc>
        <w:tc>
          <w:tcPr>
            <w:tcW w:w="1170" w:type="dxa"/>
          </w:tcPr>
          <w:p w:rsidR="00B56106" w:rsidRPr="00A4260E" w:rsidRDefault="00B56106" w:rsidP="00B56106">
            <w:pPr>
              <w:rPr>
                <w:sz w:val="20"/>
                <w:szCs w:val="20"/>
              </w:rPr>
            </w:pPr>
          </w:p>
          <w:p w:rsidR="00B56106" w:rsidRPr="00A4260E" w:rsidRDefault="00B56106" w:rsidP="00B56106">
            <w:pPr>
              <w:rPr>
                <w:sz w:val="20"/>
                <w:szCs w:val="20"/>
              </w:rPr>
            </w:pPr>
          </w:p>
          <w:p w:rsidR="00B56106" w:rsidRPr="00A4260E" w:rsidRDefault="00B56106" w:rsidP="00B56106">
            <w:pPr>
              <w:rPr>
                <w:sz w:val="20"/>
                <w:szCs w:val="20"/>
              </w:rPr>
            </w:pPr>
          </w:p>
        </w:tc>
        <w:tc>
          <w:tcPr>
            <w:tcW w:w="4327" w:type="dxa"/>
          </w:tcPr>
          <w:p w:rsidR="00B56106" w:rsidRPr="00A4260E" w:rsidRDefault="00B56106" w:rsidP="00B56106">
            <w:pPr>
              <w:jc w:val="both"/>
              <w:rPr>
                <w:b/>
                <w:sz w:val="20"/>
                <w:szCs w:val="20"/>
                <w:lang w:val="fr-CA"/>
              </w:rPr>
            </w:pPr>
            <w:r w:rsidRPr="00A4260E">
              <w:rPr>
                <w:b/>
                <w:sz w:val="20"/>
                <w:szCs w:val="20"/>
                <w:lang w:val="fr-CA"/>
              </w:rPr>
              <w:t>Ordonnance relative à la présentation d’une plaidoirie orale par les intervenants</w:t>
            </w:r>
            <w:r w:rsidR="007333FF" w:rsidRPr="00A4260E">
              <w:rPr>
                <w:b/>
                <w:sz w:val="20"/>
                <w:szCs w:val="20"/>
              </w:rPr>
              <w:fldChar w:fldCharType="begin"/>
            </w:r>
            <w:r w:rsidRPr="00A4260E">
              <w:rPr>
                <w:b/>
                <w:sz w:val="20"/>
                <w:szCs w:val="20"/>
                <w:lang w:val="fr-CA"/>
              </w:rPr>
              <w:instrText xml:space="preserve"> SEQ CHAPTER \h \r 1</w:instrText>
            </w:r>
            <w:r w:rsidR="007333FF" w:rsidRPr="00A4260E">
              <w:rPr>
                <w:b/>
                <w:sz w:val="20"/>
                <w:szCs w:val="20"/>
              </w:rPr>
              <w:fldChar w:fldCharType="end"/>
            </w:r>
          </w:p>
        </w:tc>
      </w:tr>
      <w:tr w:rsidR="00B56106" w:rsidRPr="00A4260E" w:rsidTr="00B56106">
        <w:tc>
          <w:tcPr>
            <w:tcW w:w="1368" w:type="dxa"/>
          </w:tcPr>
          <w:p w:rsidR="00B56106" w:rsidRPr="00A4260E" w:rsidRDefault="00B56106" w:rsidP="00B56106">
            <w:pPr>
              <w:rPr>
                <w:sz w:val="20"/>
                <w:szCs w:val="20"/>
              </w:rPr>
            </w:pPr>
            <w:r w:rsidRPr="00A4260E">
              <w:rPr>
                <w:sz w:val="20"/>
                <w:szCs w:val="20"/>
              </w:rPr>
              <w:t>RE:</w:t>
            </w:r>
          </w:p>
        </w:tc>
        <w:tc>
          <w:tcPr>
            <w:tcW w:w="2970" w:type="dxa"/>
          </w:tcPr>
          <w:p w:rsidR="00B56106" w:rsidRPr="00A4260E" w:rsidRDefault="00B56106" w:rsidP="00B56106">
            <w:pPr>
              <w:rPr>
                <w:sz w:val="20"/>
                <w:szCs w:val="20"/>
              </w:rPr>
            </w:pPr>
            <w:r w:rsidRPr="00A4260E">
              <w:rPr>
                <w:sz w:val="20"/>
                <w:szCs w:val="20"/>
              </w:rPr>
              <w:t>Evangelical Fellowship of Canada;</w:t>
            </w: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rPr>
            </w:pPr>
            <w:r w:rsidRPr="00A4260E">
              <w:rPr>
                <w:sz w:val="20"/>
                <w:szCs w:val="20"/>
              </w:rPr>
              <w:t>Euthanasia Prevention Coalition;</w:t>
            </w: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rPr>
            </w:pPr>
            <w:r w:rsidRPr="00A4260E">
              <w:rPr>
                <w:sz w:val="20"/>
                <w:szCs w:val="20"/>
              </w:rPr>
              <w:t>Canadian Critical Care Society;</w:t>
            </w: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rPr>
            </w:pPr>
            <w:r w:rsidRPr="00A4260E">
              <w:rPr>
                <w:sz w:val="20"/>
                <w:szCs w:val="20"/>
              </w:rPr>
              <w:t>Canadian Association of Critical Care Nurses;</w:t>
            </w: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rPr>
            </w:pPr>
            <w:r w:rsidRPr="00A4260E">
              <w:rPr>
                <w:sz w:val="20"/>
                <w:szCs w:val="20"/>
              </w:rPr>
              <w:t>Advocacy Centre for the Elderly and ARCH Disability Law Centre;</w:t>
            </w: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rPr>
            </w:pPr>
            <w:r w:rsidRPr="00A4260E">
              <w:rPr>
                <w:sz w:val="20"/>
                <w:szCs w:val="20"/>
              </w:rPr>
              <w:t>Mental Health Legal Committee and HIV &amp; AIDS Legal Clinic Ontario</w:t>
            </w: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rPr>
            </w:pP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r w:rsidRPr="00A4260E">
              <w:rPr>
                <w:sz w:val="20"/>
                <w:szCs w:val="20"/>
              </w:rPr>
              <w:t>IN / DANS :</w:t>
            </w:r>
          </w:p>
        </w:tc>
        <w:tc>
          <w:tcPr>
            <w:tcW w:w="2970" w:type="dxa"/>
          </w:tcPr>
          <w:p w:rsidR="00B56106" w:rsidRPr="00A4260E" w:rsidRDefault="00B56106" w:rsidP="00B56106">
            <w:pPr>
              <w:rPr>
                <w:sz w:val="20"/>
                <w:szCs w:val="20"/>
                <w:lang w:val="fr-CA"/>
              </w:rPr>
            </w:pPr>
            <w:r w:rsidRPr="00A4260E">
              <w:rPr>
                <w:sz w:val="20"/>
                <w:szCs w:val="20"/>
                <w:lang w:val="fr-CA"/>
              </w:rPr>
              <w:t>Brian Cuthbertson et al.</w:t>
            </w:r>
          </w:p>
          <w:p w:rsidR="00B56106" w:rsidRPr="00A4260E" w:rsidRDefault="00B56106" w:rsidP="00B56106">
            <w:pPr>
              <w:rPr>
                <w:sz w:val="20"/>
                <w:szCs w:val="20"/>
              </w:rPr>
            </w:pP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rPr>
            </w:pPr>
            <w:r w:rsidRPr="00A4260E">
              <w:rPr>
                <w:sz w:val="20"/>
                <w:szCs w:val="20"/>
              </w:rPr>
              <w:tab/>
              <w:t>v. (34362)</w:t>
            </w:r>
          </w:p>
          <w:p w:rsidR="00B56106" w:rsidRPr="00A4260E" w:rsidRDefault="00B56106" w:rsidP="00B56106">
            <w:pPr>
              <w:rPr>
                <w:sz w:val="20"/>
                <w:szCs w:val="20"/>
              </w:rPr>
            </w:pP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jc w:val="both"/>
              <w:rPr>
                <w:sz w:val="20"/>
                <w:szCs w:val="20"/>
              </w:rPr>
            </w:pPr>
            <w:r w:rsidRPr="00A4260E">
              <w:rPr>
                <w:sz w:val="20"/>
                <w:szCs w:val="20"/>
              </w:rPr>
              <w:t>Hassan Rasouli by his Litigation Guardian and Substitute Decision Maker, Parichehr Salasel (Ont.)</w:t>
            </w: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bl>
    <w:p w:rsidR="00B56106" w:rsidRPr="00A4260E" w:rsidRDefault="00B56106" w:rsidP="00B56106">
      <w:pPr>
        <w:tabs>
          <w:tab w:val="left" w:pos="-1440"/>
          <w:tab w:val="left" w:pos="-720"/>
        </w:tabs>
        <w:jc w:val="both"/>
        <w:rPr>
          <w:sz w:val="20"/>
          <w:szCs w:val="20"/>
        </w:rPr>
      </w:pPr>
    </w:p>
    <w:p w:rsidR="00B56106" w:rsidRPr="00A4260E" w:rsidRDefault="00B56106" w:rsidP="00B56106">
      <w:pPr>
        <w:spacing w:line="233" w:lineRule="auto"/>
        <w:jc w:val="both"/>
        <w:rPr>
          <w:sz w:val="20"/>
          <w:szCs w:val="20"/>
        </w:rPr>
      </w:pPr>
      <w:r w:rsidRPr="00A4260E">
        <w:rPr>
          <w:b/>
          <w:bCs/>
          <w:sz w:val="20"/>
          <w:szCs w:val="20"/>
        </w:rPr>
        <w:t>FURTHER TO THE ORDER</w:t>
      </w:r>
      <w:r w:rsidRPr="00A4260E">
        <w:rPr>
          <w:sz w:val="20"/>
          <w:szCs w:val="20"/>
        </w:rPr>
        <w:t xml:space="preserve"> dated May 31, 2012, granting leave to intervene to</w:t>
      </w:r>
      <w:r w:rsidRPr="00A4260E">
        <w:rPr>
          <w:bCs/>
          <w:sz w:val="20"/>
          <w:szCs w:val="20"/>
        </w:rPr>
        <w:t xml:space="preserve"> </w:t>
      </w:r>
      <w:r w:rsidRPr="00A4260E">
        <w:rPr>
          <w:sz w:val="20"/>
          <w:szCs w:val="20"/>
        </w:rPr>
        <w:t>the Evangelical Fellowship of Canada, the Euthanasia Prevention Coalition, the Canadian Critical Care Society, the Canadian Association of Critical Care Nurses, the Advocacy Centre for the Elderly and ARCH Disability Law Centre and the Mental Health Legal Committee and HIV &amp; AIDS Legal Clinic Ontario in the above appeal;</w:t>
      </w:r>
    </w:p>
    <w:p w:rsidR="00B56106" w:rsidRPr="00A4260E" w:rsidRDefault="00B56106" w:rsidP="00B56106">
      <w:pPr>
        <w:spacing w:line="233" w:lineRule="auto"/>
        <w:jc w:val="both"/>
        <w:rPr>
          <w:sz w:val="20"/>
          <w:szCs w:val="20"/>
        </w:rPr>
      </w:pPr>
    </w:p>
    <w:p w:rsidR="00B56106" w:rsidRPr="00A4260E" w:rsidRDefault="00B56106" w:rsidP="00B56106">
      <w:pPr>
        <w:spacing w:line="233" w:lineRule="auto"/>
        <w:jc w:val="both"/>
        <w:rPr>
          <w:sz w:val="20"/>
          <w:szCs w:val="20"/>
        </w:rPr>
      </w:pPr>
      <w:r w:rsidRPr="00A4260E">
        <w:rPr>
          <w:b/>
          <w:bCs/>
          <w:sz w:val="20"/>
          <w:szCs w:val="20"/>
        </w:rPr>
        <w:t>IT IS HEREBY FURTHER ORDERED THAT:</w:t>
      </w:r>
      <w:r w:rsidRPr="00A4260E">
        <w:rPr>
          <w:sz w:val="20"/>
          <w:szCs w:val="20"/>
        </w:rPr>
        <w:t xml:space="preserve"> each of the following three groups of interveners, the Canadian Critical Care Society, the Canadian Association of Critical Care Nurses and the Mental Health Legal Committee and HIV &amp; AIDS Legal Clinic Ontario is granted permission to present oral argument not exceeding ten (10) minutes at the hearing of the appeal.</w:t>
      </w:r>
    </w:p>
    <w:p w:rsidR="00B56106" w:rsidRPr="00A4260E" w:rsidRDefault="00B56106" w:rsidP="00B56106">
      <w:pPr>
        <w:spacing w:line="233" w:lineRule="auto"/>
        <w:jc w:val="both"/>
        <w:rPr>
          <w:sz w:val="20"/>
          <w:szCs w:val="20"/>
        </w:rPr>
      </w:pPr>
    </w:p>
    <w:p w:rsidR="00B56106" w:rsidRPr="00A4260E" w:rsidRDefault="00B56106" w:rsidP="00B56106">
      <w:pPr>
        <w:spacing w:line="233" w:lineRule="auto"/>
        <w:jc w:val="both"/>
        <w:rPr>
          <w:sz w:val="20"/>
          <w:szCs w:val="20"/>
        </w:rPr>
      </w:pPr>
      <w:r w:rsidRPr="00A4260E">
        <w:rPr>
          <w:b/>
          <w:sz w:val="20"/>
          <w:szCs w:val="20"/>
        </w:rPr>
        <w:t>AND</w:t>
      </w:r>
      <w:r w:rsidRPr="00A4260E">
        <w:rPr>
          <w:sz w:val="20"/>
          <w:szCs w:val="20"/>
        </w:rPr>
        <w:t xml:space="preserve"> </w:t>
      </w:r>
      <w:r w:rsidRPr="00A4260E">
        <w:rPr>
          <w:b/>
          <w:bCs/>
          <w:sz w:val="20"/>
          <w:szCs w:val="20"/>
        </w:rPr>
        <w:t xml:space="preserve">IT IS HEREBY FURTHER ORDERED THAT: </w:t>
      </w:r>
      <w:r w:rsidRPr="00A4260E">
        <w:rPr>
          <w:sz w:val="20"/>
          <w:szCs w:val="20"/>
        </w:rPr>
        <w:t xml:space="preserve">each of the following three groups of interveners, the Euthanasia Prevention Coalition, the Evangelical Fellowship of Canada and the Advocacy Centre for the Elderly and ARCH Disability Law Centre is granted permission to present oral argument not exceeding five (5) minutes at the hearing of the appeal. </w: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spacing w:line="233" w:lineRule="auto"/>
        <w:jc w:val="both"/>
        <w:rPr>
          <w:sz w:val="20"/>
          <w:szCs w:val="20"/>
          <w:lang w:val="fr-FR"/>
        </w:rPr>
      </w:pPr>
      <w:r w:rsidRPr="00A4260E">
        <w:rPr>
          <w:b/>
          <w:bCs/>
          <w:sz w:val="20"/>
          <w:szCs w:val="20"/>
          <w:lang w:val="fr-FR"/>
        </w:rPr>
        <w:t xml:space="preserve">À LA SUITE DE L’ORDONNANCE </w:t>
      </w:r>
      <w:r w:rsidRPr="00A4260E">
        <w:rPr>
          <w:bCs/>
          <w:sz w:val="20"/>
          <w:szCs w:val="20"/>
          <w:lang w:val="fr-FR"/>
        </w:rPr>
        <w:t xml:space="preserve">datée du 31 mai 2012 autorisant </w:t>
      </w:r>
      <w:r w:rsidRPr="00A4260E">
        <w:rPr>
          <w:sz w:val="20"/>
          <w:szCs w:val="20"/>
          <w:lang w:val="fr-FR"/>
        </w:rPr>
        <w:t>l’Alliance évangélique du Canada, l’Euthanasia Prevention Coalition, la Canadian Critical Care Society, la Canadian Association of Critical Care Nurses, l’Advocacy Centre for the Elderly et ARCH Disability Law Centre ainsi que le Mental Health Legal Committee et HIV &amp; AIDS Legal Clinic Ontario à intervenir dans l’appel;</w:t>
      </w:r>
    </w:p>
    <w:p w:rsidR="00B56106" w:rsidRPr="00A4260E" w:rsidRDefault="00B56106" w:rsidP="00B56106">
      <w:pPr>
        <w:spacing w:line="233" w:lineRule="auto"/>
        <w:jc w:val="both"/>
        <w:rPr>
          <w:sz w:val="20"/>
          <w:szCs w:val="20"/>
          <w:lang w:val="fr-FR"/>
        </w:rPr>
      </w:pPr>
    </w:p>
    <w:p w:rsidR="00B56106" w:rsidRPr="00A4260E" w:rsidRDefault="00B56106" w:rsidP="00B56106">
      <w:pPr>
        <w:spacing w:line="233" w:lineRule="auto"/>
        <w:jc w:val="both"/>
        <w:rPr>
          <w:sz w:val="20"/>
          <w:szCs w:val="20"/>
          <w:lang w:val="fr-FR"/>
        </w:rPr>
      </w:pPr>
      <w:r w:rsidRPr="00A4260E">
        <w:rPr>
          <w:b/>
          <w:bCs/>
          <w:sz w:val="20"/>
          <w:szCs w:val="20"/>
          <w:lang w:val="fr-FR"/>
        </w:rPr>
        <w:t xml:space="preserve">IL EST EN OUTRE ORDONNÉ QUE : </w:t>
      </w:r>
      <w:r w:rsidRPr="00A4260E">
        <w:rPr>
          <w:bCs/>
          <w:sz w:val="20"/>
          <w:szCs w:val="20"/>
          <w:lang w:val="fr-FR"/>
        </w:rPr>
        <w:t>chacun des trois intervenants ou groupe d’intervenants suivants, soit</w:t>
      </w:r>
      <w:r w:rsidRPr="00A4260E">
        <w:rPr>
          <w:sz w:val="20"/>
          <w:szCs w:val="20"/>
          <w:lang w:val="fr-FR"/>
        </w:rPr>
        <w:t xml:space="preserve"> la Canadian Critical Care Society, la Canadian Association of Critical Care Nurses et le Mental Health Legal Committee et HIV &amp; AIDS Legal Clinic Ontario, pourra présenter une plaidoirie orale d’au plus dix (10) minutes lors de l’audition de l’appel.</w:t>
      </w:r>
    </w:p>
    <w:p w:rsidR="00B56106" w:rsidRPr="00A4260E" w:rsidRDefault="00B56106" w:rsidP="00B56106">
      <w:pPr>
        <w:spacing w:line="233" w:lineRule="auto"/>
        <w:jc w:val="both"/>
        <w:rPr>
          <w:sz w:val="20"/>
          <w:szCs w:val="20"/>
          <w:lang w:val="fr-FR"/>
        </w:rPr>
      </w:pPr>
    </w:p>
    <w:p w:rsidR="00B56106" w:rsidRPr="00A4260E" w:rsidRDefault="00B56106" w:rsidP="00B56106">
      <w:pPr>
        <w:spacing w:line="233" w:lineRule="auto"/>
        <w:jc w:val="both"/>
        <w:rPr>
          <w:sz w:val="20"/>
          <w:szCs w:val="20"/>
          <w:lang w:val="fr-FR"/>
        </w:rPr>
      </w:pPr>
      <w:r w:rsidRPr="00A4260E">
        <w:rPr>
          <w:b/>
          <w:sz w:val="20"/>
          <w:szCs w:val="20"/>
          <w:lang w:val="fr-FR"/>
        </w:rPr>
        <w:lastRenderedPageBreak/>
        <w:t>ET</w:t>
      </w:r>
      <w:r w:rsidRPr="00A4260E">
        <w:rPr>
          <w:b/>
          <w:bCs/>
          <w:sz w:val="20"/>
          <w:szCs w:val="20"/>
          <w:lang w:val="fr-FR"/>
        </w:rPr>
        <w:t xml:space="preserve"> IL EST EN OUTRE ORDONNÉ QUE : </w:t>
      </w:r>
      <w:r w:rsidRPr="00A4260E">
        <w:rPr>
          <w:bCs/>
          <w:sz w:val="20"/>
          <w:szCs w:val="20"/>
          <w:lang w:val="fr-FR"/>
        </w:rPr>
        <w:t>chacun des trois intervenants ou groupe d’intervenants suivants, soit L’</w:t>
      </w:r>
      <w:r w:rsidRPr="00A4260E">
        <w:rPr>
          <w:sz w:val="20"/>
          <w:szCs w:val="20"/>
          <w:lang w:val="fr-FR"/>
        </w:rPr>
        <w:t xml:space="preserve">Euthanasia Prevention Coalition, l’Alliance évangélique du Canada et l’Advocacy Centre for the Elderly et ARCH Disability Law Centre, pourra présenter une plaidoirie orale d’au plus cinq (5) minutes lors de l’audition de l’appel. </w:t>
      </w:r>
    </w:p>
    <w:p w:rsidR="00B56106" w:rsidRPr="00A4260E" w:rsidRDefault="00B56106" w:rsidP="00B56106">
      <w:pPr>
        <w:tabs>
          <w:tab w:val="left" w:pos="-1440"/>
          <w:tab w:val="left" w:pos="-720"/>
        </w:tabs>
        <w:jc w:val="both"/>
        <w:rPr>
          <w:sz w:val="20"/>
          <w:szCs w:val="20"/>
          <w:lang w:val="fr-FR"/>
        </w:rPr>
      </w:pPr>
    </w:p>
    <w:p w:rsidR="00B56106" w:rsidRPr="00A4260E" w:rsidRDefault="007333FF" w:rsidP="00B56106">
      <w:pPr>
        <w:tabs>
          <w:tab w:val="left" w:pos="-1440"/>
          <w:tab w:val="left" w:pos="-720"/>
        </w:tabs>
        <w:jc w:val="both"/>
        <w:rPr>
          <w:sz w:val="20"/>
          <w:szCs w:val="20"/>
        </w:rPr>
      </w:pPr>
      <w:r w:rsidRPr="007333FF">
        <w:rPr>
          <w:sz w:val="20"/>
          <w:szCs w:val="20"/>
          <w:lang w:val="fr-CA"/>
        </w:rPr>
        <w:pict>
          <v:rect id="_x0000_i1133" style="width:2in;height:1pt" o:hrpct="0" o:hralign="center" o:hrstd="t" o:hrnoshade="t" o:hr="t" fillcolor="black [3213]" stroked="f"/>
        </w:pic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21.08.2012</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jc w:val="both"/>
        <w:rPr>
          <w:sz w:val="20"/>
          <w:szCs w:val="20"/>
          <w:lang w:val="fr-CA"/>
        </w:rPr>
      </w:pPr>
      <w:r w:rsidRPr="00A4260E">
        <w:rPr>
          <w:sz w:val="20"/>
          <w:szCs w:val="20"/>
          <w:lang w:val="fr-CA"/>
        </w:rPr>
        <w:t>Before / Devant:   ROTHSTEIN J. / LE JUGE ROTHSTEIN</w:t>
      </w:r>
    </w:p>
    <w:p w:rsidR="00B56106" w:rsidRPr="00A4260E" w:rsidRDefault="00B56106" w:rsidP="00B56106">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B56106" w:rsidRPr="00A4260E" w:rsidTr="00B56106">
        <w:tc>
          <w:tcPr>
            <w:tcW w:w="4338" w:type="dxa"/>
            <w:gridSpan w:val="2"/>
          </w:tcPr>
          <w:p w:rsidR="00B56106" w:rsidRPr="00A4260E" w:rsidRDefault="00B56106" w:rsidP="00B56106">
            <w:pPr>
              <w:rPr>
                <w:b/>
                <w:sz w:val="20"/>
                <w:szCs w:val="20"/>
              </w:rPr>
            </w:pPr>
            <w:r w:rsidRPr="00A4260E">
              <w:rPr>
                <w:b/>
                <w:sz w:val="20"/>
                <w:szCs w:val="20"/>
              </w:rPr>
              <w:t>Motions for leave to intervene</w:t>
            </w:r>
            <w:r w:rsidRPr="00A4260E">
              <w:rPr>
                <w:sz w:val="20"/>
                <w:szCs w:val="20"/>
              </w:rPr>
              <w:t xml:space="preserve"> </w:t>
            </w:r>
            <w:r w:rsidR="007333FF" w:rsidRPr="00A4260E">
              <w:rPr>
                <w:sz w:val="20"/>
                <w:szCs w:val="20"/>
              </w:rPr>
              <w:fldChar w:fldCharType="begin"/>
            </w:r>
            <w:r w:rsidRPr="00A4260E">
              <w:rPr>
                <w:sz w:val="20"/>
                <w:szCs w:val="20"/>
              </w:rPr>
              <w:instrText xml:space="preserve"> SEQ CHAPTER \h \r 1</w:instrText>
            </w:r>
            <w:r w:rsidR="007333FF" w:rsidRPr="00A4260E">
              <w:rPr>
                <w:sz w:val="20"/>
                <w:szCs w:val="20"/>
              </w:rPr>
              <w:fldChar w:fldCharType="end"/>
            </w:r>
          </w:p>
        </w:tc>
        <w:tc>
          <w:tcPr>
            <w:tcW w:w="1170" w:type="dxa"/>
          </w:tcPr>
          <w:p w:rsidR="00B56106" w:rsidRPr="00A4260E" w:rsidRDefault="00B56106" w:rsidP="00B56106">
            <w:pPr>
              <w:rPr>
                <w:sz w:val="20"/>
                <w:szCs w:val="20"/>
              </w:rPr>
            </w:pPr>
          </w:p>
          <w:p w:rsidR="00B56106" w:rsidRPr="00A4260E" w:rsidRDefault="00B56106" w:rsidP="00B56106">
            <w:pPr>
              <w:rPr>
                <w:sz w:val="20"/>
                <w:szCs w:val="20"/>
              </w:rPr>
            </w:pPr>
          </w:p>
        </w:tc>
        <w:tc>
          <w:tcPr>
            <w:tcW w:w="4327" w:type="dxa"/>
          </w:tcPr>
          <w:p w:rsidR="00B56106" w:rsidRPr="00A4260E" w:rsidRDefault="00B56106" w:rsidP="00B56106">
            <w:pPr>
              <w:rPr>
                <w:b/>
                <w:sz w:val="20"/>
                <w:szCs w:val="20"/>
              </w:rPr>
            </w:pPr>
            <w:r w:rsidRPr="00A4260E">
              <w:rPr>
                <w:b/>
                <w:bCs/>
                <w:sz w:val="20"/>
                <w:szCs w:val="20"/>
                <w:lang w:val="fr-CA"/>
              </w:rPr>
              <w:t>Requêtes en autorisation d’intervenir</w:t>
            </w:r>
            <w:r w:rsidRPr="00A4260E">
              <w:rPr>
                <w:sz w:val="20"/>
                <w:szCs w:val="20"/>
              </w:rPr>
              <w:t xml:space="preserve"> </w:t>
            </w:r>
            <w:r w:rsidR="007333FF" w:rsidRPr="00A4260E">
              <w:rPr>
                <w:sz w:val="20"/>
                <w:szCs w:val="20"/>
              </w:rPr>
              <w:fldChar w:fldCharType="begin"/>
            </w:r>
            <w:r w:rsidRPr="00A4260E">
              <w:rPr>
                <w:sz w:val="20"/>
                <w:szCs w:val="20"/>
              </w:rPr>
              <w:instrText xml:space="preserve"> SEQ CHAPTER \h \r 1</w:instrText>
            </w:r>
            <w:r w:rsidR="007333FF" w:rsidRPr="00A4260E">
              <w:rPr>
                <w:sz w:val="20"/>
                <w:szCs w:val="20"/>
              </w:rPr>
              <w:fldChar w:fldCharType="end"/>
            </w:r>
          </w:p>
        </w:tc>
      </w:tr>
      <w:tr w:rsidR="00B56106" w:rsidRPr="00A4260E" w:rsidTr="00B56106">
        <w:tc>
          <w:tcPr>
            <w:tcW w:w="1368" w:type="dxa"/>
          </w:tcPr>
          <w:p w:rsidR="00B56106" w:rsidRPr="00A4260E" w:rsidRDefault="00B56106" w:rsidP="00B56106">
            <w:pPr>
              <w:rPr>
                <w:sz w:val="20"/>
                <w:szCs w:val="20"/>
              </w:rPr>
            </w:pPr>
            <w:r w:rsidRPr="00A4260E">
              <w:rPr>
                <w:sz w:val="20"/>
                <w:szCs w:val="20"/>
              </w:rPr>
              <w:t>BY / PAR</w:t>
            </w:r>
          </w:p>
        </w:tc>
        <w:tc>
          <w:tcPr>
            <w:tcW w:w="2970" w:type="dxa"/>
          </w:tcPr>
          <w:p w:rsidR="00B56106" w:rsidRPr="00A4260E" w:rsidRDefault="00B56106" w:rsidP="00B56106">
            <w:pPr>
              <w:rPr>
                <w:sz w:val="20"/>
                <w:szCs w:val="20"/>
              </w:rPr>
            </w:pPr>
            <w:r w:rsidRPr="00A4260E">
              <w:rPr>
                <w:sz w:val="20"/>
                <w:szCs w:val="20"/>
              </w:rPr>
              <w:t>Attorney General of Canada;</w:t>
            </w: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rPr>
            </w:pPr>
            <w:r w:rsidRPr="00A4260E">
              <w:rPr>
                <w:sz w:val="20"/>
                <w:szCs w:val="20"/>
              </w:rPr>
              <w:t>Attorney General of Alberta;</w:t>
            </w: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rPr>
            </w:pPr>
            <w:r w:rsidRPr="00A4260E">
              <w:rPr>
                <w:sz w:val="20"/>
                <w:szCs w:val="20"/>
              </w:rPr>
              <w:t>Grand Council of the Crees (Eeyou Istchee)/Cree Regional Authority;</w:t>
            </w: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lang w:val="fr-CA"/>
              </w:rPr>
            </w:pPr>
            <w:r w:rsidRPr="00A4260E">
              <w:rPr>
                <w:sz w:val="20"/>
                <w:szCs w:val="20"/>
              </w:rPr>
              <w:t>Ochapowace Indian Band # 71</w:t>
            </w:r>
            <w:r w:rsidRPr="00A4260E">
              <w:rPr>
                <w:sz w:val="20"/>
                <w:szCs w:val="20"/>
                <w:lang w:val="fr-CA"/>
              </w:rPr>
              <w:t>;</w:t>
            </w:r>
          </w:p>
        </w:tc>
        <w:tc>
          <w:tcPr>
            <w:tcW w:w="1170" w:type="dxa"/>
          </w:tcPr>
          <w:p w:rsidR="00B56106" w:rsidRPr="00A4260E" w:rsidRDefault="00B56106" w:rsidP="00B56106">
            <w:pPr>
              <w:rPr>
                <w:sz w:val="20"/>
                <w:szCs w:val="20"/>
                <w:lang w:val="fr-CA"/>
              </w:rPr>
            </w:pPr>
          </w:p>
        </w:tc>
        <w:tc>
          <w:tcPr>
            <w:tcW w:w="4327" w:type="dxa"/>
          </w:tcPr>
          <w:p w:rsidR="00B56106" w:rsidRPr="00A4260E" w:rsidRDefault="00B56106" w:rsidP="00B56106">
            <w:pPr>
              <w:rPr>
                <w:sz w:val="20"/>
                <w:szCs w:val="20"/>
                <w:lang w:val="fr-CA"/>
              </w:rPr>
            </w:pPr>
          </w:p>
        </w:tc>
      </w:tr>
      <w:tr w:rsidR="00B56106" w:rsidRPr="00A4260E" w:rsidTr="00B56106">
        <w:tc>
          <w:tcPr>
            <w:tcW w:w="1368" w:type="dxa"/>
          </w:tcPr>
          <w:p w:rsidR="00B56106" w:rsidRPr="00A4260E" w:rsidRDefault="00B56106" w:rsidP="00B56106">
            <w:pPr>
              <w:rPr>
                <w:sz w:val="20"/>
                <w:szCs w:val="20"/>
                <w:lang w:val="fr-CA"/>
              </w:rPr>
            </w:pPr>
          </w:p>
        </w:tc>
        <w:tc>
          <w:tcPr>
            <w:tcW w:w="2970" w:type="dxa"/>
          </w:tcPr>
          <w:p w:rsidR="00B56106" w:rsidRPr="00A4260E" w:rsidRDefault="00B56106" w:rsidP="00B56106">
            <w:pPr>
              <w:rPr>
                <w:sz w:val="20"/>
                <w:szCs w:val="20"/>
              </w:rPr>
            </w:pPr>
            <w:r w:rsidRPr="00A4260E">
              <w:rPr>
                <w:sz w:val="20"/>
                <w:szCs w:val="20"/>
              </w:rPr>
              <w:t>Chief Sally Sam and Maiyoo Keyoh Society;</w:t>
            </w: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rPr>
            </w:pPr>
            <w:r w:rsidRPr="00A4260E">
              <w:rPr>
                <w:sz w:val="20"/>
                <w:szCs w:val="20"/>
              </w:rPr>
              <w:t>Council of Forest Industries and Alberta Forest Products Association;</w:t>
            </w: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rPr>
            </w:pPr>
            <w:r w:rsidRPr="00A4260E">
              <w:rPr>
                <w:sz w:val="20"/>
                <w:szCs w:val="20"/>
              </w:rPr>
              <w:t>Kelah, on behalf of the Wet'suwet'en House of Ginehklaiyex and Wet'suwet'en Treaty Office Society, on behalf of the Wet'suwet'en Chiefs</w:t>
            </w: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rPr>
            </w:pP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r w:rsidRPr="00A4260E">
              <w:rPr>
                <w:sz w:val="20"/>
                <w:szCs w:val="20"/>
              </w:rPr>
              <w:t>IN / DANS :</w:t>
            </w:r>
          </w:p>
        </w:tc>
        <w:tc>
          <w:tcPr>
            <w:tcW w:w="2970" w:type="dxa"/>
          </w:tcPr>
          <w:p w:rsidR="00B56106" w:rsidRPr="00A4260E" w:rsidRDefault="00B56106" w:rsidP="00B56106">
            <w:pPr>
              <w:rPr>
                <w:sz w:val="20"/>
                <w:szCs w:val="20"/>
              </w:rPr>
            </w:pPr>
            <w:r w:rsidRPr="00A4260E">
              <w:rPr>
                <w:sz w:val="20"/>
                <w:szCs w:val="20"/>
              </w:rPr>
              <w:t>Sally Behn et al.</w:t>
            </w:r>
          </w:p>
          <w:p w:rsidR="00B56106" w:rsidRPr="00A4260E" w:rsidRDefault="00B56106" w:rsidP="00B56106">
            <w:pPr>
              <w:rPr>
                <w:sz w:val="20"/>
                <w:szCs w:val="20"/>
              </w:rPr>
            </w:pP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rPr>
            </w:pPr>
            <w:r w:rsidRPr="00A4260E">
              <w:rPr>
                <w:sz w:val="20"/>
                <w:szCs w:val="20"/>
              </w:rPr>
              <w:tab/>
              <w:t>v. (34404)</w:t>
            </w:r>
          </w:p>
          <w:p w:rsidR="00B56106" w:rsidRPr="00A4260E" w:rsidRDefault="00B56106" w:rsidP="00B56106">
            <w:pPr>
              <w:rPr>
                <w:sz w:val="20"/>
                <w:szCs w:val="20"/>
              </w:rPr>
            </w:pP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jc w:val="both"/>
              <w:rPr>
                <w:sz w:val="20"/>
                <w:szCs w:val="20"/>
              </w:rPr>
            </w:pPr>
            <w:r w:rsidRPr="00A4260E">
              <w:rPr>
                <w:sz w:val="20"/>
                <w:szCs w:val="20"/>
                <w:lang w:val="fr-CA"/>
              </w:rPr>
              <w:t xml:space="preserve">Moulton Contracting Ltd. et al. </w:t>
            </w:r>
            <w:r w:rsidRPr="00A4260E">
              <w:rPr>
                <w:sz w:val="20"/>
                <w:szCs w:val="20"/>
              </w:rPr>
              <w:t>(Ont.)</w:t>
            </w: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bl>
    <w:p w:rsidR="00B56106" w:rsidRPr="00A4260E" w:rsidRDefault="00B56106" w:rsidP="00B56106">
      <w:pPr>
        <w:jc w:val="both"/>
        <w:rPr>
          <w:sz w:val="20"/>
          <w:szCs w:val="20"/>
        </w:rPr>
      </w:pPr>
    </w:p>
    <w:p w:rsidR="00B56106" w:rsidRPr="00A4260E" w:rsidRDefault="00B56106" w:rsidP="00B56106">
      <w:pPr>
        <w:tabs>
          <w:tab w:val="left" w:pos="-1440"/>
          <w:tab w:val="left" w:pos="-720"/>
        </w:tabs>
        <w:jc w:val="both"/>
        <w:rPr>
          <w:b/>
          <w:sz w:val="20"/>
          <w:szCs w:val="20"/>
          <w:lang w:val="fr-CA"/>
        </w:rPr>
      </w:pPr>
      <w:r w:rsidRPr="00A4260E">
        <w:rPr>
          <w:b/>
          <w:sz w:val="20"/>
          <w:szCs w:val="20"/>
          <w:lang w:val="fr-CA"/>
        </w:rPr>
        <w:t>ALLOWED IN PART / ACCORDÉE EN PARTIE</w:t>
      </w:r>
    </w:p>
    <w:p w:rsidR="00B56106" w:rsidRPr="00A4260E" w:rsidRDefault="00B56106" w:rsidP="00B56106">
      <w:pPr>
        <w:tabs>
          <w:tab w:val="left" w:pos="-1440"/>
          <w:tab w:val="left" w:pos="-720"/>
        </w:tabs>
        <w:jc w:val="both"/>
        <w:rPr>
          <w:sz w:val="20"/>
          <w:szCs w:val="20"/>
        </w:rPr>
      </w:pPr>
    </w:p>
    <w:p w:rsidR="00B56106" w:rsidRPr="00A4260E" w:rsidRDefault="00B56106" w:rsidP="00B56106">
      <w:pPr>
        <w:spacing w:line="233" w:lineRule="auto"/>
        <w:jc w:val="both"/>
        <w:rPr>
          <w:sz w:val="20"/>
          <w:szCs w:val="20"/>
        </w:rPr>
      </w:pPr>
      <w:r w:rsidRPr="00A4260E">
        <w:rPr>
          <w:b/>
          <w:sz w:val="20"/>
          <w:szCs w:val="20"/>
        </w:rPr>
        <w:t xml:space="preserve">UPON APPLICATIONS </w:t>
      </w:r>
      <w:r w:rsidRPr="00A4260E">
        <w:rPr>
          <w:sz w:val="20"/>
          <w:szCs w:val="20"/>
        </w:rPr>
        <w:t>by the Attorney General of Canada, the Attorney General of Alberta, the Grand Council of the Crees (Eeyou Istchee)/Cree Regional Authority, the Ochapowace Indian Band # 71, the Chief Sally Sam and Maiyoo Keyoh Society, the Council of Forest Industries and Alberta Forest Products Association and Kelah, on behalf of the Wet'suwet'en House of Ginehklaiyex and Wet'suwet'en Treaty Office Society, on behalf of the Wet'suwet'en Chiefs for leave to intervene in the above appeal;</w:t>
      </w:r>
    </w:p>
    <w:p w:rsidR="00B56106" w:rsidRPr="00A4260E" w:rsidRDefault="00B56106" w:rsidP="00B56106">
      <w:pPr>
        <w:spacing w:line="233" w:lineRule="auto"/>
        <w:jc w:val="both"/>
        <w:rPr>
          <w:sz w:val="20"/>
          <w:szCs w:val="20"/>
        </w:rPr>
      </w:pPr>
    </w:p>
    <w:p w:rsidR="00B56106" w:rsidRPr="00A4260E" w:rsidRDefault="00B56106" w:rsidP="00B56106">
      <w:pPr>
        <w:spacing w:line="233" w:lineRule="auto"/>
        <w:jc w:val="both"/>
        <w:rPr>
          <w:sz w:val="20"/>
          <w:szCs w:val="20"/>
        </w:rPr>
      </w:pPr>
      <w:r w:rsidRPr="00A4260E">
        <w:rPr>
          <w:b/>
          <w:bCs/>
          <w:sz w:val="20"/>
          <w:szCs w:val="20"/>
        </w:rPr>
        <w:t>AND THE MATERIAL FILED</w:t>
      </w:r>
      <w:r w:rsidRPr="00A4260E">
        <w:rPr>
          <w:sz w:val="20"/>
          <w:szCs w:val="20"/>
        </w:rPr>
        <w:t xml:space="preserve"> having been read;</w:t>
      </w:r>
    </w:p>
    <w:p w:rsidR="00B56106" w:rsidRPr="00A4260E" w:rsidRDefault="00B56106" w:rsidP="00B56106">
      <w:pPr>
        <w:spacing w:line="233" w:lineRule="auto"/>
        <w:jc w:val="center"/>
        <w:rPr>
          <w:sz w:val="20"/>
          <w:szCs w:val="20"/>
        </w:rPr>
      </w:pPr>
    </w:p>
    <w:p w:rsidR="00B56106" w:rsidRPr="00A4260E" w:rsidRDefault="00B56106" w:rsidP="00B56106">
      <w:pPr>
        <w:spacing w:line="233" w:lineRule="auto"/>
        <w:jc w:val="both"/>
        <w:rPr>
          <w:sz w:val="20"/>
          <w:szCs w:val="20"/>
        </w:rPr>
      </w:pPr>
      <w:r w:rsidRPr="00A4260E">
        <w:rPr>
          <w:b/>
          <w:bCs/>
          <w:sz w:val="20"/>
          <w:szCs w:val="20"/>
        </w:rPr>
        <w:t>IT IS HEREBY ORDERED THAT:</w:t>
      </w:r>
    </w:p>
    <w:p w:rsidR="00B56106" w:rsidRPr="00A4260E" w:rsidRDefault="00B56106" w:rsidP="00B56106">
      <w:pPr>
        <w:spacing w:line="233" w:lineRule="auto"/>
        <w:jc w:val="both"/>
        <w:rPr>
          <w:sz w:val="20"/>
          <w:szCs w:val="20"/>
        </w:rPr>
      </w:pPr>
    </w:p>
    <w:p w:rsidR="00B56106" w:rsidRPr="00A4260E" w:rsidRDefault="00B56106" w:rsidP="00B56106">
      <w:pPr>
        <w:spacing w:line="233" w:lineRule="auto"/>
        <w:jc w:val="both"/>
        <w:rPr>
          <w:sz w:val="20"/>
          <w:szCs w:val="20"/>
        </w:rPr>
      </w:pPr>
      <w:r w:rsidRPr="00A4260E">
        <w:rPr>
          <w:sz w:val="20"/>
          <w:szCs w:val="20"/>
        </w:rPr>
        <w:t>The motions for leave to intervene of the Attorney General of Canada, the Grand Council of the Crees (Eeyou Istchee)/Cree Regional Authority, the Chief Sally Sam and Maiyoo Keyoh Society and the Council of Forest Industries and Alberta Forest Products Association are granted and the said four groups of interveners shall be entitled to each serve and file a factum not to exceed 10 pages in length on or before October 16, 2012.</w:t>
      </w:r>
    </w:p>
    <w:p w:rsidR="00B56106" w:rsidRPr="00A4260E" w:rsidRDefault="00B56106" w:rsidP="00B56106">
      <w:pPr>
        <w:spacing w:line="233" w:lineRule="auto"/>
        <w:jc w:val="both"/>
        <w:rPr>
          <w:sz w:val="20"/>
          <w:szCs w:val="20"/>
        </w:rPr>
      </w:pPr>
    </w:p>
    <w:p w:rsidR="00B56106" w:rsidRPr="00A4260E" w:rsidRDefault="00B56106" w:rsidP="00B56106">
      <w:pPr>
        <w:spacing w:line="233" w:lineRule="auto"/>
        <w:jc w:val="both"/>
        <w:rPr>
          <w:sz w:val="20"/>
          <w:szCs w:val="20"/>
        </w:rPr>
      </w:pPr>
      <w:r w:rsidRPr="00A4260E">
        <w:rPr>
          <w:sz w:val="20"/>
          <w:szCs w:val="20"/>
        </w:rPr>
        <w:t>The requests to present oral argument are deferred to a date following receipt and consideration of the written arguments of the parties and the interveners.</w:t>
      </w:r>
    </w:p>
    <w:p w:rsidR="00B56106" w:rsidRPr="00A4260E" w:rsidRDefault="00B56106" w:rsidP="00B56106">
      <w:pPr>
        <w:spacing w:line="230" w:lineRule="auto"/>
        <w:rPr>
          <w:sz w:val="20"/>
          <w:szCs w:val="20"/>
        </w:rPr>
      </w:pPr>
    </w:p>
    <w:p w:rsidR="00B56106" w:rsidRPr="00A4260E" w:rsidRDefault="007333FF" w:rsidP="00B56106">
      <w:pPr>
        <w:jc w:val="both"/>
        <w:rPr>
          <w:bCs/>
          <w:sz w:val="20"/>
          <w:szCs w:val="20"/>
        </w:rPr>
      </w:pPr>
      <w:r w:rsidRPr="00A4260E">
        <w:rPr>
          <w:sz w:val="20"/>
          <w:szCs w:val="20"/>
        </w:rPr>
        <w:lastRenderedPageBreak/>
        <w:fldChar w:fldCharType="begin"/>
      </w:r>
      <w:r w:rsidR="00B56106" w:rsidRPr="00A4260E">
        <w:rPr>
          <w:sz w:val="20"/>
          <w:szCs w:val="20"/>
        </w:rPr>
        <w:instrText xml:space="preserve"> SEQ CHAPTER \h \r 1</w:instrText>
      </w:r>
      <w:r w:rsidRPr="00A4260E">
        <w:rPr>
          <w:sz w:val="20"/>
          <w:szCs w:val="20"/>
        </w:rPr>
        <w:fldChar w:fldCharType="end"/>
      </w:r>
      <w:r w:rsidR="00B56106" w:rsidRPr="00A4260E">
        <w:rPr>
          <w:bCs/>
          <w:sz w:val="20"/>
          <w:szCs w:val="20"/>
        </w:rPr>
        <w:t>The interveners are not entitled to raise new issues or to adduce further evidence or otherwise to supplement the record of the parties.</w:t>
      </w:r>
    </w:p>
    <w:p w:rsidR="00B56106" w:rsidRPr="00A4260E" w:rsidRDefault="00B56106" w:rsidP="00B56106">
      <w:pPr>
        <w:spacing w:line="233" w:lineRule="auto"/>
        <w:jc w:val="both"/>
        <w:rPr>
          <w:sz w:val="20"/>
          <w:szCs w:val="20"/>
        </w:rPr>
      </w:pPr>
    </w:p>
    <w:p w:rsidR="00B56106" w:rsidRPr="00A4260E" w:rsidRDefault="00B56106" w:rsidP="00B56106">
      <w:pPr>
        <w:spacing w:line="233" w:lineRule="auto"/>
        <w:jc w:val="both"/>
        <w:rPr>
          <w:sz w:val="20"/>
          <w:szCs w:val="20"/>
        </w:rPr>
      </w:pPr>
      <w:r w:rsidRPr="00A4260E">
        <w:rPr>
          <w:sz w:val="20"/>
          <w:szCs w:val="20"/>
        </w:rPr>
        <w:t>Pursuant to Rule 59(1)(</w:t>
      </w:r>
      <w:r w:rsidRPr="00A4260E">
        <w:rPr>
          <w:i/>
          <w:iCs/>
          <w:sz w:val="20"/>
          <w:szCs w:val="20"/>
        </w:rPr>
        <w:t>a</w:t>
      </w:r>
      <w:r w:rsidRPr="00A4260E">
        <w:rPr>
          <w:sz w:val="20"/>
          <w:szCs w:val="20"/>
        </w:rPr>
        <w:t xml:space="preserve">) of the </w:t>
      </w:r>
      <w:r w:rsidRPr="00A4260E">
        <w:rPr>
          <w:i/>
          <w:iCs/>
          <w:sz w:val="20"/>
          <w:szCs w:val="20"/>
        </w:rPr>
        <w:t>Rules of the Supreme Court of Canada</w:t>
      </w:r>
      <w:r w:rsidRPr="00A4260E">
        <w:rPr>
          <w:sz w:val="20"/>
          <w:szCs w:val="20"/>
        </w:rPr>
        <w:t>, the interveners shall pay to the appellants and respondents any additional disbursements occasioned to the appellants and respondents by their interventions.</w:t>
      </w:r>
    </w:p>
    <w:p w:rsidR="00B56106" w:rsidRPr="00A4260E" w:rsidRDefault="00B56106" w:rsidP="00B56106">
      <w:pPr>
        <w:spacing w:line="233" w:lineRule="auto"/>
        <w:rPr>
          <w:sz w:val="20"/>
          <w:szCs w:val="20"/>
        </w:rPr>
      </w:pPr>
    </w:p>
    <w:p w:rsidR="00B56106" w:rsidRPr="00A4260E" w:rsidRDefault="00B56106" w:rsidP="00B56106">
      <w:pPr>
        <w:spacing w:line="233" w:lineRule="auto"/>
        <w:jc w:val="both"/>
        <w:rPr>
          <w:sz w:val="20"/>
          <w:szCs w:val="20"/>
        </w:rPr>
      </w:pPr>
      <w:r w:rsidRPr="00A4260E">
        <w:rPr>
          <w:b/>
          <w:bCs/>
          <w:sz w:val="20"/>
          <w:szCs w:val="20"/>
        </w:rPr>
        <w:t>IT IS HEREBY FURTHER ORDERED THAT:</w:t>
      </w:r>
    </w:p>
    <w:p w:rsidR="00B56106" w:rsidRPr="00A4260E" w:rsidRDefault="00B56106" w:rsidP="00B56106">
      <w:pPr>
        <w:spacing w:line="233" w:lineRule="auto"/>
        <w:rPr>
          <w:sz w:val="20"/>
          <w:szCs w:val="20"/>
        </w:rPr>
      </w:pPr>
    </w:p>
    <w:p w:rsidR="00B56106" w:rsidRPr="00A4260E" w:rsidRDefault="00B56106" w:rsidP="00B56106">
      <w:pPr>
        <w:spacing w:line="233" w:lineRule="auto"/>
        <w:rPr>
          <w:sz w:val="20"/>
          <w:szCs w:val="20"/>
        </w:rPr>
      </w:pPr>
      <w:r w:rsidRPr="00A4260E">
        <w:rPr>
          <w:sz w:val="20"/>
          <w:szCs w:val="20"/>
        </w:rPr>
        <w:t>The motions for leave to intervene of the Attorney General of Alberta, the Ochapowace Indian Band # 71 and Kelah, on behalf of the Wet'suwet'en House of Ginehklaiyex and Wet'suwet'en Treaty Office Society, on behalf of the Wet'suwet'en Chiefs are dismissed.</w:t>
      </w:r>
    </w:p>
    <w:p w:rsidR="00B56106" w:rsidRDefault="00B56106" w:rsidP="00B56106">
      <w:pPr>
        <w:tabs>
          <w:tab w:val="left" w:pos="-1440"/>
          <w:tab w:val="left" w:pos="-720"/>
        </w:tabs>
        <w:jc w:val="both"/>
        <w:rPr>
          <w:sz w:val="20"/>
          <w:szCs w:val="20"/>
        </w:rPr>
      </w:pPr>
    </w:p>
    <w:p w:rsidR="00B56106"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spacing w:line="233" w:lineRule="auto"/>
        <w:jc w:val="both"/>
        <w:rPr>
          <w:sz w:val="20"/>
          <w:szCs w:val="20"/>
          <w:lang w:val="fr-FR"/>
        </w:rPr>
      </w:pPr>
      <w:r w:rsidRPr="00A4260E">
        <w:rPr>
          <w:b/>
          <w:sz w:val="20"/>
          <w:szCs w:val="20"/>
          <w:lang w:val="fr-FR"/>
        </w:rPr>
        <w:t xml:space="preserve">À LA SUITE DES DEMANDES </w:t>
      </w:r>
      <w:r w:rsidRPr="00A4260E">
        <w:rPr>
          <w:sz w:val="20"/>
          <w:szCs w:val="20"/>
          <w:lang w:val="fr-FR"/>
        </w:rPr>
        <w:t>présentées par le procureur général du Canada, par le procureur général de l’Alberta, par le Grand Conseil des Cris (Eeyou Istchee)/Administration régionale crie, par la Bande indienne Ochapowace 71, par le chef Sally Sam et la Maiyoo Keyoh Society, par le Council of Forest Industries et l’Alberta Forest Products Association et par Kelah, au nom de la maison Wet'suwet'en de Ginehklaiyex et la Wet'suwet'en Treaty Office Society, au nom des chefs Wet'suwet'en en vue d’intervenir dans l’appel;</w:t>
      </w:r>
    </w:p>
    <w:p w:rsidR="00B56106" w:rsidRPr="00A4260E" w:rsidRDefault="00B56106" w:rsidP="00B56106">
      <w:pPr>
        <w:spacing w:line="233" w:lineRule="auto"/>
        <w:jc w:val="both"/>
        <w:rPr>
          <w:sz w:val="20"/>
          <w:szCs w:val="20"/>
          <w:lang w:val="fr-FR"/>
        </w:rPr>
      </w:pPr>
    </w:p>
    <w:p w:rsidR="00B56106" w:rsidRPr="00A4260E" w:rsidRDefault="00B56106" w:rsidP="00B56106">
      <w:pPr>
        <w:spacing w:line="233" w:lineRule="auto"/>
        <w:jc w:val="both"/>
        <w:rPr>
          <w:sz w:val="20"/>
          <w:szCs w:val="20"/>
          <w:lang w:val="fr-FR"/>
        </w:rPr>
      </w:pPr>
      <w:r w:rsidRPr="00A4260E">
        <w:rPr>
          <w:b/>
          <w:bCs/>
          <w:sz w:val="20"/>
          <w:szCs w:val="20"/>
          <w:lang w:val="fr-FR"/>
        </w:rPr>
        <w:t xml:space="preserve">ET APRÈS EXAMEN </w:t>
      </w:r>
      <w:r w:rsidRPr="00A4260E">
        <w:rPr>
          <w:bCs/>
          <w:sz w:val="20"/>
          <w:szCs w:val="20"/>
          <w:lang w:val="fr-FR"/>
        </w:rPr>
        <w:t>des documents déposés,</w:t>
      </w:r>
    </w:p>
    <w:p w:rsidR="00B56106" w:rsidRDefault="00B56106" w:rsidP="00B56106">
      <w:pPr>
        <w:rPr>
          <w:b/>
          <w:bCs/>
          <w:sz w:val="20"/>
          <w:szCs w:val="20"/>
          <w:lang w:val="fr-FR"/>
        </w:rPr>
      </w:pPr>
    </w:p>
    <w:p w:rsidR="00B56106" w:rsidRPr="00A4260E" w:rsidRDefault="00B56106" w:rsidP="00B56106">
      <w:pPr>
        <w:spacing w:line="233" w:lineRule="auto"/>
        <w:jc w:val="both"/>
        <w:rPr>
          <w:sz w:val="20"/>
          <w:szCs w:val="20"/>
          <w:lang w:val="fr-FR"/>
        </w:rPr>
      </w:pPr>
      <w:r w:rsidRPr="00A4260E">
        <w:rPr>
          <w:b/>
          <w:bCs/>
          <w:sz w:val="20"/>
          <w:szCs w:val="20"/>
          <w:lang w:val="fr-FR"/>
        </w:rPr>
        <w:t>IL EST ORDONNÉ QUE :</w:t>
      </w:r>
    </w:p>
    <w:p w:rsidR="00B56106" w:rsidRPr="00A4260E" w:rsidRDefault="00B56106" w:rsidP="00B56106">
      <w:pPr>
        <w:spacing w:line="233" w:lineRule="auto"/>
        <w:jc w:val="both"/>
        <w:rPr>
          <w:sz w:val="20"/>
          <w:szCs w:val="20"/>
          <w:lang w:val="fr-FR"/>
        </w:rPr>
      </w:pPr>
    </w:p>
    <w:p w:rsidR="00B56106" w:rsidRPr="00A4260E" w:rsidRDefault="00B56106" w:rsidP="00B56106">
      <w:pPr>
        <w:spacing w:line="233" w:lineRule="auto"/>
        <w:jc w:val="both"/>
        <w:rPr>
          <w:sz w:val="20"/>
          <w:szCs w:val="20"/>
          <w:lang w:val="fr-FR"/>
        </w:rPr>
      </w:pPr>
      <w:r w:rsidRPr="00A4260E">
        <w:rPr>
          <w:sz w:val="20"/>
          <w:szCs w:val="20"/>
          <w:lang w:val="fr-FR"/>
        </w:rPr>
        <w:t xml:space="preserve">Les requêtes en autorisation d’intervenir présentées par le procureur général du Canada, par le Grand Conseil des Cris (Eeyou Istchee)/Administration régionale crie, par le chef Sally Sam et la Maiyoo Keyoh Society et par le Council of Forest Industries et l’Alberta Forest Products Association sont accueillies et chacun de ces quatre intervenants ou groupes d’intervenants pourra signifier et déposer un mémoire d’au plus 10 pages au plus tard le 16 octobre 2012.  </w:t>
      </w:r>
    </w:p>
    <w:p w:rsidR="00B56106" w:rsidRPr="00A4260E" w:rsidRDefault="00B56106" w:rsidP="00B56106">
      <w:pPr>
        <w:spacing w:line="233" w:lineRule="auto"/>
        <w:jc w:val="both"/>
        <w:rPr>
          <w:sz w:val="20"/>
          <w:szCs w:val="20"/>
          <w:lang w:val="fr-FR"/>
        </w:rPr>
      </w:pPr>
    </w:p>
    <w:p w:rsidR="00B56106" w:rsidRPr="00A4260E" w:rsidRDefault="00B56106" w:rsidP="00B56106">
      <w:pPr>
        <w:spacing w:line="233" w:lineRule="auto"/>
        <w:jc w:val="both"/>
        <w:rPr>
          <w:sz w:val="20"/>
          <w:szCs w:val="20"/>
          <w:lang w:val="fr-FR"/>
        </w:rPr>
      </w:pPr>
      <w:r w:rsidRPr="00A4260E">
        <w:rPr>
          <w:sz w:val="20"/>
          <w:szCs w:val="20"/>
          <w:lang w:val="fr-FR"/>
        </w:rPr>
        <w:t>La décision sur les demandes en vue de présenter une plaidoirie orale sera rendue après réception et examen des arguments écrits des parties et des intervenants.</w:t>
      </w:r>
    </w:p>
    <w:p w:rsidR="00B56106" w:rsidRPr="00A4260E" w:rsidRDefault="00B56106" w:rsidP="00B56106">
      <w:pPr>
        <w:spacing w:line="233" w:lineRule="auto"/>
        <w:jc w:val="both"/>
        <w:rPr>
          <w:sz w:val="20"/>
          <w:szCs w:val="20"/>
          <w:lang w:val="fr-FR"/>
        </w:rPr>
      </w:pPr>
    </w:p>
    <w:p w:rsidR="00B56106" w:rsidRPr="00A4260E" w:rsidRDefault="00B56106" w:rsidP="00B56106">
      <w:pPr>
        <w:spacing w:line="233" w:lineRule="auto"/>
        <w:jc w:val="both"/>
        <w:rPr>
          <w:sz w:val="20"/>
          <w:szCs w:val="20"/>
          <w:lang w:val="fr-FR"/>
        </w:rPr>
      </w:pPr>
      <w:r w:rsidRPr="00A4260E">
        <w:rPr>
          <w:sz w:val="20"/>
          <w:szCs w:val="20"/>
          <w:lang w:val="fr-FR"/>
        </w:rPr>
        <w:t>Les intervenants n’ont pas le droit de soulever de nouvelles questions, de produire d’autres éléments de preuve ni de compléter de quelque autre façon le dossier des parties.</w:t>
      </w:r>
    </w:p>
    <w:p w:rsidR="00B56106" w:rsidRPr="00A4260E" w:rsidRDefault="00B56106" w:rsidP="00B56106">
      <w:pPr>
        <w:spacing w:line="233" w:lineRule="auto"/>
        <w:jc w:val="both"/>
        <w:rPr>
          <w:sz w:val="20"/>
          <w:szCs w:val="20"/>
          <w:lang w:val="fr-FR"/>
        </w:rPr>
      </w:pPr>
    </w:p>
    <w:p w:rsidR="00B56106" w:rsidRPr="00A4260E" w:rsidRDefault="00B56106" w:rsidP="00B56106">
      <w:pPr>
        <w:spacing w:line="233" w:lineRule="auto"/>
        <w:jc w:val="both"/>
        <w:rPr>
          <w:sz w:val="20"/>
          <w:szCs w:val="20"/>
          <w:lang w:val="fr-FR"/>
        </w:rPr>
      </w:pPr>
      <w:r w:rsidRPr="00A4260E">
        <w:rPr>
          <w:sz w:val="20"/>
          <w:szCs w:val="20"/>
          <w:lang w:val="fr-FR"/>
        </w:rPr>
        <w:t>Conformément à l’alinéa 59(1)</w:t>
      </w:r>
      <w:r w:rsidRPr="00A4260E">
        <w:rPr>
          <w:i/>
          <w:sz w:val="20"/>
          <w:szCs w:val="20"/>
          <w:lang w:val="fr-FR"/>
        </w:rPr>
        <w:t>a</w:t>
      </w:r>
      <w:r w:rsidRPr="00A4260E">
        <w:rPr>
          <w:sz w:val="20"/>
          <w:szCs w:val="20"/>
          <w:lang w:val="fr-FR"/>
        </w:rPr>
        <w:t xml:space="preserve">) des </w:t>
      </w:r>
      <w:r w:rsidRPr="00A4260E">
        <w:rPr>
          <w:i/>
          <w:sz w:val="20"/>
          <w:szCs w:val="20"/>
          <w:lang w:val="fr-FR"/>
        </w:rPr>
        <w:t>Règles de la Cour suprême du Canada</w:t>
      </w:r>
      <w:r w:rsidRPr="00A4260E">
        <w:rPr>
          <w:sz w:val="20"/>
          <w:szCs w:val="20"/>
          <w:lang w:val="fr-FR"/>
        </w:rPr>
        <w:t>, les intervenants paieront aux appelants et aux intimés tous débours supplémentaires résultant de leur intervention.</w:t>
      </w:r>
    </w:p>
    <w:p w:rsidR="00B56106" w:rsidRPr="00A4260E" w:rsidRDefault="00B56106" w:rsidP="00B56106">
      <w:pPr>
        <w:spacing w:line="233" w:lineRule="auto"/>
        <w:jc w:val="both"/>
        <w:rPr>
          <w:sz w:val="20"/>
          <w:szCs w:val="20"/>
          <w:lang w:val="fr-FR"/>
        </w:rPr>
      </w:pPr>
    </w:p>
    <w:p w:rsidR="00B56106" w:rsidRPr="00A4260E" w:rsidRDefault="00B56106" w:rsidP="00B56106">
      <w:pPr>
        <w:spacing w:line="233" w:lineRule="auto"/>
        <w:jc w:val="both"/>
        <w:rPr>
          <w:sz w:val="20"/>
          <w:szCs w:val="20"/>
          <w:lang w:val="fr-FR"/>
        </w:rPr>
      </w:pPr>
      <w:r w:rsidRPr="00A4260E">
        <w:rPr>
          <w:b/>
          <w:bCs/>
          <w:sz w:val="20"/>
          <w:szCs w:val="20"/>
          <w:lang w:val="fr-FR"/>
        </w:rPr>
        <w:t>IL EST EN OUTRE ORDONNÉ CE QUI SUIT :</w:t>
      </w:r>
    </w:p>
    <w:p w:rsidR="00B56106" w:rsidRPr="00A4260E" w:rsidRDefault="00B56106" w:rsidP="00B56106">
      <w:pPr>
        <w:spacing w:line="233" w:lineRule="auto"/>
        <w:jc w:val="both"/>
        <w:rPr>
          <w:sz w:val="20"/>
          <w:szCs w:val="20"/>
          <w:lang w:val="fr-FR"/>
        </w:rPr>
      </w:pPr>
    </w:p>
    <w:p w:rsidR="00B56106" w:rsidRPr="00A4260E" w:rsidRDefault="00B56106" w:rsidP="00B56106">
      <w:pPr>
        <w:spacing w:line="233" w:lineRule="auto"/>
        <w:jc w:val="both"/>
        <w:rPr>
          <w:sz w:val="20"/>
          <w:szCs w:val="20"/>
          <w:lang w:val="fr-FR"/>
        </w:rPr>
      </w:pPr>
      <w:r w:rsidRPr="00A4260E">
        <w:rPr>
          <w:sz w:val="20"/>
          <w:szCs w:val="20"/>
          <w:lang w:val="fr-FR"/>
        </w:rPr>
        <w:t>Les requêtes en autorisation d’intervenir présentées par le procureur général de l’Alberta, par la bande indienne Ochapowace 71 et par Kelah, au nom de la maison Wet'suwet'en de Ginehklaiyex et la Wet'suwet'en Treaty Office Society, au nom des chefs Wet'suwet'en sont rejetées.</w:t>
      </w:r>
    </w:p>
    <w:p w:rsidR="00B56106" w:rsidRPr="00A4260E" w:rsidRDefault="00B56106" w:rsidP="00B56106">
      <w:pPr>
        <w:tabs>
          <w:tab w:val="left" w:pos="-1440"/>
          <w:tab w:val="left" w:pos="-720"/>
        </w:tabs>
        <w:jc w:val="both"/>
        <w:rPr>
          <w:sz w:val="20"/>
          <w:szCs w:val="20"/>
          <w:lang w:val="fr-FR"/>
        </w:rPr>
      </w:pPr>
    </w:p>
    <w:p w:rsidR="00B56106" w:rsidRPr="00A4260E" w:rsidRDefault="00B56106" w:rsidP="00B56106">
      <w:pPr>
        <w:tabs>
          <w:tab w:val="left" w:pos="-1440"/>
          <w:tab w:val="left" w:pos="-720"/>
        </w:tabs>
        <w:spacing w:line="-19" w:lineRule="auto"/>
        <w:jc w:val="both"/>
        <w:rPr>
          <w:sz w:val="20"/>
          <w:szCs w:val="20"/>
          <w:lang w:val="fr-CA"/>
        </w:rPr>
      </w:pPr>
    </w:p>
    <w:p w:rsidR="00B56106" w:rsidRPr="00A4260E" w:rsidRDefault="007333FF" w:rsidP="00B56106">
      <w:pPr>
        <w:tabs>
          <w:tab w:val="left" w:pos="-1440"/>
          <w:tab w:val="left" w:pos="-720"/>
        </w:tabs>
        <w:jc w:val="both"/>
        <w:rPr>
          <w:sz w:val="20"/>
          <w:szCs w:val="20"/>
        </w:rPr>
      </w:pPr>
      <w:r w:rsidRPr="007333FF">
        <w:rPr>
          <w:sz w:val="20"/>
          <w:szCs w:val="20"/>
          <w:lang w:val="fr-CA"/>
        </w:rPr>
        <w:pict>
          <v:rect id="_x0000_i1134" style="width:2in;height:1pt" o:hrpct="0" o:hralign="center" o:hrstd="t" o:hrnoshade="t" o:hr="t" fillcolor="black [3213]" stroked="f"/>
        </w:pict>
      </w:r>
    </w:p>
    <w:p w:rsidR="00B56106" w:rsidRPr="00A4260E" w:rsidRDefault="00B56106" w:rsidP="00B56106">
      <w:pPr>
        <w:rPr>
          <w:sz w:val="20"/>
          <w:szCs w:val="20"/>
        </w:rPr>
      </w:pPr>
    </w:p>
    <w:p w:rsidR="00B56106" w:rsidRDefault="00B56106">
      <w:pPr>
        <w:rPr>
          <w:sz w:val="20"/>
          <w:szCs w:val="20"/>
          <w:lang w:val="fr-CA"/>
        </w:rPr>
      </w:pPr>
      <w:r>
        <w:rPr>
          <w:sz w:val="20"/>
          <w:szCs w:val="20"/>
          <w:lang w:val="fr-CA"/>
        </w:rPr>
        <w:br w:type="page"/>
      </w:r>
    </w:p>
    <w:p w:rsidR="00B56106" w:rsidRPr="00A4260E" w:rsidRDefault="00B56106" w:rsidP="00B56106">
      <w:pPr>
        <w:tabs>
          <w:tab w:val="left" w:pos="-1440"/>
          <w:tab w:val="left" w:pos="-720"/>
        </w:tabs>
        <w:jc w:val="both"/>
        <w:rPr>
          <w:sz w:val="20"/>
          <w:szCs w:val="20"/>
          <w:lang w:val="fr-CA"/>
        </w:rPr>
      </w:pPr>
      <w:r w:rsidRPr="00A4260E">
        <w:rPr>
          <w:sz w:val="20"/>
          <w:szCs w:val="20"/>
          <w:lang w:val="fr-CA"/>
        </w:rPr>
        <w:lastRenderedPageBreak/>
        <w:t>21.08.2012</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Before / Devant :   ROTHSTEIN J. / LE JUGE ROTHSTEIN</w:t>
      </w:r>
    </w:p>
    <w:p w:rsidR="00B56106" w:rsidRPr="00A4260E" w:rsidRDefault="00B56106" w:rsidP="00B5610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56106" w:rsidRPr="00C832DD" w:rsidTr="00B56106">
        <w:tc>
          <w:tcPr>
            <w:tcW w:w="4338" w:type="dxa"/>
          </w:tcPr>
          <w:p w:rsidR="00B56106" w:rsidRPr="00A4260E" w:rsidRDefault="007333FF" w:rsidP="00B56106">
            <w:pPr>
              <w:tabs>
                <w:tab w:val="left" w:pos="-1440"/>
                <w:tab w:val="left" w:pos="-720"/>
              </w:tabs>
              <w:jc w:val="both"/>
              <w:rPr>
                <w:b/>
                <w:sz w:val="20"/>
                <w:szCs w:val="20"/>
              </w:rPr>
            </w:pP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r w:rsidR="00B56106" w:rsidRPr="00A4260E">
              <w:rPr>
                <w:b/>
                <w:bCs/>
                <w:sz w:val="20"/>
                <w:szCs w:val="20"/>
              </w:rPr>
              <w:t>Motion to substitute parties</w:t>
            </w: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p>
        </w:tc>
        <w:tc>
          <w:tcPr>
            <w:tcW w:w="1170" w:type="dxa"/>
          </w:tcPr>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tc>
        <w:tc>
          <w:tcPr>
            <w:tcW w:w="4327" w:type="dxa"/>
          </w:tcPr>
          <w:p w:rsidR="00B56106" w:rsidRPr="00A4260E" w:rsidRDefault="007333FF" w:rsidP="00B56106">
            <w:pPr>
              <w:tabs>
                <w:tab w:val="left" w:pos="-1440"/>
                <w:tab w:val="left" w:pos="-720"/>
              </w:tabs>
              <w:jc w:val="both"/>
              <w:rPr>
                <w:b/>
                <w:sz w:val="20"/>
                <w:szCs w:val="20"/>
                <w:lang w:val="fr-CA"/>
              </w:rPr>
            </w:pPr>
            <w:r w:rsidRPr="00A4260E">
              <w:rPr>
                <w:sz w:val="20"/>
                <w:szCs w:val="20"/>
              </w:rPr>
              <w:fldChar w:fldCharType="begin"/>
            </w:r>
            <w:r w:rsidR="00B56106" w:rsidRPr="00A4260E">
              <w:rPr>
                <w:sz w:val="20"/>
                <w:szCs w:val="20"/>
                <w:lang w:val="fr-CA"/>
              </w:rPr>
              <w:instrText xml:space="preserve"> SEQ CHAPTER \h \r 1</w:instrText>
            </w:r>
            <w:r w:rsidRPr="00A4260E">
              <w:rPr>
                <w:sz w:val="20"/>
                <w:szCs w:val="20"/>
              </w:rPr>
              <w:fldChar w:fldCharType="end"/>
            </w:r>
            <w:r w:rsidR="00B56106" w:rsidRPr="00A4260E">
              <w:rPr>
                <w:b/>
                <w:bCs/>
                <w:sz w:val="20"/>
                <w:szCs w:val="20"/>
                <w:lang w:val="fr-CA"/>
              </w:rPr>
              <w:t>Requête en substitution de parties</w:t>
            </w:r>
            <w:r w:rsidRPr="00A4260E">
              <w:rPr>
                <w:b/>
                <w:sz w:val="20"/>
                <w:szCs w:val="20"/>
              </w:rPr>
              <w:fldChar w:fldCharType="begin"/>
            </w:r>
            <w:r w:rsidR="00B56106" w:rsidRPr="00A4260E">
              <w:rPr>
                <w:b/>
                <w:sz w:val="20"/>
                <w:szCs w:val="20"/>
                <w:lang w:val="fr-CA"/>
              </w:rPr>
              <w:instrText xml:space="preserve"> SEQ CHAPTER \h \r 1</w:instrText>
            </w:r>
            <w:r w:rsidRPr="00A4260E">
              <w:rPr>
                <w:b/>
                <w:sz w:val="20"/>
                <w:szCs w:val="20"/>
              </w:rPr>
              <w:fldChar w:fldCharType="end"/>
            </w:r>
            <w:r w:rsidRPr="00A4260E">
              <w:rPr>
                <w:b/>
                <w:sz w:val="20"/>
                <w:szCs w:val="20"/>
              </w:rPr>
              <w:fldChar w:fldCharType="begin"/>
            </w:r>
            <w:r w:rsidR="00B56106" w:rsidRPr="00A4260E">
              <w:rPr>
                <w:b/>
                <w:sz w:val="20"/>
                <w:szCs w:val="20"/>
                <w:lang w:val="fr-CA"/>
              </w:rPr>
              <w:instrText xml:space="preserve"> SEQ CHAPTER \h \r 1</w:instrText>
            </w:r>
            <w:r w:rsidRPr="00A4260E">
              <w:rPr>
                <w:b/>
                <w:sz w:val="20"/>
                <w:szCs w:val="20"/>
              </w:rPr>
              <w:fldChar w:fldCharType="end"/>
            </w:r>
            <w:r w:rsidRPr="00A4260E">
              <w:rPr>
                <w:b/>
                <w:sz w:val="20"/>
                <w:szCs w:val="20"/>
              </w:rPr>
              <w:fldChar w:fldCharType="begin"/>
            </w:r>
            <w:r w:rsidR="00B56106" w:rsidRPr="00A4260E">
              <w:rPr>
                <w:b/>
                <w:sz w:val="20"/>
                <w:szCs w:val="20"/>
                <w:lang w:val="fr-CA"/>
              </w:rPr>
              <w:instrText xml:space="preserve"> SEQ CHAPTER \h \r 1</w:instrText>
            </w:r>
            <w:r w:rsidRPr="00A4260E">
              <w:rPr>
                <w:b/>
                <w:sz w:val="20"/>
                <w:szCs w:val="20"/>
              </w:rPr>
              <w:fldChar w:fldCharType="end"/>
            </w:r>
          </w:p>
        </w:tc>
      </w:tr>
      <w:tr w:rsidR="00B56106" w:rsidRPr="00A4260E" w:rsidTr="00B56106">
        <w:tc>
          <w:tcPr>
            <w:tcW w:w="4338" w:type="dxa"/>
          </w:tcPr>
          <w:p w:rsidR="00B56106" w:rsidRPr="00A4260E" w:rsidRDefault="00B56106" w:rsidP="00B56106">
            <w:pPr>
              <w:tabs>
                <w:tab w:val="left" w:pos="-1440"/>
                <w:tab w:val="left" w:pos="-720"/>
              </w:tabs>
              <w:jc w:val="both"/>
              <w:rPr>
                <w:sz w:val="20"/>
                <w:szCs w:val="20"/>
              </w:rPr>
            </w:pPr>
            <w:r w:rsidRPr="00A4260E">
              <w:rPr>
                <w:sz w:val="20"/>
                <w:szCs w:val="20"/>
              </w:rPr>
              <w:t>Sally Behn et al.</w: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r w:rsidRPr="00A4260E">
              <w:rPr>
                <w:sz w:val="20"/>
                <w:szCs w:val="20"/>
              </w:rPr>
              <w:tab/>
              <w:t>v. (34404)</w: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Moulton Contracting Ltd. et al. (B.C.)</w:t>
            </w:r>
          </w:p>
        </w:tc>
        <w:tc>
          <w:tcPr>
            <w:tcW w:w="1170" w:type="dxa"/>
          </w:tcPr>
          <w:p w:rsidR="00B56106" w:rsidRPr="00A4260E" w:rsidRDefault="00B56106" w:rsidP="00B56106">
            <w:pPr>
              <w:tabs>
                <w:tab w:val="left" w:pos="-1440"/>
                <w:tab w:val="left" w:pos="-720"/>
              </w:tabs>
              <w:jc w:val="both"/>
              <w:rPr>
                <w:sz w:val="20"/>
                <w:szCs w:val="20"/>
                <w:lang w:val="fr-CA"/>
              </w:rPr>
            </w:pPr>
          </w:p>
        </w:tc>
        <w:tc>
          <w:tcPr>
            <w:tcW w:w="4327" w:type="dxa"/>
          </w:tcPr>
          <w:p w:rsidR="00B56106" w:rsidRPr="00A4260E" w:rsidRDefault="00B56106" w:rsidP="00B56106">
            <w:pPr>
              <w:tabs>
                <w:tab w:val="left" w:pos="-1440"/>
                <w:tab w:val="left" w:pos="-720"/>
              </w:tabs>
              <w:jc w:val="both"/>
              <w:rPr>
                <w:sz w:val="20"/>
                <w:szCs w:val="20"/>
                <w:lang w:val="fr-CA"/>
              </w:rPr>
            </w:pPr>
          </w:p>
        </w:tc>
      </w:tr>
    </w:tbl>
    <w:p w:rsidR="00B56106" w:rsidRPr="00A4260E" w:rsidRDefault="00B56106" w:rsidP="00B56106">
      <w:pPr>
        <w:tabs>
          <w:tab w:val="left" w:pos="-1440"/>
          <w:tab w:val="left" w:pos="-720"/>
        </w:tabs>
        <w:jc w:val="both"/>
        <w:rPr>
          <w:b/>
          <w:sz w:val="20"/>
          <w:szCs w:val="20"/>
          <w:lang w:val="fr-CA"/>
        </w:rPr>
      </w:pPr>
      <w:r w:rsidRPr="00A4260E">
        <w:rPr>
          <w:b/>
          <w:sz w:val="20"/>
          <w:szCs w:val="20"/>
          <w:lang w:val="fr-CA"/>
        </w:rPr>
        <w:t>ALLOWED IN PART / ACCORDÉE EN PARTIE</w:t>
      </w:r>
    </w:p>
    <w:p w:rsidR="00B56106" w:rsidRPr="00A4260E" w:rsidRDefault="00B56106" w:rsidP="00B56106">
      <w:pPr>
        <w:tabs>
          <w:tab w:val="left" w:pos="-1440"/>
          <w:tab w:val="left" w:pos="-720"/>
        </w:tabs>
        <w:jc w:val="both"/>
        <w:rPr>
          <w:sz w:val="20"/>
          <w:szCs w:val="20"/>
        </w:rPr>
      </w:pPr>
    </w:p>
    <w:p w:rsidR="00B56106" w:rsidRPr="00A4260E" w:rsidRDefault="00B56106" w:rsidP="00B56106">
      <w:pPr>
        <w:spacing w:line="233" w:lineRule="auto"/>
        <w:jc w:val="both"/>
        <w:rPr>
          <w:sz w:val="20"/>
          <w:szCs w:val="20"/>
        </w:rPr>
      </w:pPr>
      <w:r w:rsidRPr="00A4260E">
        <w:rPr>
          <w:b/>
          <w:sz w:val="20"/>
          <w:szCs w:val="20"/>
        </w:rPr>
        <w:t xml:space="preserve">UPON APPLICATION </w:t>
      </w:r>
      <w:r w:rsidRPr="00A4260E">
        <w:rPr>
          <w:sz w:val="20"/>
          <w:szCs w:val="20"/>
        </w:rPr>
        <w:t>by Chief Liz Logan, on behalf of herself and all other members of the Fort Nelson First Nation and the said Fort Nelson First Nation for an order changing their status from respondents to appellants or interveners.</w:t>
      </w:r>
    </w:p>
    <w:p w:rsidR="00B56106" w:rsidRPr="00A4260E" w:rsidRDefault="00B56106" w:rsidP="00B56106">
      <w:pPr>
        <w:spacing w:line="233" w:lineRule="auto"/>
        <w:jc w:val="both"/>
        <w:rPr>
          <w:sz w:val="20"/>
          <w:szCs w:val="20"/>
        </w:rPr>
      </w:pPr>
    </w:p>
    <w:p w:rsidR="00B56106" w:rsidRPr="00A4260E" w:rsidRDefault="00B56106" w:rsidP="00B56106">
      <w:pPr>
        <w:spacing w:line="233" w:lineRule="auto"/>
        <w:jc w:val="both"/>
        <w:rPr>
          <w:sz w:val="20"/>
          <w:szCs w:val="20"/>
        </w:rPr>
      </w:pPr>
      <w:r w:rsidRPr="00A4260E">
        <w:rPr>
          <w:b/>
          <w:bCs/>
          <w:sz w:val="20"/>
          <w:szCs w:val="20"/>
        </w:rPr>
        <w:t>AND THE MATERIAL FILED</w:t>
      </w:r>
      <w:r w:rsidRPr="00A4260E">
        <w:rPr>
          <w:sz w:val="20"/>
          <w:szCs w:val="20"/>
        </w:rPr>
        <w:t xml:space="preserve"> having been read;</w:t>
      </w:r>
    </w:p>
    <w:p w:rsidR="00B56106" w:rsidRPr="00A4260E" w:rsidRDefault="00B56106" w:rsidP="00B56106">
      <w:pPr>
        <w:spacing w:line="233" w:lineRule="auto"/>
        <w:jc w:val="center"/>
        <w:rPr>
          <w:sz w:val="20"/>
          <w:szCs w:val="20"/>
        </w:rPr>
      </w:pPr>
    </w:p>
    <w:p w:rsidR="00B56106" w:rsidRPr="00A4260E" w:rsidRDefault="00B56106" w:rsidP="00B56106">
      <w:pPr>
        <w:spacing w:line="233" w:lineRule="auto"/>
        <w:jc w:val="both"/>
        <w:rPr>
          <w:sz w:val="20"/>
          <w:szCs w:val="20"/>
        </w:rPr>
      </w:pPr>
      <w:r w:rsidRPr="00A4260E">
        <w:rPr>
          <w:b/>
          <w:bCs/>
          <w:sz w:val="20"/>
          <w:szCs w:val="20"/>
        </w:rPr>
        <w:t>IT IS HEREBY ORDERED THAT:</w:t>
      </w:r>
    </w:p>
    <w:p w:rsidR="00B56106" w:rsidRPr="00A4260E" w:rsidRDefault="00B56106" w:rsidP="00B56106">
      <w:pPr>
        <w:spacing w:line="233" w:lineRule="auto"/>
        <w:jc w:val="both"/>
        <w:rPr>
          <w:sz w:val="20"/>
          <w:szCs w:val="20"/>
        </w:rPr>
      </w:pPr>
    </w:p>
    <w:p w:rsidR="00B56106" w:rsidRPr="00A4260E" w:rsidRDefault="00B56106" w:rsidP="00B56106">
      <w:pPr>
        <w:spacing w:line="233" w:lineRule="auto"/>
        <w:jc w:val="both"/>
        <w:rPr>
          <w:sz w:val="20"/>
          <w:szCs w:val="20"/>
        </w:rPr>
      </w:pPr>
      <w:r w:rsidRPr="00A4260E">
        <w:rPr>
          <w:sz w:val="20"/>
          <w:szCs w:val="20"/>
        </w:rPr>
        <w:t>The motion is granted in part without costs. Chief Liz Logan, on behalf of herself and all other members of the Fort Nelson First Nation and the said Fort Nelson First Nation are redesignated as interveners and are allowed to file a single factum not to exceed 10 pages on or before October 16, 2012.</w:t>
      </w:r>
    </w:p>
    <w:p w:rsidR="00B56106" w:rsidRPr="00A4260E" w:rsidRDefault="00B56106" w:rsidP="00B56106">
      <w:pPr>
        <w:spacing w:line="233" w:lineRule="auto"/>
        <w:rPr>
          <w:sz w:val="20"/>
          <w:szCs w:val="20"/>
        </w:rPr>
      </w:pPr>
    </w:p>
    <w:p w:rsidR="00B56106" w:rsidRPr="00A4260E" w:rsidRDefault="00B56106" w:rsidP="00B56106">
      <w:pPr>
        <w:spacing w:line="233" w:lineRule="auto"/>
        <w:jc w:val="both"/>
        <w:rPr>
          <w:sz w:val="20"/>
          <w:szCs w:val="20"/>
        </w:rPr>
      </w:pPr>
      <w:r w:rsidRPr="00A4260E">
        <w:rPr>
          <w:sz w:val="20"/>
          <w:szCs w:val="20"/>
        </w:rPr>
        <w:t>The request to present oral argument is deferred to a date following receipt and consideration of the written arguments of the parties and the intervener.</w:t>
      </w:r>
    </w:p>
    <w:p w:rsidR="00B56106" w:rsidRPr="00A4260E" w:rsidRDefault="00B56106" w:rsidP="00B56106">
      <w:pPr>
        <w:spacing w:line="230" w:lineRule="auto"/>
        <w:rPr>
          <w:sz w:val="20"/>
          <w:szCs w:val="20"/>
        </w:rPr>
      </w:pPr>
    </w:p>
    <w:p w:rsidR="00B56106" w:rsidRPr="00A4260E" w:rsidRDefault="007333FF" w:rsidP="00B56106">
      <w:pPr>
        <w:jc w:val="both"/>
        <w:rPr>
          <w:bCs/>
          <w:sz w:val="20"/>
          <w:szCs w:val="20"/>
        </w:rPr>
      </w:pP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r w:rsidR="00B56106" w:rsidRPr="00A4260E">
        <w:rPr>
          <w:bCs/>
          <w:sz w:val="20"/>
          <w:szCs w:val="20"/>
        </w:rPr>
        <w:t>The intervener is not entitled to raise new issues or to adduce further evidence or otherwise to supplement the record of the parties.</w:t>
      </w:r>
    </w:p>
    <w:p w:rsidR="00B56106" w:rsidRPr="00A4260E" w:rsidRDefault="00B56106" w:rsidP="00B56106">
      <w:pPr>
        <w:spacing w:line="233" w:lineRule="auto"/>
        <w:jc w:val="both"/>
        <w:rPr>
          <w:sz w:val="20"/>
          <w:szCs w:val="20"/>
        </w:rPr>
      </w:pPr>
    </w:p>
    <w:p w:rsidR="00B56106" w:rsidRPr="00A4260E" w:rsidRDefault="00B56106" w:rsidP="00B56106">
      <w:pPr>
        <w:spacing w:line="233" w:lineRule="auto"/>
        <w:jc w:val="both"/>
        <w:rPr>
          <w:sz w:val="20"/>
          <w:szCs w:val="20"/>
        </w:rPr>
      </w:pPr>
      <w:r w:rsidRPr="00A4260E">
        <w:rPr>
          <w:sz w:val="20"/>
          <w:szCs w:val="20"/>
        </w:rPr>
        <w:t>Pursuant to Rule 59(1)(</w:t>
      </w:r>
      <w:r w:rsidRPr="00A4260E">
        <w:rPr>
          <w:i/>
          <w:iCs/>
          <w:sz w:val="20"/>
          <w:szCs w:val="20"/>
        </w:rPr>
        <w:t>a</w:t>
      </w:r>
      <w:r w:rsidRPr="00A4260E">
        <w:rPr>
          <w:sz w:val="20"/>
          <w:szCs w:val="20"/>
        </w:rPr>
        <w:t xml:space="preserve">) of the </w:t>
      </w:r>
      <w:r w:rsidRPr="00A4260E">
        <w:rPr>
          <w:i/>
          <w:iCs/>
          <w:sz w:val="20"/>
          <w:szCs w:val="20"/>
        </w:rPr>
        <w:t>Rules of the Supreme Court of Canada</w:t>
      </w:r>
      <w:r w:rsidRPr="00A4260E">
        <w:rPr>
          <w:sz w:val="20"/>
          <w:szCs w:val="20"/>
        </w:rPr>
        <w:t>, the intervener shall pay to the appellants and respondents any additional disbursements occasioned to the appellants and respondents by its intervention.</w: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rPr>
      </w:pPr>
    </w:p>
    <w:p w:rsidR="00B56106" w:rsidRPr="00A4260E" w:rsidRDefault="00B56106" w:rsidP="00B56106">
      <w:pPr>
        <w:spacing w:line="233" w:lineRule="auto"/>
        <w:jc w:val="both"/>
        <w:rPr>
          <w:sz w:val="20"/>
          <w:szCs w:val="20"/>
          <w:lang w:val="fr-FR"/>
        </w:rPr>
      </w:pPr>
      <w:r w:rsidRPr="00A4260E">
        <w:rPr>
          <w:b/>
          <w:sz w:val="20"/>
          <w:szCs w:val="20"/>
          <w:lang w:val="fr-FR"/>
        </w:rPr>
        <w:t xml:space="preserve">À LA SUITE DE LA DEMANDE </w:t>
      </w:r>
      <w:r w:rsidRPr="00A4260E">
        <w:rPr>
          <w:sz w:val="20"/>
          <w:szCs w:val="20"/>
          <w:lang w:val="fr-FR"/>
        </w:rPr>
        <w:t>présentée par la chef Liz Logan, en son nom personnel et les autres membres de la Première Nation de Fort Nelson et la Première Nation de Fort Nelson en vue de modifier leur qualité de façon à ne plus être considérés intimés et à être plutôt désignés comme appelants ou intervenants;</w:t>
      </w:r>
    </w:p>
    <w:p w:rsidR="00B56106" w:rsidRPr="00A4260E" w:rsidRDefault="00B56106" w:rsidP="00B56106">
      <w:pPr>
        <w:spacing w:line="233" w:lineRule="auto"/>
        <w:jc w:val="both"/>
        <w:rPr>
          <w:sz w:val="20"/>
          <w:szCs w:val="20"/>
          <w:lang w:val="fr-FR"/>
        </w:rPr>
      </w:pPr>
    </w:p>
    <w:p w:rsidR="00B56106" w:rsidRPr="00A4260E" w:rsidRDefault="00B56106" w:rsidP="00B56106">
      <w:pPr>
        <w:spacing w:line="233" w:lineRule="auto"/>
        <w:jc w:val="both"/>
        <w:rPr>
          <w:sz w:val="20"/>
          <w:szCs w:val="20"/>
          <w:lang w:val="fr-FR"/>
        </w:rPr>
      </w:pPr>
      <w:r w:rsidRPr="00A4260E">
        <w:rPr>
          <w:b/>
          <w:bCs/>
          <w:sz w:val="20"/>
          <w:szCs w:val="20"/>
          <w:lang w:val="fr-FR"/>
        </w:rPr>
        <w:t xml:space="preserve">ET APRÈS EXAMEN </w:t>
      </w:r>
      <w:r w:rsidRPr="00A4260E">
        <w:rPr>
          <w:bCs/>
          <w:sz w:val="20"/>
          <w:szCs w:val="20"/>
          <w:lang w:val="fr-FR"/>
        </w:rPr>
        <w:t xml:space="preserve">des documents déposés, </w:t>
      </w:r>
    </w:p>
    <w:p w:rsidR="00B56106" w:rsidRPr="00A4260E" w:rsidRDefault="00B56106" w:rsidP="00B56106">
      <w:pPr>
        <w:rPr>
          <w:b/>
          <w:bCs/>
          <w:sz w:val="20"/>
          <w:szCs w:val="20"/>
          <w:lang w:val="fr-FR"/>
        </w:rPr>
      </w:pPr>
    </w:p>
    <w:p w:rsidR="00B56106" w:rsidRPr="00A4260E" w:rsidRDefault="00B56106" w:rsidP="00B56106">
      <w:pPr>
        <w:spacing w:line="233" w:lineRule="auto"/>
        <w:jc w:val="both"/>
        <w:rPr>
          <w:sz w:val="20"/>
          <w:szCs w:val="20"/>
          <w:lang w:val="fr-FR"/>
        </w:rPr>
      </w:pPr>
      <w:r w:rsidRPr="00A4260E">
        <w:rPr>
          <w:b/>
          <w:bCs/>
          <w:sz w:val="20"/>
          <w:szCs w:val="20"/>
          <w:lang w:val="fr-FR"/>
        </w:rPr>
        <w:t xml:space="preserve">IL EST ORDONNÉ CE QUI SUIT : </w:t>
      </w:r>
    </w:p>
    <w:p w:rsidR="00B56106" w:rsidRPr="00A4260E" w:rsidRDefault="00B56106" w:rsidP="00B56106">
      <w:pPr>
        <w:spacing w:line="233" w:lineRule="auto"/>
        <w:jc w:val="both"/>
        <w:rPr>
          <w:sz w:val="20"/>
          <w:szCs w:val="20"/>
          <w:lang w:val="fr-FR"/>
        </w:rPr>
      </w:pPr>
    </w:p>
    <w:p w:rsidR="00B56106" w:rsidRPr="00A4260E" w:rsidRDefault="00B56106" w:rsidP="00B56106">
      <w:pPr>
        <w:spacing w:line="233" w:lineRule="auto"/>
        <w:jc w:val="both"/>
        <w:rPr>
          <w:sz w:val="20"/>
          <w:szCs w:val="20"/>
          <w:lang w:val="fr-FR"/>
        </w:rPr>
      </w:pPr>
      <w:r w:rsidRPr="00A4260E">
        <w:rPr>
          <w:sz w:val="20"/>
          <w:szCs w:val="20"/>
          <w:lang w:val="fr-FR"/>
        </w:rPr>
        <w:t xml:space="preserve">La requête est accueillie en partie sans dépens.  La chef Liz Logan, en son nom personnel et les autres membres de la Première Nation de Fort Nelson et la Première Nation de Fort Nelson sont redésignés comme intervenants et pourront déposer un seul mémoire d’au plus 10 pages au plus tard le 16 octobre 2012.  </w:t>
      </w:r>
    </w:p>
    <w:p w:rsidR="00B56106" w:rsidRPr="00A4260E" w:rsidRDefault="00B56106" w:rsidP="00B56106">
      <w:pPr>
        <w:spacing w:line="233" w:lineRule="auto"/>
        <w:jc w:val="both"/>
        <w:rPr>
          <w:sz w:val="20"/>
          <w:szCs w:val="20"/>
          <w:lang w:val="fr-FR"/>
        </w:rPr>
      </w:pPr>
    </w:p>
    <w:p w:rsidR="00B56106" w:rsidRPr="00A4260E" w:rsidRDefault="00B56106" w:rsidP="00B56106">
      <w:pPr>
        <w:spacing w:line="233" w:lineRule="auto"/>
        <w:jc w:val="both"/>
        <w:rPr>
          <w:sz w:val="20"/>
          <w:szCs w:val="20"/>
          <w:lang w:val="fr-FR"/>
        </w:rPr>
      </w:pPr>
      <w:r w:rsidRPr="00A4260E">
        <w:rPr>
          <w:sz w:val="20"/>
          <w:szCs w:val="20"/>
          <w:lang w:val="fr-FR"/>
        </w:rPr>
        <w:t>La décision sur la demande en vue de présenter une plaidoirie orale sera rendue après réception et examen des arguments écrits des parties et de l’intervenant.</w:t>
      </w:r>
    </w:p>
    <w:p w:rsidR="00B56106" w:rsidRPr="00A4260E" w:rsidRDefault="00B56106" w:rsidP="00B56106">
      <w:pPr>
        <w:spacing w:line="233" w:lineRule="auto"/>
        <w:jc w:val="both"/>
        <w:rPr>
          <w:sz w:val="20"/>
          <w:szCs w:val="20"/>
          <w:lang w:val="fr-FR"/>
        </w:rPr>
      </w:pPr>
    </w:p>
    <w:p w:rsidR="00B56106" w:rsidRPr="00A4260E" w:rsidRDefault="00B56106" w:rsidP="00B56106">
      <w:pPr>
        <w:spacing w:line="233" w:lineRule="auto"/>
        <w:jc w:val="both"/>
        <w:rPr>
          <w:sz w:val="20"/>
          <w:szCs w:val="20"/>
          <w:lang w:val="fr-FR"/>
        </w:rPr>
      </w:pPr>
      <w:r w:rsidRPr="00A4260E">
        <w:rPr>
          <w:sz w:val="20"/>
          <w:szCs w:val="20"/>
          <w:lang w:val="fr-FR"/>
        </w:rPr>
        <w:t>L’intervenant n’a pas le droit de soulever de nouvelles questions, de produire d’autres éléments de preuve ni de compléter de quelque autre façon le dossier des parties.</w:t>
      </w:r>
    </w:p>
    <w:p w:rsidR="00B56106" w:rsidRPr="00A4260E" w:rsidRDefault="00B56106" w:rsidP="00B56106">
      <w:pPr>
        <w:spacing w:line="233" w:lineRule="auto"/>
        <w:jc w:val="both"/>
        <w:rPr>
          <w:sz w:val="20"/>
          <w:szCs w:val="20"/>
          <w:lang w:val="fr-FR"/>
        </w:rPr>
      </w:pPr>
    </w:p>
    <w:p w:rsidR="00216526" w:rsidRDefault="00216526">
      <w:pPr>
        <w:rPr>
          <w:sz w:val="20"/>
          <w:szCs w:val="20"/>
          <w:lang w:val="fr-FR"/>
        </w:rPr>
      </w:pPr>
      <w:r>
        <w:rPr>
          <w:sz w:val="20"/>
          <w:szCs w:val="20"/>
          <w:lang w:val="fr-FR"/>
        </w:rPr>
        <w:br w:type="page"/>
      </w:r>
    </w:p>
    <w:p w:rsidR="00B56106" w:rsidRPr="00A4260E" w:rsidRDefault="00B56106" w:rsidP="00B56106">
      <w:pPr>
        <w:spacing w:line="233" w:lineRule="auto"/>
        <w:jc w:val="both"/>
        <w:rPr>
          <w:sz w:val="20"/>
          <w:szCs w:val="20"/>
          <w:lang w:val="fr-FR"/>
        </w:rPr>
      </w:pPr>
      <w:r w:rsidRPr="00A4260E">
        <w:rPr>
          <w:sz w:val="20"/>
          <w:szCs w:val="20"/>
          <w:lang w:val="fr-FR"/>
        </w:rPr>
        <w:lastRenderedPageBreak/>
        <w:t>Conformément à l’alinéa 59(1)</w:t>
      </w:r>
      <w:r w:rsidRPr="00A4260E">
        <w:rPr>
          <w:i/>
          <w:sz w:val="20"/>
          <w:szCs w:val="20"/>
          <w:lang w:val="fr-FR"/>
        </w:rPr>
        <w:t>a</w:t>
      </w:r>
      <w:r w:rsidRPr="00A4260E">
        <w:rPr>
          <w:sz w:val="20"/>
          <w:szCs w:val="20"/>
          <w:lang w:val="fr-FR"/>
        </w:rPr>
        <w:t xml:space="preserve">) des </w:t>
      </w:r>
      <w:r w:rsidRPr="00A4260E">
        <w:rPr>
          <w:i/>
          <w:sz w:val="20"/>
          <w:szCs w:val="20"/>
          <w:lang w:val="fr-FR"/>
        </w:rPr>
        <w:t>Règles de la Cour suprême du Canada</w:t>
      </w:r>
      <w:r w:rsidRPr="00A4260E">
        <w:rPr>
          <w:sz w:val="20"/>
          <w:szCs w:val="20"/>
          <w:lang w:val="fr-FR"/>
        </w:rPr>
        <w:t>, l’intervenant paiera aux appelants et aux intimées tous débours supplémentaires résultant de son intervention.</w:t>
      </w:r>
    </w:p>
    <w:p w:rsidR="00B56106" w:rsidRPr="00A4260E" w:rsidRDefault="00B56106" w:rsidP="00B56106">
      <w:pPr>
        <w:tabs>
          <w:tab w:val="left" w:pos="-1440"/>
          <w:tab w:val="left" w:pos="-720"/>
        </w:tabs>
        <w:jc w:val="both"/>
        <w:rPr>
          <w:sz w:val="20"/>
          <w:szCs w:val="20"/>
          <w:lang w:val="fr-FR"/>
        </w:rPr>
      </w:pPr>
    </w:p>
    <w:p w:rsidR="00B56106" w:rsidRPr="00A4260E" w:rsidRDefault="007333FF" w:rsidP="00B56106">
      <w:pPr>
        <w:tabs>
          <w:tab w:val="left" w:pos="-1440"/>
          <w:tab w:val="left" w:pos="-720"/>
        </w:tabs>
        <w:jc w:val="both"/>
        <w:rPr>
          <w:sz w:val="20"/>
          <w:szCs w:val="20"/>
        </w:rPr>
      </w:pPr>
      <w:r w:rsidRPr="007333FF">
        <w:rPr>
          <w:sz w:val="20"/>
          <w:szCs w:val="20"/>
          <w:lang w:val="fr-CA"/>
        </w:rPr>
        <w:pict>
          <v:rect id="_x0000_i1135" style="width:2in;height:1pt" o:hrpct="0" o:hralign="center" o:hrstd="t" o:hrnoshade="t" o:hr="t" fillcolor="black [3213]" stroked="f"/>
        </w:pict>
      </w:r>
    </w:p>
    <w:p w:rsidR="00B56106" w:rsidRPr="00A4260E" w:rsidRDefault="00B56106" w:rsidP="00B56106">
      <w:pPr>
        <w:tabs>
          <w:tab w:val="left" w:pos="-1440"/>
          <w:tab w:val="left" w:pos="-720"/>
        </w:tabs>
        <w:jc w:val="both"/>
        <w:rPr>
          <w:sz w:val="20"/>
          <w:szCs w:val="20"/>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23.08.2012</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lang w:val="fr-CA"/>
        </w:rPr>
      </w:pPr>
      <w:r w:rsidRPr="00A4260E">
        <w:rPr>
          <w:sz w:val="20"/>
          <w:szCs w:val="20"/>
          <w:lang w:val="fr-CA"/>
        </w:rPr>
        <w:t>Before / Devant :   CROMWELL J. / LE JUGE CROMWELL</w:t>
      </w:r>
    </w:p>
    <w:p w:rsidR="00B56106" w:rsidRPr="00A4260E" w:rsidRDefault="00B56106" w:rsidP="00B5610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B56106" w:rsidRPr="00A4260E" w:rsidTr="00B56106">
        <w:tc>
          <w:tcPr>
            <w:tcW w:w="4338" w:type="dxa"/>
            <w:gridSpan w:val="2"/>
          </w:tcPr>
          <w:p w:rsidR="00B56106" w:rsidRPr="00A4260E" w:rsidRDefault="00B56106" w:rsidP="00B56106">
            <w:pPr>
              <w:rPr>
                <w:b/>
                <w:sz w:val="20"/>
                <w:szCs w:val="20"/>
              </w:rPr>
            </w:pPr>
            <w:r w:rsidRPr="00A4260E">
              <w:rPr>
                <w:b/>
                <w:sz w:val="20"/>
                <w:szCs w:val="20"/>
              </w:rPr>
              <w:t>Motion for leave to intervene</w:t>
            </w:r>
            <w:r w:rsidRPr="00A4260E">
              <w:rPr>
                <w:sz w:val="20"/>
                <w:szCs w:val="20"/>
              </w:rPr>
              <w:t xml:space="preserve"> </w:t>
            </w:r>
            <w:r w:rsidR="007333FF" w:rsidRPr="00A4260E">
              <w:rPr>
                <w:sz w:val="20"/>
                <w:szCs w:val="20"/>
              </w:rPr>
              <w:fldChar w:fldCharType="begin"/>
            </w:r>
            <w:r w:rsidRPr="00A4260E">
              <w:rPr>
                <w:sz w:val="20"/>
                <w:szCs w:val="20"/>
              </w:rPr>
              <w:instrText xml:space="preserve"> SEQ CHAPTER \h \r 1</w:instrText>
            </w:r>
            <w:r w:rsidR="007333FF" w:rsidRPr="00A4260E">
              <w:rPr>
                <w:sz w:val="20"/>
                <w:szCs w:val="20"/>
              </w:rPr>
              <w:fldChar w:fldCharType="end"/>
            </w:r>
          </w:p>
        </w:tc>
        <w:tc>
          <w:tcPr>
            <w:tcW w:w="1170" w:type="dxa"/>
          </w:tcPr>
          <w:p w:rsidR="00B56106" w:rsidRPr="00A4260E" w:rsidRDefault="00B56106" w:rsidP="00B56106">
            <w:pPr>
              <w:rPr>
                <w:sz w:val="20"/>
                <w:szCs w:val="20"/>
              </w:rPr>
            </w:pPr>
          </w:p>
          <w:p w:rsidR="00B56106" w:rsidRPr="00A4260E" w:rsidRDefault="00B56106" w:rsidP="00B56106">
            <w:pPr>
              <w:rPr>
                <w:sz w:val="20"/>
                <w:szCs w:val="20"/>
              </w:rPr>
            </w:pPr>
          </w:p>
        </w:tc>
        <w:tc>
          <w:tcPr>
            <w:tcW w:w="4327" w:type="dxa"/>
          </w:tcPr>
          <w:p w:rsidR="00B56106" w:rsidRPr="00A4260E" w:rsidRDefault="00B56106" w:rsidP="00B56106">
            <w:pPr>
              <w:rPr>
                <w:b/>
                <w:sz w:val="20"/>
                <w:szCs w:val="20"/>
              </w:rPr>
            </w:pPr>
            <w:r w:rsidRPr="00A4260E">
              <w:rPr>
                <w:b/>
                <w:bCs/>
                <w:sz w:val="20"/>
                <w:szCs w:val="20"/>
                <w:lang w:val="fr-CA"/>
              </w:rPr>
              <w:t>Requête en autorisation d’intervenir</w:t>
            </w:r>
            <w:r w:rsidRPr="00A4260E">
              <w:rPr>
                <w:sz w:val="20"/>
                <w:szCs w:val="20"/>
              </w:rPr>
              <w:t xml:space="preserve"> </w:t>
            </w:r>
            <w:r w:rsidR="007333FF" w:rsidRPr="00A4260E">
              <w:rPr>
                <w:sz w:val="20"/>
                <w:szCs w:val="20"/>
              </w:rPr>
              <w:fldChar w:fldCharType="begin"/>
            </w:r>
            <w:r w:rsidRPr="00A4260E">
              <w:rPr>
                <w:sz w:val="20"/>
                <w:szCs w:val="20"/>
              </w:rPr>
              <w:instrText xml:space="preserve"> SEQ CHAPTER \h \r 1</w:instrText>
            </w:r>
            <w:r w:rsidR="007333FF" w:rsidRPr="00A4260E">
              <w:rPr>
                <w:sz w:val="20"/>
                <w:szCs w:val="20"/>
              </w:rPr>
              <w:fldChar w:fldCharType="end"/>
            </w:r>
          </w:p>
        </w:tc>
      </w:tr>
      <w:tr w:rsidR="00B56106" w:rsidRPr="00A4260E" w:rsidTr="00B56106">
        <w:tc>
          <w:tcPr>
            <w:tcW w:w="1368" w:type="dxa"/>
          </w:tcPr>
          <w:p w:rsidR="00B56106" w:rsidRPr="00A4260E" w:rsidRDefault="00B56106" w:rsidP="00B56106">
            <w:pPr>
              <w:rPr>
                <w:sz w:val="20"/>
                <w:szCs w:val="20"/>
              </w:rPr>
            </w:pPr>
            <w:r w:rsidRPr="00A4260E">
              <w:rPr>
                <w:sz w:val="20"/>
                <w:szCs w:val="20"/>
              </w:rPr>
              <w:t>BY / PAR</w:t>
            </w:r>
          </w:p>
        </w:tc>
        <w:tc>
          <w:tcPr>
            <w:tcW w:w="2970" w:type="dxa"/>
          </w:tcPr>
          <w:p w:rsidR="00B56106" w:rsidRPr="00A4260E" w:rsidRDefault="00B56106" w:rsidP="00B56106">
            <w:pPr>
              <w:rPr>
                <w:sz w:val="20"/>
                <w:szCs w:val="20"/>
              </w:rPr>
            </w:pPr>
            <w:r w:rsidRPr="00A4260E">
              <w:rPr>
                <w:sz w:val="20"/>
                <w:szCs w:val="20"/>
              </w:rPr>
              <w:t>Attorney General of Ontario</w:t>
            </w: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rPr>
            </w:pP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r w:rsidRPr="00A4260E">
              <w:rPr>
                <w:sz w:val="20"/>
                <w:szCs w:val="20"/>
              </w:rPr>
              <w:t>IN / DANS :</w:t>
            </w:r>
          </w:p>
        </w:tc>
        <w:tc>
          <w:tcPr>
            <w:tcW w:w="2970" w:type="dxa"/>
          </w:tcPr>
          <w:p w:rsidR="00B56106" w:rsidRPr="00A4260E" w:rsidRDefault="00B56106" w:rsidP="00B56106">
            <w:pPr>
              <w:rPr>
                <w:sz w:val="20"/>
                <w:szCs w:val="20"/>
              </w:rPr>
            </w:pPr>
            <w:r w:rsidRPr="00A4260E">
              <w:rPr>
                <w:sz w:val="20"/>
                <w:szCs w:val="20"/>
              </w:rPr>
              <w:t>Cathie Gauthier</w:t>
            </w:r>
          </w:p>
          <w:p w:rsidR="00B56106" w:rsidRPr="00A4260E" w:rsidRDefault="00B56106" w:rsidP="00B56106">
            <w:pPr>
              <w:rPr>
                <w:sz w:val="20"/>
                <w:szCs w:val="20"/>
              </w:rPr>
            </w:pP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rPr>
                <w:sz w:val="20"/>
                <w:szCs w:val="20"/>
              </w:rPr>
            </w:pPr>
            <w:r w:rsidRPr="00A4260E">
              <w:rPr>
                <w:sz w:val="20"/>
                <w:szCs w:val="20"/>
              </w:rPr>
              <w:tab/>
              <w:t>c. (34444)</w:t>
            </w:r>
          </w:p>
          <w:p w:rsidR="00B56106" w:rsidRPr="00A4260E" w:rsidRDefault="00B56106" w:rsidP="00B56106">
            <w:pPr>
              <w:rPr>
                <w:sz w:val="20"/>
                <w:szCs w:val="20"/>
              </w:rPr>
            </w:pPr>
          </w:p>
        </w:tc>
        <w:tc>
          <w:tcPr>
            <w:tcW w:w="1170" w:type="dxa"/>
          </w:tcPr>
          <w:p w:rsidR="00B56106" w:rsidRPr="00A4260E" w:rsidRDefault="00B56106" w:rsidP="00B56106">
            <w:pPr>
              <w:rPr>
                <w:sz w:val="20"/>
                <w:szCs w:val="20"/>
              </w:rPr>
            </w:pPr>
          </w:p>
        </w:tc>
        <w:tc>
          <w:tcPr>
            <w:tcW w:w="4327" w:type="dxa"/>
          </w:tcPr>
          <w:p w:rsidR="00B56106" w:rsidRPr="00A4260E" w:rsidRDefault="00B56106" w:rsidP="00B56106">
            <w:pPr>
              <w:rPr>
                <w:sz w:val="20"/>
                <w:szCs w:val="20"/>
              </w:rPr>
            </w:pPr>
          </w:p>
        </w:tc>
      </w:tr>
      <w:tr w:rsidR="00B56106" w:rsidRPr="00A4260E" w:rsidTr="00B56106">
        <w:tc>
          <w:tcPr>
            <w:tcW w:w="1368" w:type="dxa"/>
          </w:tcPr>
          <w:p w:rsidR="00B56106" w:rsidRPr="00A4260E" w:rsidRDefault="00B56106" w:rsidP="00B56106">
            <w:pPr>
              <w:rPr>
                <w:sz w:val="20"/>
                <w:szCs w:val="20"/>
              </w:rPr>
            </w:pPr>
          </w:p>
        </w:tc>
        <w:tc>
          <w:tcPr>
            <w:tcW w:w="2970" w:type="dxa"/>
          </w:tcPr>
          <w:p w:rsidR="00B56106" w:rsidRPr="00A4260E" w:rsidRDefault="00B56106" w:rsidP="00B56106">
            <w:pPr>
              <w:jc w:val="both"/>
              <w:rPr>
                <w:sz w:val="20"/>
                <w:szCs w:val="20"/>
                <w:lang w:val="fr-CA"/>
              </w:rPr>
            </w:pPr>
            <w:r w:rsidRPr="00A4260E">
              <w:rPr>
                <w:sz w:val="20"/>
                <w:szCs w:val="20"/>
                <w:lang w:val="fr-CA"/>
              </w:rPr>
              <w:t>Sa Majesté la Reine (Crim.) (Qc)</w:t>
            </w:r>
          </w:p>
        </w:tc>
        <w:tc>
          <w:tcPr>
            <w:tcW w:w="1170" w:type="dxa"/>
          </w:tcPr>
          <w:p w:rsidR="00B56106" w:rsidRPr="00A4260E" w:rsidRDefault="00B56106" w:rsidP="00B56106">
            <w:pPr>
              <w:rPr>
                <w:sz w:val="20"/>
                <w:szCs w:val="20"/>
                <w:lang w:val="fr-CA"/>
              </w:rPr>
            </w:pPr>
          </w:p>
        </w:tc>
        <w:tc>
          <w:tcPr>
            <w:tcW w:w="4327" w:type="dxa"/>
          </w:tcPr>
          <w:p w:rsidR="00B56106" w:rsidRPr="00A4260E" w:rsidRDefault="00B56106" w:rsidP="00B56106">
            <w:pPr>
              <w:rPr>
                <w:sz w:val="20"/>
                <w:szCs w:val="20"/>
                <w:lang w:val="fr-CA"/>
              </w:rPr>
            </w:pPr>
          </w:p>
        </w:tc>
      </w:tr>
    </w:tbl>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tabs>
          <w:tab w:val="left" w:pos="-1440"/>
          <w:tab w:val="left" w:pos="-720"/>
        </w:tabs>
        <w:jc w:val="both"/>
        <w:rPr>
          <w:sz w:val="20"/>
          <w:szCs w:val="20"/>
          <w:lang w:val="fr-CA"/>
        </w:rPr>
      </w:pPr>
      <w:r w:rsidRPr="00A4260E">
        <w:rPr>
          <w:b/>
          <w:sz w:val="20"/>
          <w:szCs w:val="20"/>
          <w:lang w:val="fr-CA"/>
        </w:rPr>
        <w:t>GRANTED / ACCORDÉE</w:t>
      </w:r>
    </w:p>
    <w:p w:rsidR="00B56106" w:rsidRPr="00A4260E" w:rsidRDefault="00B56106" w:rsidP="00B56106">
      <w:pPr>
        <w:tabs>
          <w:tab w:val="left" w:pos="-1440"/>
          <w:tab w:val="left" w:pos="-720"/>
        </w:tabs>
        <w:jc w:val="both"/>
        <w:rPr>
          <w:sz w:val="20"/>
          <w:szCs w:val="20"/>
          <w:lang w:val="fr-CA"/>
        </w:rPr>
      </w:pPr>
    </w:p>
    <w:p w:rsidR="00B56106" w:rsidRPr="00A4260E" w:rsidRDefault="00B56106" w:rsidP="00B56106">
      <w:pPr>
        <w:spacing w:line="233" w:lineRule="auto"/>
        <w:jc w:val="both"/>
        <w:rPr>
          <w:sz w:val="20"/>
          <w:szCs w:val="20"/>
        </w:rPr>
      </w:pPr>
      <w:r w:rsidRPr="00A4260E">
        <w:rPr>
          <w:b/>
          <w:bCs/>
          <w:sz w:val="20"/>
          <w:szCs w:val="20"/>
        </w:rPr>
        <w:t xml:space="preserve">UPON APPLICATION </w:t>
      </w:r>
      <w:r w:rsidRPr="00A4260E">
        <w:rPr>
          <w:sz w:val="20"/>
          <w:szCs w:val="20"/>
        </w:rPr>
        <w:t>by the Attorney General of Ontario for leave to intervene in the above appeal;</w:t>
      </w:r>
    </w:p>
    <w:p w:rsidR="00B56106" w:rsidRPr="00A4260E" w:rsidRDefault="00B56106" w:rsidP="00B56106">
      <w:pPr>
        <w:spacing w:line="233" w:lineRule="auto"/>
        <w:rPr>
          <w:sz w:val="20"/>
          <w:szCs w:val="20"/>
        </w:rPr>
      </w:pPr>
    </w:p>
    <w:p w:rsidR="00B56106" w:rsidRPr="00A4260E" w:rsidRDefault="00B56106" w:rsidP="00B56106">
      <w:pPr>
        <w:spacing w:line="233" w:lineRule="auto"/>
        <w:rPr>
          <w:sz w:val="20"/>
          <w:szCs w:val="20"/>
        </w:rPr>
      </w:pPr>
      <w:r w:rsidRPr="00A4260E">
        <w:rPr>
          <w:b/>
          <w:bCs/>
          <w:sz w:val="20"/>
          <w:szCs w:val="20"/>
        </w:rPr>
        <w:t>AND THE MATERIAL FILED</w:t>
      </w:r>
      <w:r w:rsidRPr="00A4260E">
        <w:rPr>
          <w:sz w:val="20"/>
          <w:szCs w:val="20"/>
        </w:rPr>
        <w:t xml:space="preserve"> having been read;</w:t>
      </w:r>
    </w:p>
    <w:p w:rsidR="00B56106" w:rsidRPr="00A4260E" w:rsidRDefault="00B56106" w:rsidP="00B56106">
      <w:pPr>
        <w:spacing w:line="233" w:lineRule="auto"/>
        <w:rPr>
          <w:sz w:val="20"/>
          <w:szCs w:val="20"/>
        </w:rPr>
      </w:pPr>
    </w:p>
    <w:p w:rsidR="00B56106" w:rsidRPr="00A4260E" w:rsidRDefault="00B56106" w:rsidP="00B56106">
      <w:pPr>
        <w:spacing w:line="233" w:lineRule="auto"/>
        <w:rPr>
          <w:sz w:val="20"/>
          <w:szCs w:val="20"/>
        </w:rPr>
      </w:pPr>
      <w:r w:rsidRPr="00A4260E">
        <w:rPr>
          <w:b/>
          <w:bCs/>
          <w:sz w:val="20"/>
          <w:szCs w:val="20"/>
        </w:rPr>
        <w:t>IT IS HEREBY ORDERED THAT:</w:t>
      </w:r>
    </w:p>
    <w:p w:rsidR="00B56106" w:rsidRPr="00A4260E" w:rsidRDefault="00B56106" w:rsidP="00B56106">
      <w:pPr>
        <w:spacing w:line="233" w:lineRule="auto"/>
        <w:rPr>
          <w:sz w:val="20"/>
          <w:szCs w:val="20"/>
        </w:rPr>
      </w:pPr>
    </w:p>
    <w:p w:rsidR="00B56106" w:rsidRPr="00A4260E" w:rsidRDefault="00B56106" w:rsidP="00B56106">
      <w:pPr>
        <w:spacing w:line="233" w:lineRule="auto"/>
        <w:jc w:val="both"/>
        <w:rPr>
          <w:sz w:val="20"/>
          <w:szCs w:val="20"/>
        </w:rPr>
      </w:pPr>
      <w:r w:rsidRPr="00A4260E">
        <w:rPr>
          <w:sz w:val="20"/>
          <w:szCs w:val="20"/>
        </w:rPr>
        <w:t>The motion for leave to intervene of the Attorney General of Ontario is granted and the said intervener shall be entitled to serve and file a factum not to exceed 10 pages in length on or before October 18, 2012.</w:t>
      </w:r>
    </w:p>
    <w:p w:rsidR="00B56106" w:rsidRPr="00A4260E" w:rsidRDefault="00B56106" w:rsidP="00B56106">
      <w:pPr>
        <w:spacing w:line="233" w:lineRule="auto"/>
        <w:rPr>
          <w:sz w:val="20"/>
          <w:szCs w:val="20"/>
        </w:rPr>
      </w:pPr>
    </w:p>
    <w:p w:rsidR="00B56106" w:rsidRPr="00A4260E" w:rsidRDefault="00B56106" w:rsidP="00B56106">
      <w:pPr>
        <w:spacing w:line="233" w:lineRule="auto"/>
        <w:jc w:val="both"/>
        <w:rPr>
          <w:sz w:val="20"/>
          <w:szCs w:val="20"/>
        </w:rPr>
      </w:pPr>
      <w:r w:rsidRPr="00A4260E">
        <w:rPr>
          <w:sz w:val="20"/>
          <w:szCs w:val="20"/>
        </w:rPr>
        <w:t>The request to present oral argument is deferred to a date following receipt and consideration of the written arguments of the parties and the intervener.</w:t>
      </w:r>
    </w:p>
    <w:p w:rsidR="00B56106" w:rsidRPr="00A4260E" w:rsidRDefault="00B56106" w:rsidP="00B56106">
      <w:pPr>
        <w:spacing w:line="233" w:lineRule="auto"/>
        <w:rPr>
          <w:sz w:val="20"/>
          <w:szCs w:val="20"/>
        </w:rPr>
      </w:pPr>
    </w:p>
    <w:p w:rsidR="00B56106" w:rsidRPr="00A4260E" w:rsidRDefault="007333FF" w:rsidP="00B56106">
      <w:pPr>
        <w:jc w:val="both"/>
        <w:rPr>
          <w:bCs/>
          <w:sz w:val="20"/>
          <w:szCs w:val="20"/>
        </w:rPr>
      </w:pPr>
      <w:r w:rsidRPr="00A4260E">
        <w:rPr>
          <w:sz w:val="20"/>
          <w:szCs w:val="20"/>
        </w:rPr>
        <w:fldChar w:fldCharType="begin"/>
      </w:r>
      <w:r w:rsidR="00B56106" w:rsidRPr="00A4260E">
        <w:rPr>
          <w:sz w:val="20"/>
          <w:szCs w:val="20"/>
        </w:rPr>
        <w:instrText xml:space="preserve"> SEQ CHAPTER \h \r 1</w:instrText>
      </w:r>
      <w:r w:rsidRPr="00A4260E">
        <w:rPr>
          <w:sz w:val="20"/>
          <w:szCs w:val="20"/>
        </w:rPr>
        <w:fldChar w:fldCharType="end"/>
      </w:r>
      <w:r w:rsidR="00B56106" w:rsidRPr="00A4260E">
        <w:rPr>
          <w:bCs/>
          <w:sz w:val="20"/>
          <w:szCs w:val="20"/>
        </w:rPr>
        <w:t>The intervener is not entitled to raise new issues or to adduce further evidence or otherwise to supplement the record of the parties.</w:t>
      </w:r>
    </w:p>
    <w:p w:rsidR="00B56106" w:rsidRPr="00A4260E" w:rsidRDefault="00B56106" w:rsidP="00B56106">
      <w:pPr>
        <w:spacing w:line="233" w:lineRule="auto"/>
        <w:rPr>
          <w:sz w:val="20"/>
          <w:szCs w:val="20"/>
        </w:rPr>
      </w:pPr>
    </w:p>
    <w:p w:rsidR="00B56106" w:rsidRPr="00A4260E" w:rsidRDefault="00B56106" w:rsidP="00B56106">
      <w:pPr>
        <w:spacing w:line="233" w:lineRule="auto"/>
        <w:jc w:val="both"/>
        <w:rPr>
          <w:sz w:val="20"/>
          <w:szCs w:val="20"/>
        </w:rPr>
      </w:pPr>
      <w:r w:rsidRPr="00A4260E">
        <w:rPr>
          <w:sz w:val="20"/>
          <w:szCs w:val="20"/>
        </w:rPr>
        <w:t>Pursuant to Rule 59(1)(</w:t>
      </w:r>
      <w:r w:rsidRPr="00A4260E">
        <w:rPr>
          <w:i/>
          <w:iCs/>
          <w:sz w:val="20"/>
          <w:szCs w:val="20"/>
        </w:rPr>
        <w:t>a</w:t>
      </w:r>
      <w:r w:rsidRPr="00A4260E">
        <w:rPr>
          <w:sz w:val="20"/>
          <w:szCs w:val="20"/>
        </w:rPr>
        <w:t xml:space="preserve">) of the </w:t>
      </w:r>
      <w:r w:rsidRPr="00A4260E">
        <w:rPr>
          <w:i/>
          <w:iCs/>
          <w:sz w:val="20"/>
          <w:szCs w:val="20"/>
        </w:rPr>
        <w:t>Rules of the Supreme Court of Canada</w:t>
      </w:r>
      <w:r w:rsidRPr="00A4260E">
        <w:rPr>
          <w:sz w:val="20"/>
          <w:szCs w:val="20"/>
        </w:rPr>
        <w:t>, the intervener shall pay to the appellant and respondent any additional disbursements occasioned to the appellant and respondent by its intervention.</w:t>
      </w:r>
    </w:p>
    <w:p w:rsidR="00B56106" w:rsidRPr="00A4260E" w:rsidRDefault="00B56106" w:rsidP="00B56106">
      <w:pPr>
        <w:spacing w:line="233" w:lineRule="auto"/>
        <w:rPr>
          <w:sz w:val="20"/>
          <w:szCs w:val="20"/>
        </w:rPr>
      </w:pPr>
    </w:p>
    <w:p w:rsidR="00B56106" w:rsidRPr="00A4260E" w:rsidRDefault="00B56106" w:rsidP="00B56106">
      <w:pPr>
        <w:spacing w:line="233" w:lineRule="auto"/>
        <w:rPr>
          <w:sz w:val="20"/>
          <w:szCs w:val="20"/>
        </w:rPr>
      </w:pPr>
    </w:p>
    <w:p w:rsidR="00B56106" w:rsidRPr="00A4260E" w:rsidRDefault="00B56106" w:rsidP="00B56106">
      <w:pPr>
        <w:spacing w:line="233" w:lineRule="auto"/>
        <w:rPr>
          <w:sz w:val="20"/>
          <w:szCs w:val="20"/>
        </w:rPr>
      </w:pPr>
    </w:p>
    <w:p w:rsidR="00B56106" w:rsidRPr="00A4260E" w:rsidRDefault="00B56106" w:rsidP="00B56106">
      <w:pPr>
        <w:spacing w:line="233" w:lineRule="auto"/>
        <w:jc w:val="both"/>
        <w:rPr>
          <w:sz w:val="20"/>
          <w:szCs w:val="20"/>
          <w:lang w:val="fr-FR"/>
        </w:rPr>
      </w:pPr>
      <w:r w:rsidRPr="00A4260E">
        <w:rPr>
          <w:b/>
          <w:bCs/>
          <w:sz w:val="20"/>
          <w:szCs w:val="20"/>
          <w:lang w:val="fr-CA"/>
        </w:rPr>
        <w:t xml:space="preserve">À LA SUITE DE LA DEMANDE </w:t>
      </w:r>
      <w:r w:rsidRPr="00A4260E">
        <w:rPr>
          <w:sz w:val="20"/>
          <w:szCs w:val="20"/>
          <w:lang w:val="fr-CA"/>
        </w:rPr>
        <w:t>présentée par le Procureur général de l’Ontario en vue d’intervenir dans l’appel;</w:t>
      </w:r>
    </w:p>
    <w:p w:rsidR="00B56106" w:rsidRPr="00A4260E" w:rsidRDefault="00B56106" w:rsidP="00B56106">
      <w:pPr>
        <w:spacing w:line="233" w:lineRule="auto"/>
        <w:jc w:val="both"/>
        <w:rPr>
          <w:sz w:val="20"/>
          <w:szCs w:val="20"/>
          <w:lang w:val="fr-CA"/>
        </w:rPr>
      </w:pPr>
    </w:p>
    <w:p w:rsidR="00B56106" w:rsidRPr="00A4260E" w:rsidRDefault="00B56106" w:rsidP="00B56106">
      <w:pPr>
        <w:spacing w:line="233" w:lineRule="auto"/>
        <w:jc w:val="both"/>
        <w:rPr>
          <w:sz w:val="20"/>
          <w:szCs w:val="20"/>
          <w:lang w:val="fr-CA"/>
        </w:rPr>
      </w:pPr>
      <w:r w:rsidRPr="00A4260E">
        <w:rPr>
          <w:b/>
          <w:bCs/>
          <w:sz w:val="20"/>
          <w:szCs w:val="20"/>
          <w:lang w:val="fr-CA"/>
        </w:rPr>
        <w:t xml:space="preserve">ET APRÈS EXAMEN </w:t>
      </w:r>
      <w:r w:rsidRPr="00A4260E">
        <w:rPr>
          <w:sz w:val="20"/>
          <w:szCs w:val="20"/>
          <w:lang w:val="fr-CA"/>
        </w:rPr>
        <w:t xml:space="preserve">des documents déposés; </w:t>
      </w:r>
    </w:p>
    <w:p w:rsidR="00B56106" w:rsidRPr="00A4260E" w:rsidRDefault="00B56106" w:rsidP="00B56106">
      <w:pPr>
        <w:spacing w:line="233" w:lineRule="auto"/>
        <w:jc w:val="both"/>
        <w:rPr>
          <w:sz w:val="20"/>
          <w:szCs w:val="20"/>
          <w:lang w:val="fr-CA"/>
        </w:rPr>
      </w:pPr>
    </w:p>
    <w:p w:rsidR="00B56106" w:rsidRPr="00A4260E" w:rsidRDefault="00B56106" w:rsidP="00B56106">
      <w:pPr>
        <w:spacing w:line="233" w:lineRule="auto"/>
        <w:jc w:val="both"/>
        <w:rPr>
          <w:sz w:val="20"/>
          <w:szCs w:val="20"/>
          <w:lang w:val="fr-CA"/>
        </w:rPr>
      </w:pPr>
      <w:r w:rsidRPr="00A4260E">
        <w:rPr>
          <w:b/>
          <w:bCs/>
          <w:sz w:val="20"/>
          <w:szCs w:val="20"/>
          <w:lang w:val="fr-CA"/>
        </w:rPr>
        <w:t xml:space="preserve">IL EST ORDONNÉ CE QUI SUIT : </w:t>
      </w:r>
    </w:p>
    <w:p w:rsidR="00B56106" w:rsidRPr="00A4260E" w:rsidRDefault="00B56106" w:rsidP="00B56106">
      <w:pPr>
        <w:spacing w:line="233" w:lineRule="auto"/>
        <w:jc w:val="both"/>
        <w:rPr>
          <w:sz w:val="20"/>
          <w:szCs w:val="20"/>
          <w:lang w:val="fr-CA"/>
        </w:rPr>
      </w:pPr>
    </w:p>
    <w:p w:rsidR="00B56106" w:rsidRPr="00A4260E" w:rsidRDefault="00B56106" w:rsidP="00B56106">
      <w:pPr>
        <w:spacing w:line="233" w:lineRule="auto"/>
        <w:jc w:val="both"/>
        <w:rPr>
          <w:sz w:val="20"/>
          <w:szCs w:val="20"/>
          <w:lang w:val="fr-CA"/>
        </w:rPr>
      </w:pPr>
      <w:r w:rsidRPr="00A4260E">
        <w:rPr>
          <w:sz w:val="20"/>
          <w:szCs w:val="20"/>
          <w:lang w:val="fr-CA"/>
        </w:rPr>
        <w:t xml:space="preserve">La requête </w:t>
      </w:r>
      <w:r w:rsidR="007333FF" w:rsidRPr="00A4260E">
        <w:rPr>
          <w:sz w:val="20"/>
          <w:szCs w:val="20"/>
        </w:rPr>
        <w:fldChar w:fldCharType="begin"/>
      </w:r>
      <w:r w:rsidRPr="00A4260E">
        <w:rPr>
          <w:sz w:val="20"/>
          <w:szCs w:val="20"/>
          <w:lang w:val="fr-FR"/>
        </w:rPr>
        <w:instrText xml:space="preserve"> SEQ CHAPTER \h \r 1</w:instrText>
      </w:r>
      <w:r w:rsidR="007333FF" w:rsidRPr="00A4260E">
        <w:rPr>
          <w:sz w:val="20"/>
          <w:szCs w:val="20"/>
        </w:rPr>
        <w:fldChar w:fldCharType="end"/>
      </w:r>
      <w:r w:rsidRPr="00A4260E">
        <w:rPr>
          <w:sz w:val="20"/>
          <w:szCs w:val="20"/>
          <w:lang w:val="fr-CA"/>
        </w:rPr>
        <w:t xml:space="preserve">en autorisation d’intervenir du Procureur général de l’Ontario </w:t>
      </w:r>
      <w:r w:rsidR="007333FF" w:rsidRPr="00A4260E">
        <w:rPr>
          <w:sz w:val="20"/>
          <w:szCs w:val="20"/>
        </w:rPr>
        <w:fldChar w:fldCharType="begin"/>
      </w:r>
      <w:r w:rsidRPr="00A4260E">
        <w:rPr>
          <w:sz w:val="20"/>
          <w:szCs w:val="20"/>
          <w:lang w:val="fr-FR"/>
        </w:rPr>
        <w:instrText xml:space="preserve"> SEQ CHAPTER \h \r 1</w:instrText>
      </w:r>
      <w:r w:rsidR="007333FF" w:rsidRPr="00A4260E">
        <w:rPr>
          <w:sz w:val="20"/>
          <w:szCs w:val="20"/>
        </w:rPr>
        <w:fldChar w:fldCharType="end"/>
      </w:r>
      <w:r w:rsidRPr="00A4260E">
        <w:rPr>
          <w:sz w:val="20"/>
          <w:szCs w:val="20"/>
          <w:lang w:val="fr-CA"/>
        </w:rPr>
        <w:t>est accueillie et cet intervenant pourra signifier et déposer un mémoire d’au plus 10 pages au plus tard le 18 octobre 2012.</w:t>
      </w:r>
    </w:p>
    <w:p w:rsidR="00B56106" w:rsidRPr="00A4260E" w:rsidRDefault="00B56106" w:rsidP="00B56106">
      <w:pPr>
        <w:spacing w:line="233" w:lineRule="auto"/>
        <w:jc w:val="both"/>
        <w:rPr>
          <w:sz w:val="20"/>
          <w:szCs w:val="20"/>
          <w:lang w:val="fr-CA"/>
        </w:rPr>
      </w:pPr>
    </w:p>
    <w:p w:rsidR="00B56106" w:rsidRPr="00A4260E" w:rsidRDefault="00B56106" w:rsidP="00B56106">
      <w:pPr>
        <w:spacing w:line="225" w:lineRule="auto"/>
        <w:jc w:val="both"/>
        <w:rPr>
          <w:sz w:val="20"/>
          <w:szCs w:val="20"/>
          <w:lang w:val="fr-CA"/>
        </w:rPr>
      </w:pPr>
      <w:r w:rsidRPr="00A4260E">
        <w:rPr>
          <w:sz w:val="20"/>
          <w:szCs w:val="20"/>
          <w:lang w:val="fr-CA"/>
        </w:rPr>
        <w:t xml:space="preserve">La décision sur la demande en vue de présenter une plaidoirie orale sera rendue après réception et examen des arguments écrits des parties et de l’intervenant. </w:t>
      </w:r>
    </w:p>
    <w:p w:rsidR="00B56106" w:rsidRPr="00A4260E" w:rsidRDefault="00B56106" w:rsidP="00B56106">
      <w:pPr>
        <w:spacing w:line="233" w:lineRule="auto"/>
        <w:jc w:val="both"/>
        <w:rPr>
          <w:color w:val="000000" w:themeColor="text1"/>
          <w:sz w:val="20"/>
          <w:szCs w:val="20"/>
          <w:lang w:val="fr-CA" w:eastAsia="fr-FR"/>
        </w:rPr>
      </w:pPr>
    </w:p>
    <w:p w:rsidR="00B56106" w:rsidRPr="00A4260E" w:rsidRDefault="007333FF" w:rsidP="00B56106">
      <w:pPr>
        <w:spacing w:line="233" w:lineRule="auto"/>
        <w:jc w:val="both"/>
        <w:rPr>
          <w:sz w:val="20"/>
          <w:szCs w:val="20"/>
          <w:lang w:val="fr-CA"/>
        </w:rPr>
      </w:pPr>
      <w:r w:rsidRPr="00A4260E">
        <w:rPr>
          <w:sz w:val="20"/>
          <w:szCs w:val="20"/>
        </w:rPr>
        <w:fldChar w:fldCharType="begin"/>
      </w:r>
      <w:r w:rsidR="00B56106" w:rsidRPr="00A4260E">
        <w:rPr>
          <w:sz w:val="20"/>
          <w:szCs w:val="20"/>
          <w:lang w:val="fr-FR"/>
        </w:rPr>
        <w:instrText xml:space="preserve"> SEQ CHAPTER \h \r 1</w:instrText>
      </w:r>
      <w:r w:rsidRPr="00A4260E">
        <w:rPr>
          <w:sz w:val="20"/>
          <w:szCs w:val="20"/>
        </w:rPr>
        <w:fldChar w:fldCharType="end"/>
      </w:r>
      <w:r w:rsidR="00B56106" w:rsidRPr="00A4260E">
        <w:rPr>
          <w:sz w:val="20"/>
          <w:szCs w:val="20"/>
          <w:lang w:val="fr-CA"/>
        </w:rPr>
        <w:t>L’intervenant n’a pas le droit de soulever de nouvelles questions, de produire d'autres éléments de preuve ni de compléter de quelque autre façon le dossier des parties.</w:t>
      </w:r>
    </w:p>
    <w:p w:rsidR="00B56106" w:rsidRPr="00A4260E" w:rsidRDefault="00B56106" w:rsidP="00B56106">
      <w:pPr>
        <w:spacing w:line="233" w:lineRule="auto"/>
        <w:rPr>
          <w:b/>
          <w:sz w:val="20"/>
          <w:szCs w:val="20"/>
          <w:lang w:val="fr-CA"/>
        </w:rPr>
      </w:pPr>
    </w:p>
    <w:p w:rsidR="00B56106" w:rsidRPr="00A4260E" w:rsidRDefault="007333FF" w:rsidP="00B56106">
      <w:pPr>
        <w:spacing w:line="233" w:lineRule="auto"/>
        <w:jc w:val="both"/>
        <w:rPr>
          <w:sz w:val="20"/>
          <w:szCs w:val="20"/>
          <w:lang w:val="fr-CA"/>
        </w:rPr>
      </w:pPr>
      <w:r w:rsidRPr="00A4260E">
        <w:rPr>
          <w:sz w:val="20"/>
          <w:szCs w:val="20"/>
        </w:rPr>
        <w:lastRenderedPageBreak/>
        <w:fldChar w:fldCharType="begin"/>
      </w:r>
      <w:r w:rsidR="00B56106" w:rsidRPr="00A4260E">
        <w:rPr>
          <w:sz w:val="20"/>
          <w:szCs w:val="20"/>
          <w:lang w:val="fr-FR"/>
        </w:rPr>
        <w:instrText xml:space="preserve"> SEQ CHAPTER \h \r 1</w:instrText>
      </w:r>
      <w:r w:rsidRPr="00A4260E">
        <w:rPr>
          <w:sz w:val="20"/>
          <w:szCs w:val="20"/>
        </w:rPr>
        <w:fldChar w:fldCharType="end"/>
      </w:r>
      <w:r w:rsidR="00B56106" w:rsidRPr="00A4260E">
        <w:rPr>
          <w:sz w:val="20"/>
          <w:szCs w:val="20"/>
          <w:lang w:val="fr-CA"/>
        </w:rPr>
        <w:t>Conformément à l'alinéa 59(1)(</w:t>
      </w:r>
      <w:r w:rsidR="00B56106" w:rsidRPr="00A4260E">
        <w:rPr>
          <w:i/>
          <w:iCs/>
          <w:sz w:val="20"/>
          <w:szCs w:val="20"/>
          <w:lang w:val="fr-CA"/>
        </w:rPr>
        <w:t>a</w:t>
      </w:r>
      <w:r w:rsidR="00B56106" w:rsidRPr="00A4260E">
        <w:rPr>
          <w:sz w:val="20"/>
          <w:szCs w:val="20"/>
          <w:lang w:val="fr-CA"/>
        </w:rPr>
        <w:t xml:space="preserve">) des </w:t>
      </w:r>
      <w:r w:rsidR="00B56106" w:rsidRPr="00A4260E">
        <w:rPr>
          <w:i/>
          <w:iCs/>
          <w:sz w:val="20"/>
          <w:szCs w:val="20"/>
          <w:lang w:val="fr-CA"/>
        </w:rPr>
        <w:t>Règles de la Cour suprême du Canada</w:t>
      </w:r>
      <w:r w:rsidR="00B56106" w:rsidRPr="00A4260E">
        <w:rPr>
          <w:sz w:val="20"/>
          <w:szCs w:val="20"/>
          <w:lang w:val="fr-CA"/>
        </w:rPr>
        <w:t>, l’intervenant paiera à l’appelant et à l’intimée tous débours supplémentaires résultant de son intervention.</w:t>
      </w:r>
    </w:p>
    <w:p w:rsidR="00B56106" w:rsidRPr="00A4260E" w:rsidRDefault="00B56106" w:rsidP="00B56106">
      <w:pPr>
        <w:rPr>
          <w:sz w:val="20"/>
          <w:szCs w:val="20"/>
          <w:lang w:val="fr-CA"/>
        </w:rPr>
      </w:pPr>
    </w:p>
    <w:p w:rsidR="00B56106" w:rsidRPr="00A4260E" w:rsidRDefault="007333FF" w:rsidP="00B56106">
      <w:pPr>
        <w:tabs>
          <w:tab w:val="left" w:pos="-1440"/>
          <w:tab w:val="left" w:pos="-720"/>
        </w:tabs>
        <w:jc w:val="both"/>
        <w:rPr>
          <w:sz w:val="20"/>
          <w:szCs w:val="20"/>
        </w:rPr>
      </w:pPr>
      <w:r w:rsidRPr="007333FF">
        <w:rPr>
          <w:sz w:val="20"/>
          <w:szCs w:val="20"/>
          <w:lang w:val="fr-CA"/>
        </w:rPr>
        <w:pict>
          <v:rect id="_x0000_i1136" style="width:2in;height:1pt" o:hrpct="0" o:hralign="center" o:hrstd="t" o:hrnoshade="t" o:hr="t" fillcolor="black [3213]" stroked="f"/>
        </w:pict>
      </w:r>
    </w:p>
    <w:p w:rsidR="00890FEB" w:rsidRDefault="00890FEB" w:rsidP="00831CA9">
      <w:pPr>
        <w:jc w:val="both"/>
        <w:rPr>
          <w:sz w:val="20"/>
          <w:szCs w:val="20"/>
          <w:lang w:val="fr-CA"/>
        </w:rPr>
      </w:pPr>
    </w:p>
    <w:p w:rsidR="00B56106" w:rsidRPr="00C50A5C" w:rsidRDefault="00B56106"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C832DD"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5B2CE1" w:rsidRDefault="005B2CE1" w:rsidP="003B3977">
            <w:pPr>
              <w:rPr>
                <w:sz w:val="20"/>
                <w:szCs w:val="20"/>
                <w:lang w:val="fr-CA"/>
              </w:rPr>
            </w:pPr>
            <w:r w:rsidRPr="005B2CE1">
              <w:rPr>
                <w:sz w:val="20"/>
                <w:szCs w:val="20"/>
                <w:lang w:val="fr-CA"/>
              </w:rPr>
              <w:t>18</w:t>
            </w:r>
            <w:r w:rsidR="0010587F" w:rsidRPr="005B2CE1">
              <w:rPr>
                <w:sz w:val="20"/>
                <w:szCs w:val="20"/>
                <w:lang w:val="fr-CA"/>
              </w:rPr>
              <w:t>.0</w:t>
            </w:r>
            <w:r w:rsidRPr="005B2CE1">
              <w:rPr>
                <w:sz w:val="20"/>
                <w:szCs w:val="20"/>
                <w:lang w:val="fr-CA"/>
              </w:rPr>
              <w:t>6</w:t>
            </w:r>
            <w:r w:rsidR="0010587F" w:rsidRPr="005B2CE1">
              <w:rPr>
                <w:sz w:val="20"/>
                <w:szCs w:val="20"/>
                <w:lang w:val="fr-CA"/>
              </w:rPr>
              <w:t>.201</w:t>
            </w:r>
            <w:r w:rsidR="00BC1BF6" w:rsidRPr="005B2CE1">
              <w:rPr>
                <w:sz w:val="20"/>
                <w:szCs w:val="20"/>
                <w:lang w:val="fr-CA"/>
              </w:rPr>
              <w:t>2</w:t>
            </w:r>
          </w:p>
          <w:p w:rsidR="0010587F" w:rsidRPr="005B2CE1" w:rsidRDefault="0010587F" w:rsidP="003B3977">
            <w:pPr>
              <w:rPr>
                <w:sz w:val="20"/>
                <w:szCs w:val="20"/>
                <w:lang w:val="fr-CA"/>
              </w:rPr>
            </w:pPr>
          </w:p>
          <w:p w:rsidR="0010587F" w:rsidRPr="005B2CE1" w:rsidRDefault="005B2CE1" w:rsidP="003B3977">
            <w:pPr>
              <w:rPr>
                <w:b/>
                <w:sz w:val="20"/>
                <w:szCs w:val="20"/>
                <w:lang w:val="fr-CA"/>
              </w:rPr>
            </w:pPr>
            <w:r w:rsidRPr="005B2CE1">
              <w:rPr>
                <w:b/>
                <w:sz w:val="20"/>
                <w:szCs w:val="20"/>
                <w:lang w:val="fr-CA"/>
              </w:rPr>
              <w:t>Je</w:t>
            </w:r>
            <w:r w:rsidR="00BC1BF6" w:rsidRPr="005B2CE1">
              <w:rPr>
                <w:b/>
                <w:sz w:val="20"/>
                <w:szCs w:val="20"/>
                <w:lang w:val="fr-CA"/>
              </w:rPr>
              <w:t>an</w:t>
            </w:r>
            <w:r w:rsidRPr="005B2CE1">
              <w:rPr>
                <w:b/>
                <w:sz w:val="20"/>
                <w:szCs w:val="20"/>
                <w:lang w:val="fr-CA"/>
              </w:rPr>
              <w:t>-Philippe</w:t>
            </w:r>
            <w:r w:rsidR="00BC1BF6" w:rsidRPr="005B2CE1">
              <w:rPr>
                <w:b/>
                <w:sz w:val="20"/>
                <w:szCs w:val="20"/>
                <w:lang w:val="fr-CA"/>
              </w:rPr>
              <w:t xml:space="preserve"> </w:t>
            </w:r>
            <w:r w:rsidRPr="005B2CE1">
              <w:rPr>
                <w:b/>
                <w:sz w:val="20"/>
                <w:szCs w:val="20"/>
                <w:lang w:val="fr-CA"/>
              </w:rPr>
              <w:t>Mailh</w:t>
            </w:r>
            <w:r w:rsidR="00BC1BF6" w:rsidRPr="005B2CE1">
              <w:rPr>
                <w:b/>
                <w:sz w:val="20"/>
                <w:szCs w:val="20"/>
                <w:lang w:val="fr-CA"/>
              </w:rPr>
              <w:t>o</w:t>
            </w:r>
            <w:r w:rsidRPr="005B2CE1">
              <w:rPr>
                <w:b/>
                <w:sz w:val="20"/>
                <w:szCs w:val="20"/>
                <w:lang w:val="fr-CA"/>
              </w:rPr>
              <w:t>t</w:t>
            </w:r>
          </w:p>
          <w:p w:rsidR="0010587F" w:rsidRPr="005B2CE1" w:rsidRDefault="0010587F" w:rsidP="003B3977">
            <w:pPr>
              <w:rPr>
                <w:b/>
                <w:sz w:val="20"/>
                <w:szCs w:val="20"/>
                <w:lang w:val="fr-CA"/>
              </w:rPr>
            </w:pPr>
          </w:p>
          <w:p w:rsidR="0010587F" w:rsidRPr="005B2CE1" w:rsidRDefault="0010587F" w:rsidP="003B3977">
            <w:pPr>
              <w:rPr>
                <w:b/>
                <w:sz w:val="20"/>
                <w:szCs w:val="20"/>
                <w:lang w:val="fr-CA"/>
              </w:rPr>
            </w:pPr>
            <w:r w:rsidRPr="005B2CE1">
              <w:rPr>
                <w:b/>
                <w:sz w:val="20"/>
                <w:szCs w:val="20"/>
                <w:lang w:val="fr-CA"/>
              </w:rPr>
              <w:tab/>
            </w:r>
            <w:r w:rsidR="005B2CE1">
              <w:rPr>
                <w:b/>
                <w:sz w:val="20"/>
                <w:szCs w:val="20"/>
                <w:lang w:val="fr-CA"/>
              </w:rPr>
              <w:t>c</w:t>
            </w:r>
            <w:r w:rsidRPr="005B2CE1">
              <w:rPr>
                <w:b/>
                <w:sz w:val="20"/>
                <w:szCs w:val="20"/>
                <w:lang w:val="fr-CA"/>
              </w:rPr>
              <w:t>. (3</w:t>
            </w:r>
            <w:r w:rsidR="00BC1BF6" w:rsidRPr="005B2CE1">
              <w:rPr>
                <w:b/>
                <w:sz w:val="20"/>
                <w:szCs w:val="20"/>
                <w:lang w:val="fr-CA"/>
              </w:rPr>
              <w:t>4</w:t>
            </w:r>
            <w:r w:rsidR="005B2CE1" w:rsidRPr="005B2CE1">
              <w:rPr>
                <w:b/>
                <w:sz w:val="20"/>
                <w:szCs w:val="20"/>
                <w:lang w:val="fr-CA"/>
              </w:rPr>
              <w:t>8</w:t>
            </w:r>
            <w:r w:rsidR="00BC1BF6" w:rsidRPr="005B2CE1">
              <w:rPr>
                <w:b/>
                <w:sz w:val="20"/>
                <w:szCs w:val="20"/>
                <w:lang w:val="fr-CA"/>
              </w:rPr>
              <w:t>8</w:t>
            </w:r>
            <w:r w:rsidR="005B2CE1" w:rsidRPr="005B2CE1">
              <w:rPr>
                <w:b/>
                <w:sz w:val="20"/>
                <w:szCs w:val="20"/>
                <w:lang w:val="fr-CA"/>
              </w:rPr>
              <w:t>1</w:t>
            </w:r>
            <w:r w:rsidRPr="005B2CE1">
              <w:rPr>
                <w:b/>
                <w:sz w:val="20"/>
                <w:szCs w:val="20"/>
                <w:lang w:val="fr-CA"/>
              </w:rPr>
              <w:t>)</w:t>
            </w:r>
          </w:p>
          <w:p w:rsidR="0010587F" w:rsidRPr="005B2CE1" w:rsidRDefault="0010587F" w:rsidP="003B3977">
            <w:pPr>
              <w:rPr>
                <w:b/>
                <w:sz w:val="20"/>
                <w:szCs w:val="20"/>
                <w:lang w:val="fr-CA"/>
              </w:rPr>
            </w:pPr>
          </w:p>
          <w:p w:rsidR="0010587F" w:rsidRPr="005B2CE1" w:rsidRDefault="005B2CE1" w:rsidP="003B3977">
            <w:pPr>
              <w:rPr>
                <w:b/>
                <w:sz w:val="20"/>
                <w:szCs w:val="20"/>
                <w:lang w:val="fr-CA"/>
              </w:rPr>
            </w:pPr>
            <w:r w:rsidRPr="005B2CE1">
              <w:rPr>
                <w:b/>
                <w:sz w:val="20"/>
                <w:szCs w:val="20"/>
                <w:lang w:val="fr-CA"/>
              </w:rPr>
              <w:t xml:space="preserve">Sa </w:t>
            </w:r>
            <w:r w:rsidR="0010587F" w:rsidRPr="005B2CE1">
              <w:rPr>
                <w:b/>
                <w:sz w:val="20"/>
                <w:szCs w:val="20"/>
                <w:lang w:val="fr-CA"/>
              </w:rPr>
              <w:t>Majest</w:t>
            </w:r>
            <w:r w:rsidRPr="005B2CE1">
              <w:rPr>
                <w:b/>
                <w:sz w:val="20"/>
                <w:szCs w:val="20"/>
                <w:lang w:val="fr-CA"/>
              </w:rPr>
              <w:t>é la R</w:t>
            </w:r>
            <w:r w:rsidR="0010587F" w:rsidRPr="005B2CE1">
              <w:rPr>
                <w:b/>
                <w:sz w:val="20"/>
                <w:szCs w:val="20"/>
                <w:lang w:val="fr-CA"/>
              </w:rPr>
              <w:t>e</w:t>
            </w:r>
            <w:r w:rsidRPr="005B2CE1">
              <w:rPr>
                <w:b/>
                <w:sz w:val="20"/>
                <w:szCs w:val="20"/>
                <w:lang w:val="fr-CA"/>
              </w:rPr>
              <w:t>i</w:t>
            </w:r>
            <w:r w:rsidR="0010587F" w:rsidRPr="005B2CE1">
              <w:rPr>
                <w:b/>
                <w:sz w:val="20"/>
                <w:szCs w:val="20"/>
                <w:lang w:val="fr-CA"/>
              </w:rPr>
              <w:t>n</w:t>
            </w:r>
            <w:r w:rsidRPr="005B2CE1">
              <w:rPr>
                <w:b/>
                <w:sz w:val="20"/>
                <w:szCs w:val="20"/>
                <w:lang w:val="fr-CA"/>
              </w:rPr>
              <w:t>e</w:t>
            </w:r>
            <w:r w:rsidR="0010587F" w:rsidRPr="005B2CE1">
              <w:rPr>
                <w:b/>
                <w:sz w:val="20"/>
                <w:szCs w:val="20"/>
                <w:lang w:val="fr-CA"/>
              </w:rPr>
              <w:t xml:space="preserve"> (</w:t>
            </w:r>
            <w:r w:rsidRPr="005B2CE1">
              <w:rPr>
                <w:b/>
                <w:sz w:val="20"/>
                <w:szCs w:val="20"/>
                <w:lang w:val="fr-CA"/>
              </w:rPr>
              <w:t>Qc</w:t>
            </w:r>
            <w:r w:rsidR="0010587F" w:rsidRPr="005B2CE1">
              <w:rPr>
                <w:b/>
                <w:sz w:val="20"/>
                <w:szCs w:val="20"/>
                <w:lang w:val="fr-CA"/>
              </w:rPr>
              <w:t>)</w:t>
            </w:r>
          </w:p>
          <w:p w:rsidR="0010587F" w:rsidRPr="005B2CE1" w:rsidRDefault="0010587F" w:rsidP="003B3977">
            <w:pPr>
              <w:rPr>
                <w:sz w:val="20"/>
                <w:szCs w:val="20"/>
                <w:lang w:val="fr-CA"/>
              </w:rPr>
            </w:pPr>
          </w:p>
          <w:p w:rsidR="0010587F" w:rsidRPr="003B3977" w:rsidRDefault="0010587F" w:rsidP="003B3977">
            <w:pPr>
              <w:rPr>
                <w:sz w:val="20"/>
                <w:szCs w:val="20"/>
              </w:rPr>
            </w:pPr>
            <w:r w:rsidRPr="003B3977">
              <w:rPr>
                <w:sz w:val="20"/>
                <w:szCs w:val="20"/>
              </w:rPr>
              <w:t>(</w:t>
            </w:r>
            <w:r w:rsidR="005B2CE1">
              <w:rPr>
                <w:sz w:val="20"/>
                <w:szCs w:val="20"/>
              </w:rPr>
              <w:t>De plein droit</w:t>
            </w:r>
            <w:r w:rsidRPr="003B3977">
              <w:rPr>
                <w:sz w:val="20"/>
                <w:szCs w:val="20"/>
              </w:rPr>
              <w:t>)</w:t>
            </w:r>
          </w:p>
          <w:p w:rsidR="0010587F" w:rsidRPr="003B3977" w:rsidRDefault="0010587F" w:rsidP="003B3977">
            <w:pPr>
              <w:rPr>
                <w:sz w:val="20"/>
                <w:szCs w:val="20"/>
              </w:rPr>
            </w:pPr>
          </w:p>
          <w:p w:rsidR="0010587F" w:rsidRPr="003B3977" w:rsidRDefault="007333FF" w:rsidP="003B3977">
            <w:pPr>
              <w:rPr>
                <w:sz w:val="20"/>
                <w:szCs w:val="20"/>
                <w:lang w:val="fr-CA"/>
              </w:rPr>
            </w:pPr>
            <w:r w:rsidRPr="007333FF">
              <w:rPr>
                <w:sz w:val="20"/>
                <w:szCs w:val="20"/>
                <w:lang w:val="fr-CA"/>
              </w:rPr>
              <w:pict>
                <v:rect id="_x0000_i1139"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5B2CE1" w:rsidP="003B3977">
            <w:pPr>
              <w:rPr>
                <w:sz w:val="20"/>
                <w:szCs w:val="20"/>
              </w:rPr>
            </w:pPr>
            <w:r>
              <w:rPr>
                <w:sz w:val="20"/>
                <w:szCs w:val="20"/>
              </w:rPr>
              <w:t>2</w:t>
            </w:r>
            <w:r w:rsidR="0010587F" w:rsidRPr="003B3977">
              <w:rPr>
                <w:sz w:val="20"/>
                <w:szCs w:val="20"/>
              </w:rPr>
              <w:t>0.0</w:t>
            </w:r>
            <w:r>
              <w:rPr>
                <w:sz w:val="20"/>
                <w:szCs w:val="20"/>
              </w:rPr>
              <w:t>6</w:t>
            </w:r>
            <w:r w:rsidR="0010587F" w:rsidRPr="003B3977">
              <w:rPr>
                <w:sz w:val="20"/>
                <w:szCs w:val="20"/>
              </w:rPr>
              <w:t>.201</w:t>
            </w:r>
            <w:r w:rsidR="00BC1BF6">
              <w:rPr>
                <w:sz w:val="20"/>
                <w:szCs w:val="20"/>
              </w:rPr>
              <w:t>2</w:t>
            </w:r>
          </w:p>
          <w:p w:rsidR="0010587F" w:rsidRPr="003B3977" w:rsidRDefault="0010587F" w:rsidP="003B3977">
            <w:pPr>
              <w:rPr>
                <w:sz w:val="20"/>
                <w:szCs w:val="20"/>
              </w:rPr>
            </w:pPr>
          </w:p>
          <w:p w:rsidR="0010587F" w:rsidRPr="003B3977" w:rsidRDefault="005B2CE1" w:rsidP="003B3977">
            <w:pPr>
              <w:rPr>
                <w:b/>
                <w:sz w:val="20"/>
                <w:szCs w:val="20"/>
              </w:rPr>
            </w:pPr>
            <w:r w:rsidRPr="003B3977">
              <w:rPr>
                <w:b/>
                <w:sz w:val="20"/>
                <w:szCs w:val="20"/>
              </w:rPr>
              <w:t>Her Majesty the Queen</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BC1BF6">
              <w:rPr>
                <w:b/>
                <w:sz w:val="20"/>
                <w:szCs w:val="20"/>
              </w:rPr>
              <w:t>4</w:t>
            </w:r>
            <w:r w:rsidR="004C66BF">
              <w:rPr>
                <w:b/>
                <w:sz w:val="20"/>
                <w:szCs w:val="20"/>
              </w:rPr>
              <w:t>889</w:t>
            </w:r>
            <w:r w:rsidRPr="003B3977">
              <w:rPr>
                <w:b/>
                <w:sz w:val="20"/>
                <w:szCs w:val="20"/>
              </w:rPr>
              <w:t>)</w:t>
            </w:r>
          </w:p>
          <w:p w:rsidR="0010587F" w:rsidRPr="003B3977" w:rsidRDefault="0010587F" w:rsidP="003B3977">
            <w:pPr>
              <w:rPr>
                <w:b/>
                <w:sz w:val="20"/>
                <w:szCs w:val="20"/>
              </w:rPr>
            </w:pPr>
          </w:p>
          <w:p w:rsidR="0010587F" w:rsidRPr="00BC1BF6" w:rsidRDefault="005B2CE1" w:rsidP="003B3977">
            <w:pPr>
              <w:rPr>
                <w:b/>
                <w:sz w:val="20"/>
                <w:szCs w:val="20"/>
              </w:rPr>
            </w:pPr>
            <w:r>
              <w:rPr>
                <w:b/>
                <w:sz w:val="20"/>
                <w:szCs w:val="20"/>
              </w:rPr>
              <w:t>Fredrick Owen Blacklaws</w:t>
            </w:r>
            <w:r w:rsidR="0010587F" w:rsidRPr="00BC1BF6">
              <w:rPr>
                <w:b/>
                <w:sz w:val="20"/>
                <w:szCs w:val="20"/>
              </w:rPr>
              <w:t xml:space="preserve"> (</w:t>
            </w:r>
            <w:r>
              <w:rPr>
                <w:b/>
                <w:sz w:val="20"/>
                <w:szCs w:val="20"/>
              </w:rPr>
              <w:t>B.C</w:t>
            </w:r>
            <w:r w:rsidR="0010587F" w:rsidRPr="00BC1BF6">
              <w:rPr>
                <w:b/>
                <w:sz w:val="20"/>
                <w:szCs w:val="20"/>
              </w:rPr>
              <w:t>.)</w:t>
            </w:r>
          </w:p>
          <w:p w:rsidR="0010587F" w:rsidRPr="00BC1BF6" w:rsidRDefault="0010587F" w:rsidP="003B3977">
            <w:pPr>
              <w:rPr>
                <w:sz w:val="20"/>
                <w:szCs w:val="20"/>
              </w:rPr>
            </w:pPr>
          </w:p>
          <w:p w:rsidR="0010587F" w:rsidRPr="003B3977" w:rsidRDefault="0010587F" w:rsidP="003B3977">
            <w:pPr>
              <w:rPr>
                <w:sz w:val="20"/>
                <w:szCs w:val="20"/>
              </w:rPr>
            </w:pPr>
            <w:r w:rsidRPr="003B3977">
              <w:rPr>
                <w:sz w:val="20"/>
                <w:szCs w:val="20"/>
              </w:rPr>
              <w:t>(</w:t>
            </w:r>
            <w:r w:rsidR="005B2CE1">
              <w:rPr>
                <w:sz w:val="20"/>
                <w:szCs w:val="20"/>
              </w:rPr>
              <w:t>As of Right</w:t>
            </w:r>
            <w:r w:rsidRPr="003B3977">
              <w:rPr>
                <w:sz w:val="20"/>
                <w:szCs w:val="20"/>
              </w:rPr>
              <w:t>)</w:t>
            </w:r>
          </w:p>
          <w:p w:rsidR="0010587F" w:rsidRPr="003B3977" w:rsidRDefault="0010587F" w:rsidP="003B3977">
            <w:pPr>
              <w:rPr>
                <w:sz w:val="20"/>
                <w:szCs w:val="20"/>
              </w:rPr>
            </w:pPr>
          </w:p>
          <w:p w:rsidR="0010587F" w:rsidRPr="003B3977" w:rsidRDefault="007333FF" w:rsidP="003B3977">
            <w:pPr>
              <w:rPr>
                <w:sz w:val="20"/>
                <w:szCs w:val="20"/>
              </w:rPr>
            </w:pPr>
            <w:r w:rsidRPr="007333FF">
              <w:rPr>
                <w:sz w:val="20"/>
                <w:szCs w:val="20"/>
                <w:lang w:val="fr-CA"/>
              </w:rPr>
              <w:pict>
                <v:rect id="_x0000_i1140" style="width:106.1pt;height:1pt" o:hrpct="500" o:hralign="center" o:hrstd="t" o:hrnoshade="t" o:hr="t" fillcolor="black [3213]" stroked="f"/>
              </w:pict>
            </w:r>
          </w:p>
        </w:tc>
      </w:tr>
      <w:tr w:rsidR="005B2CE1" w:rsidRPr="003B3977" w:rsidTr="0010587F">
        <w:trPr>
          <w:cantSplit/>
        </w:trPr>
        <w:tc>
          <w:tcPr>
            <w:tcW w:w="2206" w:type="pct"/>
            <w:tcMar>
              <w:left w:w="0" w:type="dxa"/>
              <w:right w:w="0" w:type="dxa"/>
            </w:tcMar>
          </w:tcPr>
          <w:p w:rsidR="005B2CE1" w:rsidRPr="003B3977" w:rsidRDefault="005B2CE1" w:rsidP="005B2CE1">
            <w:pPr>
              <w:rPr>
                <w:sz w:val="20"/>
                <w:szCs w:val="20"/>
              </w:rPr>
            </w:pPr>
            <w:r w:rsidRPr="003B3977">
              <w:rPr>
                <w:sz w:val="20"/>
                <w:szCs w:val="20"/>
              </w:rPr>
              <w:t>0</w:t>
            </w:r>
            <w:r>
              <w:rPr>
                <w:sz w:val="20"/>
                <w:szCs w:val="20"/>
              </w:rPr>
              <w:t>2</w:t>
            </w:r>
            <w:r w:rsidRPr="003B3977">
              <w:rPr>
                <w:sz w:val="20"/>
                <w:szCs w:val="20"/>
              </w:rPr>
              <w:t>.0</w:t>
            </w:r>
            <w:r>
              <w:rPr>
                <w:sz w:val="20"/>
                <w:szCs w:val="20"/>
              </w:rPr>
              <w:t>8</w:t>
            </w:r>
            <w:r w:rsidRPr="003B3977">
              <w:rPr>
                <w:sz w:val="20"/>
                <w:szCs w:val="20"/>
              </w:rPr>
              <w:t>.201</w:t>
            </w:r>
            <w:r>
              <w:rPr>
                <w:sz w:val="20"/>
                <w:szCs w:val="20"/>
              </w:rPr>
              <w:t>2</w:t>
            </w:r>
          </w:p>
          <w:p w:rsidR="005B2CE1" w:rsidRPr="003B3977" w:rsidRDefault="005B2CE1" w:rsidP="005B2CE1">
            <w:pPr>
              <w:rPr>
                <w:sz w:val="20"/>
                <w:szCs w:val="20"/>
              </w:rPr>
            </w:pPr>
          </w:p>
          <w:p w:rsidR="005B2CE1" w:rsidRPr="003B3977" w:rsidRDefault="005B2CE1" w:rsidP="005B2CE1">
            <w:pPr>
              <w:rPr>
                <w:b/>
                <w:sz w:val="20"/>
                <w:szCs w:val="20"/>
              </w:rPr>
            </w:pPr>
            <w:r>
              <w:rPr>
                <w:b/>
                <w:sz w:val="20"/>
                <w:szCs w:val="20"/>
              </w:rPr>
              <w:t>Thanh Lo</w:t>
            </w:r>
            <w:r w:rsidRPr="003B3977">
              <w:rPr>
                <w:b/>
                <w:sz w:val="20"/>
                <w:szCs w:val="20"/>
              </w:rPr>
              <w:t>n</w:t>
            </w:r>
            <w:r>
              <w:rPr>
                <w:b/>
                <w:sz w:val="20"/>
                <w:szCs w:val="20"/>
              </w:rPr>
              <w:t>g Vu</w:t>
            </w:r>
          </w:p>
          <w:p w:rsidR="005B2CE1" w:rsidRPr="003B3977" w:rsidRDefault="005B2CE1" w:rsidP="005B2CE1">
            <w:pPr>
              <w:rPr>
                <w:b/>
                <w:sz w:val="20"/>
                <w:szCs w:val="20"/>
              </w:rPr>
            </w:pPr>
          </w:p>
          <w:p w:rsidR="005B2CE1" w:rsidRPr="003B3977" w:rsidRDefault="005B2CE1" w:rsidP="005B2CE1">
            <w:pPr>
              <w:rPr>
                <w:b/>
                <w:sz w:val="20"/>
                <w:szCs w:val="20"/>
              </w:rPr>
            </w:pPr>
            <w:r w:rsidRPr="003B3977">
              <w:rPr>
                <w:b/>
                <w:sz w:val="20"/>
                <w:szCs w:val="20"/>
              </w:rPr>
              <w:tab/>
              <w:t>v. (3</w:t>
            </w:r>
            <w:r>
              <w:rPr>
                <w:b/>
                <w:sz w:val="20"/>
                <w:szCs w:val="20"/>
              </w:rPr>
              <w:t>4687</w:t>
            </w:r>
            <w:r w:rsidRPr="003B3977">
              <w:rPr>
                <w:b/>
                <w:sz w:val="20"/>
                <w:szCs w:val="20"/>
              </w:rPr>
              <w:t>)</w:t>
            </w:r>
          </w:p>
          <w:p w:rsidR="005B2CE1" w:rsidRPr="003B3977" w:rsidRDefault="005B2CE1" w:rsidP="005B2CE1">
            <w:pPr>
              <w:rPr>
                <w:b/>
                <w:sz w:val="20"/>
                <w:szCs w:val="20"/>
              </w:rPr>
            </w:pPr>
          </w:p>
          <w:p w:rsidR="005B2CE1" w:rsidRPr="003B3977" w:rsidRDefault="005B2CE1" w:rsidP="005B2CE1">
            <w:pPr>
              <w:rPr>
                <w:b/>
                <w:sz w:val="20"/>
                <w:szCs w:val="20"/>
              </w:rPr>
            </w:pPr>
            <w:r w:rsidRPr="003B3977">
              <w:rPr>
                <w:b/>
                <w:sz w:val="20"/>
                <w:szCs w:val="20"/>
              </w:rPr>
              <w:t>Her Majesty the Queen (</w:t>
            </w:r>
            <w:r>
              <w:rPr>
                <w:b/>
                <w:sz w:val="20"/>
                <w:szCs w:val="20"/>
              </w:rPr>
              <w:t>B.C</w:t>
            </w:r>
            <w:r w:rsidRPr="003B3977">
              <w:rPr>
                <w:b/>
                <w:sz w:val="20"/>
                <w:szCs w:val="20"/>
              </w:rPr>
              <w:t>.)</w:t>
            </w:r>
          </w:p>
          <w:p w:rsidR="005B2CE1" w:rsidRPr="003B3977" w:rsidRDefault="005B2CE1" w:rsidP="005B2CE1">
            <w:pPr>
              <w:rPr>
                <w:sz w:val="20"/>
                <w:szCs w:val="20"/>
              </w:rPr>
            </w:pPr>
          </w:p>
          <w:p w:rsidR="005B2CE1" w:rsidRPr="003B3977" w:rsidRDefault="005B2CE1" w:rsidP="005B2CE1">
            <w:pPr>
              <w:rPr>
                <w:sz w:val="20"/>
                <w:szCs w:val="20"/>
              </w:rPr>
            </w:pPr>
            <w:r w:rsidRPr="003B3977">
              <w:rPr>
                <w:sz w:val="20"/>
                <w:szCs w:val="20"/>
              </w:rPr>
              <w:t>(</w:t>
            </w:r>
            <w:r>
              <w:rPr>
                <w:sz w:val="20"/>
                <w:szCs w:val="20"/>
              </w:rPr>
              <w:t>By Leave</w:t>
            </w:r>
            <w:r w:rsidRPr="003B3977">
              <w:rPr>
                <w:sz w:val="20"/>
                <w:szCs w:val="20"/>
              </w:rPr>
              <w:t>)</w:t>
            </w:r>
          </w:p>
          <w:p w:rsidR="005B2CE1" w:rsidRPr="003B3977" w:rsidRDefault="005B2CE1" w:rsidP="005B2CE1">
            <w:pPr>
              <w:rPr>
                <w:sz w:val="20"/>
                <w:szCs w:val="20"/>
              </w:rPr>
            </w:pPr>
          </w:p>
          <w:p w:rsidR="005B2CE1" w:rsidRPr="003B3977" w:rsidRDefault="007333FF" w:rsidP="005B2CE1">
            <w:pPr>
              <w:rPr>
                <w:sz w:val="20"/>
                <w:szCs w:val="20"/>
              </w:rPr>
            </w:pPr>
            <w:r w:rsidRPr="007333FF">
              <w:rPr>
                <w:sz w:val="20"/>
                <w:szCs w:val="20"/>
                <w:lang w:val="fr-CA"/>
              </w:rPr>
              <w:pict>
                <v:rect id="_x0000_i1141" style="width:106.1pt;height:1pt" o:hrpct="500" o:hralign="center" o:hrstd="t" o:hrnoshade="t" o:hr="t" fillcolor="black [3213]" stroked="f"/>
              </w:pict>
            </w:r>
          </w:p>
        </w:tc>
        <w:tc>
          <w:tcPr>
            <w:tcW w:w="588" w:type="pct"/>
          </w:tcPr>
          <w:p w:rsidR="005B2CE1" w:rsidRDefault="005B2CE1" w:rsidP="0010587F">
            <w:pPr>
              <w:jc w:val="center"/>
              <w:rPr>
                <w:sz w:val="20"/>
                <w:szCs w:val="20"/>
              </w:rPr>
            </w:pPr>
          </w:p>
          <w:p w:rsidR="005B2CE1" w:rsidRDefault="005B2CE1" w:rsidP="0010587F">
            <w:pPr>
              <w:jc w:val="center"/>
              <w:rPr>
                <w:sz w:val="20"/>
                <w:szCs w:val="20"/>
              </w:rPr>
            </w:pPr>
          </w:p>
          <w:p w:rsidR="005B2CE1" w:rsidRDefault="005B2CE1" w:rsidP="0010587F">
            <w:pPr>
              <w:jc w:val="center"/>
              <w:rPr>
                <w:sz w:val="20"/>
                <w:szCs w:val="20"/>
              </w:rPr>
            </w:pPr>
          </w:p>
          <w:p w:rsidR="005B2CE1" w:rsidRDefault="005B2CE1" w:rsidP="0010587F">
            <w:pPr>
              <w:jc w:val="center"/>
              <w:rPr>
                <w:sz w:val="20"/>
                <w:szCs w:val="20"/>
              </w:rPr>
            </w:pPr>
          </w:p>
          <w:p w:rsidR="005B2CE1" w:rsidRDefault="005B2CE1" w:rsidP="0010587F">
            <w:pPr>
              <w:jc w:val="center"/>
              <w:rPr>
                <w:sz w:val="20"/>
                <w:szCs w:val="20"/>
              </w:rPr>
            </w:pPr>
          </w:p>
          <w:p w:rsidR="005B2CE1" w:rsidRDefault="005B2CE1" w:rsidP="0010587F">
            <w:pPr>
              <w:jc w:val="center"/>
              <w:rPr>
                <w:sz w:val="20"/>
                <w:szCs w:val="20"/>
              </w:rPr>
            </w:pPr>
          </w:p>
          <w:p w:rsidR="005B2CE1" w:rsidRDefault="005B2CE1" w:rsidP="0010587F">
            <w:pPr>
              <w:jc w:val="center"/>
              <w:rPr>
                <w:sz w:val="20"/>
                <w:szCs w:val="20"/>
              </w:rPr>
            </w:pPr>
          </w:p>
          <w:p w:rsidR="005B2CE1" w:rsidRDefault="005B2CE1" w:rsidP="0010587F">
            <w:pPr>
              <w:jc w:val="center"/>
              <w:rPr>
                <w:sz w:val="20"/>
                <w:szCs w:val="20"/>
              </w:rPr>
            </w:pPr>
          </w:p>
          <w:p w:rsidR="005B2CE1" w:rsidRDefault="005B2CE1" w:rsidP="0010587F">
            <w:pPr>
              <w:jc w:val="center"/>
              <w:rPr>
                <w:sz w:val="20"/>
                <w:szCs w:val="20"/>
              </w:rPr>
            </w:pPr>
          </w:p>
          <w:p w:rsidR="005B2CE1" w:rsidRDefault="005B2CE1" w:rsidP="0010587F">
            <w:pPr>
              <w:jc w:val="center"/>
              <w:rPr>
                <w:sz w:val="20"/>
                <w:szCs w:val="20"/>
              </w:rPr>
            </w:pPr>
          </w:p>
          <w:p w:rsidR="005B2CE1" w:rsidRDefault="005B2CE1" w:rsidP="0010587F">
            <w:pPr>
              <w:jc w:val="center"/>
              <w:rPr>
                <w:sz w:val="20"/>
                <w:szCs w:val="20"/>
              </w:rPr>
            </w:pPr>
          </w:p>
          <w:p w:rsidR="005B2CE1" w:rsidRPr="003B3977" w:rsidRDefault="005B2CE1" w:rsidP="0010587F">
            <w:pPr>
              <w:jc w:val="center"/>
              <w:rPr>
                <w:sz w:val="20"/>
                <w:szCs w:val="20"/>
              </w:rPr>
            </w:pPr>
          </w:p>
        </w:tc>
        <w:tc>
          <w:tcPr>
            <w:tcW w:w="2206" w:type="pct"/>
          </w:tcPr>
          <w:p w:rsidR="005B2CE1" w:rsidRPr="003B3977" w:rsidRDefault="005B2CE1" w:rsidP="005B2CE1">
            <w:pPr>
              <w:rPr>
                <w:sz w:val="20"/>
                <w:szCs w:val="20"/>
              </w:rPr>
            </w:pPr>
            <w:r w:rsidRPr="003B3977">
              <w:rPr>
                <w:sz w:val="20"/>
                <w:szCs w:val="20"/>
              </w:rPr>
              <w:t>0</w:t>
            </w:r>
            <w:r>
              <w:rPr>
                <w:sz w:val="20"/>
                <w:szCs w:val="20"/>
              </w:rPr>
              <w:t>3</w:t>
            </w:r>
            <w:r w:rsidRPr="003B3977">
              <w:rPr>
                <w:sz w:val="20"/>
                <w:szCs w:val="20"/>
              </w:rPr>
              <w:t>.0</w:t>
            </w:r>
            <w:r>
              <w:rPr>
                <w:sz w:val="20"/>
                <w:szCs w:val="20"/>
              </w:rPr>
              <w:t>8</w:t>
            </w:r>
            <w:r w:rsidRPr="003B3977">
              <w:rPr>
                <w:sz w:val="20"/>
                <w:szCs w:val="20"/>
              </w:rPr>
              <w:t>.201</w:t>
            </w:r>
            <w:r>
              <w:rPr>
                <w:sz w:val="20"/>
                <w:szCs w:val="20"/>
              </w:rPr>
              <w:t>2</w:t>
            </w:r>
          </w:p>
          <w:p w:rsidR="005B2CE1" w:rsidRPr="003B3977" w:rsidRDefault="005B2CE1" w:rsidP="005B2CE1">
            <w:pPr>
              <w:rPr>
                <w:sz w:val="20"/>
                <w:szCs w:val="20"/>
              </w:rPr>
            </w:pPr>
          </w:p>
          <w:p w:rsidR="005B2CE1" w:rsidRPr="003B3977" w:rsidRDefault="005B2CE1" w:rsidP="005B2CE1">
            <w:pPr>
              <w:rPr>
                <w:b/>
                <w:sz w:val="20"/>
                <w:szCs w:val="20"/>
              </w:rPr>
            </w:pPr>
            <w:r>
              <w:rPr>
                <w:b/>
                <w:sz w:val="20"/>
                <w:szCs w:val="20"/>
              </w:rPr>
              <w:t>Daishowa-Marubeni International Ltd.</w:t>
            </w:r>
          </w:p>
          <w:p w:rsidR="005B2CE1" w:rsidRPr="003B3977" w:rsidRDefault="005B2CE1" w:rsidP="005B2CE1">
            <w:pPr>
              <w:rPr>
                <w:b/>
                <w:sz w:val="20"/>
                <w:szCs w:val="20"/>
              </w:rPr>
            </w:pPr>
          </w:p>
          <w:p w:rsidR="005B2CE1" w:rsidRPr="003B3977" w:rsidRDefault="005B2CE1" w:rsidP="005B2CE1">
            <w:pPr>
              <w:rPr>
                <w:b/>
                <w:sz w:val="20"/>
                <w:szCs w:val="20"/>
              </w:rPr>
            </w:pPr>
            <w:r w:rsidRPr="003B3977">
              <w:rPr>
                <w:b/>
                <w:sz w:val="20"/>
                <w:szCs w:val="20"/>
              </w:rPr>
              <w:tab/>
              <w:t>v. (3</w:t>
            </w:r>
            <w:r>
              <w:rPr>
                <w:b/>
                <w:sz w:val="20"/>
                <w:szCs w:val="20"/>
              </w:rPr>
              <w:t>4534</w:t>
            </w:r>
            <w:r w:rsidRPr="003B3977">
              <w:rPr>
                <w:b/>
                <w:sz w:val="20"/>
                <w:szCs w:val="20"/>
              </w:rPr>
              <w:t>)</w:t>
            </w:r>
          </w:p>
          <w:p w:rsidR="005B2CE1" w:rsidRPr="003B3977" w:rsidRDefault="005B2CE1" w:rsidP="005B2CE1">
            <w:pPr>
              <w:rPr>
                <w:b/>
                <w:sz w:val="20"/>
                <w:szCs w:val="20"/>
              </w:rPr>
            </w:pPr>
          </w:p>
          <w:p w:rsidR="005B2CE1" w:rsidRPr="00BC1BF6" w:rsidRDefault="005B2CE1" w:rsidP="005B2CE1">
            <w:pPr>
              <w:rPr>
                <w:b/>
                <w:sz w:val="20"/>
                <w:szCs w:val="20"/>
              </w:rPr>
            </w:pPr>
            <w:r w:rsidRPr="003B3977">
              <w:rPr>
                <w:b/>
                <w:sz w:val="20"/>
                <w:szCs w:val="20"/>
              </w:rPr>
              <w:t>Her Majesty the Queen</w:t>
            </w:r>
            <w:r w:rsidRPr="00BC1BF6">
              <w:rPr>
                <w:b/>
                <w:sz w:val="20"/>
                <w:szCs w:val="20"/>
              </w:rPr>
              <w:t xml:space="preserve"> (</w:t>
            </w:r>
            <w:r w:rsidR="007C78E1">
              <w:rPr>
                <w:b/>
                <w:sz w:val="20"/>
                <w:szCs w:val="20"/>
              </w:rPr>
              <w:t>F.C</w:t>
            </w:r>
            <w:r w:rsidRPr="00BC1BF6">
              <w:rPr>
                <w:b/>
                <w:sz w:val="20"/>
                <w:szCs w:val="20"/>
              </w:rPr>
              <w:t>.)</w:t>
            </w:r>
          </w:p>
          <w:p w:rsidR="005B2CE1" w:rsidRPr="00BC1BF6" w:rsidRDefault="005B2CE1" w:rsidP="005B2CE1">
            <w:pPr>
              <w:rPr>
                <w:sz w:val="20"/>
                <w:szCs w:val="20"/>
              </w:rPr>
            </w:pPr>
          </w:p>
          <w:p w:rsidR="005B2CE1" w:rsidRPr="003B3977" w:rsidRDefault="005B2CE1" w:rsidP="005B2CE1">
            <w:pPr>
              <w:rPr>
                <w:sz w:val="20"/>
                <w:szCs w:val="20"/>
              </w:rPr>
            </w:pPr>
            <w:r w:rsidRPr="003B3977">
              <w:rPr>
                <w:sz w:val="20"/>
                <w:szCs w:val="20"/>
              </w:rPr>
              <w:t>(</w:t>
            </w:r>
            <w:r>
              <w:rPr>
                <w:sz w:val="20"/>
                <w:szCs w:val="20"/>
              </w:rPr>
              <w:t>By Leave</w:t>
            </w:r>
            <w:r w:rsidRPr="003B3977">
              <w:rPr>
                <w:sz w:val="20"/>
                <w:szCs w:val="20"/>
              </w:rPr>
              <w:t>)</w:t>
            </w:r>
          </w:p>
          <w:p w:rsidR="005B2CE1" w:rsidRPr="003B3977" w:rsidRDefault="005B2CE1" w:rsidP="005B2CE1">
            <w:pPr>
              <w:rPr>
                <w:sz w:val="20"/>
                <w:szCs w:val="20"/>
              </w:rPr>
            </w:pPr>
          </w:p>
          <w:p w:rsidR="005B2CE1" w:rsidRPr="003B3977" w:rsidRDefault="007333FF" w:rsidP="005B2CE1">
            <w:pPr>
              <w:rPr>
                <w:sz w:val="20"/>
                <w:szCs w:val="20"/>
              </w:rPr>
            </w:pPr>
            <w:r w:rsidRPr="007333FF">
              <w:rPr>
                <w:sz w:val="20"/>
                <w:szCs w:val="20"/>
                <w:lang w:val="fr-CA"/>
              </w:rPr>
              <w:pict>
                <v:rect id="_x0000_i1142" style="width:106.1pt;height:1pt" o:hrpct="500" o:hralign="center" o:hrstd="t" o:hrnoshade="t" o:hr="t" fillcolor="black [3213]" stroked="f"/>
              </w:pict>
            </w:r>
          </w:p>
        </w:tc>
      </w:tr>
      <w:tr w:rsidR="005B2CE1" w:rsidRPr="003B3977" w:rsidTr="0010587F">
        <w:trPr>
          <w:cantSplit/>
        </w:trPr>
        <w:tc>
          <w:tcPr>
            <w:tcW w:w="2206" w:type="pct"/>
            <w:tcMar>
              <w:left w:w="0" w:type="dxa"/>
              <w:right w:w="0" w:type="dxa"/>
            </w:tcMar>
          </w:tcPr>
          <w:p w:rsidR="005B2CE1" w:rsidRPr="005B2CE1" w:rsidRDefault="005B2CE1" w:rsidP="005B2CE1">
            <w:pPr>
              <w:rPr>
                <w:sz w:val="20"/>
                <w:szCs w:val="20"/>
                <w:lang w:val="fr-CA"/>
              </w:rPr>
            </w:pPr>
            <w:r w:rsidRPr="005B2CE1">
              <w:rPr>
                <w:sz w:val="20"/>
                <w:szCs w:val="20"/>
                <w:lang w:val="fr-CA"/>
              </w:rPr>
              <w:t>20.08.2012</w:t>
            </w:r>
          </w:p>
          <w:p w:rsidR="005B2CE1" w:rsidRPr="005B2CE1" w:rsidRDefault="005B2CE1" w:rsidP="005B2CE1">
            <w:pPr>
              <w:rPr>
                <w:sz w:val="20"/>
                <w:szCs w:val="20"/>
                <w:lang w:val="fr-CA"/>
              </w:rPr>
            </w:pPr>
          </w:p>
          <w:p w:rsidR="005B2CE1" w:rsidRPr="005B2CE1" w:rsidRDefault="005B2CE1" w:rsidP="005B2CE1">
            <w:pPr>
              <w:rPr>
                <w:b/>
                <w:sz w:val="20"/>
                <w:szCs w:val="20"/>
                <w:lang w:val="fr-CA"/>
              </w:rPr>
            </w:pPr>
            <w:r w:rsidRPr="005B2CE1">
              <w:rPr>
                <w:b/>
                <w:sz w:val="20"/>
                <w:szCs w:val="20"/>
                <w:lang w:val="fr-CA"/>
              </w:rPr>
              <w:t>La Souveraine, Compagnie d’assurance générale</w:t>
            </w:r>
          </w:p>
          <w:p w:rsidR="005B2CE1" w:rsidRPr="005B2CE1" w:rsidRDefault="005B2CE1" w:rsidP="005B2CE1">
            <w:pPr>
              <w:rPr>
                <w:b/>
                <w:sz w:val="20"/>
                <w:szCs w:val="20"/>
                <w:lang w:val="fr-CA"/>
              </w:rPr>
            </w:pPr>
          </w:p>
          <w:p w:rsidR="005B2CE1" w:rsidRPr="005B2CE1" w:rsidRDefault="005B2CE1" w:rsidP="005B2CE1">
            <w:pPr>
              <w:rPr>
                <w:b/>
                <w:sz w:val="20"/>
                <w:szCs w:val="20"/>
                <w:lang w:val="fr-CA"/>
              </w:rPr>
            </w:pPr>
            <w:r w:rsidRPr="005B2CE1">
              <w:rPr>
                <w:b/>
                <w:sz w:val="20"/>
                <w:szCs w:val="20"/>
                <w:lang w:val="fr-CA"/>
              </w:rPr>
              <w:tab/>
            </w:r>
            <w:r>
              <w:rPr>
                <w:b/>
                <w:sz w:val="20"/>
                <w:szCs w:val="20"/>
                <w:lang w:val="fr-CA"/>
              </w:rPr>
              <w:t>c</w:t>
            </w:r>
            <w:r w:rsidRPr="005B2CE1">
              <w:rPr>
                <w:b/>
                <w:sz w:val="20"/>
                <w:szCs w:val="20"/>
                <w:lang w:val="fr-CA"/>
              </w:rPr>
              <w:t>. (34699)</w:t>
            </w:r>
          </w:p>
          <w:p w:rsidR="005B2CE1" w:rsidRPr="005B2CE1" w:rsidRDefault="005B2CE1" w:rsidP="005B2CE1">
            <w:pPr>
              <w:rPr>
                <w:b/>
                <w:sz w:val="20"/>
                <w:szCs w:val="20"/>
                <w:lang w:val="fr-CA"/>
              </w:rPr>
            </w:pPr>
          </w:p>
          <w:p w:rsidR="005B2CE1" w:rsidRPr="005B2CE1" w:rsidRDefault="005B2CE1" w:rsidP="005B2CE1">
            <w:pPr>
              <w:rPr>
                <w:b/>
                <w:sz w:val="20"/>
                <w:szCs w:val="20"/>
                <w:lang w:val="fr-CA"/>
              </w:rPr>
            </w:pPr>
            <w:r>
              <w:rPr>
                <w:b/>
                <w:sz w:val="20"/>
                <w:szCs w:val="20"/>
                <w:lang w:val="fr-CA"/>
              </w:rPr>
              <w:t>Autorité des marchés financiers</w:t>
            </w:r>
            <w:r w:rsidRPr="005B2CE1">
              <w:rPr>
                <w:b/>
                <w:sz w:val="20"/>
                <w:szCs w:val="20"/>
                <w:lang w:val="fr-CA"/>
              </w:rPr>
              <w:t xml:space="preserve"> (Qc)</w:t>
            </w:r>
          </w:p>
          <w:p w:rsidR="005B2CE1" w:rsidRPr="005B2CE1" w:rsidRDefault="005B2CE1" w:rsidP="005B2CE1">
            <w:pPr>
              <w:rPr>
                <w:sz w:val="20"/>
                <w:szCs w:val="20"/>
                <w:lang w:val="fr-CA"/>
              </w:rPr>
            </w:pPr>
          </w:p>
          <w:p w:rsidR="005B2CE1" w:rsidRPr="003B3977" w:rsidRDefault="005B2CE1" w:rsidP="005B2CE1">
            <w:pPr>
              <w:rPr>
                <w:sz w:val="20"/>
                <w:szCs w:val="20"/>
              </w:rPr>
            </w:pPr>
            <w:r w:rsidRPr="003B3977">
              <w:rPr>
                <w:sz w:val="20"/>
                <w:szCs w:val="20"/>
              </w:rPr>
              <w:t>(</w:t>
            </w:r>
            <w:r>
              <w:rPr>
                <w:sz w:val="20"/>
                <w:szCs w:val="20"/>
              </w:rPr>
              <w:t>Autorisation</w:t>
            </w:r>
            <w:r w:rsidRPr="003B3977">
              <w:rPr>
                <w:sz w:val="20"/>
                <w:szCs w:val="20"/>
              </w:rPr>
              <w:t>)</w:t>
            </w:r>
          </w:p>
          <w:p w:rsidR="005B2CE1" w:rsidRPr="003B3977" w:rsidRDefault="005B2CE1" w:rsidP="005B2CE1">
            <w:pPr>
              <w:rPr>
                <w:sz w:val="20"/>
                <w:szCs w:val="20"/>
              </w:rPr>
            </w:pPr>
          </w:p>
          <w:p w:rsidR="005B2CE1" w:rsidRPr="003B3977" w:rsidRDefault="007333FF" w:rsidP="005B2CE1">
            <w:pPr>
              <w:rPr>
                <w:sz w:val="20"/>
                <w:szCs w:val="20"/>
              </w:rPr>
            </w:pPr>
            <w:r w:rsidRPr="007333FF">
              <w:rPr>
                <w:sz w:val="20"/>
                <w:szCs w:val="20"/>
                <w:lang w:val="fr-CA"/>
              </w:rPr>
              <w:pict>
                <v:rect id="_x0000_i1143" style="width:106.1pt;height:1pt" o:hrpct="500" o:hralign="center" o:hrstd="t" o:hrnoshade="t" o:hr="t" fillcolor="black [3213]" stroked="f"/>
              </w:pict>
            </w:r>
          </w:p>
        </w:tc>
        <w:tc>
          <w:tcPr>
            <w:tcW w:w="588" w:type="pct"/>
          </w:tcPr>
          <w:p w:rsidR="005B2CE1" w:rsidRDefault="005B2CE1" w:rsidP="0010587F">
            <w:pPr>
              <w:jc w:val="center"/>
              <w:rPr>
                <w:sz w:val="20"/>
                <w:szCs w:val="20"/>
              </w:rPr>
            </w:pPr>
          </w:p>
          <w:p w:rsidR="005B2CE1" w:rsidRDefault="005B2CE1" w:rsidP="0010587F">
            <w:pPr>
              <w:jc w:val="center"/>
              <w:rPr>
                <w:sz w:val="20"/>
                <w:szCs w:val="20"/>
              </w:rPr>
            </w:pPr>
          </w:p>
          <w:p w:rsidR="005B2CE1" w:rsidRDefault="005B2CE1" w:rsidP="0010587F">
            <w:pPr>
              <w:jc w:val="center"/>
              <w:rPr>
                <w:sz w:val="20"/>
                <w:szCs w:val="20"/>
              </w:rPr>
            </w:pPr>
          </w:p>
          <w:p w:rsidR="005B2CE1" w:rsidRDefault="005B2CE1" w:rsidP="0010587F">
            <w:pPr>
              <w:jc w:val="center"/>
              <w:rPr>
                <w:sz w:val="20"/>
                <w:szCs w:val="20"/>
              </w:rPr>
            </w:pPr>
          </w:p>
          <w:p w:rsidR="005B2CE1" w:rsidRDefault="005B2CE1" w:rsidP="0010587F">
            <w:pPr>
              <w:jc w:val="center"/>
              <w:rPr>
                <w:sz w:val="20"/>
                <w:szCs w:val="20"/>
              </w:rPr>
            </w:pPr>
          </w:p>
          <w:p w:rsidR="005B2CE1" w:rsidRDefault="005B2CE1" w:rsidP="0010587F">
            <w:pPr>
              <w:jc w:val="center"/>
              <w:rPr>
                <w:sz w:val="20"/>
                <w:szCs w:val="20"/>
              </w:rPr>
            </w:pPr>
          </w:p>
          <w:p w:rsidR="005B2CE1" w:rsidRDefault="005B2CE1" w:rsidP="0010587F">
            <w:pPr>
              <w:jc w:val="center"/>
              <w:rPr>
                <w:sz w:val="20"/>
                <w:szCs w:val="20"/>
              </w:rPr>
            </w:pPr>
          </w:p>
          <w:p w:rsidR="005B2CE1" w:rsidRDefault="005B2CE1" w:rsidP="0010587F">
            <w:pPr>
              <w:jc w:val="center"/>
              <w:rPr>
                <w:sz w:val="20"/>
                <w:szCs w:val="20"/>
              </w:rPr>
            </w:pPr>
          </w:p>
          <w:p w:rsidR="005B2CE1" w:rsidRDefault="005B2CE1" w:rsidP="0010587F">
            <w:pPr>
              <w:jc w:val="center"/>
              <w:rPr>
                <w:sz w:val="20"/>
                <w:szCs w:val="20"/>
              </w:rPr>
            </w:pPr>
          </w:p>
          <w:p w:rsidR="005B2CE1" w:rsidRDefault="005B2CE1" w:rsidP="0010587F">
            <w:pPr>
              <w:jc w:val="center"/>
              <w:rPr>
                <w:sz w:val="20"/>
                <w:szCs w:val="20"/>
              </w:rPr>
            </w:pPr>
          </w:p>
          <w:p w:rsidR="005B2CE1" w:rsidRPr="003B3977" w:rsidRDefault="005B2CE1" w:rsidP="0010587F">
            <w:pPr>
              <w:jc w:val="center"/>
              <w:rPr>
                <w:sz w:val="20"/>
                <w:szCs w:val="20"/>
              </w:rPr>
            </w:pPr>
          </w:p>
        </w:tc>
        <w:tc>
          <w:tcPr>
            <w:tcW w:w="2206" w:type="pct"/>
          </w:tcPr>
          <w:p w:rsidR="005B2CE1" w:rsidRPr="003B3977" w:rsidRDefault="005B2CE1"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C832DD"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123E21" w:rsidP="00AF1715">
      <w:pPr>
        <w:rPr>
          <w:b/>
          <w:sz w:val="20"/>
          <w:szCs w:val="20"/>
        </w:rPr>
      </w:pPr>
      <w:r>
        <w:rPr>
          <w:b/>
          <w:sz w:val="20"/>
          <w:szCs w:val="20"/>
        </w:rPr>
        <w:t>JULY 31</w:t>
      </w:r>
      <w:r w:rsidR="00AF1715" w:rsidRPr="003B3977">
        <w:rPr>
          <w:b/>
          <w:sz w:val="20"/>
          <w:szCs w:val="20"/>
        </w:rPr>
        <w:t>, 201</w:t>
      </w:r>
      <w:r>
        <w:rPr>
          <w:b/>
          <w:sz w:val="20"/>
          <w:szCs w:val="20"/>
        </w:rPr>
        <w:t>2</w:t>
      </w:r>
      <w:r w:rsidR="00AF1715" w:rsidRPr="003B3977">
        <w:rPr>
          <w:b/>
          <w:sz w:val="20"/>
          <w:szCs w:val="20"/>
        </w:rPr>
        <w:t xml:space="preserve"> / LE </w:t>
      </w:r>
      <w:r>
        <w:rPr>
          <w:b/>
          <w:sz w:val="20"/>
          <w:szCs w:val="20"/>
        </w:rPr>
        <w:t>31 JUILL</w:t>
      </w:r>
      <w:r w:rsidR="00AF1715" w:rsidRPr="003B3977">
        <w:rPr>
          <w:b/>
          <w:sz w:val="20"/>
          <w:szCs w:val="20"/>
        </w:rPr>
        <w:t>E</w:t>
      </w:r>
      <w:r>
        <w:rPr>
          <w:b/>
          <w:sz w:val="20"/>
          <w:szCs w:val="20"/>
        </w:rPr>
        <w:t>T</w:t>
      </w:r>
      <w:r w:rsidR="00AF1715" w:rsidRPr="003B3977">
        <w:rPr>
          <w:b/>
          <w:sz w:val="20"/>
          <w:szCs w:val="20"/>
        </w:rPr>
        <w:t xml:space="preserve"> 201</w:t>
      </w:r>
      <w:r>
        <w:rPr>
          <w:b/>
          <w:sz w:val="20"/>
          <w:szCs w:val="20"/>
        </w:rPr>
        <w:t>2</w:t>
      </w:r>
    </w:p>
    <w:p w:rsidR="00AF1715" w:rsidRDefault="00AF1715" w:rsidP="00AF1715">
      <w:pPr>
        <w:rPr>
          <w:sz w:val="20"/>
          <w:szCs w:val="20"/>
        </w:rPr>
      </w:pPr>
    </w:p>
    <w:p w:rsidR="00123E21" w:rsidRPr="00265932" w:rsidRDefault="00123E21" w:rsidP="00123E21">
      <w:pPr>
        <w:ind w:left="1440" w:hanging="1440"/>
        <w:rPr>
          <w:rFonts w:eastAsia="Calibri" w:cs="Times New Roman"/>
          <w:sz w:val="20"/>
          <w:szCs w:val="20"/>
        </w:rPr>
      </w:pPr>
      <w:r w:rsidRPr="00265932">
        <w:rPr>
          <w:rFonts w:eastAsia="Calibri" w:cs="Times New Roman"/>
          <w:b/>
          <w:sz w:val="20"/>
          <w:szCs w:val="20"/>
        </w:rPr>
        <w:t>33911</w:t>
      </w:r>
      <w:r w:rsidRPr="00265932">
        <w:rPr>
          <w:rFonts w:eastAsia="Calibri" w:cs="Times New Roman"/>
          <w:b/>
          <w:sz w:val="20"/>
          <w:szCs w:val="20"/>
        </w:rPr>
        <w:tab/>
      </w:r>
      <w:r w:rsidRPr="00265932">
        <w:rPr>
          <w:rFonts w:eastAsia="Calibri" w:cs="Times New Roman"/>
          <w:b/>
          <w:sz w:val="20"/>
          <w:szCs w:val="20"/>
          <w:u w:val="single"/>
        </w:rPr>
        <w:t>Damon William Knott v. Her Majesty the Queen – AND BETWEEN – D.A.P. v. Her Majesty the Queen</w:t>
      </w:r>
      <w:r w:rsidRPr="00265932">
        <w:rPr>
          <w:rFonts w:eastAsia="Calibri" w:cs="Times New Roman"/>
          <w:b/>
          <w:sz w:val="20"/>
          <w:szCs w:val="20"/>
        </w:rPr>
        <w:t xml:space="preserve"> </w:t>
      </w:r>
      <w:r w:rsidRPr="00265932">
        <w:rPr>
          <w:rFonts w:eastAsia="Calibri" w:cs="Times New Roman"/>
          <w:sz w:val="20"/>
          <w:szCs w:val="20"/>
        </w:rPr>
        <w:t xml:space="preserve">(B.C.) </w:t>
      </w:r>
    </w:p>
    <w:p w:rsidR="00123E21" w:rsidRPr="00265932" w:rsidRDefault="00123E21" w:rsidP="00123E21">
      <w:pPr>
        <w:ind w:left="1440" w:hanging="1440"/>
        <w:jc w:val="both"/>
        <w:rPr>
          <w:rFonts w:eastAsia="Calibri" w:cs="Times New Roman"/>
          <w:b/>
          <w:sz w:val="20"/>
          <w:szCs w:val="20"/>
        </w:rPr>
      </w:pPr>
      <w:r w:rsidRPr="00265932">
        <w:rPr>
          <w:rFonts w:eastAsia="Calibri" w:cs="Times New Roman"/>
          <w:b/>
          <w:sz w:val="20"/>
          <w:szCs w:val="20"/>
        </w:rPr>
        <w:tab/>
        <w:t>2012 SCC 42 / 2012 CSC 42</w:t>
      </w:r>
    </w:p>
    <w:p w:rsidR="00123E21" w:rsidRPr="00265932" w:rsidRDefault="00123E21" w:rsidP="00123E21">
      <w:pPr>
        <w:ind w:left="1440" w:hanging="1440"/>
        <w:jc w:val="both"/>
        <w:rPr>
          <w:rFonts w:eastAsia="Calibri" w:cs="Times New Roman"/>
          <w:b/>
          <w:sz w:val="20"/>
          <w:szCs w:val="20"/>
        </w:rPr>
      </w:pPr>
    </w:p>
    <w:p w:rsidR="00123E21" w:rsidRPr="00265932" w:rsidRDefault="00123E21" w:rsidP="00123E21">
      <w:pPr>
        <w:ind w:left="1440" w:hanging="1440"/>
        <w:jc w:val="both"/>
        <w:rPr>
          <w:rFonts w:eastAsia="Calibri" w:cs="Times New Roman"/>
          <w:sz w:val="20"/>
          <w:szCs w:val="20"/>
          <w:u w:val="single"/>
        </w:rPr>
      </w:pPr>
      <w:r w:rsidRPr="00265932">
        <w:rPr>
          <w:rFonts w:eastAsia="Calibri" w:cs="Times New Roman"/>
          <w:sz w:val="20"/>
          <w:szCs w:val="20"/>
        </w:rPr>
        <w:t>Coram:</w:t>
      </w:r>
      <w:r>
        <w:rPr>
          <w:sz w:val="20"/>
          <w:szCs w:val="20"/>
        </w:rPr>
        <w:tab/>
      </w:r>
      <w:r w:rsidRPr="00265932">
        <w:rPr>
          <w:rFonts w:eastAsia="Calibri" w:cs="Times New Roman"/>
          <w:sz w:val="20"/>
          <w:szCs w:val="20"/>
          <w:u w:val="single"/>
        </w:rPr>
        <w:t xml:space="preserve">McLachlin C.J. and Deschamps, Fish, Abella, Rothstein, Moldaver and Karakatsanis JJ. </w:t>
      </w:r>
    </w:p>
    <w:p w:rsidR="00123E21" w:rsidRPr="00265932" w:rsidRDefault="00123E21" w:rsidP="00123E2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rPr>
      </w:pPr>
    </w:p>
    <w:p w:rsidR="00123E21" w:rsidRPr="00265932" w:rsidRDefault="00123E21" w:rsidP="00123E21">
      <w:pPr>
        <w:jc w:val="both"/>
        <w:rPr>
          <w:rFonts w:eastAsia="Calibri" w:cs="Times New Roman"/>
          <w:sz w:val="20"/>
          <w:szCs w:val="20"/>
        </w:rPr>
      </w:pPr>
      <w:r w:rsidRPr="00265932">
        <w:rPr>
          <w:rFonts w:eastAsia="Calibri" w:cs="Times New Roman"/>
          <w:sz w:val="20"/>
          <w:szCs w:val="20"/>
        </w:rPr>
        <w:t>The appeals from the judgment of the Court of Appeal for British Columbia (Vancouver), Numbers CA036904, CA036977 and CA037293, 2010 BCCA 386, dated August 26, 2010, heard on December 14, 2011, are dismissed.  The judgment of the British Columbia Court of Appeal is affirmed.</w:t>
      </w:r>
    </w:p>
    <w:p w:rsidR="00123E21" w:rsidRPr="00265932" w:rsidRDefault="00123E21" w:rsidP="00123E21">
      <w:pPr>
        <w:jc w:val="both"/>
        <w:rPr>
          <w:rFonts w:eastAsia="Calibri" w:cs="Times New Roman"/>
          <w:sz w:val="20"/>
          <w:szCs w:val="20"/>
        </w:rPr>
      </w:pPr>
    </w:p>
    <w:p w:rsidR="00123E21" w:rsidRPr="00265932" w:rsidRDefault="00123E21" w:rsidP="00123E21">
      <w:pPr>
        <w:jc w:val="both"/>
        <w:rPr>
          <w:rFonts w:eastAsia="Calibri" w:cs="Times New Roman"/>
          <w:sz w:val="20"/>
          <w:szCs w:val="20"/>
          <w:lang w:val="fr-CA"/>
        </w:rPr>
      </w:pPr>
      <w:r w:rsidRPr="00265932">
        <w:rPr>
          <w:rFonts w:eastAsia="Calibri" w:cs="Times New Roman"/>
          <w:sz w:val="20"/>
          <w:szCs w:val="20"/>
          <w:lang w:val="fr-CA"/>
        </w:rPr>
        <w:t>Les appels interjetés contre l’arrêt de la Cour d’appel de la Colombie-Britannique (Vancouver), numéros CA036904, CA036977 et CA037293, 2010 BCCA 386, en date du 26 août 2010, entendus le 14 décembre 2011, sont rejetés. L’arrêt de la Cour d’appel de la Colombie-Britannique est confirmé.</w:t>
      </w:r>
    </w:p>
    <w:p w:rsidR="00123E21" w:rsidRPr="00123E21" w:rsidRDefault="00123E21" w:rsidP="00AF1715">
      <w:pPr>
        <w:rPr>
          <w:sz w:val="20"/>
          <w:szCs w:val="20"/>
          <w:lang w:val="fr-CA"/>
        </w:rPr>
      </w:pPr>
    </w:p>
    <w:p w:rsidR="00AF1715" w:rsidRPr="003B3977" w:rsidRDefault="007333FF" w:rsidP="00AF1715">
      <w:pPr>
        <w:spacing w:line="0" w:lineRule="atLeast"/>
        <w:rPr>
          <w:sz w:val="20"/>
          <w:szCs w:val="20"/>
        </w:rPr>
      </w:pPr>
      <w:r w:rsidRPr="007333FF">
        <w:rPr>
          <w:b/>
          <w:sz w:val="20"/>
          <w:szCs w:val="20"/>
        </w:rPr>
        <w:pict>
          <v:rect id="_x0000_i1146" style="width:144.3pt;height:1pt" o:hrpct="300" o:hralign="center" o:hrstd="t" o:hrnoshade="t" o:hr="t" fillcolor="black [3213]" stroked="f"/>
        </w:pict>
      </w:r>
    </w:p>
    <w:p w:rsidR="00AF1715" w:rsidRDefault="00AF1715" w:rsidP="00AF1715">
      <w:pPr>
        <w:spacing w:line="0" w:lineRule="atLeast"/>
        <w:rPr>
          <w:sz w:val="20"/>
          <w:szCs w:val="20"/>
        </w:rPr>
      </w:pPr>
    </w:p>
    <w:p w:rsidR="00123E21" w:rsidRPr="00123E21" w:rsidRDefault="00123E21" w:rsidP="00AF1715">
      <w:pPr>
        <w:spacing w:line="0" w:lineRule="atLeast"/>
        <w:rPr>
          <w:b/>
          <w:sz w:val="20"/>
          <w:szCs w:val="20"/>
        </w:rPr>
      </w:pPr>
      <w:r>
        <w:rPr>
          <w:b/>
          <w:sz w:val="20"/>
          <w:szCs w:val="20"/>
        </w:rPr>
        <w:t>AUGUST 1, 2012 / LE 1</w:t>
      </w:r>
      <w:r w:rsidRPr="00123E21">
        <w:rPr>
          <w:b/>
          <w:sz w:val="20"/>
          <w:szCs w:val="20"/>
          <w:vertAlign w:val="superscript"/>
        </w:rPr>
        <w:t>er</w:t>
      </w:r>
      <w:r>
        <w:rPr>
          <w:b/>
          <w:sz w:val="20"/>
          <w:szCs w:val="20"/>
        </w:rPr>
        <w:t xml:space="preserve"> AOÛT 2012</w:t>
      </w:r>
    </w:p>
    <w:p w:rsidR="00123E21" w:rsidRDefault="00123E21" w:rsidP="00AF1715">
      <w:pPr>
        <w:spacing w:line="0" w:lineRule="atLeast"/>
        <w:rPr>
          <w:sz w:val="20"/>
          <w:szCs w:val="20"/>
        </w:rPr>
      </w:pPr>
    </w:p>
    <w:p w:rsidR="00123E21" w:rsidRPr="003659C0" w:rsidRDefault="00123E21" w:rsidP="00123E21">
      <w:pPr>
        <w:ind w:left="1440" w:hanging="1440"/>
        <w:rPr>
          <w:rFonts w:eastAsia="Calibri" w:cs="Times New Roman"/>
          <w:sz w:val="20"/>
          <w:szCs w:val="20"/>
        </w:rPr>
      </w:pPr>
      <w:r w:rsidRPr="003659C0">
        <w:rPr>
          <w:rFonts w:eastAsia="Calibri" w:cs="Times New Roman"/>
          <w:b/>
          <w:sz w:val="20"/>
          <w:szCs w:val="20"/>
        </w:rPr>
        <w:t>34144</w:t>
      </w:r>
      <w:r w:rsidRPr="003659C0">
        <w:rPr>
          <w:rFonts w:eastAsia="Calibri" w:cs="Times New Roman"/>
          <w:b/>
          <w:sz w:val="20"/>
          <w:szCs w:val="20"/>
        </w:rPr>
        <w:tab/>
      </w:r>
      <w:r w:rsidRPr="003659C0">
        <w:rPr>
          <w:rFonts w:eastAsia="Calibri" w:cs="Times New Roman"/>
          <w:b/>
          <w:sz w:val="20"/>
          <w:szCs w:val="20"/>
          <w:u w:val="single"/>
        </w:rPr>
        <w:t>Her Majesty the Queen v. John H. Craig</w:t>
      </w:r>
      <w:r w:rsidRPr="003659C0">
        <w:rPr>
          <w:rFonts w:eastAsia="Calibri" w:cs="Times New Roman"/>
          <w:b/>
          <w:sz w:val="20"/>
          <w:szCs w:val="20"/>
        </w:rPr>
        <w:t xml:space="preserve"> </w:t>
      </w:r>
      <w:r w:rsidRPr="003659C0">
        <w:rPr>
          <w:rFonts w:eastAsia="Calibri" w:cs="Times New Roman"/>
          <w:sz w:val="20"/>
          <w:szCs w:val="20"/>
        </w:rPr>
        <w:t xml:space="preserve">(F.C.) </w:t>
      </w:r>
    </w:p>
    <w:p w:rsidR="00123E21" w:rsidRPr="003659C0" w:rsidRDefault="00123E21" w:rsidP="00123E21">
      <w:pPr>
        <w:ind w:left="1440" w:hanging="1440"/>
        <w:jc w:val="both"/>
        <w:rPr>
          <w:rFonts w:eastAsia="Calibri" w:cs="Times New Roman"/>
          <w:b/>
          <w:sz w:val="20"/>
          <w:szCs w:val="20"/>
        </w:rPr>
      </w:pPr>
      <w:r w:rsidRPr="003659C0">
        <w:rPr>
          <w:rFonts w:eastAsia="Calibri" w:cs="Times New Roman"/>
          <w:b/>
          <w:sz w:val="20"/>
          <w:szCs w:val="20"/>
        </w:rPr>
        <w:tab/>
        <w:t>2012 SCC 43 / 2012 CSC 43</w:t>
      </w:r>
    </w:p>
    <w:p w:rsidR="00123E21" w:rsidRPr="003659C0" w:rsidRDefault="00123E21" w:rsidP="00123E21">
      <w:pPr>
        <w:ind w:left="1440" w:hanging="1440"/>
        <w:jc w:val="both"/>
        <w:rPr>
          <w:rFonts w:eastAsia="Calibri" w:cs="Times New Roman"/>
          <w:b/>
          <w:sz w:val="20"/>
          <w:szCs w:val="20"/>
        </w:rPr>
      </w:pPr>
    </w:p>
    <w:p w:rsidR="00123E21" w:rsidRPr="003659C0" w:rsidRDefault="00123E21" w:rsidP="00123E21">
      <w:pPr>
        <w:ind w:left="1440" w:hanging="1440"/>
        <w:jc w:val="both"/>
        <w:rPr>
          <w:rFonts w:eastAsia="Calibri" w:cs="Times New Roman"/>
          <w:sz w:val="20"/>
          <w:szCs w:val="20"/>
          <w:u w:val="single"/>
        </w:rPr>
      </w:pPr>
      <w:r w:rsidRPr="003659C0">
        <w:rPr>
          <w:rFonts w:eastAsia="Calibri" w:cs="Times New Roman"/>
          <w:sz w:val="20"/>
          <w:szCs w:val="20"/>
        </w:rPr>
        <w:t>Coram:</w:t>
      </w:r>
      <w:r>
        <w:rPr>
          <w:sz w:val="20"/>
          <w:szCs w:val="20"/>
        </w:rPr>
        <w:tab/>
      </w:r>
      <w:r w:rsidRPr="003659C0">
        <w:rPr>
          <w:rFonts w:eastAsia="Calibri" w:cs="Times New Roman"/>
          <w:sz w:val="20"/>
          <w:szCs w:val="20"/>
          <w:u w:val="single"/>
        </w:rPr>
        <w:t>LeBel, Deschamps, Abella, Rothstein, Cromwell, Moldaver and Karakatsanis JJ.</w:t>
      </w:r>
    </w:p>
    <w:p w:rsidR="00123E21" w:rsidRPr="003659C0" w:rsidRDefault="00123E21" w:rsidP="00123E2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rPr>
      </w:pPr>
    </w:p>
    <w:p w:rsidR="00123E21" w:rsidRPr="003659C0" w:rsidRDefault="00123E21" w:rsidP="00123E21">
      <w:pPr>
        <w:jc w:val="both"/>
        <w:rPr>
          <w:rFonts w:eastAsia="Calibri" w:cs="Times New Roman"/>
          <w:sz w:val="20"/>
          <w:szCs w:val="20"/>
        </w:rPr>
      </w:pPr>
      <w:r w:rsidRPr="003659C0">
        <w:rPr>
          <w:rFonts w:eastAsia="Calibri" w:cs="Times New Roman"/>
          <w:sz w:val="20"/>
          <w:szCs w:val="20"/>
        </w:rPr>
        <w:t xml:space="preserve">The appeal from the judgment </w:t>
      </w:r>
      <w:bookmarkStart w:id="1" w:name="BM_1_"/>
      <w:bookmarkEnd w:id="1"/>
      <w:r w:rsidRPr="003659C0">
        <w:rPr>
          <w:rFonts w:eastAsia="Calibri" w:cs="Times New Roman"/>
          <w:sz w:val="20"/>
          <w:szCs w:val="20"/>
        </w:rPr>
        <w:t>of the Federal Court of Appeal, Numbers A-20-10 and A-19-10, 2011 FCA 22, dated January 21, 2011, heard on March 23, 2012, is dismissed with costs.</w:t>
      </w:r>
    </w:p>
    <w:p w:rsidR="00123E21" w:rsidRPr="003659C0" w:rsidRDefault="00123E21" w:rsidP="00123E21">
      <w:pPr>
        <w:jc w:val="both"/>
        <w:rPr>
          <w:rFonts w:eastAsia="Calibri" w:cs="Times New Roman"/>
          <w:sz w:val="20"/>
          <w:szCs w:val="20"/>
        </w:rPr>
      </w:pPr>
    </w:p>
    <w:p w:rsidR="00123E21" w:rsidRPr="003659C0" w:rsidRDefault="00123E21" w:rsidP="00123E21">
      <w:pPr>
        <w:jc w:val="both"/>
        <w:rPr>
          <w:rFonts w:eastAsia="Calibri" w:cs="Times New Roman"/>
          <w:sz w:val="20"/>
          <w:szCs w:val="20"/>
          <w:lang w:val="fr-CA"/>
        </w:rPr>
      </w:pPr>
      <w:r w:rsidRPr="003659C0">
        <w:rPr>
          <w:rFonts w:eastAsia="Calibri" w:cs="Times New Roman"/>
          <w:sz w:val="20"/>
          <w:szCs w:val="20"/>
          <w:lang w:val="fr-CA"/>
        </w:rPr>
        <w:t>L’appel interjeté contre l’arrêt de la Cour d’appel fédérale, numéros A-20-10 et A-19-10, 2011 CAF 22, en date du 21 janvier 2011, entendu le 23 mars 2012, est rejeté avec dépens.</w:t>
      </w:r>
    </w:p>
    <w:p w:rsidR="00123E21" w:rsidRPr="00123E21" w:rsidRDefault="00123E21" w:rsidP="00AF1715">
      <w:pPr>
        <w:spacing w:line="0" w:lineRule="atLeast"/>
        <w:rPr>
          <w:sz w:val="20"/>
          <w:szCs w:val="20"/>
          <w:lang w:val="fr-CA"/>
        </w:rPr>
      </w:pPr>
    </w:p>
    <w:p w:rsidR="00AF1715" w:rsidRPr="006C5F7A" w:rsidRDefault="007333FF" w:rsidP="00AF1715">
      <w:pPr>
        <w:spacing w:line="0" w:lineRule="atLeast"/>
        <w:rPr>
          <w:rFonts w:cs="Times New Roman"/>
          <w:b/>
          <w:sz w:val="20"/>
          <w:szCs w:val="20"/>
        </w:rPr>
      </w:pPr>
      <w:r w:rsidRPr="007333FF">
        <w:rPr>
          <w:rFonts w:cs="Times New Roman"/>
          <w:b/>
          <w:sz w:val="20"/>
          <w:szCs w:val="20"/>
        </w:rPr>
        <w:pict>
          <v:rect id="_x0000_i1147" style="width:144.3pt;height:1pt" o:hrpct="300" o:hralign="center" o:hrstd="t" o:hrnoshade="t" o:hr="t" fillcolor="black [3213]" stroked="f"/>
        </w:pict>
      </w:r>
    </w:p>
    <w:p w:rsidR="00AF1715" w:rsidRPr="00123E21" w:rsidRDefault="00AF1715" w:rsidP="00AF1715">
      <w:pPr>
        <w:spacing w:line="0" w:lineRule="atLeast"/>
        <w:rPr>
          <w:rFonts w:cs="Times New Roman"/>
          <w:sz w:val="20"/>
          <w:szCs w:val="20"/>
        </w:rPr>
      </w:pPr>
    </w:p>
    <w:p w:rsidR="00123E21" w:rsidRPr="00123E21" w:rsidRDefault="00123E21" w:rsidP="00AF1715">
      <w:pPr>
        <w:rPr>
          <w:rFonts w:cs="Times New Roman"/>
          <w:b/>
          <w:sz w:val="20"/>
          <w:szCs w:val="20"/>
          <w:lang w:val="fr-CA"/>
        </w:rPr>
      </w:pPr>
      <w:r w:rsidRPr="00123E21">
        <w:rPr>
          <w:b/>
          <w:sz w:val="20"/>
          <w:szCs w:val="20"/>
          <w:lang w:val="fr-CA"/>
        </w:rPr>
        <w:t>AUGUST 3, 2012 / LE 3 AOÛT 2012</w:t>
      </w:r>
    </w:p>
    <w:p w:rsidR="00123E21" w:rsidRPr="00123E21" w:rsidRDefault="00123E21" w:rsidP="00AF1715">
      <w:pPr>
        <w:rPr>
          <w:rFonts w:cs="Times New Roman"/>
          <w:sz w:val="20"/>
          <w:szCs w:val="20"/>
          <w:lang w:val="fr-CA"/>
        </w:rPr>
      </w:pPr>
    </w:p>
    <w:p w:rsidR="00036B24" w:rsidRPr="00036B24" w:rsidRDefault="00036B24" w:rsidP="00036B24">
      <w:pPr>
        <w:ind w:left="1440" w:hanging="1440"/>
        <w:rPr>
          <w:sz w:val="20"/>
          <w:szCs w:val="20"/>
          <w:lang w:val="fr-CA"/>
        </w:rPr>
      </w:pPr>
      <w:r w:rsidRPr="00036B24">
        <w:rPr>
          <w:b/>
          <w:sz w:val="20"/>
          <w:szCs w:val="20"/>
          <w:lang w:val="fr-CA"/>
        </w:rPr>
        <w:t>34054</w:t>
      </w:r>
      <w:r w:rsidRPr="00036B24">
        <w:rPr>
          <w:b/>
          <w:sz w:val="20"/>
          <w:szCs w:val="20"/>
          <w:lang w:val="fr-CA"/>
        </w:rPr>
        <w:tab/>
      </w:r>
      <w:r w:rsidRPr="00036B24">
        <w:rPr>
          <w:b/>
          <w:sz w:val="20"/>
          <w:szCs w:val="20"/>
          <w:u w:val="single"/>
          <w:lang w:val="fr-CA"/>
        </w:rPr>
        <w:t>Riccardo Bellusci c. Sa Majesté la Reine – et – Procureur général de l’Ontario – ET ENTRE – Sa Majesté la Reine c. Riccardo Bellusci</w:t>
      </w:r>
      <w:r w:rsidRPr="00036B24">
        <w:rPr>
          <w:b/>
          <w:sz w:val="20"/>
          <w:szCs w:val="20"/>
          <w:lang w:val="fr-CA"/>
        </w:rPr>
        <w:t xml:space="preserve"> </w:t>
      </w:r>
      <w:r w:rsidRPr="00036B24">
        <w:rPr>
          <w:sz w:val="20"/>
          <w:szCs w:val="20"/>
          <w:lang w:val="fr-CA"/>
        </w:rPr>
        <w:t xml:space="preserve">(Qc) </w:t>
      </w:r>
    </w:p>
    <w:p w:rsidR="00036B24" w:rsidRPr="00564E49" w:rsidRDefault="00036B24" w:rsidP="00036B24">
      <w:pPr>
        <w:ind w:left="1440" w:hanging="1440"/>
        <w:jc w:val="both"/>
        <w:rPr>
          <w:b/>
          <w:sz w:val="20"/>
          <w:szCs w:val="20"/>
          <w:lang w:val="fr-CA"/>
        </w:rPr>
      </w:pPr>
      <w:r w:rsidRPr="00036B24">
        <w:rPr>
          <w:b/>
          <w:sz w:val="20"/>
          <w:szCs w:val="20"/>
          <w:lang w:val="fr-CA"/>
        </w:rPr>
        <w:tab/>
      </w:r>
      <w:r w:rsidRPr="00564E49">
        <w:rPr>
          <w:b/>
          <w:sz w:val="20"/>
          <w:szCs w:val="20"/>
          <w:lang w:val="fr-CA"/>
        </w:rPr>
        <w:t>2012 SCC 44 / 2012 CSC 44</w:t>
      </w:r>
    </w:p>
    <w:p w:rsidR="00036B24" w:rsidRPr="00564E49" w:rsidRDefault="00036B24" w:rsidP="00036B24">
      <w:pPr>
        <w:ind w:left="1440" w:hanging="1440"/>
        <w:jc w:val="both"/>
        <w:rPr>
          <w:b/>
          <w:sz w:val="20"/>
          <w:szCs w:val="20"/>
          <w:lang w:val="fr-CA"/>
        </w:rPr>
      </w:pPr>
    </w:p>
    <w:p w:rsidR="00036B24" w:rsidRPr="00564E49" w:rsidRDefault="00036B24" w:rsidP="00036B24">
      <w:pPr>
        <w:ind w:left="1440" w:hanging="1440"/>
        <w:jc w:val="both"/>
        <w:rPr>
          <w:sz w:val="20"/>
          <w:szCs w:val="20"/>
          <w:u w:val="single"/>
          <w:lang w:val="fr-CA"/>
        </w:rPr>
      </w:pPr>
      <w:r w:rsidRPr="00564E49">
        <w:rPr>
          <w:sz w:val="20"/>
          <w:szCs w:val="20"/>
          <w:lang w:val="fr-CA"/>
        </w:rPr>
        <w:t>Coram:</w:t>
      </w:r>
      <w:r>
        <w:rPr>
          <w:sz w:val="20"/>
          <w:szCs w:val="20"/>
          <w:lang w:val="fr-CA"/>
        </w:rPr>
        <w:tab/>
      </w:r>
      <w:r w:rsidRPr="00564E49">
        <w:rPr>
          <w:sz w:val="20"/>
          <w:szCs w:val="20"/>
          <w:u w:val="single"/>
          <w:lang w:val="fr-CA"/>
        </w:rPr>
        <w:t xml:space="preserve">La juge en chef McLachlin et les juges LeBel, Deschamps, Fish, Abella, Moldaver et Karakatsanis </w:t>
      </w:r>
    </w:p>
    <w:p w:rsidR="00036B24" w:rsidRPr="00564E49" w:rsidRDefault="00036B24" w:rsidP="00036B2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036B24" w:rsidRPr="00564E49" w:rsidRDefault="00036B24" w:rsidP="00036B24">
      <w:pPr>
        <w:jc w:val="both"/>
        <w:rPr>
          <w:sz w:val="20"/>
          <w:szCs w:val="20"/>
          <w:lang w:val="fr-CA"/>
        </w:rPr>
      </w:pPr>
      <w:r w:rsidRPr="00564E49">
        <w:rPr>
          <w:sz w:val="20"/>
          <w:szCs w:val="20"/>
          <w:lang w:val="fr-CA"/>
        </w:rPr>
        <w:t>L’appel interjeté contre l’arrêt de la Cour d’appel du Québec (Montréal), numéro  500-10-004296-099, 2010 QCCA 2118, en date du 18 novembre 2010, entendu le 16 février 2012, est accueilli. L’arrêt des procédures ordonné par le juge du procès est rétabli.  La demande d’autorisation d’appel de Sa Majesté la Reine est rejetée.</w:t>
      </w:r>
    </w:p>
    <w:p w:rsidR="00036B24" w:rsidRPr="00564E49" w:rsidRDefault="00036B24" w:rsidP="00036B24">
      <w:pPr>
        <w:jc w:val="both"/>
        <w:rPr>
          <w:sz w:val="20"/>
          <w:szCs w:val="20"/>
          <w:lang w:val="fr-CA"/>
        </w:rPr>
      </w:pPr>
    </w:p>
    <w:p w:rsidR="00036B24" w:rsidRPr="00564E49" w:rsidRDefault="00036B24" w:rsidP="00036B24">
      <w:pPr>
        <w:jc w:val="both"/>
        <w:rPr>
          <w:sz w:val="20"/>
          <w:szCs w:val="20"/>
        </w:rPr>
      </w:pPr>
      <w:r w:rsidRPr="00564E49">
        <w:rPr>
          <w:sz w:val="20"/>
          <w:szCs w:val="20"/>
        </w:rPr>
        <w:t>The appeal from the judgment of the Court of Appeal of Quebec (Montréal), Number  500-10-004296-099, 2010 QCCA 2118, dated November 18, 2010, heard on February 16, 2012, is allowed.  The stay of proceedings entered by the trial judge is restored.  The application for leave to appeal of Her Majesty the Queen is dismissed.</w:t>
      </w:r>
    </w:p>
    <w:p w:rsidR="00123E21" w:rsidRPr="00036B24" w:rsidRDefault="00123E21" w:rsidP="00AF1715">
      <w:pPr>
        <w:rPr>
          <w:rFonts w:cs="Times New Roman"/>
          <w:sz w:val="20"/>
          <w:szCs w:val="20"/>
        </w:rPr>
      </w:pPr>
    </w:p>
    <w:p w:rsidR="00123E21" w:rsidRPr="00036B24" w:rsidRDefault="007333FF" w:rsidP="00AF1715">
      <w:pPr>
        <w:rPr>
          <w:rFonts w:cs="Times New Roman"/>
          <w:sz w:val="20"/>
          <w:szCs w:val="20"/>
        </w:rPr>
      </w:pPr>
      <w:r w:rsidRPr="007333FF">
        <w:rPr>
          <w:rFonts w:cs="Times New Roman"/>
          <w:b/>
          <w:sz w:val="20"/>
          <w:szCs w:val="20"/>
        </w:rPr>
        <w:pict>
          <v:rect id="_x0000_i1148" style="width:144.3pt;height:1pt" o:hrpct="300" o:hralign="center" o:hrstd="t" o:hrnoshade="t" o:hr="t" fillcolor="black [3213]" stroked="f"/>
        </w:pict>
      </w: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F9382C" w:rsidRPr="000A458F" w:rsidRDefault="00F9382C" w:rsidP="00F9382C">
      <w:pPr>
        <w:ind w:left="720" w:hanging="720"/>
        <w:rPr>
          <w:rFonts w:eastAsia="Calibri" w:cs="Times New Roman"/>
          <w:sz w:val="20"/>
          <w:szCs w:val="20"/>
        </w:rPr>
      </w:pPr>
      <w:r w:rsidRPr="000A458F">
        <w:rPr>
          <w:rFonts w:eastAsia="Calibri" w:cs="Times New Roman"/>
          <w:i/>
          <w:sz w:val="20"/>
          <w:szCs w:val="20"/>
        </w:rPr>
        <w:t>Damon William Knott et al. v. Her Majesty the Queen et al.</w:t>
      </w:r>
      <w:r w:rsidRPr="000A458F">
        <w:rPr>
          <w:rFonts w:eastAsia="Calibri" w:cs="Times New Roman"/>
          <w:sz w:val="20"/>
          <w:szCs w:val="20"/>
        </w:rPr>
        <w:t xml:space="preserve"> (B.C.) (33911)</w:t>
      </w:r>
    </w:p>
    <w:p w:rsidR="005C6840" w:rsidRPr="003B3977" w:rsidRDefault="007C4D2D" w:rsidP="007C4D2D">
      <w:pPr>
        <w:jc w:val="both"/>
        <w:rPr>
          <w:rFonts w:cs="Times New Roman"/>
          <w:b/>
          <w:sz w:val="20"/>
          <w:szCs w:val="20"/>
        </w:rPr>
      </w:pPr>
      <w:r w:rsidRPr="003956F7">
        <w:rPr>
          <w:b/>
          <w:sz w:val="20"/>
          <w:szCs w:val="20"/>
        </w:rPr>
        <w:t xml:space="preserve">Indexed as:  R. </w:t>
      </w:r>
      <w:r w:rsidRPr="003956F7">
        <w:rPr>
          <w:b/>
          <w:i/>
          <w:sz w:val="20"/>
          <w:szCs w:val="20"/>
        </w:rPr>
        <w:t>v.</w:t>
      </w:r>
      <w:r w:rsidRPr="003956F7">
        <w:rPr>
          <w:b/>
          <w:sz w:val="20"/>
          <w:szCs w:val="20"/>
        </w:rPr>
        <w:t xml:space="preserve"> Knott</w:t>
      </w:r>
      <w:r>
        <w:rPr>
          <w:b/>
          <w:sz w:val="20"/>
          <w:szCs w:val="20"/>
        </w:rPr>
        <w:t xml:space="preserve"> / </w:t>
      </w:r>
      <w:r w:rsidRPr="002322C4">
        <w:rPr>
          <w:b/>
          <w:sz w:val="20"/>
          <w:szCs w:val="20"/>
        </w:rPr>
        <w:t xml:space="preserve">Répertorié : R. </w:t>
      </w:r>
      <w:r w:rsidRPr="002322C4">
        <w:rPr>
          <w:b/>
          <w:i/>
          <w:sz w:val="20"/>
          <w:szCs w:val="20"/>
        </w:rPr>
        <w:t>c.</w:t>
      </w:r>
      <w:r w:rsidRPr="002322C4">
        <w:rPr>
          <w:b/>
          <w:sz w:val="20"/>
          <w:szCs w:val="20"/>
        </w:rPr>
        <w:t xml:space="preserve"> Knott</w:t>
      </w:r>
    </w:p>
    <w:p w:rsidR="005C6840" w:rsidRPr="003B3977" w:rsidRDefault="005C6840" w:rsidP="005C6840">
      <w:pPr>
        <w:pStyle w:val="SCCSystemYear"/>
        <w:jc w:val="both"/>
        <w:rPr>
          <w:sz w:val="20"/>
        </w:rPr>
      </w:pPr>
      <w:r w:rsidRPr="003B3977">
        <w:rPr>
          <w:sz w:val="20"/>
        </w:rPr>
        <w:t>Neutral citation:  201</w:t>
      </w:r>
      <w:r w:rsidR="00F9382C">
        <w:rPr>
          <w:sz w:val="20"/>
        </w:rPr>
        <w:t>2</w:t>
      </w:r>
      <w:r w:rsidRPr="003B3977">
        <w:rPr>
          <w:sz w:val="20"/>
        </w:rPr>
        <w:t xml:space="preserve"> SCC </w:t>
      </w:r>
      <w:r w:rsidR="00F9382C">
        <w:rPr>
          <w:sz w:val="20"/>
        </w:rPr>
        <w:t>42</w:t>
      </w:r>
      <w:r w:rsidRPr="003B3977">
        <w:rPr>
          <w:sz w:val="20"/>
        </w:rPr>
        <w:t xml:space="preserve"> / Référence neutre : 201</w:t>
      </w:r>
      <w:r w:rsidR="00F9382C">
        <w:rPr>
          <w:sz w:val="20"/>
        </w:rPr>
        <w:t>2</w:t>
      </w:r>
      <w:r w:rsidRPr="003B3977">
        <w:rPr>
          <w:sz w:val="20"/>
        </w:rPr>
        <w:t xml:space="preserve"> CSC </w:t>
      </w:r>
      <w:r w:rsidR="00F9382C">
        <w:rPr>
          <w:sz w:val="20"/>
        </w:rPr>
        <w:t>42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F9382C">
        <w:rPr>
          <w:rFonts w:cs="Times New Roman"/>
          <w:sz w:val="20"/>
          <w:szCs w:val="20"/>
          <w:lang w:val="fr-CA"/>
        </w:rPr>
        <w:t>Decem</w:t>
      </w:r>
      <w:r w:rsidRPr="003B3977">
        <w:rPr>
          <w:rFonts w:cs="Times New Roman"/>
          <w:sz w:val="20"/>
          <w:szCs w:val="20"/>
          <w:lang w:val="fr-CA"/>
        </w:rPr>
        <w:t xml:space="preserve">ber </w:t>
      </w:r>
      <w:r w:rsidR="00F9382C">
        <w:rPr>
          <w:rFonts w:cs="Times New Roman"/>
          <w:sz w:val="20"/>
          <w:szCs w:val="20"/>
          <w:lang w:val="fr-CA"/>
        </w:rPr>
        <w:t>14</w:t>
      </w:r>
      <w:r w:rsidRPr="003B3977">
        <w:rPr>
          <w:rFonts w:cs="Times New Roman"/>
          <w:sz w:val="20"/>
          <w:szCs w:val="20"/>
          <w:lang w:val="fr-CA"/>
        </w:rPr>
        <w:t>, 201</w:t>
      </w:r>
      <w:r w:rsidR="00F9382C">
        <w:rPr>
          <w:rFonts w:cs="Times New Roman"/>
          <w:sz w:val="20"/>
          <w:szCs w:val="20"/>
          <w:lang w:val="fr-CA"/>
        </w:rPr>
        <w:t>1</w:t>
      </w:r>
      <w:r w:rsidRPr="003B3977">
        <w:rPr>
          <w:rFonts w:cs="Times New Roman"/>
          <w:sz w:val="20"/>
          <w:szCs w:val="20"/>
          <w:lang w:val="fr-CA"/>
        </w:rPr>
        <w:t xml:space="preserve"> / Judgment:  </w:t>
      </w:r>
      <w:r w:rsidR="00F9382C">
        <w:rPr>
          <w:rFonts w:cs="Times New Roman"/>
          <w:sz w:val="20"/>
          <w:szCs w:val="20"/>
          <w:lang w:val="fr-CA"/>
        </w:rPr>
        <w:t>July 31</w:t>
      </w:r>
      <w:r w:rsidRPr="003B3977">
        <w:rPr>
          <w:rFonts w:cs="Times New Roman"/>
          <w:sz w:val="20"/>
          <w:szCs w:val="20"/>
          <w:lang w:val="fr-CA"/>
        </w:rPr>
        <w:t>, 201</w:t>
      </w:r>
      <w:r w:rsidR="00F9382C">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F9382C">
        <w:rPr>
          <w:rFonts w:cs="Times New Roman"/>
          <w:sz w:val="20"/>
          <w:szCs w:val="20"/>
          <w:lang w:val="fr-CA"/>
        </w:rPr>
        <w:t>14 décem</w:t>
      </w:r>
      <w:r w:rsidRPr="003B3977">
        <w:rPr>
          <w:rFonts w:cs="Times New Roman"/>
          <w:sz w:val="20"/>
          <w:szCs w:val="20"/>
          <w:lang w:val="fr-CA"/>
        </w:rPr>
        <w:t>bre 201</w:t>
      </w:r>
      <w:r w:rsidR="00F9382C">
        <w:rPr>
          <w:rFonts w:cs="Times New Roman"/>
          <w:sz w:val="20"/>
          <w:szCs w:val="20"/>
          <w:lang w:val="fr-CA"/>
        </w:rPr>
        <w:t>1</w:t>
      </w:r>
      <w:r w:rsidRPr="003B3977">
        <w:rPr>
          <w:rFonts w:cs="Times New Roman"/>
          <w:sz w:val="20"/>
          <w:szCs w:val="20"/>
          <w:lang w:val="fr-CA"/>
        </w:rPr>
        <w:t xml:space="preserve"> / Jugement : Le </w:t>
      </w:r>
      <w:r w:rsidR="00F9382C">
        <w:rPr>
          <w:rFonts w:cs="Times New Roman"/>
          <w:sz w:val="20"/>
          <w:szCs w:val="20"/>
          <w:lang w:val="fr-CA"/>
        </w:rPr>
        <w:t>31 juillet</w:t>
      </w:r>
      <w:r w:rsidRPr="003B3977">
        <w:rPr>
          <w:rFonts w:cs="Times New Roman"/>
          <w:sz w:val="20"/>
          <w:szCs w:val="20"/>
          <w:lang w:val="fr-CA"/>
        </w:rPr>
        <w:t xml:space="preserve"> 201</w:t>
      </w:r>
      <w:r w:rsidR="00F9382C">
        <w:rPr>
          <w:rFonts w:cs="Times New Roman"/>
          <w:sz w:val="20"/>
          <w:szCs w:val="20"/>
          <w:lang w:val="fr-CA"/>
        </w:rPr>
        <w:t>2</w:t>
      </w:r>
    </w:p>
    <w:p w:rsidR="005C6840" w:rsidRPr="003B3977" w:rsidRDefault="007333FF" w:rsidP="005C6840">
      <w:pPr>
        <w:rPr>
          <w:rFonts w:cs="Times New Roman"/>
          <w:sz w:val="20"/>
          <w:szCs w:val="20"/>
          <w:lang w:val="fr-CA"/>
        </w:rPr>
      </w:pPr>
      <w:r w:rsidRPr="007333FF">
        <w:rPr>
          <w:rFonts w:cs="Times New Roman"/>
          <w:i/>
          <w:sz w:val="20"/>
          <w:szCs w:val="20"/>
        </w:rPr>
        <w:pict>
          <v:rect id="_x0000_i1151"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7C4D2D" w:rsidRPr="003956F7" w:rsidRDefault="007C4D2D" w:rsidP="007C4D2D">
      <w:pPr>
        <w:jc w:val="both"/>
        <w:rPr>
          <w:sz w:val="20"/>
          <w:szCs w:val="20"/>
        </w:rPr>
      </w:pPr>
      <w:r w:rsidRPr="003956F7">
        <w:rPr>
          <w:sz w:val="20"/>
          <w:szCs w:val="20"/>
        </w:rPr>
        <w:t>Present:  McLachlin C.J. and Deschamps, Fish, Abella, Rothstein, Moldaver and Karakatsanis JJ.</w:t>
      </w:r>
    </w:p>
    <w:p w:rsidR="007C4D2D" w:rsidRDefault="007C4D2D" w:rsidP="007C4D2D">
      <w:pPr>
        <w:pStyle w:val="SCCLowerCourtNameLowercase"/>
        <w:spacing w:line="240" w:lineRule="auto"/>
        <w:rPr>
          <w:sz w:val="20"/>
        </w:rPr>
      </w:pPr>
    </w:p>
    <w:p w:rsidR="007C4D2D" w:rsidRDefault="007C4D2D" w:rsidP="007C4D2D">
      <w:pPr>
        <w:pStyle w:val="SCCNormalDoubleSpacing"/>
        <w:spacing w:line="240" w:lineRule="auto"/>
        <w:rPr>
          <w:i/>
          <w:sz w:val="20"/>
        </w:rPr>
      </w:pPr>
      <w:r w:rsidRPr="003956F7">
        <w:rPr>
          <w:i/>
          <w:sz w:val="20"/>
        </w:rPr>
        <w:tab/>
        <w:t>Criminal Law — Sentencing — Probation — Courts empowered to issue probation orders in addition to imprisonment for a term not exceeding two years</w:t>
      </w:r>
      <w:r w:rsidRPr="003956F7">
        <w:rPr>
          <w:sz w:val="20"/>
        </w:rPr>
        <w:t xml:space="preserve"> </w:t>
      </w:r>
      <w:r w:rsidRPr="003956F7">
        <w:rPr>
          <w:i/>
          <w:sz w:val="20"/>
        </w:rPr>
        <w:t>— Whether “imprisonment for a term not exceeding two years” relates only to imprisonment imposed by a sentencing court at a single sitting or the aggregate of all sentences imposed on offender — Whether probation can be ordered where offender is subject to multiple sentences that, if aggregated, exceed two years — Criminal Code, R.S.C. 1985, c. C</w:t>
      </w:r>
      <w:r w:rsidRPr="003956F7">
        <w:rPr>
          <w:i/>
          <w:sz w:val="20"/>
        </w:rPr>
        <w:noBreakHyphen/>
        <w:t xml:space="preserve">46, s. 731(1)(b). </w:t>
      </w:r>
    </w:p>
    <w:p w:rsidR="007C4D2D" w:rsidRPr="003956F7" w:rsidRDefault="007C4D2D" w:rsidP="007C4D2D">
      <w:pPr>
        <w:pStyle w:val="SCCNormalDoubleSpacing"/>
        <w:spacing w:line="240" w:lineRule="auto"/>
        <w:rPr>
          <w:i/>
          <w:sz w:val="20"/>
        </w:rPr>
      </w:pPr>
    </w:p>
    <w:p w:rsidR="007C4D2D" w:rsidRPr="003956F7" w:rsidRDefault="007C4D2D" w:rsidP="007C4D2D">
      <w:pPr>
        <w:pStyle w:val="SCCNormalDoubleSpacing"/>
        <w:spacing w:line="240" w:lineRule="auto"/>
        <w:rPr>
          <w:sz w:val="20"/>
        </w:rPr>
      </w:pPr>
      <w:r w:rsidRPr="003956F7">
        <w:rPr>
          <w:sz w:val="20"/>
        </w:rPr>
        <w:tab/>
        <w:t>In August 2005, the appellant K received a sentence of 24 months’ imprisonment with three years’ probation and a concurrent sentence of 12 months’ imprisonment with three years’ probation.  Less than one month later, on a different matter, he received a concurrent sentence of 16 months’ imprisonment with three years’ probation.  One week before the expiry of the 24 month sentence, he received a consecutive sentence of six months’ imprisonment.  He later received a consecutive sentence of eight months’ imprisonment with one year’s probation.  In June 2008, the appellant D.A.P. received a conditional sentence of two years less a day with two years’ probation.  He breached that sentence and committed other offences.  In February 2009, his conditional sentence was converted into a custodial term and he received concurrent sentences of three years’ imprisonment and six months’ imprisonment for the additional offences.  On appeal, the appellants contested the probation orders claiming that s. 731(1)(</w:t>
      </w:r>
      <w:r w:rsidRPr="003956F7">
        <w:rPr>
          <w:i/>
          <w:sz w:val="20"/>
        </w:rPr>
        <w:t>b</w:t>
      </w:r>
      <w:r w:rsidRPr="003956F7">
        <w:rPr>
          <w:sz w:val="20"/>
        </w:rPr>
        <w:t xml:space="preserve">) of the </w:t>
      </w:r>
      <w:r w:rsidRPr="003956F7">
        <w:rPr>
          <w:i/>
          <w:sz w:val="20"/>
        </w:rPr>
        <w:t xml:space="preserve"> Criminal Code</w:t>
      </w:r>
      <w:r w:rsidRPr="003956F7">
        <w:rPr>
          <w:sz w:val="20"/>
        </w:rPr>
        <w:t xml:space="preserve"> only permits such orders where there is “imprisonment for a term not exceeding two years”, and that this consists of the aggregate of all custodial terms.  The Court of Appeal confirmed the probation orders. </w:t>
      </w:r>
    </w:p>
    <w:p w:rsidR="007C4D2D" w:rsidRDefault="007C4D2D" w:rsidP="007C4D2D">
      <w:pPr>
        <w:pStyle w:val="SCCNormalDoubleSpacing"/>
        <w:spacing w:line="240" w:lineRule="auto"/>
        <w:rPr>
          <w:i/>
          <w:sz w:val="20"/>
        </w:rPr>
      </w:pPr>
    </w:p>
    <w:p w:rsidR="007C4D2D" w:rsidRPr="003956F7" w:rsidRDefault="007C4D2D" w:rsidP="007C4D2D">
      <w:pPr>
        <w:pStyle w:val="SCCNormalDoubleSpacing"/>
        <w:spacing w:line="240" w:lineRule="auto"/>
        <w:rPr>
          <w:sz w:val="20"/>
        </w:rPr>
      </w:pPr>
      <w:r w:rsidRPr="003956F7">
        <w:rPr>
          <w:i/>
          <w:sz w:val="20"/>
        </w:rPr>
        <w:tab/>
        <w:t>Held:</w:t>
      </w:r>
      <w:r w:rsidRPr="003956F7">
        <w:rPr>
          <w:sz w:val="20"/>
        </w:rPr>
        <w:t xml:space="preserve">  The appeals should be dismissed</w:t>
      </w:r>
    </w:p>
    <w:p w:rsidR="007C4D2D" w:rsidRDefault="007C4D2D" w:rsidP="007C4D2D">
      <w:pPr>
        <w:pStyle w:val="SCCNormalDoubleSpacing"/>
        <w:spacing w:line="240" w:lineRule="auto"/>
        <w:rPr>
          <w:sz w:val="20"/>
        </w:rPr>
      </w:pPr>
    </w:p>
    <w:p w:rsidR="007C4D2D" w:rsidRPr="003956F7" w:rsidRDefault="007C4D2D" w:rsidP="007C4D2D">
      <w:pPr>
        <w:pStyle w:val="SCCNormalDoubleSpacing"/>
        <w:spacing w:line="240" w:lineRule="auto"/>
        <w:rPr>
          <w:sz w:val="20"/>
        </w:rPr>
      </w:pPr>
      <w:r w:rsidRPr="003956F7">
        <w:rPr>
          <w:sz w:val="20"/>
        </w:rPr>
        <w:tab/>
        <w:t>The probation orders imposed on the appellants were valid when made and no prior or subsequent sentences invalidated them, either prospectively or retrospectively.  The phrase “imprisonment for a term not exceeding two years” relates only to the actual term of imprisonment imposed by a sentencing court at a single sitting.  It does not refer to the aggregate of the custodial term imposed by the sentencing court and all other sentences then being served or later imposed on the offender.  Nor must a probation order come into force within two years of being made.  Probation orders, however, may not be attached to a sentence that does not exceed two years’ imprisonment if that sentence results in continuous custody for more than two years when combined with other sentences imposed at the same sentencing session.  Probation orders of this sort contravene s. 731(1)(</w:t>
      </w:r>
      <w:r w:rsidRPr="003956F7">
        <w:rPr>
          <w:i/>
          <w:sz w:val="20"/>
        </w:rPr>
        <w:t>b</w:t>
      </w:r>
      <w:r w:rsidRPr="003956F7">
        <w:rPr>
          <w:sz w:val="20"/>
        </w:rPr>
        <w:t xml:space="preserve">) of the </w:t>
      </w:r>
      <w:r w:rsidRPr="003956F7">
        <w:rPr>
          <w:i/>
          <w:sz w:val="20"/>
        </w:rPr>
        <w:t>Criminal Code</w:t>
      </w:r>
      <w:r w:rsidRPr="003956F7">
        <w:rPr>
          <w:sz w:val="20"/>
        </w:rPr>
        <w:t>.</w:t>
      </w:r>
    </w:p>
    <w:p w:rsidR="007C4D2D" w:rsidRDefault="007C4D2D" w:rsidP="007C4D2D">
      <w:pPr>
        <w:pStyle w:val="SCCNormalDoubleSpacing"/>
        <w:spacing w:line="240" w:lineRule="auto"/>
        <w:rPr>
          <w:sz w:val="20"/>
        </w:rPr>
      </w:pPr>
    </w:p>
    <w:p w:rsidR="007C4D2D" w:rsidRPr="003956F7" w:rsidRDefault="007C4D2D" w:rsidP="007C4D2D">
      <w:pPr>
        <w:pStyle w:val="SCCNormalDoubleSpacing"/>
        <w:spacing w:line="240" w:lineRule="auto"/>
        <w:rPr>
          <w:sz w:val="20"/>
        </w:rPr>
      </w:pPr>
      <w:r w:rsidRPr="003956F7">
        <w:rPr>
          <w:sz w:val="20"/>
        </w:rPr>
        <w:tab/>
        <w:t xml:space="preserve">Trial judges must retain as much flexibility as the </w:t>
      </w:r>
      <w:r w:rsidRPr="003956F7">
        <w:rPr>
          <w:i/>
          <w:sz w:val="20"/>
        </w:rPr>
        <w:t>Criminal Code</w:t>
      </w:r>
      <w:r w:rsidRPr="003956F7">
        <w:rPr>
          <w:sz w:val="20"/>
        </w:rPr>
        <w:t xml:space="preserve"> permits in crafting individualized sentences that respect the principles and purposes of sentencing set out by Parliament in the </w:t>
      </w:r>
      <w:r w:rsidRPr="003956F7">
        <w:rPr>
          <w:i/>
          <w:sz w:val="20"/>
        </w:rPr>
        <w:t>Code</w:t>
      </w:r>
      <w:r w:rsidRPr="003956F7">
        <w:rPr>
          <w:sz w:val="20"/>
        </w:rPr>
        <w:t xml:space="preserve">.  The result sought by the appellants would limit the availability of probation orders in an unwarranted manner and prevent sentencing judges from imposing, in appropriate cases, shorter custodial terms followed by community supervision for up to three years.  Probation orders are intended to facilitate rehabilitation.  </w:t>
      </w:r>
      <w:r w:rsidRPr="003956F7">
        <w:rPr>
          <w:sz w:val="20"/>
          <w:lang w:bidi="en-US"/>
        </w:rPr>
        <w:t xml:space="preserve">An interpretation of the phrase “imprisonment for a term not exceeding two years” that includes all outstanding sentences would have the undesirable consequence of making probation orders unavailable to offenders who might well benefit from them.  </w:t>
      </w:r>
      <w:r w:rsidRPr="003956F7">
        <w:rPr>
          <w:sz w:val="20"/>
        </w:rPr>
        <w:t xml:space="preserve">The sentencing objectives in the </w:t>
      </w:r>
      <w:r w:rsidRPr="003956F7">
        <w:rPr>
          <w:i/>
          <w:sz w:val="20"/>
        </w:rPr>
        <w:t>Criminal Code</w:t>
      </w:r>
      <w:r w:rsidRPr="003956F7">
        <w:rPr>
          <w:sz w:val="20"/>
        </w:rPr>
        <w:t xml:space="preserve"> are best achieved by preserving non</w:t>
      </w:r>
      <w:r w:rsidRPr="003956F7">
        <w:rPr>
          <w:sz w:val="20"/>
        </w:rPr>
        <w:noBreakHyphen/>
        <w:t xml:space="preserve">custodial sentencing options.  Not infrequently, the offender and society will both benefit from a probation order that comes into force following imprisonment for an aggregate period of more than two years. </w:t>
      </w:r>
    </w:p>
    <w:p w:rsidR="007C4D2D" w:rsidRDefault="007C4D2D" w:rsidP="007C4D2D">
      <w:pPr>
        <w:pStyle w:val="SCCNormalDoubleSpacing"/>
        <w:spacing w:line="240" w:lineRule="auto"/>
        <w:rPr>
          <w:sz w:val="20"/>
        </w:rPr>
      </w:pPr>
    </w:p>
    <w:p w:rsidR="007C4D2D" w:rsidRDefault="007C4D2D" w:rsidP="007C4D2D">
      <w:pPr>
        <w:pStyle w:val="SCCNormalDoubleSpacing"/>
        <w:spacing w:line="240" w:lineRule="auto"/>
        <w:rPr>
          <w:sz w:val="20"/>
        </w:rPr>
      </w:pPr>
      <w:r w:rsidRPr="003956F7">
        <w:rPr>
          <w:sz w:val="20"/>
        </w:rPr>
        <w:tab/>
        <w:t xml:space="preserve">In assessing the appropriateness of a fresh probation order, however, unexpired prior sentences remain an important consideration.  Sentencing courts cannot disregard existing probation orders.  A sentence must take into account the particular circumstances of the offence, the character and needs of the offender, and the purpose and relevant principles of sentencing.  A probation order that is manifestly inappropriate in itself or that renders a sentence </w:t>
      </w:r>
      <w:r w:rsidRPr="003956F7">
        <w:rPr>
          <w:sz w:val="20"/>
        </w:rPr>
        <w:lastRenderedPageBreak/>
        <w:t>unfit will be set aside on appeal. As well, a probation order that was appropriate when made may be rendered inappropriate by a lengthy intervening term of imprisonment.</w:t>
      </w:r>
    </w:p>
    <w:p w:rsidR="007C4D2D" w:rsidRDefault="007C4D2D" w:rsidP="007C4D2D">
      <w:pPr>
        <w:pStyle w:val="SCCNormalDoubleSpacing"/>
        <w:spacing w:line="240" w:lineRule="auto"/>
        <w:rPr>
          <w:sz w:val="20"/>
        </w:rPr>
      </w:pPr>
    </w:p>
    <w:p w:rsidR="007C4D2D" w:rsidRDefault="007C4D2D" w:rsidP="007C4D2D">
      <w:pPr>
        <w:pStyle w:val="SCCNormalDoubleSpacing"/>
        <w:spacing w:line="240" w:lineRule="auto"/>
        <w:rPr>
          <w:sz w:val="20"/>
        </w:rPr>
      </w:pPr>
      <w:r w:rsidRPr="003956F7">
        <w:rPr>
          <w:sz w:val="20"/>
        </w:rPr>
        <w:tab/>
        <w:t>APPEALS from a judgment of the Court of Appeal for British Columbia (Finch C.J.B.C. and Rowles, Hall, Groberman and Bennett JJ.A.), 2010 BCCA 386, 291 B.C.A.C. 236, 492 W.A.C. 236, 258 C.C.C. (3d) 470, [2010] B.C.J. No. 1664 (QL), 2010 CarswellBC 2238, affirming the decisions of Judge Raven, Surrey Registry Nos. 145481</w:t>
      </w:r>
      <w:r w:rsidRPr="003956F7">
        <w:rPr>
          <w:sz w:val="20"/>
        </w:rPr>
        <w:noBreakHyphen/>
        <w:t>3</w:t>
      </w:r>
      <w:r w:rsidRPr="003956F7">
        <w:rPr>
          <w:sz w:val="20"/>
        </w:rPr>
        <w:noBreakHyphen/>
        <w:t>C and 146247</w:t>
      </w:r>
      <w:r w:rsidRPr="003956F7">
        <w:rPr>
          <w:sz w:val="20"/>
        </w:rPr>
        <w:noBreakHyphen/>
        <w:t>1, August 18, 2005; Judge Moss, North Vancouver Registry Nos. 45179</w:t>
      </w:r>
      <w:r w:rsidRPr="003956F7">
        <w:rPr>
          <w:sz w:val="20"/>
        </w:rPr>
        <w:noBreakHyphen/>
        <w:t>1 and 45295</w:t>
      </w:r>
      <w:r w:rsidRPr="003956F7">
        <w:rPr>
          <w:sz w:val="20"/>
        </w:rPr>
        <w:noBreakHyphen/>
        <w:t>1, September 8, 2005; Judge Chaperon, Victoria Registry No. 140302</w:t>
      </w:r>
      <w:r w:rsidRPr="003956F7">
        <w:rPr>
          <w:sz w:val="20"/>
        </w:rPr>
        <w:noBreakHyphen/>
        <w:t xml:space="preserve">1, December 3, 2007; and </w:t>
      </w:r>
      <w:r w:rsidRPr="003956F7">
        <w:rPr>
          <w:i/>
          <w:sz w:val="20"/>
        </w:rPr>
        <w:t>sub nom. R. v. D.A.P.</w:t>
      </w:r>
      <w:r w:rsidRPr="003956F7">
        <w:rPr>
          <w:sz w:val="20"/>
        </w:rPr>
        <w:t>, Judge Webb, Cranbrook Registry Nos. 26225</w:t>
      </w:r>
      <w:r w:rsidRPr="003956F7">
        <w:rPr>
          <w:sz w:val="20"/>
        </w:rPr>
        <w:noBreakHyphen/>
        <w:t>2</w:t>
      </w:r>
      <w:r w:rsidRPr="003956F7">
        <w:rPr>
          <w:sz w:val="20"/>
        </w:rPr>
        <w:noBreakHyphen/>
        <w:t>C and 27264</w:t>
      </w:r>
      <w:r w:rsidRPr="003956F7">
        <w:rPr>
          <w:sz w:val="20"/>
        </w:rPr>
        <w:noBreakHyphen/>
        <w:t>1</w:t>
      </w:r>
      <w:r w:rsidRPr="003956F7">
        <w:rPr>
          <w:sz w:val="20"/>
        </w:rPr>
        <w:noBreakHyphen/>
        <w:t>K, June 3, 2008</w:t>
      </w:r>
      <w:r w:rsidRPr="003956F7">
        <w:rPr>
          <w:i/>
          <w:sz w:val="20"/>
        </w:rPr>
        <w:t>.</w:t>
      </w:r>
      <w:r w:rsidRPr="003956F7">
        <w:rPr>
          <w:sz w:val="20"/>
        </w:rPr>
        <w:t xml:space="preserve">  Appeals dismissed.</w:t>
      </w:r>
    </w:p>
    <w:p w:rsidR="007C4D2D" w:rsidRPr="003956F7" w:rsidRDefault="007C4D2D" w:rsidP="007C4D2D">
      <w:pPr>
        <w:pStyle w:val="SCCNormalDoubleSpacing"/>
        <w:spacing w:line="240" w:lineRule="auto"/>
        <w:rPr>
          <w:sz w:val="20"/>
        </w:rPr>
      </w:pPr>
    </w:p>
    <w:p w:rsidR="007C4D2D" w:rsidRPr="003956F7" w:rsidRDefault="007C4D2D" w:rsidP="007C4D2D">
      <w:pPr>
        <w:pStyle w:val="SCCNormalDoubleSpacing"/>
        <w:spacing w:line="240" w:lineRule="auto"/>
        <w:rPr>
          <w:sz w:val="20"/>
        </w:rPr>
      </w:pPr>
      <w:r w:rsidRPr="003956F7">
        <w:rPr>
          <w:i/>
          <w:sz w:val="20"/>
        </w:rPr>
        <w:tab/>
        <w:t>Anna King</w:t>
      </w:r>
      <w:r w:rsidRPr="003956F7">
        <w:rPr>
          <w:sz w:val="20"/>
        </w:rPr>
        <w:t>, for the appellant Damon William Knott.</w:t>
      </w:r>
    </w:p>
    <w:p w:rsidR="007C4D2D" w:rsidRDefault="007C4D2D" w:rsidP="007C4D2D">
      <w:pPr>
        <w:pStyle w:val="SCCNormalDoubleSpacing"/>
        <w:spacing w:line="240" w:lineRule="auto"/>
        <w:rPr>
          <w:i/>
          <w:sz w:val="20"/>
        </w:rPr>
      </w:pPr>
    </w:p>
    <w:p w:rsidR="007C4D2D" w:rsidRPr="003956F7" w:rsidRDefault="007C4D2D" w:rsidP="007C4D2D">
      <w:pPr>
        <w:pStyle w:val="SCCNormalDoubleSpacing"/>
        <w:spacing w:line="240" w:lineRule="auto"/>
        <w:rPr>
          <w:sz w:val="20"/>
        </w:rPr>
      </w:pPr>
      <w:r w:rsidRPr="003956F7">
        <w:rPr>
          <w:i/>
          <w:sz w:val="20"/>
        </w:rPr>
        <w:tab/>
        <w:t>Eric Purtzki</w:t>
      </w:r>
      <w:r w:rsidRPr="003956F7">
        <w:rPr>
          <w:sz w:val="20"/>
        </w:rPr>
        <w:t>, for the appellant D.A.P.</w:t>
      </w:r>
    </w:p>
    <w:p w:rsidR="007C4D2D" w:rsidRDefault="007C4D2D" w:rsidP="007C4D2D">
      <w:pPr>
        <w:pStyle w:val="SCCNormalDoubleSpacing"/>
        <w:spacing w:line="240" w:lineRule="auto"/>
        <w:rPr>
          <w:i/>
          <w:sz w:val="20"/>
        </w:rPr>
      </w:pPr>
    </w:p>
    <w:p w:rsidR="007C4D2D" w:rsidRPr="003956F7" w:rsidRDefault="007C4D2D" w:rsidP="007C4D2D">
      <w:pPr>
        <w:pStyle w:val="SCCNormalDoubleSpacing"/>
        <w:spacing w:line="240" w:lineRule="auto"/>
        <w:rPr>
          <w:sz w:val="20"/>
        </w:rPr>
      </w:pPr>
      <w:r w:rsidRPr="003956F7">
        <w:rPr>
          <w:i/>
          <w:sz w:val="20"/>
        </w:rPr>
        <w:tab/>
        <w:t>Michael J. Brundrett</w:t>
      </w:r>
      <w:r w:rsidRPr="003956F7">
        <w:rPr>
          <w:sz w:val="20"/>
        </w:rPr>
        <w:t>, for the respondent.</w:t>
      </w:r>
    </w:p>
    <w:p w:rsidR="007C4D2D" w:rsidRDefault="007C4D2D" w:rsidP="007C4D2D">
      <w:pPr>
        <w:pStyle w:val="SCCLawFirm"/>
        <w:spacing w:line="240" w:lineRule="auto"/>
        <w:rPr>
          <w:sz w:val="20"/>
        </w:rPr>
      </w:pPr>
    </w:p>
    <w:p w:rsidR="007C4D2D" w:rsidRPr="003956F7" w:rsidRDefault="007C4D2D" w:rsidP="007C4D2D">
      <w:pPr>
        <w:pStyle w:val="SCCLawFirm"/>
        <w:spacing w:line="240" w:lineRule="auto"/>
        <w:rPr>
          <w:sz w:val="20"/>
        </w:rPr>
      </w:pPr>
      <w:r w:rsidRPr="003956F7">
        <w:rPr>
          <w:sz w:val="20"/>
        </w:rPr>
        <w:tab/>
        <w:t>Solicitor for the appellant Damon William Knott:  Anna King, Vancouver.</w:t>
      </w:r>
    </w:p>
    <w:p w:rsidR="007C4D2D" w:rsidRDefault="007C4D2D" w:rsidP="007C4D2D">
      <w:pPr>
        <w:pStyle w:val="SCCLawFirm"/>
        <w:spacing w:line="240" w:lineRule="auto"/>
        <w:rPr>
          <w:sz w:val="20"/>
        </w:rPr>
      </w:pPr>
    </w:p>
    <w:p w:rsidR="007C4D2D" w:rsidRPr="003956F7" w:rsidRDefault="007C4D2D" w:rsidP="007C4D2D">
      <w:pPr>
        <w:pStyle w:val="SCCLawFirm"/>
        <w:spacing w:line="240" w:lineRule="auto"/>
        <w:rPr>
          <w:sz w:val="20"/>
        </w:rPr>
      </w:pPr>
      <w:r w:rsidRPr="003956F7">
        <w:rPr>
          <w:sz w:val="20"/>
        </w:rPr>
        <w:tab/>
        <w:t>Solicitor for the appellant D.A.P.:  Eric Purtzki, Vancouver.</w:t>
      </w:r>
    </w:p>
    <w:p w:rsidR="007C4D2D" w:rsidRDefault="007C4D2D" w:rsidP="007C4D2D">
      <w:pPr>
        <w:pStyle w:val="SCCLawFirm"/>
        <w:spacing w:line="240" w:lineRule="auto"/>
        <w:rPr>
          <w:sz w:val="20"/>
        </w:rPr>
      </w:pPr>
    </w:p>
    <w:p w:rsidR="007C4D2D" w:rsidRDefault="007C4D2D" w:rsidP="007C4D2D">
      <w:pPr>
        <w:pStyle w:val="SCCLawFirm"/>
        <w:spacing w:line="240" w:lineRule="auto"/>
        <w:rPr>
          <w:sz w:val="20"/>
        </w:rPr>
      </w:pPr>
      <w:r w:rsidRPr="003956F7">
        <w:rPr>
          <w:sz w:val="20"/>
        </w:rPr>
        <w:tab/>
        <w:t>Solicitor for the respondent:  Attorney General of British Columbia, Vancouver.</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7C4D2D" w:rsidRPr="007C4D2D" w:rsidRDefault="007C4D2D" w:rsidP="007C4D2D">
      <w:pPr>
        <w:jc w:val="both"/>
        <w:rPr>
          <w:sz w:val="20"/>
          <w:lang w:val="fr-CA"/>
        </w:rPr>
      </w:pPr>
      <w:r w:rsidRPr="007C4D2D">
        <w:rPr>
          <w:sz w:val="20"/>
          <w:lang w:val="fr-CA"/>
        </w:rPr>
        <w:t>Présents : La juge en chef McLachlin et les juges Deschamps, Fish, Abella, Rothstein, Moldaver et Karakatsanis.</w:t>
      </w:r>
    </w:p>
    <w:p w:rsidR="007C4D2D" w:rsidRPr="007C4D2D" w:rsidRDefault="007C4D2D" w:rsidP="007C4D2D">
      <w:pPr>
        <w:pStyle w:val="SCCLowerCourtNameLowercase"/>
        <w:spacing w:line="240" w:lineRule="auto"/>
        <w:rPr>
          <w:sz w:val="20"/>
          <w:lang w:val="fr-CA"/>
        </w:rPr>
      </w:pPr>
    </w:p>
    <w:p w:rsidR="007C4D2D" w:rsidRPr="002322C4" w:rsidRDefault="007C4D2D" w:rsidP="007C4D2D">
      <w:pPr>
        <w:pStyle w:val="SCCNormalDoubleSpacing"/>
        <w:spacing w:line="240" w:lineRule="auto"/>
        <w:rPr>
          <w:sz w:val="20"/>
          <w:lang w:val="fr-FR"/>
        </w:rPr>
      </w:pPr>
      <w:r w:rsidRPr="007C4D2D">
        <w:rPr>
          <w:i/>
          <w:sz w:val="20"/>
          <w:lang w:val="fr-CA"/>
        </w:rPr>
        <w:tab/>
        <w:t>Droit criminel — Détermination de la peine — Probation — Pouvoir des tribunaux de rendre une ordonnance de probation en plus d’un emprisonnement maximal de deux ans</w:t>
      </w:r>
      <w:r w:rsidRPr="007C4D2D">
        <w:rPr>
          <w:sz w:val="20"/>
          <w:lang w:val="fr-CA"/>
        </w:rPr>
        <w:t xml:space="preserve"> </w:t>
      </w:r>
      <w:r w:rsidRPr="007C4D2D">
        <w:rPr>
          <w:i/>
          <w:sz w:val="20"/>
          <w:lang w:val="fr-CA"/>
        </w:rPr>
        <w:t>— L’expression « emprisonnement maximal de deux ans » s’entend</w:t>
      </w:r>
      <w:r w:rsidRPr="007C4D2D">
        <w:rPr>
          <w:i/>
          <w:sz w:val="20"/>
          <w:lang w:val="fr-CA"/>
        </w:rPr>
        <w:noBreakHyphen/>
        <w:t>elle uniquement de la période d’emprisonnement imposée par un tribunal lors d’une seule et même séance ou plutôt de la somme de toutes les peines infligées au délinquant? — Une ordonnance de probation peut</w:t>
      </w:r>
      <w:r w:rsidRPr="007C4D2D">
        <w:rPr>
          <w:i/>
          <w:sz w:val="20"/>
          <w:lang w:val="fr-CA"/>
        </w:rPr>
        <w:noBreakHyphen/>
        <w:t>elle être rendue à l’égard d’un délinquant faisant l’objet de multiples peines d’emprisonnement qui, additionnées, excéderaient deux ans? — Code criminel, L.R.C. 1985, ch. </w:t>
      </w:r>
      <w:r w:rsidRPr="002322C4">
        <w:rPr>
          <w:i/>
          <w:sz w:val="20"/>
          <w:lang w:val="fr-FR"/>
        </w:rPr>
        <w:t>C</w:t>
      </w:r>
      <w:r w:rsidRPr="002322C4">
        <w:rPr>
          <w:i/>
          <w:sz w:val="20"/>
          <w:lang w:val="fr-FR"/>
        </w:rPr>
        <w:noBreakHyphen/>
        <w:t>46, art. 731(1)b).</w:t>
      </w:r>
      <w:r w:rsidRPr="002322C4">
        <w:rPr>
          <w:sz w:val="20"/>
          <w:lang w:val="fr-FR"/>
        </w:rPr>
        <w:t xml:space="preserve"> </w:t>
      </w:r>
    </w:p>
    <w:p w:rsidR="007C4D2D" w:rsidRDefault="007C4D2D" w:rsidP="007C4D2D">
      <w:pPr>
        <w:pStyle w:val="SCCNormalDoubleSpacing"/>
        <w:spacing w:line="240" w:lineRule="auto"/>
        <w:rPr>
          <w:sz w:val="20"/>
          <w:lang w:val="fr-FR"/>
        </w:rPr>
      </w:pPr>
    </w:p>
    <w:p w:rsidR="007C4D2D" w:rsidRPr="002322C4" w:rsidRDefault="007C4D2D" w:rsidP="007C4D2D">
      <w:pPr>
        <w:pStyle w:val="SCCNormalDoubleSpacing"/>
        <w:spacing w:line="240" w:lineRule="auto"/>
        <w:rPr>
          <w:sz w:val="20"/>
          <w:lang w:val="fr-FR"/>
        </w:rPr>
      </w:pPr>
      <w:r w:rsidRPr="002322C4">
        <w:rPr>
          <w:sz w:val="20"/>
          <w:lang w:val="fr-FR"/>
        </w:rPr>
        <w:tab/>
        <w:t>En août 2005, l’appelant K a été condamné à des peines d’emprisonnement de 24 mois et de 12 mois respectivement, à purger concurremment, chacune de ces peines étant assortie d’une ordonnance de probation de trois ans.  Moins d’un mois plus tard, il s’est vu infliger dans une autre affaire une peine d’emprisonnement de 16 mois devant être purgée concurremment et accompagnée de trois ans de probation.  Une semaine avant l’expiration de la peine de 24 mois, il a été condamné à une peine de six mois d’emprisonnement, à purger consécutivement.  Il a plus tard été condamné à une peine de huit mois d’emprisonnement devant être purgée consécutivement et assortie d’un an de probation.  En juin 2008, l’appelant D.A.P. a été condamné à une peine d’emprisonnement avec sursis de deux ans moins un jour, assortie de deux ans de probation.  Il a manqué aux conditions de cette peine et commis d’autres infractions.  En février 2009, sa condamnation avec sursis a été convertie en peine d’emprisonnement et il a été condamné pour ces autres infractions à des peines de trois ans et de six mois d’emprisonnement à purger concurremment.  En appel, les appelants ont contesté les ordonnances de probation, affirmant d’une part que l’al. 731(1)</w:t>
      </w:r>
      <w:r w:rsidRPr="002322C4">
        <w:rPr>
          <w:i/>
          <w:sz w:val="20"/>
          <w:lang w:val="fr-FR"/>
        </w:rPr>
        <w:t>b</w:t>
      </w:r>
      <w:r w:rsidRPr="002322C4">
        <w:rPr>
          <w:sz w:val="20"/>
          <w:lang w:val="fr-FR"/>
        </w:rPr>
        <w:t xml:space="preserve">) du </w:t>
      </w:r>
      <w:r w:rsidRPr="002322C4">
        <w:rPr>
          <w:i/>
          <w:sz w:val="20"/>
          <w:lang w:val="fr-FR"/>
        </w:rPr>
        <w:t>Code criminel</w:t>
      </w:r>
      <w:r w:rsidRPr="002322C4">
        <w:rPr>
          <w:sz w:val="20"/>
          <w:lang w:val="fr-FR"/>
        </w:rPr>
        <w:t xml:space="preserve"> autorise les tribunaux à rendre de telles ordonnances uniquement lorsqu’ils infligent un « emprisonnement maximal de deux ans », et d’autre part que cette période maximale est constituée de la somme de toutes les peines d’emprisonnement.  La Cour d’appel a confirmé la validité des ordonnances de probation.  </w:t>
      </w:r>
    </w:p>
    <w:p w:rsidR="007C4D2D" w:rsidRDefault="007C4D2D" w:rsidP="007C4D2D">
      <w:pPr>
        <w:pStyle w:val="SCCNormalDoubleSpacing"/>
        <w:spacing w:line="240" w:lineRule="auto"/>
        <w:rPr>
          <w:i/>
          <w:sz w:val="20"/>
          <w:lang w:val="fr-FR"/>
        </w:rPr>
      </w:pPr>
    </w:p>
    <w:p w:rsidR="007C4D2D" w:rsidRPr="002322C4" w:rsidRDefault="007C4D2D" w:rsidP="007C4D2D">
      <w:pPr>
        <w:pStyle w:val="SCCNormalDoubleSpacing"/>
        <w:spacing w:line="240" w:lineRule="auto"/>
        <w:rPr>
          <w:sz w:val="20"/>
          <w:lang w:val="fr-FR"/>
        </w:rPr>
      </w:pPr>
      <w:r w:rsidRPr="002322C4">
        <w:rPr>
          <w:i/>
          <w:sz w:val="20"/>
          <w:lang w:val="fr-FR"/>
        </w:rPr>
        <w:tab/>
        <w:t>Arrêt :</w:t>
      </w:r>
      <w:r w:rsidRPr="002322C4">
        <w:rPr>
          <w:sz w:val="20"/>
          <w:lang w:val="fr-FR"/>
        </w:rPr>
        <w:t xml:space="preserve"> Les pourvois sont rejetés.</w:t>
      </w:r>
    </w:p>
    <w:p w:rsidR="007C4D2D" w:rsidRDefault="007C4D2D" w:rsidP="007C4D2D">
      <w:pPr>
        <w:pStyle w:val="SCCNormalDoubleSpacing"/>
        <w:spacing w:line="240" w:lineRule="auto"/>
        <w:rPr>
          <w:sz w:val="20"/>
          <w:lang w:val="fr-FR"/>
        </w:rPr>
      </w:pPr>
    </w:p>
    <w:p w:rsidR="007C4D2D" w:rsidRPr="002322C4" w:rsidRDefault="007C4D2D" w:rsidP="007C4D2D">
      <w:pPr>
        <w:pStyle w:val="SCCNormalDoubleSpacing"/>
        <w:spacing w:line="240" w:lineRule="auto"/>
        <w:rPr>
          <w:sz w:val="20"/>
          <w:lang w:val="fr-FR"/>
        </w:rPr>
      </w:pPr>
      <w:r w:rsidRPr="002322C4">
        <w:rPr>
          <w:sz w:val="20"/>
          <w:lang w:val="fr-FR"/>
        </w:rPr>
        <w:tab/>
        <w:t xml:space="preserve">Les ordonnances de probation imposées aux appelants étaient valides lorsqu’elles ont été prononcées, et aucune peine d’emprisonnement infligée antérieurement ou subséquemment n’a eu pour effet de les invalider, prospectivement ou rétrospectivement.  L’expression « emprisonnement maximal de deux ans » s’entend uniquement de la période d’emprisonnement imposée </w:t>
      </w:r>
      <w:r w:rsidRPr="007C4D2D">
        <w:rPr>
          <w:sz w:val="20"/>
          <w:lang w:val="fr-CA"/>
        </w:rPr>
        <w:t>par un tribunal lors d’une seule et même séance.</w:t>
      </w:r>
      <w:r w:rsidRPr="002322C4">
        <w:rPr>
          <w:sz w:val="20"/>
          <w:lang w:val="fr-FR"/>
        </w:rPr>
        <w:t xml:space="preserve">  Elle ne désigne pas la somme de la période d’incarcération imposée le tribunal et de toutes les autres peines que le délinquant est en train de purger ou qui lui sont infligées subséquemment.  Il n’est pas nécessaire non plus qu’une ordonnance de probation entre </w:t>
      </w:r>
      <w:r w:rsidRPr="002322C4">
        <w:rPr>
          <w:sz w:val="20"/>
          <w:lang w:val="fr-FR"/>
        </w:rPr>
        <w:lastRenderedPageBreak/>
        <w:t>en vigueur dans les deux ans suivant son prononcé.  Toutefois, une ordonnance de probation ne peut pas accompagner une peine d’emprisonnement qui, bien que n’excédant pas deux ans, résulte par ailleurs en une peine continue d’incarcération de plus de deux ans lorsqu’elle est conjuguée à d’autres peines infligées lors de la même séance.  De telles ordonnances de probation contreviennent à l’al. 731(1)</w:t>
      </w:r>
      <w:r w:rsidRPr="002322C4">
        <w:rPr>
          <w:i/>
          <w:sz w:val="20"/>
          <w:lang w:val="fr-FR"/>
        </w:rPr>
        <w:t>b</w:t>
      </w:r>
      <w:r w:rsidRPr="002322C4">
        <w:rPr>
          <w:sz w:val="20"/>
          <w:lang w:val="fr-FR"/>
        </w:rPr>
        <w:t xml:space="preserve">) du </w:t>
      </w:r>
      <w:r w:rsidRPr="002322C4">
        <w:rPr>
          <w:i/>
          <w:sz w:val="20"/>
          <w:lang w:val="fr-FR"/>
        </w:rPr>
        <w:t>Code criminel</w:t>
      </w:r>
      <w:r w:rsidRPr="002322C4">
        <w:rPr>
          <w:sz w:val="20"/>
          <w:lang w:val="fr-FR"/>
        </w:rPr>
        <w:t>.</w:t>
      </w:r>
    </w:p>
    <w:p w:rsidR="007C4D2D" w:rsidRDefault="007C4D2D" w:rsidP="007C4D2D">
      <w:pPr>
        <w:pStyle w:val="SCCNormalDoubleSpacing"/>
        <w:spacing w:line="240" w:lineRule="auto"/>
        <w:rPr>
          <w:sz w:val="20"/>
          <w:lang w:val="fr-FR"/>
        </w:rPr>
      </w:pPr>
    </w:p>
    <w:p w:rsidR="007C4D2D" w:rsidRPr="002322C4" w:rsidRDefault="007C4D2D" w:rsidP="007C4D2D">
      <w:pPr>
        <w:pStyle w:val="SCCNormalDoubleSpacing"/>
        <w:spacing w:line="240" w:lineRule="auto"/>
        <w:rPr>
          <w:sz w:val="20"/>
          <w:lang w:val="fr-FR"/>
        </w:rPr>
      </w:pPr>
      <w:r w:rsidRPr="002322C4">
        <w:rPr>
          <w:sz w:val="20"/>
          <w:lang w:val="fr-FR"/>
        </w:rPr>
        <w:tab/>
        <w:t xml:space="preserve">Les juges doivent conserver toute la souplesse que leur accorde le </w:t>
      </w:r>
      <w:r w:rsidRPr="002322C4">
        <w:rPr>
          <w:i/>
          <w:sz w:val="20"/>
          <w:lang w:val="fr-FR"/>
        </w:rPr>
        <w:t>Code criminel</w:t>
      </w:r>
      <w:r w:rsidRPr="002322C4">
        <w:rPr>
          <w:sz w:val="20"/>
          <w:lang w:val="fr-FR"/>
        </w:rPr>
        <w:t xml:space="preserve"> dans l’établissement de peines individualisées conformes aux principes et objectifs énoncés dans le </w:t>
      </w:r>
      <w:r w:rsidRPr="002322C4">
        <w:rPr>
          <w:i/>
          <w:sz w:val="20"/>
          <w:lang w:val="fr-FR"/>
        </w:rPr>
        <w:t>Code</w:t>
      </w:r>
      <w:r w:rsidRPr="002322C4">
        <w:rPr>
          <w:sz w:val="20"/>
          <w:lang w:val="fr-FR"/>
        </w:rPr>
        <w:t xml:space="preserve"> par le législateur en matière de détermination de la peine.  La conclusion recherchée par les appelants limiterait de manière injustifiée la possibilité pour les tribunaux de recourir aux ordonnances de probation et aurait pour effet d’empêcher le juge qui détermine la peine d’imposer, dans les cas où cela serait indiqué, de courtes peines d’incarcération suivies d’une période de surveillance dans la collectivité pouvant aller jusqu’à trois ans.  Les ordonnances de probation ont pour objet de faciliter la réadaptation des délinquants.  Le fait de considérer que l’expression « emprisonnement maximal de deux ans » inclut toutes les peines non terminées aurait pour effet indésirable d’empêcher le prononcé d’ordonnances de probation à l’égard de délinquants à qui une telle mesure pourrait fort bien être bénéfique</w:t>
      </w:r>
      <w:r w:rsidRPr="002322C4">
        <w:rPr>
          <w:sz w:val="20"/>
          <w:lang w:val="fr-FR" w:bidi="en-US"/>
        </w:rPr>
        <w:t xml:space="preserve">.  </w:t>
      </w:r>
      <w:r w:rsidRPr="002322C4">
        <w:rPr>
          <w:sz w:val="20"/>
          <w:lang w:val="fr-FR"/>
        </w:rPr>
        <w:t xml:space="preserve">La réalisation des objectifs du prononcé des peines énoncés au </w:t>
      </w:r>
      <w:r w:rsidRPr="002322C4">
        <w:rPr>
          <w:i/>
          <w:sz w:val="20"/>
          <w:lang w:val="fr-FR"/>
        </w:rPr>
        <w:t>Code criminel</w:t>
      </w:r>
      <w:r w:rsidRPr="002322C4">
        <w:rPr>
          <w:sz w:val="20"/>
          <w:lang w:val="fr-FR"/>
        </w:rPr>
        <w:t xml:space="preserve"> est davantage favorisée par la préservation des décisions d’ordre non carcéral à la disposition des tribunaux.  Il arrivera fréquemment qu’une ordonnance de probation entrant en vigueur à la suite d’un emprisonnement total de plus de deux ans soit bénéfique tant pour la société que pour le délinquant.</w:t>
      </w:r>
    </w:p>
    <w:p w:rsidR="007C4D2D" w:rsidRDefault="007C4D2D" w:rsidP="007C4D2D">
      <w:pPr>
        <w:pStyle w:val="SCCNormalDoubleSpacing"/>
        <w:spacing w:line="240" w:lineRule="auto"/>
        <w:rPr>
          <w:sz w:val="20"/>
          <w:lang w:val="fr-FR"/>
        </w:rPr>
      </w:pPr>
    </w:p>
    <w:p w:rsidR="007C4D2D" w:rsidRDefault="007C4D2D" w:rsidP="007C4D2D">
      <w:pPr>
        <w:pStyle w:val="SCCNormalDoubleSpacing"/>
        <w:spacing w:line="240" w:lineRule="auto"/>
        <w:rPr>
          <w:sz w:val="20"/>
          <w:lang w:val="fr-FR"/>
        </w:rPr>
      </w:pPr>
      <w:r w:rsidRPr="002322C4">
        <w:rPr>
          <w:sz w:val="20"/>
          <w:lang w:val="fr-FR"/>
        </w:rPr>
        <w:tab/>
        <w:t>Cependant, les peines antérieures non entièrement purgées demeurent une considération importante pour décider s’il est approprié de rendre une nouvelle ordonnance de probation.  Le tribunal appelé à déterminer la peine ne peut faire abstraction des ordonnances de probation existantes.  La peine doit tenir compte des circonstances particulières de l’infraction, de la réputation et des besoins du délinquant, ainsi que de l’objectif et des principes pertinents de détermination de la peine.  Une ordonnance de probation qui est en soi manifestement inappropriée ou qui rend injuste une peine sera annulée en appel.  De plus, une ordonnance de probation qui était par ailleurs appropriée lorsqu’elle a été prononcée peut être rendue inappropriée par l’infliction subséquente d’une longue peine d’emprisonnement.</w:t>
      </w:r>
    </w:p>
    <w:p w:rsidR="007C4D2D" w:rsidRDefault="007C4D2D" w:rsidP="007C4D2D">
      <w:pPr>
        <w:pStyle w:val="SCCNormalDoubleSpacing"/>
        <w:spacing w:line="240" w:lineRule="auto"/>
        <w:rPr>
          <w:sz w:val="20"/>
          <w:lang w:val="fr-FR"/>
        </w:rPr>
      </w:pPr>
    </w:p>
    <w:p w:rsidR="007C4D2D" w:rsidRPr="007C4D2D" w:rsidRDefault="007C4D2D" w:rsidP="007C4D2D">
      <w:pPr>
        <w:pStyle w:val="SCCNormalDoubleSpacing"/>
        <w:spacing w:line="240" w:lineRule="auto"/>
        <w:rPr>
          <w:sz w:val="20"/>
          <w:highlight w:val="yellow"/>
          <w:lang w:val="fr-CA"/>
        </w:rPr>
      </w:pPr>
      <w:r w:rsidRPr="007C4D2D">
        <w:rPr>
          <w:sz w:val="20"/>
          <w:lang w:val="fr-CA"/>
        </w:rPr>
        <w:tab/>
        <w:t>POURVOIS contre un arrêt de la Cour d’appel de la Colombie</w:t>
      </w:r>
      <w:r w:rsidRPr="007C4D2D">
        <w:rPr>
          <w:sz w:val="20"/>
          <w:lang w:val="fr-CA"/>
        </w:rPr>
        <w:noBreakHyphen/>
        <w:t>Britannique (le juge en chef Finch et les juges Rowles, Hall, Groberman et Bennett), 2010 BCCA 386, 291 B.C.A.C. 236, 492 W.A.C. 236, 258 C.C.C. (3d) 470, [2010] B.C.J. No. 1664 (QL), 2010 CarswellBC 2238, qui a confirmé les décisions du juge Raven, greffe de Surrey n</w:t>
      </w:r>
      <w:r w:rsidRPr="007C4D2D">
        <w:rPr>
          <w:sz w:val="20"/>
          <w:vertAlign w:val="superscript"/>
          <w:lang w:val="fr-CA"/>
        </w:rPr>
        <w:t>os</w:t>
      </w:r>
      <w:r w:rsidRPr="007C4D2D">
        <w:rPr>
          <w:sz w:val="20"/>
          <w:lang w:val="fr-CA"/>
        </w:rPr>
        <w:t> 145481</w:t>
      </w:r>
      <w:r w:rsidRPr="007C4D2D">
        <w:rPr>
          <w:sz w:val="20"/>
          <w:lang w:val="fr-CA"/>
        </w:rPr>
        <w:noBreakHyphen/>
        <w:t>3</w:t>
      </w:r>
      <w:r w:rsidRPr="007C4D2D">
        <w:rPr>
          <w:sz w:val="20"/>
          <w:lang w:val="fr-CA"/>
        </w:rPr>
        <w:noBreakHyphen/>
        <w:t>C et 146247</w:t>
      </w:r>
      <w:r w:rsidRPr="007C4D2D">
        <w:rPr>
          <w:sz w:val="20"/>
          <w:lang w:val="fr-CA"/>
        </w:rPr>
        <w:noBreakHyphen/>
        <w:t>1, 18 août 2005; du juge Moss, greffe de North Vancouver n</w:t>
      </w:r>
      <w:r w:rsidRPr="007C4D2D">
        <w:rPr>
          <w:sz w:val="20"/>
          <w:vertAlign w:val="superscript"/>
          <w:lang w:val="fr-CA"/>
        </w:rPr>
        <w:t>os</w:t>
      </w:r>
      <w:r w:rsidRPr="007C4D2D">
        <w:rPr>
          <w:sz w:val="20"/>
          <w:lang w:val="fr-CA"/>
        </w:rPr>
        <w:t> 45179</w:t>
      </w:r>
      <w:r w:rsidRPr="007C4D2D">
        <w:rPr>
          <w:sz w:val="20"/>
          <w:lang w:val="fr-CA"/>
        </w:rPr>
        <w:noBreakHyphen/>
        <w:t>1 et 45295</w:t>
      </w:r>
      <w:r w:rsidRPr="007C4D2D">
        <w:rPr>
          <w:sz w:val="20"/>
          <w:lang w:val="fr-CA"/>
        </w:rPr>
        <w:noBreakHyphen/>
        <w:t>1, 8 septembre 2005; de la juge Chaperon, greffe de Victoria n</w:t>
      </w:r>
      <w:r w:rsidRPr="007C4D2D">
        <w:rPr>
          <w:sz w:val="20"/>
          <w:vertAlign w:val="superscript"/>
          <w:lang w:val="fr-CA"/>
        </w:rPr>
        <w:t>o </w:t>
      </w:r>
      <w:r w:rsidRPr="007C4D2D">
        <w:rPr>
          <w:sz w:val="20"/>
          <w:lang w:val="fr-CA"/>
        </w:rPr>
        <w:t>140302</w:t>
      </w:r>
      <w:r w:rsidRPr="007C4D2D">
        <w:rPr>
          <w:sz w:val="20"/>
          <w:lang w:val="fr-CA"/>
        </w:rPr>
        <w:noBreakHyphen/>
        <w:t xml:space="preserve">1, 3 décembre 2007; et </w:t>
      </w:r>
      <w:r w:rsidRPr="007C4D2D">
        <w:rPr>
          <w:i/>
          <w:sz w:val="20"/>
          <w:lang w:val="fr-CA"/>
        </w:rPr>
        <w:t>sub nom. R. c. D.A.P.</w:t>
      </w:r>
      <w:r w:rsidRPr="007C4D2D">
        <w:rPr>
          <w:sz w:val="20"/>
          <w:lang w:val="fr-CA"/>
        </w:rPr>
        <w:t>, du juge Webb, greffe de Cranbrook n</w:t>
      </w:r>
      <w:r w:rsidRPr="007C4D2D">
        <w:rPr>
          <w:sz w:val="20"/>
          <w:vertAlign w:val="superscript"/>
          <w:lang w:val="fr-CA"/>
        </w:rPr>
        <w:t>os</w:t>
      </w:r>
      <w:r w:rsidRPr="007C4D2D">
        <w:rPr>
          <w:sz w:val="20"/>
          <w:lang w:val="fr-CA"/>
        </w:rPr>
        <w:t> 26225</w:t>
      </w:r>
      <w:r w:rsidRPr="007C4D2D">
        <w:rPr>
          <w:sz w:val="20"/>
          <w:lang w:val="fr-CA"/>
        </w:rPr>
        <w:noBreakHyphen/>
        <w:t>2</w:t>
      </w:r>
      <w:r w:rsidRPr="007C4D2D">
        <w:rPr>
          <w:sz w:val="20"/>
          <w:lang w:val="fr-CA"/>
        </w:rPr>
        <w:noBreakHyphen/>
        <w:t>C et 27264</w:t>
      </w:r>
      <w:r w:rsidRPr="007C4D2D">
        <w:rPr>
          <w:sz w:val="20"/>
          <w:lang w:val="fr-CA"/>
        </w:rPr>
        <w:noBreakHyphen/>
        <w:t>1</w:t>
      </w:r>
      <w:r w:rsidRPr="007C4D2D">
        <w:rPr>
          <w:sz w:val="20"/>
          <w:lang w:val="fr-CA"/>
        </w:rPr>
        <w:noBreakHyphen/>
        <w:t>K, 3 juin 2008</w:t>
      </w:r>
      <w:r w:rsidRPr="007C4D2D">
        <w:rPr>
          <w:i/>
          <w:sz w:val="20"/>
          <w:lang w:val="fr-CA"/>
        </w:rPr>
        <w:t>.</w:t>
      </w:r>
      <w:r w:rsidRPr="007C4D2D">
        <w:rPr>
          <w:sz w:val="20"/>
          <w:lang w:val="fr-CA"/>
        </w:rPr>
        <w:t xml:space="preserve">  Pourvois rejetés.</w:t>
      </w:r>
    </w:p>
    <w:p w:rsidR="007C4D2D" w:rsidRPr="007C4D2D" w:rsidRDefault="007C4D2D" w:rsidP="007C4D2D">
      <w:pPr>
        <w:pStyle w:val="SCCNormalDoubleSpacing"/>
        <w:spacing w:line="240" w:lineRule="auto"/>
        <w:rPr>
          <w:i/>
          <w:sz w:val="20"/>
          <w:lang w:val="fr-CA"/>
        </w:rPr>
      </w:pPr>
    </w:p>
    <w:p w:rsidR="007C4D2D" w:rsidRPr="007C4D2D" w:rsidRDefault="007C4D2D" w:rsidP="007C4D2D">
      <w:pPr>
        <w:pStyle w:val="SCCNormalDoubleSpacing"/>
        <w:spacing w:line="240" w:lineRule="auto"/>
        <w:rPr>
          <w:sz w:val="20"/>
          <w:lang w:val="fr-CA"/>
        </w:rPr>
      </w:pPr>
      <w:r w:rsidRPr="007C4D2D">
        <w:rPr>
          <w:i/>
          <w:sz w:val="20"/>
          <w:lang w:val="fr-CA"/>
        </w:rPr>
        <w:tab/>
        <w:t>Anna King</w:t>
      </w:r>
      <w:r w:rsidRPr="007C4D2D">
        <w:rPr>
          <w:sz w:val="20"/>
          <w:lang w:val="fr-CA"/>
        </w:rPr>
        <w:t>, pour l’appelant Damon William Knott.</w:t>
      </w:r>
    </w:p>
    <w:p w:rsidR="007C4D2D" w:rsidRPr="007C4D2D" w:rsidRDefault="007C4D2D" w:rsidP="007C4D2D">
      <w:pPr>
        <w:pStyle w:val="SCCNormalDoubleSpacing"/>
        <w:spacing w:line="240" w:lineRule="auto"/>
        <w:rPr>
          <w:i/>
          <w:sz w:val="20"/>
          <w:lang w:val="fr-CA"/>
        </w:rPr>
      </w:pPr>
    </w:p>
    <w:p w:rsidR="007C4D2D" w:rsidRPr="007C4D2D" w:rsidRDefault="007C4D2D" w:rsidP="007C4D2D">
      <w:pPr>
        <w:pStyle w:val="SCCNormalDoubleSpacing"/>
        <w:spacing w:line="240" w:lineRule="auto"/>
        <w:rPr>
          <w:sz w:val="20"/>
          <w:lang w:val="fr-CA"/>
        </w:rPr>
      </w:pPr>
      <w:r w:rsidRPr="007C4D2D">
        <w:rPr>
          <w:i/>
          <w:sz w:val="20"/>
          <w:lang w:val="fr-CA"/>
        </w:rPr>
        <w:tab/>
        <w:t>Eric Purtzki</w:t>
      </w:r>
      <w:r w:rsidRPr="007C4D2D">
        <w:rPr>
          <w:sz w:val="20"/>
          <w:lang w:val="fr-CA"/>
        </w:rPr>
        <w:t>, pour l’appelant D.A.P.</w:t>
      </w:r>
    </w:p>
    <w:p w:rsidR="007C4D2D" w:rsidRPr="007C4D2D" w:rsidRDefault="007C4D2D" w:rsidP="007C4D2D">
      <w:pPr>
        <w:pStyle w:val="SCCNormalDoubleSpacing"/>
        <w:spacing w:line="240" w:lineRule="auto"/>
        <w:rPr>
          <w:i/>
          <w:sz w:val="20"/>
          <w:lang w:val="fr-CA"/>
        </w:rPr>
      </w:pPr>
    </w:p>
    <w:p w:rsidR="007C4D2D" w:rsidRPr="007C4D2D" w:rsidRDefault="007C4D2D" w:rsidP="007C4D2D">
      <w:pPr>
        <w:pStyle w:val="SCCNormalDoubleSpacing"/>
        <w:spacing w:line="240" w:lineRule="auto"/>
        <w:rPr>
          <w:sz w:val="20"/>
          <w:lang w:val="fr-CA"/>
        </w:rPr>
      </w:pPr>
      <w:r w:rsidRPr="007C4D2D">
        <w:rPr>
          <w:i/>
          <w:sz w:val="20"/>
          <w:lang w:val="fr-CA"/>
        </w:rPr>
        <w:tab/>
        <w:t>Michael J. Brundrett</w:t>
      </w:r>
      <w:r w:rsidRPr="007C4D2D">
        <w:rPr>
          <w:sz w:val="20"/>
          <w:lang w:val="fr-CA"/>
        </w:rPr>
        <w:t>, pour l’intimée.</w:t>
      </w:r>
    </w:p>
    <w:p w:rsidR="007C4D2D" w:rsidRPr="007C4D2D" w:rsidRDefault="007C4D2D" w:rsidP="007C4D2D">
      <w:pPr>
        <w:pStyle w:val="SCCLawFirm"/>
        <w:spacing w:line="240" w:lineRule="auto"/>
        <w:rPr>
          <w:sz w:val="20"/>
          <w:lang w:val="fr-CA"/>
        </w:rPr>
      </w:pPr>
    </w:p>
    <w:p w:rsidR="007C4D2D" w:rsidRPr="007C4D2D" w:rsidRDefault="007C4D2D" w:rsidP="007C4D2D">
      <w:pPr>
        <w:pStyle w:val="SCCLawFirm"/>
        <w:spacing w:line="240" w:lineRule="auto"/>
        <w:rPr>
          <w:sz w:val="20"/>
          <w:lang w:val="fr-CA"/>
        </w:rPr>
      </w:pPr>
      <w:r w:rsidRPr="007C4D2D">
        <w:rPr>
          <w:sz w:val="20"/>
          <w:lang w:val="fr-CA"/>
        </w:rPr>
        <w:tab/>
        <w:t>Procureur de l’appelant Damon William Knott : Anna King, Vancouver.</w:t>
      </w:r>
    </w:p>
    <w:p w:rsidR="007C4D2D" w:rsidRPr="007C4D2D" w:rsidRDefault="007C4D2D" w:rsidP="007C4D2D">
      <w:pPr>
        <w:pStyle w:val="SCCLawFirm"/>
        <w:spacing w:line="240" w:lineRule="auto"/>
        <w:rPr>
          <w:sz w:val="20"/>
          <w:lang w:val="fr-CA"/>
        </w:rPr>
      </w:pPr>
    </w:p>
    <w:p w:rsidR="007C4D2D" w:rsidRPr="007C4D2D" w:rsidRDefault="007C4D2D" w:rsidP="007C4D2D">
      <w:pPr>
        <w:pStyle w:val="SCCLawFirm"/>
        <w:spacing w:line="240" w:lineRule="auto"/>
        <w:rPr>
          <w:sz w:val="20"/>
          <w:lang w:val="fr-CA"/>
        </w:rPr>
      </w:pPr>
      <w:r w:rsidRPr="007C4D2D">
        <w:rPr>
          <w:sz w:val="20"/>
          <w:lang w:val="fr-CA"/>
        </w:rPr>
        <w:tab/>
        <w:t>Procureur de l’appelant D.A.P. : Eric Purtzki, Vancouver.</w:t>
      </w:r>
    </w:p>
    <w:p w:rsidR="007C4D2D" w:rsidRPr="007C4D2D" w:rsidRDefault="007C4D2D" w:rsidP="007C4D2D">
      <w:pPr>
        <w:pStyle w:val="SCCLawFirm"/>
        <w:spacing w:line="240" w:lineRule="auto"/>
        <w:rPr>
          <w:sz w:val="20"/>
          <w:lang w:val="fr-CA"/>
        </w:rPr>
      </w:pPr>
    </w:p>
    <w:p w:rsidR="007C4D2D" w:rsidRPr="007C4D2D" w:rsidRDefault="007C4D2D" w:rsidP="007C4D2D">
      <w:pPr>
        <w:pStyle w:val="SCCLawFirm"/>
        <w:spacing w:line="240" w:lineRule="auto"/>
        <w:rPr>
          <w:sz w:val="20"/>
          <w:lang w:val="fr-CA"/>
        </w:rPr>
      </w:pPr>
      <w:r w:rsidRPr="007C4D2D">
        <w:rPr>
          <w:sz w:val="20"/>
          <w:lang w:val="fr-CA"/>
        </w:rPr>
        <w:tab/>
        <w:t>Procureur de l’intimée : Procureur général de la Colombie</w:t>
      </w:r>
      <w:r w:rsidRPr="007C4D2D">
        <w:rPr>
          <w:sz w:val="20"/>
          <w:lang w:val="fr-CA"/>
        </w:rPr>
        <w:noBreakHyphen/>
        <w:t>Britannique, Vancouver.</w:t>
      </w:r>
    </w:p>
    <w:p w:rsidR="003B3977" w:rsidRDefault="003B3977" w:rsidP="005C6840">
      <w:pPr>
        <w:rPr>
          <w:rFonts w:cs="Times New Roman"/>
          <w:sz w:val="20"/>
          <w:szCs w:val="20"/>
          <w:lang w:val="fr-CA"/>
        </w:rPr>
      </w:pPr>
    </w:p>
    <w:p w:rsidR="005C6840" w:rsidRDefault="007333FF" w:rsidP="005C6840">
      <w:pPr>
        <w:rPr>
          <w:lang w:val="fr-CA"/>
        </w:rPr>
      </w:pPr>
      <w:r w:rsidRPr="007333FF">
        <w:rPr>
          <w:rFonts w:cs="Times New Roman"/>
          <w:sz w:val="20"/>
          <w:szCs w:val="20"/>
          <w:lang w:val="fr-CA"/>
        </w:rPr>
        <w:pict>
          <v:rect id="_x0000_i1152" style="width:144.3pt;height:1pt" o:hrpct="300" o:hralign="center" o:hrstd="t" o:hrnoshade="t" o:hr="t" fillcolor="black [3213]" stroked="f"/>
        </w:pict>
      </w:r>
      <w:r w:rsidR="005C6840">
        <w:rPr>
          <w:lang w:val="fr-CA"/>
        </w:rPr>
        <w:br w:type="page"/>
      </w:r>
    </w:p>
    <w:p w:rsidR="00F9382C" w:rsidRPr="000A458F" w:rsidRDefault="00F9382C" w:rsidP="00F9382C">
      <w:pPr>
        <w:ind w:left="720" w:hanging="720"/>
        <w:rPr>
          <w:rFonts w:eastAsia="Calibri" w:cs="Times New Roman"/>
          <w:sz w:val="20"/>
          <w:szCs w:val="20"/>
        </w:rPr>
      </w:pPr>
      <w:r w:rsidRPr="000A458F">
        <w:rPr>
          <w:rFonts w:eastAsia="Calibri" w:cs="Times New Roman"/>
          <w:i/>
          <w:sz w:val="20"/>
          <w:szCs w:val="20"/>
        </w:rPr>
        <w:lastRenderedPageBreak/>
        <w:t>Her Majesty the Queen</w:t>
      </w:r>
      <w:r w:rsidRPr="000A458F">
        <w:rPr>
          <w:rFonts w:eastAsia="Calibri" w:cs="Times New Roman"/>
          <w:sz w:val="20"/>
          <w:szCs w:val="20"/>
        </w:rPr>
        <w:t xml:space="preserve"> </w:t>
      </w:r>
      <w:r w:rsidRPr="000A458F">
        <w:rPr>
          <w:rFonts w:eastAsia="Calibri" w:cs="Times New Roman"/>
          <w:i/>
          <w:sz w:val="20"/>
          <w:szCs w:val="20"/>
        </w:rPr>
        <w:t xml:space="preserve">v. John H. Craig </w:t>
      </w:r>
      <w:r w:rsidRPr="000A458F">
        <w:rPr>
          <w:rFonts w:eastAsia="Calibri" w:cs="Times New Roman"/>
          <w:sz w:val="20"/>
          <w:szCs w:val="20"/>
        </w:rPr>
        <w:t>(F.C.) (34144)</w:t>
      </w:r>
    </w:p>
    <w:p w:rsidR="00C2718F" w:rsidRPr="002123D7" w:rsidRDefault="00C2718F" w:rsidP="00C2718F">
      <w:pPr>
        <w:jc w:val="both"/>
        <w:rPr>
          <w:b/>
          <w:sz w:val="20"/>
          <w:szCs w:val="20"/>
        </w:rPr>
      </w:pPr>
      <w:r w:rsidRPr="00F14D9F">
        <w:rPr>
          <w:b/>
          <w:sz w:val="20"/>
          <w:szCs w:val="20"/>
        </w:rPr>
        <w:t xml:space="preserve">Indexed as:  Canada </w:t>
      </w:r>
      <w:r w:rsidRPr="00F14D9F">
        <w:rPr>
          <w:b/>
          <w:i/>
          <w:sz w:val="20"/>
          <w:szCs w:val="20"/>
        </w:rPr>
        <w:t>v.</w:t>
      </w:r>
      <w:r w:rsidRPr="00F14D9F">
        <w:rPr>
          <w:b/>
          <w:sz w:val="20"/>
          <w:szCs w:val="20"/>
        </w:rPr>
        <w:t xml:space="preserve"> Craig</w:t>
      </w:r>
      <w:r>
        <w:rPr>
          <w:b/>
          <w:sz w:val="20"/>
          <w:szCs w:val="20"/>
        </w:rPr>
        <w:t xml:space="preserve"> / </w:t>
      </w:r>
      <w:r w:rsidRPr="002123D7">
        <w:rPr>
          <w:b/>
          <w:sz w:val="20"/>
          <w:szCs w:val="20"/>
        </w:rPr>
        <w:t xml:space="preserve">Répertorié : Canada </w:t>
      </w:r>
      <w:r w:rsidRPr="002123D7">
        <w:rPr>
          <w:b/>
          <w:i/>
          <w:sz w:val="20"/>
          <w:szCs w:val="20"/>
        </w:rPr>
        <w:t>c.</w:t>
      </w:r>
      <w:r w:rsidRPr="002123D7">
        <w:rPr>
          <w:b/>
          <w:sz w:val="20"/>
          <w:szCs w:val="20"/>
        </w:rPr>
        <w:t xml:space="preserve"> Craig</w:t>
      </w:r>
    </w:p>
    <w:p w:rsidR="005C6840" w:rsidRPr="00536B45" w:rsidRDefault="005C6840" w:rsidP="005C6840">
      <w:pPr>
        <w:pStyle w:val="SCCSystemYear"/>
        <w:jc w:val="both"/>
        <w:rPr>
          <w:sz w:val="20"/>
          <w:lang w:val="en-CA"/>
        </w:rPr>
      </w:pPr>
      <w:r w:rsidRPr="00536B45">
        <w:rPr>
          <w:sz w:val="20"/>
          <w:lang w:val="en-CA"/>
        </w:rPr>
        <w:t>Neutral citation:  201</w:t>
      </w:r>
      <w:r w:rsidR="00F9382C" w:rsidRPr="00536B45">
        <w:rPr>
          <w:sz w:val="20"/>
          <w:lang w:val="en-CA"/>
        </w:rPr>
        <w:t>2</w:t>
      </w:r>
      <w:r w:rsidRPr="00536B45">
        <w:rPr>
          <w:sz w:val="20"/>
          <w:lang w:val="en-CA"/>
        </w:rPr>
        <w:t xml:space="preserve"> SCC </w:t>
      </w:r>
      <w:r w:rsidR="00F9382C" w:rsidRPr="00536B45">
        <w:rPr>
          <w:sz w:val="20"/>
          <w:lang w:val="en-CA"/>
        </w:rPr>
        <w:t>43</w:t>
      </w:r>
      <w:r w:rsidRPr="00536B45">
        <w:rPr>
          <w:sz w:val="20"/>
          <w:lang w:val="en-CA"/>
        </w:rPr>
        <w:t xml:space="preserve"> / Référence neutre : 201</w:t>
      </w:r>
      <w:r w:rsidR="00F9382C" w:rsidRPr="00536B45">
        <w:rPr>
          <w:sz w:val="20"/>
          <w:lang w:val="en-CA"/>
        </w:rPr>
        <w:t>2</w:t>
      </w:r>
      <w:r w:rsidRPr="00536B45">
        <w:rPr>
          <w:sz w:val="20"/>
          <w:lang w:val="en-CA"/>
        </w:rPr>
        <w:t xml:space="preserve"> CSC </w:t>
      </w:r>
      <w:r w:rsidR="00F9382C" w:rsidRPr="00536B45">
        <w:rPr>
          <w:sz w:val="20"/>
          <w:lang w:val="en-CA"/>
        </w:rPr>
        <w:t>43</w:t>
      </w:r>
    </w:p>
    <w:p w:rsidR="005C6840" w:rsidRPr="00536B45" w:rsidRDefault="005C6840" w:rsidP="005C6840">
      <w:pPr>
        <w:rPr>
          <w:sz w:val="20"/>
          <w:szCs w:val="20"/>
        </w:rPr>
      </w:pPr>
      <w:r w:rsidRPr="00536B45">
        <w:rPr>
          <w:sz w:val="20"/>
          <w:szCs w:val="20"/>
        </w:rPr>
        <w:t>Hearing:  Ma</w:t>
      </w:r>
      <w:r w:rsidR="00F9382C" w:rsidRPr="00536B45">
        <w:rPr>
          <w:sz w:val="20"/>
          <w:szCs w:val="20"/>
        </w:rPr>
        <w:t>rch</w:t>
      </w:r>
      <w:r w:rsidRPr="00536B45">
        <w:rPr>
          <w:sz w:val="20"/>
          <w:szCs w:val="20"/>
        </w:rPr>
        <w:t xml:space="preserve"> 2</w:t>
      </w:r>
      <w:r w:rsidR="00F9382C" w:rsidRPr="00536B45">
        <w:rPr>
          <w:sz w:val="20"/>
          <w:szCs w:val="20"/>
        </w:rPr>
        <w:t>3</w:t>
      </w:r>
      <w:r w:rsidRPr="00536B45">
        <w:rPr>
          <w:sz w:val="20"/>
          <w:szCs w:val="20"/>
        </w:rPr>
        <w:t>, 201</w:t>
      </w:r>
      <w:r w:rsidR="00F9382C" w:rsidRPr="00536B45">
        <w:rPr>
          <w:sz w:val="20"/>
          <w:szCs w:val="20"/>
        </w:rPr>
        <w:t>2</w:t>
      </w:r>
      <w:r w:rsidRPr="00536B45">
        <w:rPr>
          <w:sz w:val="20"/>
          <w:szCs w:val="20"/>
        </w:rPr>
        <w:t xml:space="preserve"> / Judgment:  </w:t>
      </w:r>
      <w:r w:rsidR="00F9382C" w:rsidRPr="00536B45">
        <w:rPr>
          <w:sz w:val="20"/>
          <w:szCs w:val="20"/>
        </w:rPr>
        <w:t>August</w:t>
      </w:r>
      <w:r w:rsidRPr="00536B45">
        <w:rPr>
          <w:sz w:val="20"/>
          <w:szCs w:val="20"/>
        </w:rPr>
        <w:t xml:space="preserve"> </w:t>
      </w:r>
      <w:r w:rsidR="00F9382C" w:rsidRPr="00536B45">
        <w:rPr>
          <w:sz w:val="20"/>
          <w:szCs w:val="20"/>
        </w:rPr>
        <w:t>1</w:t>
      </w:r>
      <w:r w:rsidRPr="00536B45">
        <w:rPr>
          <w:sz w:val="20"/>
          <w:szCs w:val="20"/>
        </w:rPr>
        <w:t>, 201</w:t>
      </w:r>
      <w:r w:rsidR="00F9382C" w:rsidRPr="00536B45">
        <w:rPr>
          <w:sz w:val="20"/>
          <w:szCs w:val="20"/>
        </w:rPr>
        <w:t>2</w:t>
      </w:r>
    </w:p>
    <w:p w:rsidR="005C6840" w:rsidRPr="003B3977" w:rsidRDefault="005C6840" w:rsidP="005C6840">
      <w:pPr>
        <w:rPr>
          <w:sz w:val="20"/>
          <w:szCs w:val="20"/>
          <w:lang w:val="fr-CA"/>
        </w:rPr>
      </w:pPr>
      <w:r w:rsidRPr="003B3977">
        <w:rPr>
          <w:sz w:val="20"/>
          <w:szCs w:val="20"/>
          <w:lang w:val="fr-CA"/>
        </w:rPr>
        <w:t>Audition : Le 2</w:t>
      </w:r>
      <w:r w:rsidR="00F9382C">
        <w:rPr>
          <w:sz w:val="20"/>
          <w:szCs w:val="20"/>
          <w:lang w:val="fr-CA"/>
        </w:rPr>
        <w:t>3</w:t>
      </w:r>
      <w:r w:rsidRPr="003B3977">
        <w:rPr>
          <w:sz w:val="20"/>
          <w:szCs w:val="20"/>
          <w:lang w:val="fr-CA"/>
        </w:rPr>
        <w:t xml:space="preserve"> ma</w:t>
      </w:r>
      <w:r w:rsidR="00F9382C">
        <w:rPr>
          <w:sz w:val="20"/>
          <w:szCs w:val="20"/>
          <w:lang w:val="fr-CA"/>
        </w:rPr>
        <w:t>rs</w:t>
      </w:r>
      <w:r w:rsidRPr="003B3977">
        <w:rPr>
          <w:sz w:val="20"/>
          <w:szCs w:val="20"/>
          <w:lang w:val="fr-CA"/>
        </w:rPr>
        <w:t xml:space="preserve"> 201</w:t>
      </w:r>
      <w:r w:rsidR="00F9382C">
        <w:rPr>
          <w:sz w:val="20"/>
          <w:szCs w:val="20"/>
          <w:lang w:val="fr-CA"/>
        </w:rPr>
        <w:t>2</w:t>
      </w:r>
      <w:r w:rsidRPr="003B3977">
        <w:rPr>
          <w:sz w:val="20"/>
          <w:szCs w:val="20"/>
          <w:lang w:val="fr-CA"/>
        </w:rPr>
        <w:t xml:space="preserve"> / Jugement : Le </w:t>
      </w:r>
      <w:r w:rsidR="00F9382C">
        <w:rPr>
          <w:sz w:val="20"/>
          <w:szCs w:val="20"/>
          <w:lang w:val="fr-CA"/>
        </w:rPr>
        <w:t>1</w:t>
      </w:r>
      <w:r w:rsidR="00F9382C" w:rsidRPr="00F9382C">
        <w:rPr>
          <w:sz w:val="20"/>
          <w:szCs w:val="20"/>
          <w:vertAlign w:val="superscript"/>
          <w:lang w:val="fr-CA"/>
        </w:rPr>
        <w:t>er</w:t>
      </w:r>
      <w:r w:rsidR="00F9382C">
        <w:rPr>
          <w:sz w:val="20"/>
          <w:szCs w:val="20"/>
          <w:lang w:val="fr-CA"/>
        </w:rPr>
        <w:t xml:space="preserve"> aoû</w:t>
      </w:r>
      <w:r w:rsidRPr="003B3977">
        <w:rPr>
          <w:sz w:val="20"/>
          <w:szCs w:val="20"/>
          <w:lang w:val="fr-CA"/>
        </w:rPr>
        <w:t>t 201</w:t>
      </w:r>
      <w:r w:rsidR="00F9382C">
        <w:rPr>
          <w:sz w:val="20"/>
          <w:szCs w:val="20"/>
          <w:lang w:val="fr-CA"/>
        </w:rPr>
        <w:t>2</w:t>
      </w:r>
    </w:p>
    <w:p w:rsidR="005C6840" w:rsidRPr="003B3977" w:rsidRDefault="007333FF" w:rsidP="005C6840">
      <w:pPr>
        <w:rPr>
          <w:sz w:val="20"/>
          <w:szCs w:val="20"/>
          <w:lang w:val="fr-CA"/>
        </w:rPr>
      </w:pPr>
      <w:r w:rsidRPr="007333FF">
        <w:rPr>
          <w:i/>
          <w:sz w:val="20"/>
          <w:szCs w:val="20"/>
        </w:rPr>
        <w:pict>
          <v:rect id="_x0000_i1153"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C2718F" w:rsidRPr="00F14D9F" w:rsidRDefault="00C2718F" w:rsidP="00C2718F">
      <w:pPr>
        <w:jc w:val="both"/>
        <w:rPr>
          <w:sz w:val="20"/>
          <w:szCs w:val="20"/>
        </w:rPr>
      </w:pPr>
      <w:r w:rsidRPr="00F14D9F">
        <w:rPr>
          <w:sz w:val="20"/>
          <w:szCs w:val="20"/>
        </w:rPr>
        <w:t>Present:  LeBel, Deschamps, Abella, Rothstein, Cromwell, Moldaver and Karakatsanis JJ.</w:t>
      </w:r>
    </w:p>
    <w:p w:rsidR="00C2718F" w:rsidRDefault="00C2718F" w:rsidP="00C2718F">
      <w:pPr>
        <w:pStyle w:val="SCCLowerCourtNameLowercase"/>
        <w:spacing w:line="240" w:lineRule="auto"/>
        <w:rPr>
          <w:sz w:val="20"/>
        </w:rPr>
      </w:pPr>
    </w:p>
    <w:p w:rsidR="00C2718F" w:rsidRPr="00F14D9F" w:rsidRDefault="00C2718F" w:rsidP="00C2718F">
      <w:pPr>
        <w:pStyle w:val="SCCNormalDoubleSpacing"/>
        <w:spacing w:line="240" w:lineRule="auto"/>
        <w:rPr>
          <w:i/>
          <w:iCs/>
          <w:sz w:val="20"/>
        </w:rPr>
      </w:pPr>
      <w:r w:rsidRPr="00F14D9F">
        <w:rPr>
          <w:sz w:val="20"/>
        </w:rPr>
        <w:tab/>
      </w:r>
      <w:r w:rsidRPr="00F14D9F">
        <w:rPr>
          <w:i/>
          <w:sz w:val="20"/>
        </w:rPr>
        <w:t xml:space="preserve">Taxation — Income Tax — Deduction of farming losses — Taxpayer drawing income from farming and other sources — Taxpayer deducting farming losses from total income — Whether farm income combined with other income constitutes chief source of income — Whether totality of farming losses deductible from income — </w:t>
      </w:r>
      <w:r w:rsidRPr="00F14D9F">
        <w:rPr>
          <w:i/>
          <w:iCs/>
          <w:sz w:val="20"/>
        </w:rPr>
        <w:t>Income Tax Act, R.S.C. 1985, c. 1 (5th Supp.), s. 31(1)(a).</w:t>
      </w:r>
    </w:p>
    <w:p w:rsidR="00C2718F" w:rsidRDefault="00C2718F" w:rsidP="00C2718F">
      <w:pPr>
        <w:pStyle w:val="SCCNormalDoubleSpacing"/>
        <w:spacing w:line="240" w:lineRule="auto"/>
        <w:rPr>
          <w:i/>
          <w:sz w:val="20"/>
        </w:rPr>
      </w:pPr>
    </w:p>
    <w:p w:rsidR="00C2718F" w:rsidRPr="00F14D9F" w:rsidRDefault="00C2718F" w:rsidP="00C2718F">
      <w:pPr>
        <w:pStyle w:val="SCCNormalDoubleSpacing"/>
        <w:spacing w:line="240" w:lineRule="auto"/>
        <w:rPr>
          <w:i/>
          <w:sz w:val="20"/>
        </w:rPr>
      </w:pPr>
      <w:r w:rsidRPr="00F14D9F">
        <w:rPr>
          <w:i/>
          <w:sz w:val="20"/>
        </w:rPr>
        <w:tab/>
        <w:t>Courts — Decisions — Stare decisis — Whether subordinate courts may overrule higher court precedent — Circumstances in which prior Supreme Court of Canada decisions will be reconsidered or revised.</w:t>
      </w:r>
    </w:p>
    <w:p w:rsidR="00C2718F" w:rsidRDefault="00C2718F" w:rsidP="00C2718F">
      <w:pPr>
        <w:pStyle w:val="SCCNormalDoubleSpacing"/>
        <w:spacing w:line="240" w:lineRule="auto"/>
        <w:rPr>
          <w:sz w:val="20"/>
        </w:rPr>
      </w:pPr>
    </w:p>
    <w:p w:rsidR="00C2718F" w:rsidRPr="00F14D9F" w:rsidRDefault="00C2718F" w:rsidP="00C2718F">
      <w:pPr>
        <w:pStyle w:val="SCCNormalDoubleSpacing"/>
        <w:spacing w:line="240" w:lineRule="auto"/>
        <w:rPr>
          <w:sz w:val="20"/>
        </w:rPr>
      </w:pPr>
      <w:r w:rsidRPr="00F14D9F">
        <w:rPr>
          <w:sz w:val="20"/>
        </w:rPr>
        <w:tab/>
        <w:t xml:space="preserve">Section 31(1) of the </w:t>
      </w:r>
      <w:r w:rsidRPr="00F14D9F">
        <w:rPr>
          <w:i/>
          <w:sz w:val="20"/>
        </w:rPr>
        <w:t>Income Tax Act</w:t>
      </w:r>
      <w:r w:rsidRPr="00F14D9F">
        <w:rPr>
          <w:sz w:val="20"/>
        </w:rPr>
        <w:t xml:space="preserve"> limits deductible losses “[w]here a taxpayer’s chief source of income for a taxation year is neither farming nor a combination of farming and some other source of income”.  In </w:t>
      </w:r>
      <w:r w:rsidRPr="00F14D9F">
        <w:rPr>
          <w:i/>
          <w:sz w:val="20"/>
        </w:rPr>
        <w:t>Moldowan</w:t>
      </w:r>
      <w:r w:rsidRPr="00F14D9F">
        <w:rPr>
          <w:sz w:val="20"/>
        </w:rPr>
        <w:t xml:space="preserve"> </w:t>
      </w:r>
      <w:r w:rsidRPr="00F14D9F">
        <w:rPr>
          <w:i/>
          <w:sz w:val="20"/>
        </w:rPr>
        <w:t>v. The Queen</w:t>
      </w:r>
      <w:r w:rsidRPr="00F14D9F">
        <w:rPr>
          <w:sz w:val="20"/>
        </w:rPr>
        <w:t>, [1978] 1 S.C.R. 480, this Court found that a predecessor to s. 31(1) contemplated three classes of taxpayer involved in farming.  In the first class are taxpayers for whom farming provides the bulk of income or the centre of work routine.  Loss deductions are not limited for this class.  In the second are taxpayers who do not look to farming, or to farming and some subordinate source of income, for their livelihood, but carry on farming as a sideline business.  For this class, s. 31(1) limits loss deductions.  The third class consists of taxpayers who carry on some farming activities as a hobby, not as a business, and whose losses are not deductible in any amount.</w:t>
      </w:r>
    </w:p>
    <w:p w:rsidR="00C2718F" w:rsidRDefault="00C2718F" w:rsidP="00C2718F">
      <w:pPr>
        <w:pStyle w:val="SCCNormalDoubleSpacing"/>
        <w:spacing w:line="240" w:lineRule="auto"/>
        <w:rPr>
          <w:sz w:val="20"/>
        </w:rPr>
      </w:pPr>
    </w:p>
    <w:p w:rsidR="00C2718F" w:rsidRPr="00F14D9F" w:rsidRDefault="00C2718F" w:rsidP="00C2718F">
      <w:pPr>
        <w:pStyle w:val="SCCNormalDoubleSpacing"/>
        <w:spacing w:line="240" w:lineRule="auto"/>
        <w:rPr>
          <w:sz w:val="20"/>
        </w:rPr>
      </w:pPr>
      <w:r w:rsidRPr="00F14D9F">
        <w:rPr>
          <w:sz w:val="20"/>
        </w:rPr>
        <w:tab/>
        <w:t xml:space="preserve">In </w:t>
      </w:r>
      <w:r w:rsidRPr="00F14D9F">
        <w:rPr>
          <w:i/>
          <w:sz w:val="20"/>
        </w:rPr>
        <w:t>Gunn v. Canada</w:t>
      </w:r>
      <w:r w:rsidRPr="00F14D9F">
        <w:rPr>
          <w:sz w:val="20"/>
        </w:rPr>
        <w:t>, 2006 FCA 281, [2007] 3 F.C.R. 57, the Federal Court of Appeal adopted a more generous interpretation of what could constitute a combination of farming and some other source of income.</w:t>
      </w:r>
    </w:p>
    <w:p w:rsidR="00C2718F" w:rsidRDefault="00C2718F" w:rsidP="00C2718F">
      <w:pPr>
        <w:pStyle w:val="SCCNormalDoubleSpacing"/>
        <w:spacing w:line="240" w:lineRule="auto"/>
        <w:rPr>
          <w:sz w:val="20"/>
        </w:rPr>
      </w:pPr>
    </w:p>
    <w:p w:rsidR="00C2718F" w:rsidRPr="00F14D9F" w:rsidRDefault="00C2718F" w:rsidP="00C2718F">
      <w:pPr>
        <w:pStyle w:val="SCCNormalDoubleSpacing"/>
        <w:spacing w:line="240" w:lineRule="auto"/>
        <w:rPr>
          <w:sz w:val="20"/>
        </w:rPr>
      </w:pPr>
      <w:r w:rsidRPr="00F14D9F">
        <w:rPr>
          <w:sz w:val="20"/>
        </w:rPr>
        <w:tab/>
        <w:t>In this case, C’s primary source of income came from his law practice.  He also had income from investments, stock options, and farming (buying, selling, training and maintaining horses for racing).  He deducted losses from the horse</w:t>
      </w:r>
      <w:r w:rsidRPr="00F14D9F">
        <w:rPr>
          <w:sz w:val="20"/>
        </w:rPr>
        <w:noBreakHyphen/>
        <w:t xml:space="preserve">racing business from his other income in 2000 and 2001.  Based on </w:t>
      </w:r>
      <w:r w:rsidRPr="00F14D9F">
        <w:rPr>
          <w:i/>
          <w:sz w:val="20"/>
        </w:rPr>
        <w:t>Moldowan</w:t>
      </w:r>
      <w:r w:rsidRPr="00F14D9F">
        <w:rPr>
          <w:sz w:val="20"/>
        </w:rPr>
        <w:t>, the Minister reassessed and limited the deductions on the grounds that the combination of the law practice and the horse</w:t>
      </w:r>
      <w:r w:rsidRPr="00F14D9F">
        <w:rPr>
          <w:sz w:val="20"/>
        </w:rPr>
        <w:noBreakHyphen/>
        <w:t xml:space="preserve">racing business was not C’s chief source of income.  Following </w:t>
      </w:r>
      <w:r w:rsidRPr="00F14D9F">
        <w:rPr>
          <w:i/>
          <w:sz w:val="20"/>
        </w:rPr>
        <w:t>Gunn</w:t>
      </w:r>
      <w:r w:rsidRPr="00F14D9F">
        <w:rPr>
          <w:sz w:val="20"/>
        </w:rPr>
        <w:t xml:space="preserve">, the trial judge allowed C’s appeal, finding that the loss deduction limitation in s. 31(1) did not apply.  The Federal Court of Appeal dismissed the Minister’s appeal, holding that it was required to follow its prior decision in </w:t>
      </w:r>
      <w:r w:rsidRPr="00F14D9F">
        <w:rPr>
          <w:i/>
          <w:sz w:val="20"/>
        </w:rPr>
        <w:t>Gunn</w:t>
      </w:r>
      <w:r w:rsidRPr="00F14D9F">
        <w:rPr>
          <w:sz w:val="20"/>
        </w:rPr>
        <w:t>.</w:t>
      </w:r>
    </w:p>
    <w:p w:rsidR="00C2718F" w:rsidRDefault="00C2718F" w:rsidP="00C2718F">
      <w:pPr>
        <w:pStyle w:val="SCCNormalDoubleSpacing"/>
        <w:spacing w:line="240" w:lineRule="auto"/>
        <w:rPr>
          <w:sz w:val="20"/>
        </w:rPr>
      </w:pPr>
    </w:p>
    <w:p w:rsidR="00C2718F" w:rsidRPr="00F14D9F" w:rsidRDefault="00C2718F" w:rsidP="00C2718F">
      <w:pPr>
        <w:pStyle w:val="SCCNormalDoubleSpacing"/>
        <w:spacing w:line="240" w:lineRule="auto"/>
        <w:rPr>
          <w:sz w:val="20"/>
        </w:rPr>
      </w:pPr>
      <w:r w:rsidRPr="00F14D9F">
        <w:rPr>
          <w:sz w:val="20"/>
        </w:rPr>
        <w:tab/>
      </w:r>
      <w:r w:rsidRPr="00F14D9F">
        <w:rPr>
          <w:i/>
          <w:sz w:val="20"/>
        </w:rPr>
        <w:t>Held:</w:t>
      </w:r>
      <w:r w:rsidRPr="00F14D9F">
        <w:rPr>
          <w:sz w:val="20"/>
        </w:rPr>
        <w:t xml:space="preserve">  The appeal should be dismissed.</w:t>
      </w:r>
    </w:p>
    <w:p w:rsidR="00C2718F" w:rsidRDefault="00C2718F" w:rsidP="00C2718F">
      <w:pPr>
        <w:pStyle w:val="SCCNormalDoubleSpacing"/>
        <w:spacing w:line="240" w:lineRule="auto"/>
        <w:rPr>
          <w:sz w:val="20"/>
        </w:rPr>
      </w:pPr>
    </w:p>
    <w:p w:rsidR="00C2718F" w:rsidRPr="00F14D9F" w:rsidRDefault="00C2718F" w:rsidP="00C2718F">
      <w:pPr>
        <w:pStyle w:val="SCCNormalDoubleSpacing"/>
        <w:spacing w:line="240" w:lineRule="auto"/>
        <w:rPr>
          <w:sz w:val="20"/>
        </w:rPr>
      </w:pPr>
      <w:r w:rsidRPr="00F14D9F">
        <w:rPr>
          <w:sz w:val="20"/>
        </w:rPr>
        <w:tab/>
      </w:r>
      <w:r w:rsidRPr="00F14D9F">
        <w:rPr>
          <w:i/>
          <w:iCs/>
          <w:sz w:val="20"/>
        </w:rPr>
        <w:t>Moldowan</w:t>
      </w:r>
      <w:r w:rsidRPr="00F14D9F">
        <w:rPr>
          <w:sz w:val="20"/>
        </w:rPr>
        <w:t xml:space="preserve"> was a binding precedent and the lower courts should have limited themselves to writing reasons as to why it was problematic rather than purporting to overrule it.  This Court can, however, overrule its own decisions.  While this is not a step not to be lightly undertaken, the </w:t>
      </w:r>
      <w:r w:rsidRPr="00F14D9F">
        <w:rPr>
          <w:i/>
          <w:sz w:val="20"/>
        </w:rPr>
        <w:t>Moldowan</w:t>
      </w:r>
      <w:r w:rsidRPr="00F14D9F">
        <w:rPr>
          <w:sz w:val="20"/>
        </w:rPr>
        <w:t xml:space="preserve"> approach to the combination question is incorrect and it is appropriate for this Court to revisit this aspect of the interpretation of s. 31.  Section 31(1) provides two distinct exceptions to the loss deduction limitation.  A judge</w:t>
      </w:r>
      <w:r w:rsidRPr="00F14D9F">
        <w:rPr>
          <w:sz w:val="20"/>
        </w:rPr>
        <w:noBreakHyphen/>
        <w:t xml:space="preserve">made rule that reads one of them out of the provision cannot stand. </w:t>
      </w:r>
    </w:p>
    <w:p w:rsidR="00C2718F" w:rsidRDefault="00C2718F" w:rsidP="00C2718F">
      <w:pPr>
        <w:pStyle w:val="SCCNormalDoubleSpacing"/>
        <w:spacing w:line="240" w:lineRule="auto"/>
        <w:rPr>
          <w:sz w:val="20"/>
        </w:rPr>
      </w:pPr>
    </w:p>
    <w:p w:rsidR="00C2718F" w:rsidRPr="00F14D9F" w:rsidRDefault="00C2718F" w:rsidP="00C2718F">
      <w:pPr>
        <w:pStyle w:val="SCCNormalDoubleSpacing"/>
        <w:spacing w:line="240" w:lineRule="auto"/>
        <w:rPr>
          <w:sz w:val="20"/>
        </w:rPr>
      </w:pPr>
      <w:r w:rsidRPr="00F14D9F">
        <w:rPr>
          <w:sz w:val="20"/>
        </w:rPr>
        <w:tab/>
        <w:t>Taking a contextual approach, the relevant factors to consider are the capital invested in farming and the second source of income; the income from each of the two sources of income; the time spent on the two sources of income; and the taxpayer’s ordinary mode of living, farming history, and future intentions and expectations.  If they tend to show that the taxpayer places significant emphasis on both his farming and non</w:t>
      </w:r>
      <w:r w:rsidRPr="00F14D9F">
        <w:rPr>
          <w:sz w:val="20"/>
        </w:rPr>
        <w:noBreakHyphen/>
        <w:t xml:space="preserve">farming sources of income, there is no reason that such a combination should not constitute a chief source of income, avoiding the application of the loss deduction limitation of s. 31(1).  Both endeavours must be significant endeavours of the taxpayer, but they do not need to be connected, and farming does not need to be the predominant source of income.  The determination is a factual one for the trial judge.  The approach must be flexible, recognizing that not each factor need be significant.  The question is whether, looking at these factors together, the taxpayer places significant emphasis on each of the farming business and other earning activity, and if so, the combination will constitute a chief source of income and avoid the </w:t>
      </w:r>
      <w:r w:rsidRPr="00F14D9F">
        <w:rPr>
          <w:sz w:val="20"/>
        </w:rPr>
        <w:lastRenderedPageBreak/>
        <w:t xml:space="preserve">loss deduction limitation of s. 31(1).  Such an interpretation is consistent with the general policy of the </w:t>
      </w:r>
      <w:r w:rsidRPr="00F14D9F">
        <w:rPr>
          <w:i/>
          <w:sz w:val="20"/>
        </w:rPr>
        <w:t>Income Tax Act</w:t>
      </w:r>
      <w:r w:rsidRPr="00F14D9F">
        <w:rPr>
          <w:sz w:val="20"/>
        </w:rPr>
        <w:t xml:space="preserve"> that, subject to specific exceptions, taxpayers may offset losses from one business or source of income against profits from another without limitation.</w:t>
      </w:r>
    </w:p>
    <w:p w:rsidR="00C2718F" w:rsidRDefault="00C2718F" w:rsidP="00C2718F">
      <w:pPr>
        <w:pStyle w:val="SCCNormalDoubleSpacing"/>
        <w:spacing w:line="240" w:lineRule="auto"/>
        <w:rPr>
          <w:sz w:val="20"/>
        </w:rPr>
      </w:pPr>
    </w:p>
    <w:p w:rsidR="00C2718F" w:rsidRDefault="00C2718F" w:rsidP="00C2718F">
      <w:pPr>
        <w:pStyle w:val="SCCNormalDoubleSpacing"/>
        <w:spacing w:line="240" w:lineRule="auto"/>
        <w:rPr>
          <w:sz w:val="20"/>
        </w:rPr>
      </w:pPr>
      <w:r w:rsidRPr="00F14D9F">
        <w:rPr>
          <w:sz w:val="20"/>
        </w:rPr>
        <w:tab/>
        <w:t>There is no basis for this Court to disturb the findings that farming, in combination with C’s law practice, was a chief source of income, and that the loss deduction limitation in s. 31(1) did not apply to the facts.  The Crown conceded that the horse</w:t>
      </w:r>
      <w:r w:rsidRPr="00F14D9F">
        <w:rPr>
          <w:sz w:val="20"/>
        </w:rPr>
        <w:noBreakHyphen/>
        <w:t>racing operation was a business, not a personal endeavour, and the relevant factors, other than demonstrated profitability, clearly pointed to it being more than a sideline business.  C devoted both a material amount of capital and a very significant part of his daily work routine to the farming business, and he was an active member of and contributor to the community of standard</w:t>
      </w:r>
      <w:r w:rsidRPr="00F14D9F">
        <w:rPr>
          <w:sz w:val="20"/>
        </w:rPr>
        <w:noBreakHyphen/>
        <w:t>bred racing.</w:t>
      </w:r>
    </w:p>
    <w:p w:rsidR="00C2718F" w:rsidRDefault="00C2718F" w:rsidP="00C2718F">
      <w:pPr>
        <w:pStyle w:val="SCCNormalDoubleSpacing"/>
        <w:spacing w:line="240" w:lineRule="auto"/>
        <w:rPr>
          <w:sz w:val="20"/>
        </w:rPr>
      </w:pPr>
    </w:p>
    <w:p w:rsidR="00C2718F" w:rsidRPr="00F14D9F" w:rsidRDefault="00C2718F" w:rsidP="00C2718F">
      <w:pPr>
        <w:pStyle w:val="SCCNormalDoubleSpacing"/>
        <w:spacing w:line="240" w:lineRule="auto"/>
        <w:rPr>
          <w:sz w:val="20"/>
        </w:rPr>
      </w:pPr>
      <w:r w:rsidRPr="00F14D9F">
        <w:rPr>
          <w:sz w:val="20"/>
        </w:rPr>
        <w:tab/>
        <w:t>APPEAL from a judgment of the Federal Court of Appeal (Evans, Dawson and Stratas JJ.A.), 2011 FCA 22, [2011] 2 F.C.R. 436, 414 N.R. 396, [2011] 3 C.T.C. 189, 2011 D.T.C. 5047, [2011] F.C.J. No. 435 (QL), 2011 CarswellNat 586, affirming a decision of Hershfield T.C.C.J., 2009 TCC 617, [2010] 3 C.T.C. 2341, 2010 D.T.C. 1032, [2009] T.C.J. No. 505 (QL), 2009 CarswellNat 4372.  Appeal dismissed.</w:t>
      </w:r>
    </w:p>
    <w:p w:rsidR="00C2718F" w:rsidRDefault="00C2718F" w:rsidP="00C2718F">
      <w:pPr>
        <w:pStyle w:val="SCCNormalDoubleSpacing"/>
        <w:spacing w:line="240" w:lineRule="auto"/>
        <w:rPr>
          <w:i/>
          <w:sz w:val="20"/>
        </w:rPr>
      </w:pPr>
    </w:p>
    <w:p w:rsidR="00C2718F" w:rsidRPr="00F14D9F" w:rsidRDefault="00C2718F" w:rsidP="00C2718F">
      <w:pPr>
        <w:pStyle w:val="SCCNormalDoubleSpacing"/>
        <w:spacing w:line="240" w:lineRule="auto"/>
        <w:rPr>
          <w:sz w:val="20"/>
        </w:rPr>
      </w:pPr>
      <w:r w:rsidRPr="00F14D9F">
        <w:rPr>
          <w:i/>
          <w:sz w:val="20"/>
        </w:rPr>
        <w:tab/>
        <w:t>Simon Fothergill</w:t>
      </w:r>
      <w:r w:rsidRPr="00F14D9F">
        <w:rPr>
          <w:sz w:val="20"/>
        </w:rPr>
        <w:t xml:space="preserve"> and </w:t>
      </w:r>
      <w:r w:rsidRPr="00F14D9F">
        <w:rPr>
          <w:i/>
          <w:sz w:val="20"/>
        </w:rPr>
        <w:t>Daniel Bourgeois</w:t>
      </w:r>
      <w:r w:rsidRPr="00F14D9F">
        <w:rPr>
          <w:sz w:val="20"/>
        </w:rPr>
        <w:t>, for the appellant.</w:t>
      </w:r>
    </w:p>
    <w:p w:rsidR="00C2718F" w:rsidRDefault="00C2718F" w:rsidP="00C2718F">
      <w:pPr>
        <w:pStyle w:val="SCCNormalDoubleSpacing"/>
        <w:spacing w:line="240" w:lineRule="auto"/>
        <w:rPr>
          <w:i/>
          <w:sz w:val="20"/>
        </w:rPr>
      </w:pPr>
    </w:p>
    <w:p w:rsidR="00C2718F" w:rsidRPr="00F14D9F" w:rsidRDefault="00C2718F" w:rsidP="00C2718F">
      <w:pPr>
        <w:pStyle w:val="SCCNormalDoubleSpacing"/>
        <w:spacing w:line="240" w:lineRule="auto"/>
        <w:rPr>
          <w:sz w:val="20"/>
        </w:rPr>
      </w:pPr>
      <w:r w:rsidRPr="00F14D9F">
        <w:rPr>
          <w:i/>
          <w:sz w:val="20"/>
        </w:rPr>
        <w:tab/>
        <w:t>Glenn Ernst</w:t>
      </w:r>
      <w:r w:rsidRPr="00F14D9F">
        <w:rPr>
          <w:sz w:val="20"/>
        </w:rPr>
        <w:t xml:space="preserve"> and </w:t>
      </w:r>
      <w:r w:rsidRPr="00F14D9F">
        <w:rPr>
          <w:i/>
          <w:sz w:val="20"/>
        </w:rPr>
        <w:t>Sandon Shogilev</w:t>
      </w:r>
      <w:r w:rsidRPr="00F14D9F">
        <w:rPr>
          <w:sz w:val="20"/>
        </w:rPr>
        <w:t>, for the respondent.</w:t>
      </w:r>
    </w:p>
    <w:p w:rsidR="00C2718F" w:rsidRDefault="00C2718F" w:rsidP="00C2718F">
      <w:pPr>
        <w:pStyle w:val="SCCLawFirm"/>
        <w:spacing w:line="240" w:lineRule="auto"/>
        <w:rPr>
          <w:sz w:val="20"/>
        </w:rPr>
      </w:pPr>
    </w:p>
    <w:p w:rsidR="00C2718F" w:rsidRPr="00F14D9F" w:rsidRDefault="00C2718F" w:rsidP="00C2718F">
      <w:pPr>
        <w:pStyle w:val="SCCLawFirm"/>
        <w:spacing w:line="240" w:lineRule="auto"/>
        <w:rPr>
          <w:sz w:val="20"/>
        </w:rPr>
      </w:pPr>
      <w:r w:rsidRPr="00F14D9F">
        <w:rPr>
          <w:sz w:val="20"/>
        </w:rPr>
        <w:tab/>
        <w:t>Solicitor for the appellant:  Attorney General of Canada, Ottawa.</w:t>
      </w:r>
    </w:p>
    <w:p w:rsidR="00C2718F" w:rsidRDefault="00C2718F" w:rsidP="00C2718F">
      <w:pPr>
        <w:pStyle w:val="SCCLawFirm"/>
        <w:spacing w:line="240" w:lineRule="auto"/>
        <w:rPr>
          <w:sz w:val="20"/>
        </w:rPr>
      </w:pPr>
    </w:p>
    <w:p w:rsidR="00C2718F" w:rsidRDefault="00C2718F" w:rsidP="00C2718F">
      <w:pPr>
        <w:pStyle w:val="SCCLawFirm"/>
        <w:spacing w:line="240" w:lineRule="auto"/>
        <w:rPr>
          <w:sz w:val="20"/>
        </w:rPr>
      </w:pPr>
      <w:r w:rsidRPr="00F14D9F">
        <w:rPr>
          <w:sz w:val="20"/>
        </w:rPr>
        <w:tab/>
        <w:t>Solicitors for the respondent:  Goodmans, Toronto.</w:t>
      </w:r>
    </w:p>
    <w:p w:rsidR="003B3977" w:rsidRPr="00C2718F" w:rsidRDefault="003B3977" w:rsidP="003B3977">
      <w:pPr>
        <w:rPr>
          <w:sz w:val="20"/>
          <w:szCs w:val="20"/>
          <w:lang w:val="fr-CA"/>
        </w:rPr>
      </w:pPr>
      <w:r w:rsidRPr="00C2718F">
        <w:rPr>
          <w:sz w:val="20"/>
          <w:szCs w:val="20"/>
          <w:lang w:val="fr-CA"/>
        </w:rPr>
        <w:t>________________________</w:t>
      </w:r>
    </w:p>
    <w:p w:rsidR="003B3977" w:rsidRPr="00C2718F" w:rsidRDefault="003B3977" w:rsidP="003B3977">
      <w:pPr>
        <w:rPr>
          <w:sz w:val="20"/>
          <w:szCs w:val="20"/>
          <w:lang w:val="fr-CA"/>
        </w:rPr>
      </w:pPr>
    </w:p>
    <w:p w:rsidR="00C2718F" w:rsidRPr="00C2718F" w:rsidRDefault="00C2718F" w:rsidP="00C2718F">
      <w:pPr>
        <w:jc w:val="both"/>
        <w:rPr>
          <w:sz w:val="20"/>
          <w:szCs w:val="20"/>
          <w:lang w:val="fr-CA"/>
        </w:rPr>
      </w:pPr>
      <w:r w:rsidRPr="00C2718F">
        <w:rPr>
          <w:sz w:val="20"/>
          <w:szCs w:val="20"/>
          <w:lang w:val="fr-CA"/>
        </w:rPr>
        <w:t>Présents : Les juges LeBel, Deschamps, Abella, Rothstein, Cromwell, Moldaver et Karakatsanis.</w:t>
      </w:r>
    </w:p>
    <w:p w:rsidR="00C2718F" w:rsidRPr="00C2718F" w:rsidRDefault="00C2718F" w:rsidP="00C2718F">
      <w:pPr>
        <w:pStyle w:val="SCCLowerCourtNameLowercase"/>
        <w:spacing w:line="240" w:lineRule="auto"/>
        <w:rPr>
          <w:sz w:val="20"/>
          <w:lang w:val="fr-CA"/>
        </w:rPr>
      </w:pPr>
    </w:p>
    <w:p w:rsidR="00C2718F" w:rsidRPr="002123D7" w:rsidRDefault="00C2718F" w:rsidP="00C2718F">
      <w:pPr>
        <w:pStyle w:val="SCCNormalDoubleSpacing"/>
        <w:spacing w:line="240" w:lineRule="auto"/>
        <w:rPr>
          <w:sz w:val="20"/>
          <w:lang w:val="fr-FR"/>
        </w:rPr>
      </w:pPr>
      <w:r w:rsidRPr="00C2718F">
        <w:rPr>
          <w:sz w:val="20"/>
          <w:lang w:val="fr-CA"/>
        </w:rPr>
        <w:tab/>
      </w:r>
      <w:r w:rsidRPr="00C2718F">
        <w:rPr>
          <w:i/>
          <w:sz w:val="20"/>
          <w:lang w:val="fr-CA"/>
        </w:rPr>
        <w:t>Droit fiscal — Impôt sur le revenu — Déduction des pertes agricoles — Revenu tiré par le contribuable de l’agriculture et d’autres sources — Pertes agricoles déduites par le contribuable de son revenu total — La combinaison du revenu agricole et d’un autre revenu constitue</w:t>
      </w:r>
      <w:r w:rsidRPr="00C2718F">
        <w:rPr>
          <w:i/>
          <w:sz w:val="20"/>
          <w:lang w:val="fr-CA"/>
        </w:rPr>
        <w:noBreakHyphen/>
        <w:t>t</w:t>
      </w:r>
      <w:r w:rsidRPr="00C2718F">
        <w:rPr>
          <w:i/>
          <w:sz w:val="20"/>
          <w:lang w:val="fr-CA"/>
        </w:rPr>
        <w:noBreakHyphen/>
        <w:t xml:space="preserve">elle la principale source de revenu? </w:t>
      </w:r>
      <w:r w:rsidRPr="002123D7">
        <w:rPr>
          <w:i/>
          <w:sz w:val="20"/>
          <w:lang w:val="fr-FR"/>
        </w:rPr>
        <w:t>— La totalité des pertes agricoles est</w:t>
      </w:r>
      <w:r w:rsidRPr="002123D7">
        <w:rPr>
          <w:i/>
          <w:sz w:val="20"/>
          <w:lang w:val="fr-FR"/>
        </w:rPr>
        <w:noBreakHyphen/>
        <w:t xml:space="preserve">elle déductible du revenu? </w:t>
      </w:r>
      <w:r w:rsidRPr="00C2718F">
        <w:rPr>
          <w:i/>
          <w:sz w:val="20"/>
          <w:lang w:val="fr-CA"/>
        </w:rPr>
        <w:t>—</w:t>
      </w:r>
      <w:r w:rsidRPr="002123D7">
        <w:rPr>
          <w:i/>
          <w:sz w:val="20"/>
          <w:lang w:val="fr-FR"/>
        </w:rPr>
        <w:t xml:space="preserve"> Loi de l’impôt sur le revenu</w:t>
      </w:r>
      <w:r w:rsidRPr="002123D7">
        <w:rPr>
          <w:i/>
          <w:iCs/>
          <w:sz w:val="20"/>
          <w:lang w:val="fr-FR"/>
        </w:rPr>
        <w:t>, L.R.C. 1985, ch. 1 (5</w:t>
      </w:r>
      <w:r w:rsidRPr="002123D7">
        <w:rPr>
          <w:i/>
          <w:iCs/>
          <w:sz w:val="20"/>
          <w:vertAlign w:val="superscript"/>
          <w:lang w:val="fr-FR"/>
        </w:rPr>
        <w:t>e</w:t>
      </w:r>
      <w:r w:rsidRPr="002123D7">
        <w:rPr>
          <w:i/>
          <w:iCs/>
          <w:sz w:val="20"/>
          <w:lang w:val="fr-FR"/>
        </w:rPr>
        <w:t xml:space="preserve"> suppl.), art. 31(1)a).</w:t>
      </w:r>
      <w:r w:rsidRPr="002123D7">
        <w:rPr>
          <w:sz w:val="20"/>
          <w:lang w:val="fr-FR"/>
        </w:rPr>
        <w:t xml:space="preserve"> </w:t>
      </w:r>
    </w:p>
    <w:p w:rsidR="00C2718F" w:rsidRDefault="00C2718F" w:rsidP="00C2718F">
      <w:pPr>
        <w:pStyle w:val="SCCNormalDoubleSpacing"/>
        <w:spacing w:line="240" w:lineRule="auto"/>
        <w:rPr>
          <w:i/>
          <w:sz w:val="20"/>
          <w:lang w:val="fr-FR"/>
        </w:rPr>
      </w:pPr>
    </w:p>
    <w:p w:rsidR="00C2718F" w:rsidRPr="002123D7" w:rsidRDefault="00C2718F" w:rsidP="00C2718F">
      <w:pPr>
        <w:pStyle w:val="SCCNormalDoubleSpacing"/>
        <w:spacing w:line="240" w:lineRule="auto"/>
        <w:rPr>
          <w:sz w:val="20"/>
          <w:lang w:val="fr-FR"/>
        </w:rPr>
      </w:pPr>
      <w:r w:rsidRPr="002123D7">
        <w:rPr>
          <w:i/>
          <w:sz w:val="20"/>
          <w:lang w:val="fr-FR"/>
        </w:rPr>
        <w:tab/>
        <w:t>Tribunaux — Décisions — Stare decisis — Les cours inférieures peuvent</w:t>
      </w:r>
      <w:r w:rsidRPr="002123D7">
        <w:rPr>
          <w:i/>
          <w:sz w:val="20"/>
          <w:lang w:val="fr-FR"/>
        </w:rPr>
        <w:noBreakHyphen/>
        <w:t>elles écarter un précédent établi par une cour supérieure? — Circonstances dans lesquelles les arrêts antérieurs de la Cour suprême sont réexaminés ou révisés.</w:t>
      </w:r>
    </w:p>
    <w:p w:rsidR="00C2718F" w:rsidRDefault="00C2718F" w:rsidP="00C2718F">
      <w:pPr>
        <w:pStyle w:val="SCCNormalDoubleSpacing"/>
        <w:spacing w:line="240" w:lineRule="auto"/>
        <w:rPr>
          <w:sz w:val="20"/>
          <w:lang w:val="fr-FR"/>
        </w:rPr>
      </w:pPr>
    </w:p>
    <w:p w:rsidR="00C2718F" w:rsidRPr="002123D7" w:rsidRDefault="00C2718F" w:rsidP="00C2718F">
      <w:pPr>
        <w:pStyle w:val="SCCNormalDoubleSpacing"/>
        <w:spacing w:line="240" w:lineRule="auto"/>
        <w:rPr>
          <w:sz w:val="20"/>
          <w:lang w:val="fr-FR"/>
        </w:rPr>
      </w:pPr>
      <w:r w:rsidRPr="002123D7">
        <w:rPr>
          <w:sz w:val="20"/>
          <w:lang w:val="fr-FR"/>
        </w:rPr>
        <w:tab/>
        <w:t xml:space="preserve">Le paragraphe 31(1) de la </w:t>
      </w:r>
      <w:r w:rsidRPr="002123D7">
        <w:rPr>
          <w:i/>
          <w:sz w:val="20"/>
          <w:lang w:val="fr-FR"/>
        </w:rPr>
        <w:t xml:space="preserve">Loi de l’impôt sur le revenu </w:t>
      </w:r>
      <w:r w:rsidRPr="002123D7">
        <w:rPr>
          <w:sz w:val="20"/>
          <w:lang w:val="fr-FR"/>
        </w:rPr>
        <w:t xml:space="preserve">limite la déductibilité des pertes « [l]orsque </w:t>
      </w:r>
      <w:r w:rsidRPr="00C2718F">
        <w:rPr>
          <w:sz w:val="20"/>
          <w:lang w:val="fr-CA"/>
        </w:rPr>
        <w:t>le revenu d’un contribuable, pour une année d’imposition, ne provient principalement ni de l’agriculture ni d’une combinaison de l’agriculture et de quelque autre source</w:t>
      </w:r>
      <w:r w:rsidRPr="002123D7">
        <w:rPr>
          <w:sz w:val="20"/>
          <w:lang w:val="fr-FR"/>
        </w:rPr>
        <w:t xml:space="preserve"> ».  Notre Cour a conclu dans </w:t>
      </w:r>
      <w:r w:rsidRPr="002123D7">
        <w:rPr>
          <w:i/>
          <w:sz w:val="20"/>
          <w:lang w:val="fr-FR"/>
        </w:rPr>
        <w:t>Moldowan</w:t>
      </w:r>
      <w:r w:rsidRPr="002123D7">
        <w:rPr>
          <w:sz w:val="20"/>
          <w:lang w:val="fr-FR"/>
        </w:rPr>
        <w:t xml:space="preserve"> </w:t>
      </w:r>
      <w:r w:rsidRPr="002123D7">
        <w:rPr>
          <w:i/>
          <w:sz w:val="20"/>
          <w:lang w:val="fr-FR"/>
        </w:rPr>
        <w:t>c. La Reine</w:t>
      </w:r>
      <w:r w:rsidRPr="002123D7">
        <w:rPr>
          <w:sz w:val="20"/>
          <w:lang w:val="fr-FR"/>
        </w:rPr>
        <w:t xml:space="preserve">, [1978] 1 R.C.S. 480, qu’une version antérieure du par. 31(1) envisageait trois catégories de contribuables agriculteurs.  La première catégorie regroupe les contribuables qui tirent la plus grande partie de leur revenu de l’agriculture ou pour qui l’agriculture constitue le centre de leur travail habituel.  Cette catégorie n’est assujettie à aucune limite pour ce qui est des pertes déductibles.  La deuxième catégorie est formée des contribuables </w:t>
      </w:r>
      <w:r w:rsidRPr="00C2718F">
        <w:rPr>
          <w:sz w:val="20"/>
          <w:lang w:val="fr-CA"/>
        </w:rPr>
        <w:t>qui ne considèrent pas l’agriculture, ou l’agriculture et une source secondaire de revenu, comme leur gagne</w:t>
      </w:r>
      <w:r w:rsidRPr="00C2718F">
        <w:rPr>
          <w:sz w:val="20"/>
          <w:lang w:val="fr-CA"/>
        </w:rPr>
        <w:noBreakHyphen/>
        <w:t>pain mais pour qui l’exploitation</w:t>
      </w:r>
      <w:r w:rsidRPr="002123D7">
        <w:rPr>
          <w:sz w:val="20"/>
          <w:lang w:val="fr-FR"/>
        </w:rPr>
        <w:t xml:space="preserve"> d’une ferme est une entreprise secondaire.  Le par. 31(1) limite les pertes que peuvent déduire les contribuables de cette catégorie.  La troisième catégorie se compose des contribuables qui poursuivent certaines activités agricoles comme passe</w:t>
      </w:r>
      <w:r w:rsidRPr="002123D7">
        <w:rPr>
          <w:sz w:val="20"/>
          <w:lang w:val="fr-FR"/>
        </w:rPr>
        <w:noBreakHyphen/>
        <w:t>temps, et non comme entreprise, et dont les pertes ne sont pas déductibles, quel qu’en soit le montant.</w:t>
      </w:r>
    </w:p>
    <w:p w:rsidR="00C2718F" w:rsidRDefault="00C2718F" w:rsidP="00C2718F">
      <w:pPr>
        <w:pStyle w:val="SCCNormalDoubleSpacing"/>
        <w:spacing w:line="240" w:lineRule="auto"/>
        <w:rPr>
          <w:sz w:val="20"/>
          <w:lang w:val="fr-FR"/>
        </w:rPr>
      </w:pPr>
    </w:p>
    <w:p w:rsidR="00C2718F" w:rsidRPr="002123D7" w:rsidRDefault="00C2718F" w:rsidP="00C2718F">
      <w:pPr>
        <w:pStyle w:val="SCCNormalDoubleSpacing"/>
        <w:spacing w:line="240" w:lineRule="auto"/>
        <w:rPr>
          <w:sz w:val="20"/>
          <w:lang w:val="fr-FR"/>
        </w:rPr>
      </w:pPr>
      <w:r w:rsidRPr="002123D7">
        <w:rPr>
          <w:sz w:val="20"/>
          <w:lang w:val="fr-FR"/>
        </w:rPr>
        <w:tab/>
        <w:t xml:space="preserve">Dans </w:t>
      </w:r>
      <w:r w:rsidRPr="002123D7">
        <w:rPr>
          <w:i/>
          <w:sz w:val="20"/>
          <w:lang w:val="fr-FR"/>
        </w:rPr>
        <w:t>Gunn c. Canada</w:t>
      </w:r>
      <w:r w:rsidRPr="002123D7">
        <w:rPr>
          <w:sz w:val="20"/>
          <w:lang w:val="fr-FR"/>
        </w:rPr>
        <w:t xml:space="preserve">, 2006 CAF 281, [2007] 3 R.C.F. 57, la Cour d’appel fédérale a adopté une interprétation plus libérale de ce qui pourrait constituer une combinaison de l’agriculture et d’une autre source de revenu. </w:t>
      </w:r>
    </w:p>
    <w:p w:rsidR="00C2718F" w:rsidRDefault="00C2718F" w:rsidP="00C2718F">
      <w:pPr>
        <w:pStyle w:val="SCCNormalDoubleSpacing"/>
        <w:spacing w:line="240" w:lineRule="auto"/>
        <w:rPr>
          <w:sz w:val="20"/>
          <w:lang w:val="fr-FR"/>
        </w:rPr>
      </w:pPr>
    </w:p>
    <w:p w:rsidR="00C2718F" w:rsidRPr="002123D7" w:rsidRDefault="00C2718F" w:rsidP="00C2718F">
      <w:pPr>
        <w:pStyle w:val="SCCNormalDoubleSpacing"/>
        <w:spacing w:line="240" w:lineRule="auto"/>
        <w:rPr>
          <w:sz w:val="20"/>
          <w:lang w:val="fr-FR"/>
        </w:rPr>
      </w:pPr>
      <w:r w:rsidRPr="002123D7">
        <w:rPr>
          <w:sz w:val="20"/>
          <w:lang w:val="fr-FR"/>
        </w:rPr>
        <w:tab/>
        <w:t xml:space="preserve">En l’espèce, l’exercice de la profession d’avocat était la principale source de revenu de C.  Il </w:t>
      </w:r>
      <w:r w:rsidRPr="00C2718F">
        <w:rPr>
          <w:sz w:val="20"/>
          <w:lang w:val="fr-CA"/>
        </w:rPr>
        <w:t xml:space="preserve">avait en outre des revenus de placements, avait réalisé des gains en exerçant des options d’achat d’actions et tirait un revenu de </w:t>
      </w:r>
      <w:r w:rsidRPr="00C2718F">
        <w:rPr>
          <w:sz w:val="20"/>
          <w:lang w:val="fr-CA"/>
        </w:rPr>
        <w:lastRenderedPageBreak/>
        <w:t xml:space="preserve">l’agriculture (vente, achat, entraînement et entretien de chevaux de course).  Il a déduit les pertes de l’entreprise de chevaux de course de ses autres revenus en 2000 et en 2001.  Se fondant sur </w:t>
      </w:r>
      <w:r w:rsidRPr="00C2718F">
        <w:rPr>
          <w:i/>
          <w:sz w:val="20"/>
          <w:lang w:val="fr-CA"/>
        </w:rPr>
        <w:t>Moldowan</w:t>
      </w:r>
      <w:r w:rsidRPr="00C2718F">
        <w:rPr>
          <w:sz w:val="20"/>
          <w:lang w:val="fr-CA"/>
        </w:rPr>
        <w:t xml:space="preserve">, le ministre a établi un nouvel avis de cotisation et limité les pertes déductibles parce que la combinaison de l’exercice du droit et de l’entreprise de chevaux de course ne constituait pas la principale source de revenu de C. </w:t>
      </w:r>
      <w:r w:rsidRPr="002123D7">
        <w:rPr>
          <w:sz w:val="20"/>
          <w:lang w:val="fr-FR"/>
        </w:rPr>
        <w:t xml:space="preserve"> Le juge de première instance a appliqué </w:t>
      </w:r>
      <w:r w:rsidRPr="002123D7">
        <w:rPr>
          <w:i/>
          <w:sz w:val="20"/>
          <w:lang w:val="fr-FR"/>
        </w:rPr>
        <w:t>Gunn</w:t>
      </w:r>
      <w:r w:rsidRPr="002123D7">
        <w:rPr>
          <w:sz w:val="20"/>
          <w:lang w:val="fr-FR"/>
        </w:rPr>
        <w:t xml:space="preserve"> et accueilli l’appel de C, concluant </w:t>
      </w:r>
      <w:r w:rsidRPr="00C2718F">
        <w:rPr>
          <w:sz w:val="20"/>
          <w:lang w:val="fr-CA"/>
        </w:rPr>
        <w:t>qu’il n’y avait pas lieu de limiter la déductibilité des pertes agricoles sous le régime du par. 31(1).</w:t>
      </w:r>
      <w:r w:rsidRPr="002123D7">
        <w:rPr>
          <w:sz w:val="20"/>
          <w:lang w:val="fr-FR"/>
        </w:rPr>
        <w:t xml:space="preserve">  La Cour d’appel fédérale a rejeté l’appel du ministre, </w:t>
      </w:r>
      <w:r w:rsidRPr="00C2718F">
        <w:rPr>
          <w:sz w:val="20"/>
          <w:lang w:val="fr-CA"/>
        </w:rPr>
        <w:t xml:space="preserve">jugeant qu’elle était tenue de suivre la décision qu’elle avait rendue dans </w:t>
      </w:r>
      <w:r w:rsidRPr="00C2718F">
        <w:rPr>
          <w:i/>
          <w:sz w:val="20"/>
          <w:lang w:val="fr-CA"/>
        </w:rPr>
        <w:t>Gunn</w:t>
      </w:r>
      <w:r w:rsidRPr="002123D7">
        <w:rPr>
          <w:sz w:val="20"/>
          <w:lang w:val="fr-FR"/>
        </w:rPr>
        <w:t>.</w:t>
      </w:r>
    </w:p>
    <w:p w:rsidR="00C2718F" w:rsidRDefault="00C2718F" w:rsidP="00C2718F">
      <w:pPr>
        <w:pStyle w:val="SCCNormalDoubleSpacing"/>
        <w:spacing w:line="240" w:lineRule="auto"/>
        <w:rPr>
          <w:sz w:val="20"/>
          <w:lang w:val="fr-FR"/>
        </w:rPr>
      </w:pPr>
    </w:p>
    <w:p w:rsidR="00C2718F" w:rsidRPr="00C2718F" w:rsidRDefault="00C2718F" w:rsidP="00C2718F">
      <w:pPr>
        <w:pStyle w:val="SCCNormalDoubleSpacing"/>
        <w:spacing w:line="240" w:lineRule="auto"/>
        <w:rPr>
          <w:sz w:val="20"/>
          <w:lang w:val="fr-CA"/>
        </w:rPr>
      </w:pPr>
      <w:r w:rsidRPr="002123D7">
        <w:rPr>
          <w:sz w:val="20"/>
          <w:lang w:val="fr-FR"/>
        </w:rPr>
        <w:tab/>
      </w:r>
      <w:r w:rsidRPr="00C2718F">
        <w:rPr>
          <w:i/>
          <w:sz w:val="20"/>
          <w:lang w:val="fr-CA"/>
        </w:rPr>
        <w:t>Arrêt</w:t>
      </w:r>
      <w:r w:rsidRPr="00C2718F">
        <w:rPr>
          <w:sz w:val="20"/>
          <w:lang w:val="fr-CA"/>
        </w:rPr>
        <w:t> : Le pourvoi est rejeté.</w:t>
      </w:r>
    </w:p>
    <w:p w:rsidR="00C2718F" w:rsidRPr="00C2718F" w:rsidRDefault="00C2718F" w:rsidP="00C2718F">
      <w:pPr>
        <w:pStyle w:val="SCCNormalDoubleSpacing"/>
        <w:spacing w:line="240" w:lineRule="auto"/>
        <w:rPr>
          <w:sz w:val="20"/>
          <w:lang w:val="fr-CA"/>
        </w:rPr>
      </w:pPr>
    </w:p>
    <w:p w:rsidR="00C2718F" w:rsidRPr="002123D7" w:rsidRDefault="00C2718F" w:rsidP="00C2718F">
      <w:pPr>
        <w:pStyle w:val="SCCNormalDoubleSpacing"/>
        <w:spacing w:line="240" w:lineRule="auto"/>
        <w:rPr>
          <w:sz w:val="20"/>
          <w:u w:val="single"/>
          <w:lang w:val="fr-FR"/>
        </w:rPr>
      </w:pPr>
      <w:r w:rsidRPr="00C2718F">
        <w:rPr>
          <w:sz w:val="20"/>
          <w:lang w:val="fr-CA"/>
        </w:rPr>
        <w:tab/>
      </w:r>
      <w:r w:rsidRPr="002123D7">
        <w:rPr>
          <w:i/>
          <w:sz w:val="20"/>
          <w:lang w:val="fr-FR"/>
        </w:rPr>
        <w:t>Moldowan</w:t>
      </w:r>
      <w:r w:rsidRPr="002123D7">
        <w:rPr>
          <w:sz w:val="20"/>
          <w:lang w:val="fr-FR"/>
        </w:rPr>
        <w:t xml:space="preserve"> était un précédent ayant force obligatoire et les juridictions inférieures auraient dû se contenter </w:t>
      </w:r>
      <w:r w:rsidRPr="00C2718F">
        <w:rPr>
          <w:sz w:val="20"/>
          <w:lang w:val="fr-CA"/>
        </w:rPr>
        <w:t xml:space="preserve">d’exposer dans leurs motifs ce qu’elles considéraient problématique dans </w:t>
      </w:r>
      <w:r w:rsidRPr="002123D7">
        <w:rPr>
          <w:sz w:val="20"/>
          <w:lang w:val="fr-FR"/>
        </w:rPr>
        <w:t xml:space="preserve">cet arrêt au lieu de l’écarter.  Notre Cour peut cependant écarter ses propres décisions.  S’il ne convient pas d’écarter un précédent de notre Cour à la légère, </w:t>
      </w:r>
      <w:r w:rsidRPr="00C2718F">
        <w:rPr>
          <w:sz w:val="20"/>
          <w:lang w:val="fr-CA"/>
        </w:rPr>
        <w:t xml:space="preserve">la démarche relative à la question de la combinaison suivie dans l’arrêt </w:t>
      </w:r>
      <w:r w:rsidRPr="00C2718F">
        <w:rPr>
          <w:i/>
          <w:sz w:val="20"/>
          <w:lang w:val="fr-CA"/>
        </w:rPr>
        <w:t>Moldowan</w:t>
      </w:r>
      <w:r w:rsidRPr="00C2718F">
        <w:rPr>
          <w:sz w:val="20"/>
          <w:lang w:val="fr-CA"/>
        </w:rPr>
        <w:t xml:space="preserve"> est incorrecte et il convient que notre Cour réexamine l’interprétation de l’art. 31. </w:t>
      </w:r>
      <w:r w:rsidRPr="002123D7">
        <w:rPr>
          <w:sz w:val="20"/>
          <w:lang w:val="fr-FR"/>
        </w:rPr>
        <w:t xml:space="preserve"> Le paragraphe 31(1) prévoit </w:t>
      </w:r>
      <w:r w:rsidRPr="00C2718F">
        <w:rPr>
          <w:sz w:val="20"/>
          <w:lang w:val="fr-CA"/>
        </w:rPr>
        <w:t xml:space="preserve">deux exceptions distinctes à la déductibilité limitée des pertes agricoles.  </w:t>
      </w:r>
      <w:r w:rsidRPr="002123D7">
        <w:rPr>
          <w:sz w:val="20"/>
          <w:lang w:val="fr-FR"/>
        </w:rPr>
        <w:t xml:space="preserve">Une règle jurisprudentielle excluant du par. 31(1) l’une des exceptions ne peut être maintenue. </w:t>
      </w:r>
    </w:p>
    <w:p w:rsidR="00C2718F" w:rsidRDefault="00C2718F" w:rsidP="00C2718F">
      <w:pPr>
        <w:pStyle w:val="SCCNormalDoubleSpacing"/>
        <w:spacing w:line="240" w:lineRule="auto"/>
        <w:rPr>
          <w:sz w:val="20"/>
          <w:lang w:val="fr-FR"/>
        </w:rPr>
      </w:pPr>
    </w:p>
    <w:p w:rsidR="00C2718F" w:rsidRPr="002123D7" w:rsidRDefault="00C2718F" w:rsidP="00C2718F">
      <w:pPr>
        <w:pStyle w:val="SCCNormalDoubleSpacing"/>
        <w:spacing w:line="240" w:lineRule="auto"/>
        <w:rPr>
          <w:sz w:val="20"/>
          <w:lang w:val="fr-FR"/>
        </w:rPr>
      </w:pPr>
      <w:r w:rsidRPr="002123D7">
        <w:rPr>
          <w:sz w:val="20"/>
          <w:lang w:val="fr-FR"/>
        </w:rPr>
        <w:tab/>
      </w:r>
      <w:r w:rsidRPr="00C2718F">
        <w:rPr>
          <w:sz w:val="20"/>
          <w:lang w:val="fr-CA"/>
        </w:rPr>
        <w:t xml:space="preserve">Les </w:t>
      </w:r>
      <w:r w:rsidRPr="002123D7">
        <w:rPr>
          <w:sz w:val="20"/>
          <w:lang w:val="fr-FR"/>
        </w:rPr>
        <w:t>facteurs</w:t>
      </w:r>
      <w:r w:rsidRPr="00C2718F">
        <w:rPr>
          <w:sz w:val="20"/>
          <w:lang w:val="fr-CA"/>
        </w:rPr>
        <w:t xml:space="preserve"> à prendre en compte dans l’analyse contextuelle sont le capital investi dans l’entreprise agricole et dans la deuxième source de revenu, le revenu tiré de chacune des deux sources, le temps consacré aux deux sources de revenu et le mode de vie ordinaire du contribuable, son expérience de l’agriculture et ses intentions et attentes.</w:t>
      </w:r>
      <w:r w:rsidRPr="002123D7">
        <w:rPr>
          <w:sz w:val="20"/>
          <w:lang w:val="fr-FR"/>
        </w:rPr>
        <w:t xml:space="preserve">  </w:t>
      </w:r>
      <w:r w:rsidRPr="00C2718F">
        <w:rPr>
          <w:sz w:val="20"/>
          <w:lang w:val="fr-CA"/>
        </w:rPr>
        <w:t xml:space="preserve">Si ces facteurs tendent à démontrer que le contribuable accorde une importance considérable tant à son entreprise agricole qu’aux sources de revenu non agricoles, il n’y a pas de raison de considérer qu’une telle combinaison ne constitue pas une source principale de revenu permettant d’échapper à la déductibilité limitée des pertes agricoles prévue au par. 31(1).  Ces deux activités doivent constituer des activités importantes du contribuable, mais elles n’ont pas à être reliées entre elles, et il n’est pas nécessaire que l’agriculture soit la principale source de revenu.  Il s’agit d’une appréciation factuelle relevant du juge de première instance. </w:t>
      </w:r>
      <w:r w:rsidRPr="002123D7">
        <w:rPr>
          <w:sz w:val="20"/>
          <w:lang w:val="fr-FR"/>
        </w:rPr>
        <w:t xml:space="preserve"> </w:t>
      </w:r>
      <w:r w:rsidRPr="00C2718F">
        <w:rPr>
          <w:sz w:val="20"/>
          <w:lang w:val="fr-CA"/>
        </w:rPr>
        <w:t xml:space="preserve">La démarche doit rester souple et reconnaître que certains facteurs peuvent ne pas être importants.  L’examen de l’ensemble de ces facteurs permettra de déterminer si le contribuable accorde une importance significative à l’entreprise agricole et à l’autre activité lucrative; si c’est le cas, son revenu proviendra principalement de la combinaison de ces activités et la déductibilité des pertes agricoles ne sera pas limitée en application du par. 31(1). </w:t>
      </w:r>
      <w:r w:rsidRPr="002123D7">
        <w:rPr>
          <w:sz w:val="20"/>
          <w:lang w:val="fr-FR"/>
        </w:rPr>
        <w:t xml:space="preserve"> </w:t>
      </w:r>
      <w:r w:rsidRPr="00C2718F">
        <w:rPr>
          <w:sz w:val="20"/>
          <w:lang w:val="fr-CA"/>
        </w:rPr>
        <w:t xml:space="preserve">Cette interprétation est conforme à l’économie générale de la </w:t>
      </w:r>
      <w:r w:rsidRPr="00C2718F">
        <w:rPr>
          <w:i/>
          <w:sz w:val="20"/>
          <w:lang w:val="fr-CA"/>
        </w:rPr>
        <w:t>Loi de l’impôt sur le revenu</w:t>
      </w:r>
      <w:r w:rsidRPr="00C2718F">
        <w:rPr>
          <w:sz w:val="20"/>
          <w:lang w:val="fr-CA"/>
        </w:rPr>
        <w:t xml:space="preserve"> suivant laquelle, sous réserve de certaines exceptions précises, le contribuable peut déduire en totalité les pertes afférentes à une entreprise ou à une source de revenu des profits tirés d’une autre entreprise ou source de revenu</w:t>
      </w:r>
      <w:r w:rsidRPr="002123D7">
        <w:rPr>
          <w:sz w:val="20"/>
          <w:lang w:val="fr-FR"/>
        </w:rPr>
        <w:t>.</w:t>
      </w:r>
    </w:p>
    <w:p w:rsidR="00C2718F" w:rsidRDefault="00C2718F" w:rsidP="00C2718F">
      <w:pPr>
        <w:pStyle w:val="SCCNormalDoubleSpacing"/>
        <w:spacing w:line="240" w:lineRule="auto"/>
        <w:rPr>
          <w:sz w:val="20"/>
          <w:lang w:val="fr-FR"/>
        </w:rPr>
      </w:pPr>
    </w:p>
    <w:p w:rsidR="00C2718F" w:rsidRDefault="00C2718F" w:rsidP="00C2718F">
      <w:pPr>
        <w:pStyle w:val="SCCNormalDoubleSpacing"/>
        <w:spacing w:line="240" w:lineRule="auto"/>
        <w:rPr>
          <w:sz w:val="20"/>
          <w:lang w:val="fr-FR"/>
        </w:rPr>
      </w:pPr>
      <w:r w:rsidRPr="002123D7">
        <w:rPr>
          <w:sz w:val="20"/>
          <w:lang w:val="fr-FR"/>
        </w:rPr>
        <w:tab/>
        <w:t xml:space="preserve">Rien ne justifie que notre Cour modifie les conclusions que </w:t>
      </w:r>
      <w:r w:rsidRPr="00C2718F">
        <w:rPr>
          <w:sz w:val="20"/>
          <w:lang w:val="fr-CA"/>
        </w:rPr>
        <w:t>le revenu de C provenait principalement de la combinaison de l’agriculture et de l’exercice du droit et que la limitation de la déductibilité des pertes agricoles opérée par le par. 31(1) ne s’appliquait pas compte tenu des faits</w:t>
      </w:r>
      <w:r w:rsidRPr="002123D7">
        <w:rPr>
          <w:sz w:val="20"/>
          <w:lang w:val="fr-FR"/>
        </w:rPr>
        <w:t xml:space="preserve">.  Le ministère public a reconnu que </w:t>
      </w:r>
      <w:r w:rsidRPr="00C2718F">
        <w:rPr>
          <w:sz w:val="20"/>
          <w:lang w:val="fr-CA"/>
        </w:rPr>
        <w:t>l’exploitation de chevaux de course constituait une entreprise et non une activité personnelle</w:t>
      </w:r>
      <w:r w:rsidRPr="002123D7">
        <w:rPr>
          <w:sz w:val="20"/>
          <w:lang w:val="fr-FR"/>
        </w:rPr>
        <w:t xml:space="preserve">, et les facteurs pertinents </w:t>
      </w:r>
      <w:r w:rsidRPr="00C2718F">
        <w:rPr>
          <w:sz w:val="20"/>
          <w:lang w:val="fr-CA"/>
        </w:rPr>
        <w:t>autres que celui de la rentabilité établie indiquaient clairement que l’entreprise agricole était plus qu’une entreprise secondaire</w:t>
      </w:r>
      <w:r w:rsidRPr="002123D7">
        <w:rPr>
          <w:sz w:val="20"/>
          <w:lang w:val="fr-FR"/>
        </w:rPr>
        <w:t xml:space="preserve">.  C investissait des capitaux importants dans cette entreprise et une grande partie de son travail quotidien y passait; il </w:t>
      </w:r>
      <w:r w:rsidRPr="00C2718F">
        <w:rPr>
          <w:sz w:val="20"/>
          <w:lang w:val="fr-CA"/>
        </w:rPr>
        <w:t>était un membre actif du monde des courses de chevaux standardbred et y apportait sa contribution</w:t>
      </w:r>
      <w:r w:rsidRPr="002123D7">
        <w:rPr>
          <w:sz w:val="20"/>
          <w:lang w:val="fr-FR"/>
        </w:rPr>
        <w:t>.</w:t>
      </w:r>
    </w:p>
    <w:p w:rsidR="00C2718F" w:rsidRDefault="00C2718F" w:rsidP="00C2718F">
      <w:pPr>
        <w:pStyle w:val="SCCNormalDoubleSpacing"/>
        <w:spacing w:line="240" w:lineRule="auto"/>
        <w:rPr>
          <w:sz w:val="20"/>
          <w:lang w:val="fr-FR"/>
        </w:rPr>
      </w:pPr>
    </w:p>
    <w:p w:rsidR="00C2718F" w:rsidRPr="00C2718F" w:rsidRDefault="00C2718F" w:rsidP="00C2718F">
      <w:pPr>
        <w:pStyle w:val="SCCNormalDoubleSpacing"/>
        <w:spacing w:line="240" w:lineRule="auto"/>
        <w:rPr>
          <w:sz w:val="20"/>
          <w:lang w:val="fr-CA"/>
        </w:rPr>
      </w:pPr>
      <w:r w:rsidRPr="00C2718F">
        <w:rPr>
          <w:sz w:val="20"/>
          <w:lang w:val="fr-CA"/>
        </w:rPr>
        <w:tab/>
        <w:t>POURVOI contre un arrêt de la Cour d’appel fédérale (les juges Evans, Dawson et Stratas), 2011 CAF 22, [2011] 2 R.C.F. 436, 414 N.R. 396, [2011] 3 C.T.C. 189, 2011 D.T.C. 5047, [2011] A.C.F. n</w:t>
      </w:r>
      <w:r w:rsidRPr="00C2718F">
        <w:rPr>
          <w:sz w:val="20"/>
          <w:vertAlign w:val="superscript"/>
          <w:lang w:val="fr-CA"/>
        </w:rPr>
        <w:t>o</w:t>
      </w:r>
      <w:r w:rsidRPr="00C2718F">
        <w:rPr>
          <w:sz w:val="20"/>
          <w:lang w:val="fr-CA"/>
        </w:rPr>
        <w:t> 435 (QL), 2011 CarswellNat 1578, qui a confirmé une décision du juge Hershfield, 2009 CCI 617, [2010] 3 C.T.C. 2341, 2010 D.T.C. 1032, [2009] A.C.I. n</w:t>
      </w:r>
      <w:r w:rsidRPr="00C2718F">
        <w:rPr>
          <w:sz w:val="20"/>
          <w:vertAlign w:val="superscript"/>
          <w:lang w:val="fr-CA"/>
        </w:rPr>
        <w:t>o</w:t>
      </w:r>
      <w:r w:rsidRPr="00C2718F">
        <w:rPr>
          <w:sz w:val="20"/>
          <w:lang w:val="fr-CA"/>
        </w:rPr>
        <w:t> 505 (QL), 2009 CarswellNat 5749.  Pourvoi rejeté.</w:t>
      </w:r>
    </w:p>
    <w:p w:rsidR="00C2718F" w:rsidRPr="00C2718F" w:rsidRDefault="00C2718F" w:rsidP="00C2718F">
      <w:pPr>
        <w:pStyle w:val="SCCNormalDoubleSpacing"/>
        <w:spacing w:line="240" w:lineRule="auto"/>
        <w:rPr>
          <w:sz w:val="20"/>
          <w:lang w:val="fr-CA"/>
        </w:rPr>
      </w:pPr>
    </w:p>
    <w:p w:rsidR="00C2718F" w:rsidRPr="00C2718F" w:rsidRDefault="00C2718F" w:rsidP="00C2718F">
      <w:pPr>
        <w:pStyle w:val="SCCNormalDoubleSpacing"/>
        <w:spacing w:line="240" w:lineRule="auto"/>
        <w:rPr>
          <w:sz w:val="20"/>
          <w:lang w:val="fr-CA"/>
        </w:rPr>
      </w:pPr>
      <w:r w:rsidRPr="00C2718F">
        <w:rPr>
          <w:i/>
          <w:sz w:val="20"/>
          <w:lang w:val="fr-CA"/>
        </w:rPr>
        <w:tab/>
        <w:t>Simon Fothergill</w:t>
      </w:r>
      <w:r w:rsidRPr="00C2718F">
        <w:rPr>
          <w:sz w:val="20"/>
          <w:lang w:val="fr-CA"/>
        </w:rPr>
        <w:t xml:space="preserve"> et </w:t>
      </w:r>
      <w:r w:rsidRPr="00C2718F">
        <w:rPr>
          <w:i/>
          <w:sz w:val="20"/>
          <w:lang w:val="fr-CA"/>
        </w:rPr>
        <w:t>Daniel Bourgeois</w:t>
      </w:r>
      <w:r w:rsidRPr="00C2718F">
        <w:rPr>
          <w:sz w:val="20"/>
          <w:lang w:val="fr-CA"/>
        </w:rPr>
        <w:t>, pour l’appelante.</w:t>
      </w:r>
    </w:p>
    <w:p w:rsidR="00C2718F" w:rsidRPr="00C2718F" w:rsidRDefault="00C2718F" w:rsidP="00C2718F">
      <w:pPr>
        <w:pStyle w:val="SCCNormalDoubleSpacing"/>
        <w:spacing w:line="240" w:lineRule="auto"/>
        <w:rPr>
          <w:i/>
          <w:sz w:val="20"/>
          <w:lang w:val="fr-CA"/>
        </w:rPr>
      </w:pPr>
    </w:p>
    <w:p w:rsidR="00C2718F" w:rsidRPr="00C2718F" w:rsidRDefault="00C2718F" w:rsidP="00C2718F">
      <w:pPr>
        <w:pStyle w:val="SCCNormalDoubleSpacing"/>
        <w:spacing w:line="240" w:lineRule="auto"/>
        <w:rPr>
          <w:sz w:val="20"/>
          <w:lang w:val="fr-CA"/>
        </w:rPr>
      </w:pPr>
      <w:r w:rsidRPr="00C2718F">
        <w:rPr>
          <w:i/>
          <w:sz w:val="20"/>
          <w:lang w:val="fr-CA"/>
        </w:rPr>
        <w:tab/>
        <w:t>Glenn Ernst</w:t>
      </w:r>
      <w:r w:rsidRPr="00C2718F">
        <w:rPr>
          <w:sz w:val="20"/>
          <w:lang w:val="fr-CA"/>
        </w:rPr>
        <w:t xml:space="preserve"> et </w:t>
      </w:r>
      <w:r w:rsidRPr="00C2718F">
        <w:rPr>
          <w:i/>
          <w:sz w:val="20"/>
          <w:lang w:val="fr-CA"/>
        </w:rPr>
        <w:t>Sandon Shogilev</w:t>
      </w:r>
      <w:r w:rsidRPr="00C2718F">
        <w:rPr>
          <w:sz w:val="20"/>
          <w:lang w:val="fr-CA"/>
        </w:rPr>
        <w:t>, pour l’intimé.</w:t>
      </w:r>
    </w:p>
    <w:p w:rsidR="00C2718F" w:rsidRPr="00C2718F" w:rsidRDefault="00C2718F" w:rsidP="00C2718F">
      <w:pPr>
        <w:pStyle w:val="SCCLawFirm"/>
        <w:spacing w:line="240" w:lineRule="auto"/>
        <w:rPr>
          <w:sz w:val="20"/>
          <w:lang w:val="fr-CA"/>
        </w:rPr>
      </w:pPr>
    </w:p>
    <w:p w:rsidR="00C2718F" w:rsidRDefault="00C2718F">
      <w:pPr>
        <w:rPr>
          <w:rFonts w:eastAsia="Times New Roman" w:cs="Times New Roman"/>
          <w:i/>
          <w:sz w:val="20"/>
          <w:szCs w:val="20"/>
          <w:lang w:val="fr-CA" w:eastAsia="en-CA"/>
        </w:rPr>
      </w:pPr>
      <w:r>
        <w:rPr>
          <w:sz w:val="20"/>
          <w:lang w:val="fr-CA"/>
        </w:rPr>
        <w:br w:type="page"/>
      </w:r>
    </w:p>
    <w:p w:rsidR="00C2718F" w:rsidRPr="00C2718F" w:rsidRDefault="00C2718F" w:rsidP="00C2718F">
      <w:pPr>
        <w:pStyle w:val="SCCLawFirm"/>
        <w:spacing w:line="240" w:lineRule="auto"/>
        <w:rPr>
          <w:sz w:val="20"/>
          <w:lang w:val="fr-CA"/>
        </w:rPr>
      </w:pPr>
      <w:r w:rsidRPr="00C2718F">
        <w:rPr>
          <w:sz w:val="20"/>
          <w:lang w:val="fr-CA"/>
        </w:rPr>
        <w:lastRenderedPageBreak/>
        <w:tab/>
        <w:t>Procureur de l’appelante : Procureur général du Canada, Ottawa.</w:t>
      </w:r>
    </w:p>
    <w:p w:rsidR="00C2718F" w:rsidRPr="00C2718F" w:rsidRDefault="00C2718F" w:rsidP="00C2718F">
      <w:pPr>
        <w:pStyle w:val="SCCLawFirm"/>
        <w:spacing w:line="240" w:lineRule="auto"/>
        <w:rPr>
          <w:sz w:val="20"/>
          <w:lang w:val="fr-CA"/>
        </w:rPr>
      </w:pPr>
    </w:p>
    <w:p w:rsidR="00C2718F" w:rsidRDefault="00C2718F" w:rsidP="00C2718F">
      <w:pPr>
        <w:pStyle w:val="SCCLawFirm"/>
        <w:spacing w:line="240" w:lineRule="auto"/>
        <w:rPr>
          <w:sz w:val="20"/>
          <w:lang w:val="fr-CA"/>
        </w:rPr>
      </w:pPr>
      <w:r w:rsidRPr="00C2718F">
        <w:rPr>
          <w:sz w:val="20"/>
          <w:lang w:val="fr-CA"/>
        </w:rPr>
        <w:tab/>
        <w:t>Procureurs de l’intimé : Goodmans, Toronto.</w:t>
      </w:r>
    </w:p>
    <w:p w:rsidR="00C2718F" w:rsidRPr="00C2718F" w:rsidRDefault="00C2718F" w:rsidP="00C2718F">
      <w:pPr>
        <w:pStyle w:val="SCCNormalDoubleSpacing"/>
        <w:spacing w:line="240" w:lineRule="auto"/>
        <w:rPr>
          <w:sz w:val="20"/>
          <w:lang w:val="fr-CA"/>
        </w:rPr>
      </w:pPr>
    </w:p>
    <w:p w:rsidR="00C2718F" w:rsidRPr="00C2718F" w:rsidRDefault="007333FF">
      <w:pPr>
        <w:rPr>
          <w:rFonts w:cs="Times New Roman"/>
          <w:sz w:val="20"/>
          <w:szCs w:val="20"/>
          <w:lang w:val="fr-CA"/>
        </w:rPr>
      </w:pPr>
      <w:r w:rsidRPr="007333FF">
        <w:rPr>
          <w:rFonts w:cs="Times New Roman"/>
          <w:sz w:val="20"/>
          <w:szCs w:val="20"/>
          <w:lang w:val="fr-CA"/>
        </w:rPr>
        <w:pict>
          <v:rect id="_x0000_i1154" style="width:144.3pt;height:1pt" o:hrpct="300" o:hralign="center" o:hrstd="t" o:hrnoshade="t" o:hr="t" fillcolor="black [3213]" stroked="f"/>
        </w:pict>
      </w:r>
    </w:p>
    <w:p w:rsidR="00C2718F" w:rsidRPr="00C2718F" w:rsidRDefault="00C2718F">
      <w:pPr>
        <w:rPr>
          <w:rFonts w:cs="Times New Roman"/>
          <w:sz w:val="20"/>
          <w:szCs w:val="20"/>
          <w:lang w:val="fr-CA"/>
        </w:rPr>
      </w:pPr>
    </w:p>
    <w:p w:rsidR="00F9382C" w:rsidRDefault="00F9382C">
      <w:pPr>
        <w:rPr>
          <w:sz w:val="20"/>
          <w:szCs w:val="20"/>
        </w:rPr>
      </w:pPr>
      <w:r>
        <w:rPr>
          <w:sz w:val="20"/>
          <w:szCs w:val="20"/>
        </w:rPr>
        <w:br w:type="page"/>
      </w:r>
    </w:p>
    <w:p w:rsidR="0013114B" w:rsidRDefault="0013114B" w:rsidP="0013114B">
      <w:pPr>
        <w:rPr>
          <w:i/>
          <w:iCs/>
          <w:sz w:val="20"/>
          <w:szCs w:val="20"/>
          <w:lang w:val="fr-CA"/>
        </w:rPr>
      </w:pPr>
      <w:r>
        <w:rPr>
          <w:i/>
          <w:iCs/>
          <w:sz w:val="20"/>
          <w:szCs w:val="20"/>
          <w:lang w:val="fr-CA"/>
        </w:rPr>
        <w:lastRenderedPageBreak/>
        <w:t>Riccardo Bellusci et autre c. Sa Majesté la Reine et autre</w:t>
      </w:r>
      <w:r>
        <w:rPr>
          <w:sz w:val="20"/>
          <w:szCs w:val="20"/>
          <w:lang w:val="fr-CA"/>
        </w:rPr>
        <w:t xml:space="preserve"> (Qc) (34054)</w:t>
      </w:r>
    </w:p>
    <w:p w:rsidR="00F9382C" w:rsidRPr="00536B45" w:rsidRDefault="00A949BF" w:rsidP="002A32A0">
      <w:pPr>
        <w:jc w:val="both"/>
        <w:rPr>
          <w:spacing w:val="3"/>
          <w:sz w:val="20"/>
          <w:szCs w:val="20"/>
          <w:lang w:val="fr-CA"/>
        </w:rPr>
      </w:pPr>
      <w:r w:rsidRPr="00536B45">
        <w:rPr>
          <w:b/>
          <w:sz w:val="20"/>
          <w:szCs w:val="20"/>
          <w:lang w:val="fr-CA"/>
        </w:rPr>
        <w:t xml:space="preserve">Indexed as:  R. </w:t>
      </w:r>
      <w:r w:rsidRPr="00536B45">
        <w:rPr>
          <w:b/>
          <w:i/>
          <w:sz w:val="20"/>
          <w:szCs w:val="20"/>
          <w:lang w:val="fr-CA"/>
        </w:rPr>
        <w:t>v.</w:t>
      </w:r>
      <w:r w:rsidRPr="00536B45">
        <w:rPr>
          <w:b/>
          <w:sz w:val="20"/>
          <w:szCs w:val="20"/>
          <w:lang w:val="fr-CA"/>
        </w:rPr>
        <w:t xml:space="preserve"> Bellusci / Répertorié : R. </w:t>
      </w:r>
      <w:r w:rsidRPr="00536B45">
        <w:rPr>
          <w:b/>
          <w:i/>
          <w:sz w:val="20"/>
          <w:szCs w:val="20"/>
          <w:lang w:val="fr-CA"/>
        </w:rPr>
        <w:t>c.</w:t>
      </w:r>
      <w:r w:rsidRPr="00536B45">
        <w:rPr>
          <w:b/>
          <w:sz w:val="20"/>
          <w:szCs w:val="20"/>
          <w:lang w:val="fr-CA"/>
        </w:rPr>
        <w:t xml:space="preserve"> Bellusci</w:t>
      </w:r>
    </w:p>
    <w:p w:rsidR="00F9382C" w:rsidRPr="00F9382C" w:rsidRDefault="00F9382C" w:rsidP="00F9382C">
      <w:pPr>
        <w:pStyle w:val="SCCSystemYear"/>
        <w:jc w:val="both"/>
        <w:rPr>
          <w:sz w:val="20"/>
        </w:rPr>
      </w:pPr>
      <w:r w:rsidRPr="00F9382C">
        <w:rPr>
          <w:sz w:val="20"/>
        </w:rPr>
        <w:t xml:space="preserve">Neutral citation: </w:t>
      </w:r>
      <w:r w:rsidR="0013114B">
        <w:rPr>
          <w:sz w:val="20"/>
        </w:rPr>
        <w:t xml:space="preserve"> </w:t>
      </w:r>
      <w:r w:rsidRPr="00F9382C">
        <w:rPr>
          <w:sz w:val="20"/>
        </w:rPr>
        <w:t>2012 SCC 44 / Référence neutre : 2012 CSC </w:t>
      </w:r>
      <w:r>
        <w:rPr>
          <w:sz w:val="20"/>
        </w:rPr>
        <w:t>44</w:t>
      </w:r>
    </w:p>
    <w:p w:rsidR="00F9382C" w:rsidRPr="003359D3" w:rsidRDefault="00F9382C" w:rsidP="00F9382C">
      <w:pPr>
        <w:rPr>
          <w:sz w:val="20"/>
          <w:szCs w:val="20"/>
        </w:rPr>
      </w:pPr>
      <w:r w:rsidRPr="003359D3">
        <w:rPr>
          <w:sz w:val="20"/>
          <w:szCs w:val="20"/>
        </w:rPr>
        <w:t xml:space="preserve">Hearing:  </w:t>
      </w:r>
      <w:r>
        <w:rPr>
          <w:sz w:val="20"/>
          <w:szCs w:val="20"/>
        </w:rPr>
        <w:t>Februar</w:t>
      </w:r>
      <w:r w:rsidRPr="003359D3">
        <w:rPr>
          <w:sz w:val="20"/>
          <w:szCs w:val="20"/>
        </w:rPr>
        <w:t xml:space="preserve">y </w:t>
      </w:r>
      <w:r>
        <w:rPr>
          <w:sz w:val="20"/>
          <w:szCs w:val="20"/>
        </w:rPr>
        <w:t>16</w:t>
      </w:r>
      <w:r w:rsidRPr="003359D3">
        <w:rPr>
          <w:sz w:val="20"/>
          <w:szCs w:val="20"/>
        </w:rPr>
        <w:t>, 201</w:t>
      </w:r>
      <w:r>
        <w:rPr>
          <w:sz w:val="20"/>
          <w:szCs w:val="20"/>
        </w:rPr>
        <w:t>2</w:t>
      </w:r>
      <w:r w:rsidRPr="003359D3">
        <w:rPr>
          <w:sz w:val="20"/>
          <w:szCs w:val="20"/>
        </w:rPr>
        <w:t xml:space="preserve">/ Judgment:  </w:t>
      </w:r>
      <w:r>
        <w:rPr>
          <w:sz w:val="20"/>
          <w:szCs w:val="20"/>
        </w:rPr>
        <w:t>August 3</w:t>
      </w:r>
      <w:r w:rsidRPr="003359D3">
        <w:rPr>
          <w:sz w:val="20"/>
          <w:szCs w:val="20"/>
        </w:rPr>
        <w:t>, 201</w:t>
      </w:r>
      <w:r>
        <w:rPr>
          <w:sz w:val="20"/>
          <w:szCs w:val="20"/>
        </w:rPr>
        <w:t>2</w:t>
      </w:r>
    </w:p>
    <w:p w:rsidR="00F9382C" w:rsidRPr="003B3977" w:rsidRDefault="00F9382C" w:rsidP="00F9382C">
      <w:pPr>
        <w:rPr>
          <w:sz w:val="20"/>
          <w:szCs w:val="20"/>
          <w:lang w:val="fr-CA"/>
        </w:rPr>
      </w:pPr>
      <w:r w:rsidRPr="003B3977">
        <w:rPr>
          <w:sz w:val="20"/>
          <w:szCs w:val="20"/>
          <w:lang w:val="fr-CA"/>
        </w:rPr>
        <w:t>Audition : Le 1</w:t>
      </w:r>
      <w:r>
        <w:rPr>
          <w:sz w:val="20"/>
          <w:szCs w:val="20"/>
          <w:lang w:val="fr-CA"/>
        </w:rPr>
        <w:t>6</w:t>
      </w:r>
      <w:r w:rsidRPr="003B3977">
        <w:rPr>
          <w:sz w:val="20"/>
          <w:szCs w:val="20"/>
          <w:lang w:val="fr-CA"/>
        </w:rPr>
        <w:t xml:space="preserve"> </w:t>
      </w:r>
      <w:r>
        <w:rPr>
          <w:sz w:val="20"/>
          <w:szCs w:val="20"/>
          <w:lang w:val="fr-CA"/>
        </w:rPr>
        <w:t>févr</w:t>
      </w:r>
      <w:r w:rsidRPr="003B3977">
        <w:rPr>
          <w:sz w:val="20"/>
          <w:szCs w:val="20"/>
          <w:lang w:val="fr-CA"/>
        </w:rPr>
        <w:t>i</w:t>
      </w:r>
      <w:r>
        <w:rPr>
          <w:sz w:val="20"/>
          <w:szCs w:val="20"/>
          <w:lang w:val="fr-CA"/>
        </w:rPr>
        <w:t>er</w:t>
      </w:r>
      <w:r w:rsidRPr="003B3977">
        <w:rPr>
          <w:sz w:val="20"/>
          <w:szCs w:val="20"/>
          <w:lang w:val="fr-CA"/>
        </w:rPr>
        <w:t xml:space="preserve"> 201</w:t>
      </w:r>
      <w:r>
        <w:rPr>
          <w:sz w:val="20"/>
          <w:szCs w:val="20"/>
          <w:lang w:val="fr-CA"/>
        </w:rPr>
        <w:t>2</w:t>
      </w:r>
      <w:r w:rsidRPr="003B3977">
        <w:rPr>
          <w:sz w:val="20"/>
          <w:szCs w:val="20"/>
          <w:lang w:val="fr-CA"/>
        </w:rPr>
        <w:t xml:space="preserve"> / Jugement : Le </w:t>
      </w:r>
      <w:r>
        <w:rPr>
          <w:sz w:val="20"/>
          <w:szCs w:val="20"/>
          <w:lang w:val="fr-CA"/>
        </w:rPr>
        <w:t>3 août</w:t>
      </w:r>
      <w:r w:rsidRPr="003B3977">
        <w:rPr>
          <w:sz w:val="20"/>
          <w:szCs w:val="20"/>
          <w:lang w:val="fr-CA"/>
        </w:rPr>
        <w:t xml:space="preserve"> 201</w:t>
      </w:r>
      <w:r>
        <w:rPr>
          <w:sz w:val="20"/>
          <w:szCs w:val="20"/>
          <w:lang w:val="fr-CA"/>
        </w:rPr>
        <w:t>2</w:t>
      </w:r>
    </w:p>
    <w:p w:rsidR="00F9382C" w:rsidRPr="003B3977" w:rsidRDefault="007333FF" w:rsidP="00F9382C">
      <w:pPr>
        <w:rPr>
          <w:sz w:val="20"/>
          <w:szCs w:val="20"/>
          <w:lang w:val="fr-CA"/>
        </w:rPr>
      </w:pPr>
      <w:r w:rsidRPr="007333FF">
        <w:rPr>
          <w:i/>
          <w:sz w:val="20"/>
          <w:szCs w:val="20"/>
        </w:rPr>
        <w:pict>
          <v:rect id="_x0000_i1155" style="width:480.95pt;height:1pt" o:hralign="center" o:hrstd="t" o:hrnoshade="t" o:hr="t" fillcolor="black [3213]" stroked="f"/>
        </w:pict>
      </w:r>
    </w:p>
    <w:p w:rsidR="00F9382C" w:rsidRPr="003B3977" w:rsidRDefault="00F9382C" w:rsidP="00F9382C">
      <w:pPr>
        <w:spacing w:line="0" w:lineRule="atLeast"/>
        <w:rPr>
          <w:sz w:val="20"/>
          <w:szCs w:val="20"/>
          <w:lang w:val="fr-CA"/>
        </w:rPr>
      </w:pPr>
    </w:p>
    <w:p w:rsidR="002A32A0" w:rsidRPr="002A32A0" w:rsidRDefault="002A32A0" w:rsidP="002A32A0">
      <w:pPr>
        <w:jc w:val="both"/>
        <w:rPr>
          <w:sz w:val="20"/>
          <w:szCs w:val="20"/>
          <w:lang w:val="fr-CA"/>
        </w:rPr>
      </w:pPr>
      <w:r w:rsidRPr="002A32A0">
        <w:rPr>
          <w:sz w:val="20"/>
          <w:szCs w:val="20"/>
          <w:lang w:val="fr-CA"/>
        </w:rPr>
        <w:t>Présents : La juge en chef McLachlin et les juges LeBel, Deschamps, Fish, Abella, Moldaver et Karakatsanis.</w:t>
      </w:r>
    </w:p>
    <w:p w:rsidR="002A32A0" w:rsidRPr="002A32A0" w:rsidRDefault="002A32A0" w:rsidP="002A32A0">
      <w:pPr>
        <w:pStyle w:val="SCCLowerCourtNameLowercase"/>
        <w:spacing w:line="240" w:lineRule="auto"/>
        <w:rPr>
          <w:sz w:val="20"/>
          <w:lang w:val="fr-CA"/>
        </w:rPr>
      </w:pPr>
    </w:p>
    <w:p w:rsidR="002A32A0" w:rsidRPr="002A32A0" w:rsidRDefault="002A32A0" w:rsidP="002A32A0">
      <w:pPr>
        <w:pStyle w:val="SCCNormalDoubleSpacing"/>
        <w:spacing w:line="240" w:lineRule="auto"/>
        <w:rPr>
          <w:i/>
          <w:sz w:val="20"/>
          <w:lang w:val="fr-CA"/>
        </w:rPr>
      </w:pPr>
      <w:r w:rsidRPr="002A32A0">
        <w:rPr>
          <w:sz w:val="20"/>
          <w:lang w:val="fr-CA"/>
        </w:rPr>
        <w:tab/>
      </w:r>
      <w:r w:rsidRPr="002A32A0">
        <w:rPr>
          <w:i/>
          <w:sz w:val="20"/>
          <w:lang w:val="fr-CA"/>
        </w:rPr>
        <w:t>Droit constitutionnel — Charte des droits — Réparation — Arrêt des procédures — Blessures subies par un détenu accusé et par un agent de détention lors d’une altercation — Accusations de voies de fait et d’intimidation d’une personne associée au système judiciaire — Acquittement de l’accusé en première instance à l’égard des accusations de voies de fait et arrêt des procédures ordonné par le juge du procès relativement au chef d’intimidation en raison de l’atteinte aux droits garantis à l’accusé par l’art. 7 de la Charte — L’arrêt des procédures constituait</w:t>
      </w:r>
      <w:r w:rsidRPr="002A32A0">
        <w:rPr>
          <w:i/>
          <w:sz w:val="20"/>
          <w:lang w:val="fr-CA"/>
        </w:rPr>
        <w:noBreakHyphen/>
        <w:t>il une réparation convenable? — Charte canadienne des droits et libertés, art. 24(1).</w:t>
      </w:r>
    </w:p>
    <w:p w:rsidR="002A32A0" w:rsidRPr="002A32A0" w:rsidRDefault="002A32A0" w:rsidP="002A32A0">
      <w:pPr>
        <w:pStyle w:val="SCCNormalDoubleSpacing"/>
        <w:spacing w:line="240" w:lineRule="auto"/>
        <w:rPr>
          <w:i/>
          <w:sz w:val="20"/>
          <w:lang w:val="fr-CA"/>
        </w:rPr>
      </w:pPr>
    </w:p>
    <w:p w:rsidR="002A32A0" w:rsidRPr="002A32A0" w:rsidRDefault="002A32A0" w:rsidP="002A32A0">
      <w:pPr>
        <w:pStyle w:val="SCCNormalDoubleSpacing"/>
        <w:spacing w:line="240" w:lineRule="auto"/>
        <w:rPr>
          <w:sz w:val="20"/>
          <w:lang w:val="fr-CA"/>
        </w:rPr>
      </w:pPr>
      <w:r w:rsidRPr="002A32A0">
        <w:rPr>
          <w:i/>
          <w:sz w:val="20"/>
          <w:lang w:val="fr-CA"/>
        </w:rPr>
        <w:tab/>
        <w:t>Droit criminel — Appels — Pouvoirs de la Cour d’appel — Annulation par la Cour d’appel de l’arrêt des procédures ordonné par le juge du procès et renvoi de l’affaire au tribunal de première instance pour la continuation du procès — La Cour d’appel a</w:t>
      </w:r>
      <w:r w:rsidRPr="002A32A0">
        <w:rPr>
          <w:i/>
          <w:sz w:val="20"/>
          <w:lang w:val="fr-CA"/>
        </w:rPr>
        <w:noBreakHyphen/>
        <w:t>t</w:t>
      </w:r>
      <w:r w:rsidRPr="002A32A0">
        <w:rPr>
          <w:i/>
          <w:sz w:val="20"/>
          <w:lang w:val="fr-CA"/>
        </w:rPr>
        <w:noBreakHyphen/>
        <w:t>elle eu tort de modifier la décision du juge du procès d’ordonner l’arrêt des procédures? — Avait</w:t>
      </w:r>
      <w:r w:rsidRPr="002A32A0">
        <w:rPr>
          <w:i/>
          <w:sz w:val="20"/>
          <w:lang w:val="fr-CA"/>
        </w:rPr>
        <w:noBreakHyphen/>
        <w:t>elle le pouvoir d’ordonner la continuation du procès? — Code criminel, L.R.C. 1985, ch. C</w:t>
      </w:r>
      <w:r w:rsidRPr="002A32A0">
        <w:rPr>
          <w:i/>
          <w:sz w:val="20"/>
          <w:lang w:val="fr-CA"/>
        </w:rPr>
        <w:noBreakHyphen/>
        <w:t>46, art. 686(4) et (8).</w:t>
      </w:r>
    </w:p>
    <w:p w:rsidR="002A32A0" w:rsidRPr="002A32A0" w:rsidRDefault="002A32A0" w:rsidP="002A32A0">
      <w:pPr>
        <w:pStyle w:val="SCCNormalDoubleSpacing"/>
        <w:spacing w:line="240" w:lineRule="auto"/>
        <w:rPr>
          <w:sz w:val="20"/>
          <w:lang w:val="fr-CA"/>
        </w:rPr>
      </w:pPr>
    </w:p>
    <w:p w:rsidR="002A32A0" w:rsidRPr="002A32A0" w:rsidRDefault="002A32A0" w:rsidP="002A32A0">
      <w:pPr>
        <w:pStyle w:val="SCCNormalDoubleSpacing"/>
        <w:spacing w:line="240" w:lineRule="auto"/>
        <w:rPr>
          <w:sz w:val="20"/>
          <w:lang w:val="fr-CA"/>
        </w:rPr>
      </w:pPr>
      <w:r w:rsidRPr="002A32A0">
        <w:rPr>
          <w:sz w:val="20"/>
          <w:lang w:val="fr-CA"/>
        </w:rPr>
        <w:tab/>
        <w:t xml:space="preserve">Des accusations ont été portées contre B, un détenu, pour voies de fait causant des lésions corporelles, voies de fait contre un agent de la paix et acte d’intimidation contre une personne associée au système judiciaire, A, un agent de détention, par suite d’une altercation au cours de laquelle les deux hommes ont été blessés.  Le juge du procès a acquitté B des deux accusations de voies de fait et ordonné l’arrêt des procédures quant à celle d’intimidation d’une personne associée au système judiciaire parce qu’il y avait eu atteinte aux droits garantis à B par l’art. 7 de la </w:t>
      </w:r>
      <w:r w:rsidRPr="002A32A0">
        <w:rPr>
          <w:i/>
          <w:sz w:val="20"/>
          <w:lang w:val="fr-CA"/>
        </w:rPr>
        <w:t>Charte</w:t>
      </w:r>
      <w:r w:rsidRPr="002A32A0">
        <w:rPr>
          <w:sz w:val="20"/>
          <w:lang w:val="fr-CA"/>
        </w:rPr>
        <w:t>.  La Cour d’appel du Québec a annulé l’arrêt des procédures et renvoyé l’affaire au tribunal de première instance pour la continuation du procès de B.</w:t>
      </w:r>
    </w:p>
    <w:p w:rsidR="002A32A0" w:rsidRPr="002A32A0" w:rsidRDefault="002A32A0" w:rsidP="002A32A0">
      <w:pPr>
        <w:pStyle w:val="SCCNormalDoubleSpacing"/>
        <w:spacing w:line="240" w:lineRule="auto"/>
        <w:rPr>
          <w:sz w:val="20"/>
          <w:lang w:val="fr-CA"/>
        </w:rPr>
      </w:pPr>
    </w:p>
    <w:p w:rsidR="002A32A0" w:rsidRPr="002A32A0" w:rsidRDefault="002A32A0" w:rsidP="002A32A0">
      <w:pPr>
        <w:pStyle w:val="SCCNormalDoubleSpacing"/>
        <w:spacing w:line="240" w:lineRule="auto"/>
        <w:rPr>
          <w:sz w:val="20"/>
          <w:lang w:val="fr-CA"/>
        </w:rPr>
      </w:pPr>
      <w:r w:rsidRPr="002A32A0">
        <w:rPr>
          <w:sz w:val="20"/>
          <w:lang w:val="fr-CA"/>
        </w:rPr>
        <w:tab/>
      </w:r>
      <w:r w:rsidRPr="002A32A0">
        <w:rPr>
          <w:i/>
          <w:sz w:val="20"/>
          <w:lang w:val="fr-CA"/>
        </w:rPr>
        <w:t>Arrêt</w:t>
      </w:r>
      <w:r w:rsidRPr="002A32A0">
        <w:rPr>
          <w:sz w:val="20"/>
          <w:lang w:val="fr-CA"/>
        </w:rPr>
        <w:t> : Le pourvoi est accueilli et l’arrêt des procédures ordonné par le juge du procès est rétabli.</w:t>
      </w:r>
    </w:p>
    <w:p w:rsidR="002A32A0" w:rsidRPr="002A32A0" w:rsidRDefault="002A32A0" w:rsidP="002A32A0">
      <w:pPr>
        <w:pStyle w:val="SCCNormalDoubleSpacing"/>
        <w:spacing w:line="240" w:lineRule="auto"/>
        <w:rPr>
          <w:sz w:val="20"/>
          <w:lang w:val="fr-CA"/>
        </w:rPr>
      </w:pPr>
    </w:p>
    <w:p w:rsidR="002A32A0" w:rsidRPr="002A32A0" w:rsidRDefault="002A32A0" w:rsidP="002A32A0">
      <w:pPr>
        <w:pStyle w:val="SCCNormalDoubleSpacing"/>
        <w:spacing w:line="240" w:lineRule="auto"/>
        <w:rPr>
          <w:sz w:val="20"/>
          <w:lang w:val="fr-CA"/>
        </w:rPr>
      </w:pPr>
      <w:r w:rsidRPr="002A32A0">
        <w:rPr>
          <w:sz w:val="20"/>
          <w:lang w:val="fr-CA"/>
        </w:rPr>
        <w:tab/>
        <w:t xml:space="preserve">Le par. 24(1) de la </w:t>
      </w:r>
      <w:r w:rsidRPr="002A32A0">
        <w:rPr>
          <w:i/>
          <w:sz w:val="20"/>
          <w:lang w:val="fr-CA"/>
        </w:rPr>
        <w:t xml:space="preserve">Charte </w:t>
      </w:r>
      <w:r w:rsidRPr="002A32A0">
        <w:rPr>
          <w:sz w:val="20"/>
          <w:lang w:val="fr-CA"/>
        </w:rPr>
        <w:t xml:space="preserve">confère au juge du procès un pouvoir discrétionnaire étendu en ce qui a trait à l’octroi de « la réparation que le tribunal estime convenable et juste eu égard aux circonstances ».  Il est bien établi que la réparation accordée en première instance sur le fondement du par. 24(1) ne doit être réformée en appel que si le juge du procès s’est fondé sur des considérations erronées en droit ou si sa décision est erronée au point de créer une injustice.  Sauf erreur de droit ou conclusion de fait susceptible de contrôle, la cour d’appel doit déférer à l’exercice du vaste pouvoir discrétionnaire que confère au juge de première instance le par. 24(1) de la </w:t>
      </w:r>
      <w:r w:rsidRPr="002A32A0">
        <w:rPr>
          <w:i/>
          <w:sz w:val="20"/>
          <w:lang w:val="fr-CA"/>
        </w:rPr>
        <w:t>Charte</w:t>
      </w:r>
      <w:r w:rsidRPr="002A32A0">
        <w:rPr>
          <w:sz w:val="20"/>
          <w:lang w:val="fr-CA"/>
        </w:rPr>
        <w:t>.</w:t>
      </w:r>
    </w:p>
    <w:p w:rsidR="002A32A0" w:rsidRPr="002A32A0" w:rsidRDefault="002A32A0" w:rsidP="002A32A0">
      <w:pPr>
        <w:pStyle w:val="SCCNormalDoubleSpacing"/>
        <w:spacing w:line="240" w:lineRule="auto"/>
        <w:rPr>
          <w:sz w:val="20"/>
          <w:lang w:val="fr-CA"/>
        </w:rPr>
      </w:pPr>
    </w:p>
    <w:p w:rsidR="002A32A0" w:rsidRPr="00445CBE" w:rsidRDefault="002A32A0" w:rsidP="002A32A0">
      <w:pPr>
        <w:pStyle w:val="SCCNormalDoubleSpacing"/>
        <w:spacing w:line="240" w:lineRule="auto"/>
        <w:rPr>
          <w:sz w:val="20"/>
          <w:lang w:val="fr-CA"/>
        </w:rPr>
      </w:pPr>
      <w:r w:rsidRPr="002A32A0">
        <w:rPr>
          <w:sz w:val="20"/>
          <w:lang w:val="fr-CA"/>
        </w:rPr>
        <w:tab/>
        <w:t xml:space="preserve">Dans la présente affaire, le juge du procès a examiné soigneusement et correctement tous les principes applicables.  Il a évalué la gravité du préjudice et précisé en quoi les autres réparations possibles lui paraissaient inadéquates.  Il n’a pas pris appui sur des considérations erronées quant au droit applicable ni commis d’erreur de fait susceptible de contrôle.  L’exercice de son pouvoir discrétionnaire d’ordonner l’arrêt des procédures n’était pas non plus erroné au point de créer une injustice.  Il appert de la teneur de son analyse que, pour lui, l’atteinte aux droits constitutionnels considérée en l’espèce fait partie des cas « résiduels » et « exceptionnels » où la conduite reprochée est si grave que le simple fait de poursuivre le procès serait choquant.  Une fois arrivé à la conclusion que B avait été provoqué par un représentant de l’État puis soumis par ce dernier à un abus physique et psychologique intolérable, le juge du procès pouvait ordonner l’arrêt des procédures engagées contre B.  </w:t>
      </w:r>
      <w:r w:rsidRPr="00445CBE">
        <w:rPr>
          <w:sz w:val="20"/>
          <w:lang w:val="fr-CA"/>
        </w:rPr>
        <w:t>L’intervention en appel était donc injustifiée dans les circonstances.</w:t>
      </w:r>
    </w:p>
    <w:p w:rsidR="002A32A0" w:rsidRPr="00445CBE" w:rsidRDefault="002A32A0" w:rsidP="002A32A0">
      <w:pPr>
        <w:pStyle w:val="SCCNormalDoubleSpacing"/>
        <w:spacing w:line="240" w:lineRule="auto"/>
        <w:rPr>
          <w:sz w:val="20"/>
          <w:lang w:val="fr-CA"/>
        </w:rPr>
      </w:pPr>
    </w:p>
    <w:p w:rsidR="002A32A0" w:rsidRPr="002A32A0" w:rsidRDefault="002A32A0" w:rsidP="002A32A0">
      <w:pPr>
        <w:pStyle w:val="SCCNormalDoubleSpacing"/>
        <w:spacing w:line="240" w:lineRule="auto"/>
        <w:rPr>
          <w:sz w:val="20"/>
          <w:lang w:val="fr-CA"/>
        </w:rPr>
      </w:pPr>
      <w:r w:rsidRPr="00445CBE">
        <w:rPr>
          <w:sz w:val="20"/>
          <w:lang w:val="fr-CA"/>
        </w:rPr>
        <w:tab/>
      </w:r>
      <w:r w:rsidRPr="002A32A0">
        <w:rPr>
          <w:sz w:val="20"/>
          <w:lang w:val="fr-CA"/>
        </w:rPr>
        <w:t xml:space="preserve">La cour d’appel qui annule un arrêt des procédures peut, lorsque les circonstances s’y prêtent, renvoyer l’affaire au tribunal de première instance en vue de la continuation du procès, et ce, en application des par. 686 (4) et (8) du </w:t>
      </w:r>
      <w:r w:rsidRPr="002A32A0">
        <w:rPr>
          <w:i/>
          <w:sz w:val="20"/>
          <w:lang w:val="fr-CA"/>
        </w:rPr>
        <w:t>Code criminel</w:t>
      </w:r>
      <w:r w:rsidRPr="002A32A0">
        <w:rPr>
          <w:sz w:val="20"/>
          <w:lang w:val="fr-CA"/>
        </w:rPr>
        <w:t xml:space="preserve">.  En accueillant l’appel et en annulant l’acquittement ou l’arrêt des procédures, la cour exerce un pouvoir conféré au par. 686(4).  La cour d’appel n’a pas à ordonner un nouveau procès ni à consigner un verdict de </w:t>
      </w:r>
      <w:r w:rsidRPr="002A32A0">
        <w:rPr>
          <w:sz w:val="20"/>
          <w:lang w:val="fr-CA"/>
        </w:rPr>
        <w:lastRenderedPageBreak/>
        <w:t>culpabilité pour que s’applique le par. 686(8), ce qui ne dépend que de l’exercice de l’un ou l’autre des pouvoirs conférés au par. 686(4).</w:t>
      </w:r>
    </w:p>
    <w:p w:rsidR="002A32A0" w:rsidRPr="002A32A0" w:rsidRDefault="002A32A0" w:rsidP="002A32A0">
      <w:pPr>
        <w:pStyle w:val="SCCNormalDoubleSpacing"/>
        <w:spacing w:line="240" w:lineRule="auto"/>
        <w:rPr>
          <w:sz w:val="20"/>
          <w:lang w:val="fr-CA"/>
        </w:rPr>
      </w:pPr>
    </w:p>
    <w:p w:rsidR="002A32A0" w:rsidRPr="002A32A0" w:rsidRDefault="002A32A0" w:rsidP="002A32A0">
      <w:pPr>
        <w:pStyle w:val="SCCNormalDoubleSpacing"/>
        <w:spacing w:line="240" w:lineRule="auto"/>
        <w:rPr>
          <w:sz w:val="20"/>
          <w:lang w:val="fr-CA"/>
        </w:rPr>
      </w:pPr>
      <w:r w:rsidRPr="002A32A0">
        <w:rPr>
          <w:sz w:val="20"/>
          <w:lang w:val="fr-CA"/>
        </w:rPr>
        <w:tab/>
        <w:t>POURVOI contre un arrêt de la Cour d’appel du Québec (les juges Morissette, Giroux et Gagnon), 2010 QCCA 2118, 83 C.R. (6th) 388, [2010] J.Q. n</w:t>
      </w:r>
      <w:r w:rsidRPr="002A32A0">
        <w:rPr>
          <w:sz w:val="20"/>
          <w:vertAlign w:val="superscript"/>
          <w:lang w:val="fr-CA"/>
        </w:rPr>
        <w:t>o</w:t>
      </w:r>
      <w:r w:rsidRPr="002A32A0">
        <w:rPr>
          <w:sz w:val="20"/>
          <w:lang w:val="fr-CA"/>
        </w:rPr>
        <w:t> 11919 (QL), 2010 CarswellQue 12408, qui a confirmé la décision du juge Legault d’acquitter l’accusé relativement aux voies de fait, mais qui a annulé sa décision d’ordonner l’arrêt des procédures relativement à l’intimidation d’une personne associée au système judiciaire, 2008 QCCQ 21567 (CanLII), [2008] J.Q. n</w:t>
      </w:r>
      <w:r w:rsidRPr="002A32A0">
        <w:rPr>
          <w:sz w:val="20"/>
          <w:vertAlign w:val="superscript"/>
          <w:lang w:val="fr-CA"/>
        </w:rPr>
        <w:t>o </w:t>
      </w:r>
      <w:r w:rsidRPr="002A32A0">
        <w:rPr>
          <w:sz w:val="20"/>
          <w:lang w:val="fr-CA"/>
        </w:rPr>
        <w:t>24115 (QL), 2008 CarswellQue 15028.  Pourvoi accueilli et arrêt des procédures rétabli.</w:t>
      </w:r>
    </w:p>
    <w:p w:rsidR="002A32A0" w:rsidRPr="002A32A0" w:rsidRDefault="002A32A0" w:rsidP="002A32A0">
      <w:pPr>
        <w:pStyle w:val="SCCNormalDoubleSpacing"/>
        <w:spacing w:line="240" w:lineRule="auto"/>
        <w:rPr>
          <w:sz w:val="20"/>
          <w:lang w:val="fr-CA"/>
        </w:rPr>
      </w:pPr>
    </w:p>
    <w:p w:rsidR="002A32A0" w:rsidRPr="002A32A0" w:rsidRDefault="002A32A0" w:rsidP="002A32A0">
      <w:pPr>
        <w:pStyle w:val="SCCNormalDoubleSpacing"/>
        <w:spacing w:line="240" w:lineRule="auto"/>
        <w:rPr>
          <w:sz w:val="20"/>
          <w:lang w:val="fr-CA"/>
        </w:rPr>
      </w:pPr>
      <w:r w:rsidRPr="002A32A0">
        <w:rPr>
          <w:i/>
          <w:sz w:val="20"/>
          <w:lang w:val="fr-CA"/>
        </w:rPr>
        <w:tab/>
        <w:t>Francis Pilotte</w:t>
      </w:r>
      <w:r w:rsidRPr="002A32A0">
        <w:rPr>
          <w:sz w:val="20"/>
          <w:lang w:val="fr-CA"/>
        </w:rPr>
        <w:t xml:space="preserve"> et </w:t>
      </w:r>
      <w:r w:rsidRPr="002A32A0">
        <w:rPr>
          <w:i/>
          <w:sz w:val="20"/>
          <w:lang w:val="fr-CA"/>
        </w:rPr>
        <w:t>Henri</w:t>
      </w:r>
      <w:r w:rsidRPr="002A32A0">
        <w:rPr>
          <w:i/>
          <w:sz w:val="20"/>
          <w:lang w:val="fr-CA"/>
        </w:rPr>
        <w:noBreakHyphen/>
        <w:t>Pierre Labrie</w:t>
      </w:r>
      <w:r w:rsidRPr="002A32A0">
        <w:rPr>
          <w:sz w:val="20"/>
          <w:lang w:val="fr-CA"/>
        </w:rPr>
        <w:t>, pour l’appelant.</w:t>
      </w:r>
    </w:p>
    <w:p w:rsidR="002A32A0" w:rsidRPr="002A32A0" w:rsidRDefault="002A32A0" w:rsidP="002A32A0">
      <w:pPr>
        <w:pStyle w:val="SCCNormalDoubleSpacing"/>
        <w:spacing w:line="240" w:lineRule="auto"/>
        <w:rPr>
          <w:i/>
          <w:sz w:val="20"/>
          <w:lang w:val="fr-CA"/>
        </w:rPr>
      </w:pPr>
    </w:p>
    <w:p w:rsidR="002A32A0" w:rsidRPr="002A32A0" w:rsidRDefault="002A32A0" w:rsidP="002A32A0">
      <w:pPr>
        <w:pStyle w:val="SCCNormalDoubleSpacing"/>
        <w:spacing w:line="240" w:lineRule="auto"/>
        <w:rPr>
          <w:sz w:val="20"/>
          <w:lang w:val="fr-CA"/>
        </w:rPr>
      </w:pPr>
      <w:r w:rsidRPr="002A32A0">
        <w:rPr>
          <w:i/>
          <w:sz w:val="20"/>
          <w:lang w:val="fr-CA"/>
        </w:rPr>
        <w:tab/>
        <w:t>Carole Lebeuf</w:t>
      </w:r>
      <w:r w:rsidRPr="002A32A0">
        <w:rPr>
          <w:sz w:val="20"/>
          <w:lang w:val="fr-CA"/>
        </w:rPr>
        <w:t xml:space="preserve"> et </w:t>
      </w:r>
      <w:r w:rsidRPr="002A32A0">
        <w:rPr>
          <w:i/>
          <w:sz w:val="20"/>
          <w:lang w:val="fr-CA"/>
        </w:rPr>
        <w:t>Michel Pennou</w:t>
      </w:r>
      <w:r w:rsidRPr="002A32A0">
        <w:rPr>
          <w:sz w:val="20"/>
          <w:lang w:val="fr-CA"/>
        </w:rPr>
        <w:t>, pour l’intimée.</w:t>
      </w:r>
    </w:p>
    <w:p w:rsidR="002A32A0" w:rsidRPr="002A32A0" w:rsidRDefault="002A32A0" w:rsidP="002A32A0">
      <w:pPr>
        <w:pStyle w:val="SCCNormalDoubleSpacing"/>
        <w:spacing w:line="240" w:lineRule="auto"/>
        <w:rPr>
          <w:i/>
          <w:sz w:val="20"/>
          <w:lang w:val="fr-CA"/>
        </w:rPr>
      </w:pPr>
    </w:p>
    <w:p w:rsidR="002A32A0" w:rsidRPr="002A32A0" w:rsidRDefault="002A32A0" w:rsidP="002A32A0">
      <w:pPr>
        <w:pStyle w:val="SCCNormalDoubleSpacing"/>
        <w:spacing w:line="240" w:lineRule="auto"/>
        <w:rPr>
          <w:sz w:val="20"/>
          <w:lang w:val="fr-CA"/>
        </w:rPr>
      </w:pPr>
      <w:r w:rsidRPr="002A32A0">
        <w:rPr>
          <w:i/>
          <w:sz w:val="20"/>
          <w:lang w:val="fr-CA"/>
        </w:rPr>
        <w:tab/>
        <w:t>Louis Belleau</w:t>
      </w:r>
      <w:r w:rsidRPr="002A32A0">
        <w:rPr>
          <w:sz w:val="20"/>
          <w:lang w:val="fr-CA"/>
        </w:rPr>
        <w:t>, en qualité d’</w:t>
      </w:r>
      <w:r w:rsidRPr="002A32A0">
        <w:rPr>
          <w:i/>
          <w:sz w:val="20"/>
          <w:lang w:val="fr-CA"/>
        </w:rPr>
        <w:t>amicus curiae</w:t>
      </w:r>
      <w:r w:rsidRPr="002A32A0">
        <w:rPr>
          <w:sz w:val="20"/>
          <w:lang w:val="fr-CA"/>
        </w:rPr>
        <w:t>.</w:t>
      </w:r>
    </w:p>
    <w:p w:rsidR="002A32A0" w:rsidRPr="002A32A0" w:rsidRDefault="002A32A0" w:rsidP="002A32A0">
      <w:pPr>
        <w:pStyle w:val="SCCNormalDoubleSpacing"/>
        <w:spacing w:line="240" w:lineRule="auto"/>
        <w:rPr>
          <w:i/>
          <w:sz w:val="20"/>
          <w:lang w:val="fr-CA"/>
        </w:rPr>
      </w:pPr>
    </w:p>
    <w:p w:rsidR="002A32A0" w:rsidRPr="002A32A0" w:rsidRDefault="002A32A0" w:rsidP="002A32A0">
      <w:pPr>
        <w:pStyle w:val="SCCNormalDoubleSpacing"/>
        <w:spacing w:line="240" w:lineRule="auto"/>
        <w:rPr>
          <w:sz w:val="20"/>
          <w:lang w:val="fr-CA"/>
        </w:rPr>
      </w:pPr>
      <w:r w:rsidRPr="002A32A0">
        <w:rPr>
          <w:i/>
          <w:sz w:val="20"/>
          <w:lang w:val="fr-CA"/>
        </w:rPr>
        <w:tab/>
        <w:t>James K. Stewart</w:t>
      </w:r>
      <w:r w:rsidRPr="002A32A0">
        <w:rPr>
          <w:sz w:val="20"/>
          <w:lang w:val="fr-CA"/>
        </w:rPr>
        <w:t xml:space="preserve"> et </w:t>
      </w:r>
      <w:r w:rsidRPr="002A32A0">
        <w:rPr>
          <w:i/>
          <w:sz w:val="20"/>
          <w:lang w:val="fr-CA"/>
        </w:rPr>
        <w:t>Robert Gattrell</w:t>
      </w:r>
      <w:r w:rsidRPr="002A32A0">
        <w:rPr>
          <w:sz w:val="20"/>
          <w:lang w:val="fr-CA"/>
        </w:rPr>
        <w:t>, pour l’intervenant.</w:t>
      </w:r>
    </w:p>
    <w:p w:rsidR="002A32A0" w:rsidRPr="002A32A0" w:rsidRDefault="002A32A0" w:rsidP="002A32A0">
      <w:pPr>
        <w:pStyle w:val="SCCLawFirm"/>
        <w:spacing w:line="240" w:lineRule="auto"/>
        <w:rPr>
          <w:sz w:val="20"/>
          <w:lang w:val="fr-CA"/>
        </w:rPr>
      </w:pPr>
    </w:p>
    <w:p w:rsidR="002A32A0" w:rsidRPr="002A32A0" w:rsidRDefault="002A32A0" w:rsidP="002A32A0">
      <w:pPr>
        <w:pStyle w:val="SCCLawFirm"/>
        <w:spacing w:line="240" w:lineRule="auto"/>
        <w:rPr>
          <w:sz w:val="20"/>
          <w:lang w:val="fr-CA"/>
        </w:rPr>
      </w:pPr>
      <w:r w:rsidRPr="002A32A0">
        <w:rPr>
          <w:sz w:val="20"/>
          <w:lang w:val="fr-CA"/>
        </w:rPr>
        <w:tab/>
        <w:t>Procureurs de l’appelant : Lord, Poissant &amp; Associés, Brossard.</w:t>
      </w:r>
    </w:p>
    <w:p w:rsidR="002A32A0" w:rsidRPr="002A32A0" w:rsidRDefault="002A32A0" w:rsidP="002A32A0">
      <w:pPr>
        <w:pStyle w:val="SCCLawFirm"/>
        <w:spacing w:line="240" w:lineRule="auto"/>
        <w:rPr>
          <w:sz w:val="20"/>
          <w:lang w:val="fr-CA"/>
        </w:rPr>
      </w:pPr>
    </w:p>
    <w:p w:rsidR="002A32A0" w:rsidRPr="002A32A0" w:rsidRDefault="002A32A0" w:rsidP="002A32A0">
      <w:pPr>
        <w:pStyle w:val="SCCLawFirm"/>
        <w:spacing w:line="240" w:lineRule="auto"/>
        <w:rPr>
          <w:sz w:val="20"/>
          <w:lang w:val="fr-CA"/>
        </w:rPr>
      </w:pPr>
      <w:r w:rsidRPr="002A32A0">
        <w:rPr>
          <w:sz w:val="20"/>
          <w:lang w:val="fr-CA"/>
        </w:rPr>
        <w:tab/>
        <w:t>Procureur de l’intimée : Directeur des poursuites criminelles et pénales du Québec, Montréal.</w:t>
      </w:r>
    </w:p>
    <w:p w:rsidR="002A32A0" w:rsidRPr="002A32A0" w:rsidRDefault="002A32A0" w:rsidP="002A32A0">
      <w:pPr>
        <w:pStyle w:val="SCCLawFirm"/>
        <w:spacing w:line="240" w:lineRule="auto"/>
        <w:rPr>
          <w:sz w:val="20"/>
          <w:lang w:val="fr-CA"/>
        </w:rPr>
      </w:pPr>
    </w:p>
    <w:p w:rsidR="002A32A0" w:rsidRPr="002A32A0" w:rsidRDefault="002A32A0" w:rsidP="002A32A0">
      <w:pPr>
        <w:pStyle w:val="SCCLawFirm"/>
        <w:spacing w:line="240" w:lineRule="auto"/>
        <w:rPr>
          <w:sz w:val="20"/>
          <w:lang w:val="fr-CA"/>
        </w:rPr>
      </w:pPr>
      <w:r w:rsidRPr="002A32A0">
        <w:rPr>
          <w:sz w:val="20"/>
          <w:lang w:val="fr-CA"/>
        </w:rPr>
        <w:tab/>
        <w:t>Procureurs nommés par la Cour en qualité d’amicus curiae : Shadley Battista, Montréal.</w:t>
      </w:r>
    </w:p>
    <w:p w:rsidR="002A32A0" w:rsidRPr="002A32A0" w:rsidRDefault="002A32A0" w:rsidP="002A32A0">
      <w:pPr>
        <w:pStyle w:val="SCCLawFirm"/>
        <w:spacing w:line="240" w:lineRule="auto"/>
        <w:rPr>
          <w:sz w:val="20"/>
          <w:lang w:val="fr-CA"/>
        </w:rPr>
      </w:pPr>
    </w:p>
    <w:p w:rsidR="002A32A0" w:rsidRPr="002A32A0" w:rsidRDefault="002A32A0" w:rsidP="002A32A0">
      <w:pPr>
        <w:pStyle w:val="SCCLawFirm"/>
        <w:spacing w:line="240" w:lineRule="auto"/>
        <w:rPr>
          <w:sz w:val="20"/>
          <w:lang w:val="fr-CA"/>
        </w:rPr>
      </w:pPr>
      <w:r w:rsidRPr="002A32A0">
        <w:rPr>
          <w:sz w:val="20"/>
          <w:lang w:val="fr-CA"/>
        </w:rPr>
        <w:tab/>
        <w:t>Procureur de l’intervenant : Procureur général de l’Ontario, Toronto.</w:t>
      </w:r>
    </w:p>
    <w:p w:rsidR="00F9382C" w:rsidRDefault="00F9382C" w:rsidP="00F9382C">
      <w:pPr>
        <w:rPr>
          <w:sz w:val="20"/>
          <w:szCs w:val="20"/>
        </w:rPr>
      </w:pPr>
      <w:r w:rsidRPr="00492DCE">
        <w:rPr>
          <w:sz w:val="20"/>
          <w:szCs w:val="20"/>
        </w:rPr>
        <w:t>________________________</w:t>
      </w:r>
    </w:p>
    <w:p w:rsidR="00F9382C" w:rsidRDefault="00F9382C" w:rsidP="00F9382C">
      <w:pPr>
        <w:rPr>
          <w:sz w:val="20"/>
          <w:szCs w:val="20"/>
        </w:rPr>
      </w:pPr>
    </w:p>
    <w:p w:rsidR="002A32A0" w:rsidRPr="00952BBE" w:rsidRDefault="002A32A0" w:rsidP="002A32A0">
      <w:pPr>
        <w:jc w:val="both"/>
        <w:rPr>
          <w:sz w:val="20"/>
          <w:szCs w:val="20"/>
        </w:rPr>
      </w:pPr>
      <w:r w:rsidRPr="00952BBE">
        <w:rPr>
          <w:sz w:val="20"/>
          <w:szCs w:val="20"/>
        </w:rPr>
        <w:t>Present:  McLachlin C.J. and LeBel, Deschamps, Fish, Abella, Moldaver and Karakatsanis JJ.</w:t>
      </w:r>
    </w:p>
    <w:p w:rsidR="002A32A0" w:rsidRDefault="002A32A0" w:rsidP="002A32A0">
      <w:pPr>
        <w:pStyle w:val="SCCLowerCourtNameLowercase"/>
        <w:spacing w:line="240" w:lineRule="auto"/>
        <w:rPr>
          <w:sz w:val="20"/>
        </w:rPr>
      </w:pPr>
    </w:p>
    <w:p w:rsidR="002A32A0" w:rsidRPr="00952BBE" w:rsidRDefault="002A32A0" w:rsidP="002A32A0">
      <w:pPr>
        <w:pStyle w:val="SCCNormalDoubleSpacing"/>
        <w:spacing w:line="240" w:lineRule="auto"/>
        <w:rPr>
          <w:i/>
          <w:sz w:val="20"/>
        </w:rPr>
      </w:pPr>
      <w:r w:rsidRPr="00952BBE">
        <w:rPr>
          <w:sz w:val="20"/>
        </w:rPr>
        <w:tab/>
      </w:r>
      <w:r w:rsidRPr="00952BBE">
        <w:rPr>
          <w:i/>
          <w:sz w:val="20"/>
        </w:rPr>
        <w:t>Constitutional law — Charter of Rights — Remedy — Stay of proceedings — Accused prisoner and prison guard both suffering injuries as a result of altercation — Accused charged with assault and intimidation of a justice system participant — Trial judge acquitting accused of assault charges and staying charge of intimidation of a justice system participant on ground that his section 7 Charter rights had been breached — Whether stay of proceedings was a proper remedy — Canadian Charter of Rights and Freedoms, s. 24(1).</w:t>
      </w:r>
    </w:p>
    <w:p w:rsidR="002A32A0" w:rsidRDefault="002A32A0" w:rsidP="002A32A0">
      <w:pPr>
        <w:pStyle w:val="SCCNormalDoubleSpacing"/>
        <w:spacing w:line="240" w:lineRule="auto"/>
        <w:rPr>
          <w:i/>
          <w:sz w:val="20"/>
        </w:rPr>
      </w:pPr>
    </w:p>
    <w:p w:rsidR="002A32A0" w:rsidRPr="00952BBE" w:rsidRDefault="002A32A0" w:rsidP="002A32A0">
      <w:pPr>
        <w:pStyle w:val="SCCNormalDoubleSpacing"/>
        <w:spacing w:line="240" w:lineRule="auto"/>
        <w:rPr>
          <w:i/>
          <w:sz w:val="20"/>
        </w:rPr>
      </w:pPr>
      <w:r w:rsidRPr="00952BBE">
        <w:rPr>
          <w:i/>
          <w:sz w:val="20"/>
        </w:rPr>
        <w:tab/>
        <w:t>Criminal law — Appeals — Powers of Court of Appeal — Court of Appeal overturning stay of proceedings entered by trial judge and remitting matter back to trial court for continuation of trial — Whether Court of Appeal erred in interfering with trial judge’s decision to grant stay — Whether Court of Appeal has power to order continuation of trial — Criminal Code, R.S.C. 1985, c. C</w:t>
      </w:r>
      <w:r w:rsidRPr="00952BBE">
        <w:rPr>
          <w:i/>
          <w:sz w:val="20"/>
        </w:rPr>
        <w:noBreakHyphen/>
        <w:t>46, ss. 686(4), 686(8).</w:t>
      </w:r>
    </w:p>
    <w:p w:rsidR="002A32A0" w:rsidRDefault="002A32A0" w:rsidP="002A32A0">
      <w:pPr>
        <w:pStyle w:val="SCCNormalDoubleSpacing"/>
        <w:spacing w:line="240" w:lineRule="auto"/>
        <w:rPr>
          <w:sz w:val="20"/>
        </w:rPr>
      </w:pPr>
    </w:p>
    <w:p w:rsidR="002A32A0" w:rsidRPr="00952BBE" w:rsidRDefault="002A32A0" w:rsidP="002A32A0">
      <w:pPr>
        <w:pStyle w:val="SCCNormalDoubleSpacing"/>
        <w:spacing w:line="240" w:lineRule="auto"/>
        <w:rPr>
          <w:sz w:val="20"/>
        </w:rPr>
      </w:pPr>
      <w:r w:rsidRPr="00952BBE">
        <w:rPr>
          <w:sz w:val="20"/>
        </w:rPr>
        <w:tab/>
        <w:t xml:space="preserve">B, a prisoner, was charged with assault causing bodily harm, assault of a peace officer and intimidating a justice system participant following an altercation with A, a prison guard, during which both men suffered injuries.  The trial judge acquitted B of both charges of assault and entered a stay of proceedings on the charge of intimidating a justice system participant on the ground that B’s rights under s. 7 of the </w:t>
      </w:r>
      <w:r w:rsidRPr="00952BBE">
        <w:rPr>
          <w:i/>
          <w:sz w:val="20"/>
        </w:rPr>
        <w:t>Charter</w:t>
      </w:r>
      <w:r w:rsidRPr="00952BBE">
        <w:rPr>
          <w:sz w:val="20"/>
        </w:rPr>
        <w:t xml:space="preserve"> had been violated.  The Court of Appeal quashed the stay and remitted the matter to the trial court for continuation of B’s trial.</w:t>
      </w:r>
    </w:p>
    <w:p w:rsidR="002A32A0" w:rsidRDefault="002A32A0" w:rsidP="002A32A0">
      <w:pPr>
        <w:pStyle w:val="SCCNormalDoubleSpacing"/>
        <w:spacing w:line="240" w:lineRule="auto"/>
        <w:rPr>
          <w:sz w:val="20"/>
        </w:rPr>
      </w:pPr>
    </w:p>
    <w:p w:rsidR="002A32A0" w:rsidRPr="00952BBE" w:rsidRDefault="002A32A0" w:rsidP="002A32A0">
      <w:pPr>
        <w:pStyle w:val="SCCNormalDoubleSpacing"/>
        <w:spacing w:line="240" w:lineRule="auto"/>
        <w:rPr>
          <w:sz w:val="20"/>
        </w:rPr>
      </w:pPr>
      <w:r w:rsidRPr="00952BBE">
        <w:rPr>
          <w:sz w:val="20"/>
        </w:rPr>
        <w:tab/>
      </w:r>
      <w:r w:rsidRPr="00952BBE">
        <w:rPr>
          <w:i/>
          <w:sz w:val="20"/>
        </w:rPr>
        <w:t>Held</w:t>
      </w:r>
      <w:r w:rsidRPr="00952BBE">
        <w:rPr>
          <w:sz w:val="20"/>
        </w:rPr>
        <w:t>:  The appeal should be allowed and the stay of proceedings entered by the trial judge should be restored.</w:t>
      </w:r>
    </w:p>
    <w:p w:rsidR="002A32A0" w:rsidRDefault="002A32A0" w:rsidP="002A32A0">
      <w:pPr>
        <w:pStyle w:val="SCCNormalDoubleSpacing"/>
        <w:spacing w:line="240" w:lineRule="auto"/>
        <w:rPr>
          <w:sz w:val="20"/>
        </w:rPr>
      </w:pPr>
    </w:p>
    <w:p w:rsidR="002A32A0" w:rsidRPr="00952BBE" w:rsidRDefault="002A32A0" w:rsidP="002A32A0">
      <w:pPr>
        <w:pStyle w:val="SCCNormalDoubleSpacing"/>
        <w:spacing w:line="240" w:lineRule="auto"/>
        <w:rPr>
          <w:sz w:val="20"/>
        </w:rPr>
      </w:pPr>
      <w:r w:rsidRPr="00952BBE">
        <w:rPr>
          <w:sz w:val="20"/>
        </w:rPr>
        <w:tab/>
        <w:t xml:space="preserve">Section 24(1) of the </w:t>
      </w:r>
      <w:r w:rsidRPr="00952BBE">
        <w:rPr>
          <w:i/>
          <w:sz w:val="20"/>
        </w:rPr>
        <w:t xml:space="preserve">Charter </w:t>
      </w:r>
      <w:r w:rsidRPr="00952BBE">
        <w:rPr>
          <w:sz w:val="20"/>
        </w:rPr>
        <w:t xml:space="preserve">vests in trial judges broad discretion in granting “such remedy as the court considers appropriate and just in the circumstances”.  It is well established that remedies granted by trial judges under s. 24(1) should be disturbed on appeal only where trial judges misdirect themselves or their decision is so clearly wrong as to amount to an injustice.  Absent an error of law or reviewable finding of fact, appellate courts must defer to the broad discretion vested in trial judges by s. 24(1) of the </w:t>
      </w:r>
      <w:r w:rsidRPr="00952BBE">
        <w:rPr>
          <w:i/>
          <w:sz w:val="20"/>
        </w:rPr>
        <w:t>Charter</w:t>
      </w:r>
      <w:r w:rsidRPr="00952BBE">
        <w:rPr>
          <w:sz w:val="20"/>
        </w:rPr>
        <w:t xml:space="preserve">. </w:t>
      </w:r>
    </w:p>
    <w:p w:rsidR="002A32A0" w:rsidRDefault="002A32A0" w:rsidP="002A32A0">
      <w:pPr>
        <w:pStyle w:val="SCCNormalDoubleSpacing"/>
        <w:spacing w:line="240" w:lineRule="auto"/>
        <w:rPr>
          <w:sz w:val="20"/>
        </w:rPr>
      </w:pPr>
    </w:p>
    <w:p w:rsidR="002A32A0" w:rsidRPr="00952BBE" w:rsidRDefault="002A32A0" w:rsidP="002A32A0">
      <w:pPr>
        <w:pStyle w:val="SCCNormalDoubleSpacing"/>
        <w:spacing w:line="240" w:lineRule="auto"/>
        <w:rPr>
          <w:sz w:val="20"/>
        </w:rPr>
      </w:pPr>
      <w:r w:rsidRPr="00952BBE">
        <w:rPr>
          <w:sz w:val="20"/>
        </w:rPr>
        <w:tab/>
        <w:t xml:space="preserve">The trial judge in this case carefully and correctly considered all the relevant principles.  He assessed the gravity of the prejudice and explained why he thought alternative remedies were inadequate.  He did not misdirect </w:t>
      </w:r>
      <w:r w:rsidRPr="00952BBE">
        <w:rPr>
          <w:sz w:val="20"/>
        </w:rPr>
        <w:lastRenderedPageBreak/>
        <w:t xml:space="preserve">himself on the applicable law or commit a reviewable error of fact.  His exercise of discretion to grant a stay of proceedings was not so clearly wrong as to amount to an injustice.  It is clear from his analysis that he felt that the </w:t>
      </w:r>
      <w:r w:rsidRPr="00952BBE">
        <w:rPr>
          <w:i/>
          <w:sz w:val="20"/>
        </w:rPr>
        <w:t>Charter</w:t>
      </w:r>
      <w:r w:rsidRPr="00952BBE">
        <w:rPr>
          <w:sz w:val="20"/>
        </w:rPr>
        <w:t xml:space="preserve"> breach in issue here fell within the “residual” and “exceptional” category of cases where the misconduct was so egregious that the mere fact of going forward in the light of it will be offensive.  Having found that B had been provoked and subjected by a state actor to intolerable physical and psychological abuse, it was open to the trial judge to stay the proceedings against him.  Appellate intervention in these circumstances was therefore unwarranted.</w:t>
      </w:r>
    </w:p>
    <w:p w:rsidR="002A32A0" w:rsidRDefault="002A32A0" w:rsidP="002A32A0">
      <w:pPr>
        <w:pStyle w:val="SCCNormalDoubleSpacing"/>
        <w:spacing w:line="240" w:lineRule="auto"/>
        <w:rPr>
          <w:sz w:val="20"/>
        </w:rPr>
      </w:pPr>
    </w:p>
    <w:p w:rsidR="002A32A0" w:rsidRDefault="002A32A0" w:rsidP="002A32A0">
      <w:pPr>
        <w:pStyle w:val="SCCNormalDoubleSpacing"/>
        <w:spacing w:line="240" w:lineRule="auto"/>
        <w:rPr>
          <w:sz w:val="20"/>
        </w:rPr>
      </w:pPr>
      <w:r w:rsidRPr="00952BBE">
        <w:rPr>
          <w:sz w:val="20"/>
        </w:rPr>
        <w:tab/>
        <w:t xml:space="preserve">A court of appeal, upon setting aside a stay of proceedings, may in appropriate circumstances remit the matter to the trial court for continuation of the trial, pursuant to ss. 686(4) and 686(8) of the </w:t>
      </w:r>
      <w:r w:rsidRPr="00952BBE">
        <w:rPr>
          <w:i/>
          <w:sz w:val="20"/>
        </w:rPr>
        <w:t>Criminal Code</w:t>
      </w:r>
      <w:r w:rsidRPr="00952BBE">
        <w:rPr>
          <w:sz w:val="20"/>
        </w:rPr>
        <w:t>.  In allowing an appeal and setting aside an acquittal or a stay of proceedings, the court exercises a power under s. 686(4).  An appellate court need not order a new trial or enter a verdict of guilty in order to trigger the application of s. 686(8), which depends only on the exercise of any of the powers conferred by s. 686(4).</w:t>
      </w:r>
    </w:p>
    <w:p w:rsidR="002A32A0" w:rsidRDefault="002A32A0" w:rsidP="002A32A0">
      <w:pPr>
        <w:pStyle w:val="SCCNormalDoubleSpacing"/>
        <w:spacing w:line="240" w:lineRule="auto"/>
        <w:rPr>
          <w:sz w:val="20"/>
        </w:rPr>
      </w:pPr>
    </w:p>
    <w:p w:rsidR="002A32A0" w:rsidRDefault="002A32A0" w:rsidP="002A32A0">
      <w:pPr>
        <w:pStyle w:val="SCCNormalDoubleSpacing"/>
        <w:spacing w:line="240" w:lineRule="auto"/>
        <w:rPr>
          <w:sz w:val="20"/>
        </w:rPr>
      </w:pPr>
      <w:r w:rsidRPr="00952BBE">
        <w:rPr>
          <w:sz w:val="20"/>
        </w:rPr>
        <w:tab/>
        <w:t>APPEAL from a judgment of the Quebec Court of Appeal (Morissette, Giroux and Gagnon JJ.A.), 2010 QCCA 2118, 83 C.R. (6th) 388, [2010] Q.J. No. 11919 (QL), 2010 CarswellQue 15627, upholding the accused’s acquittal on assault charges and setting aside the stay of proceedings entered on charges of intimidating a justice system participant by Legault J., 2008 QCCQ 21567 (CanLII), [2008] J.Q. n</w:t>
      </w:r>
      <w:r w:rsidRPr="00952BBE">
        <w:rPr>
          <w:sz w:val="20"/>
          <w:vertAlign w:val="superscript"/>
        </w:rPr>
        <w:t>o</w:t>
      </w:r>
      <w:r w:rsidRPr="00952BBE">
        <w:rPr>
          <w:sz w:val="20"/>
        </w:rPr>
        <w:t> 24115 (QL), 2008 CarswellQue 15028.  Appeal allowed and stay of proceedings restored.</w:t>
      </w:r>
    </w:p>
    <w:p w:rsidR="002A32A0" w:rsidRPr="00952BBE" w:rsidRDefault="002A32A0" w:rsidP="002A32A0">
      <w:pPr>
        <w:pStyle w:val="SCCNormalDoubleSpacing"/>
        <w:spacing w:line="240" w:lineRule="auto"/>
        <w:rPr>
          <w:sz w:val="20"/>
        </w:rPr>
      </w:pPr>
    </w:p>
    <w:p w:rsidR="002A32A0" w:rsidRPr="00952BBE" w:rsidRDefault="002A32A0" w:rsidP="002A32A0">
      <w:pPr>
        <w:pStyle w:val="SCCNormalDoubleSpacing"/>
        <w:spacing w:line="240" w:lineRule="auto"/>
        <w:rPr>
          <w:sz w:val="20"/>
        </w:rPr>
      </w:pPr>
      <w:r w:rsidRPr="00952BBE">
        <w:rPr>
          <w:i/>
          <w:sz w:val="20"/>
        </w:rPr>
        <w:tab/>
        <w:t>Francis Pilotte</w:t>
      </w:r>
      <w:r w:rsidRPr="00952BBE">
        <w:rPr>
          <w:sz w:val="20"/>
        </w:rPr>
        <w:t xml:space="preserve"> and </w:t>
      </w:r>
      <w:r w:rsidRPr="00952BBE">
        <w:rPr>
          <w:i/>
          <w:sz w:val="20"/>
        </w:rPr>
        <w:t>Henri</w:t>
      </w:r>
      <w:r w:rsidRPr="00952BBE">
        <w:rPr>
          <w:i/>
          <w:sz w:val="20"/>
        </w:rPr>
        <w:noBreakHyphen/>
        <w:t>Pierre Labrie</w:t>
      </w:r>
      <w:r w:rsidRPr="00952BBE">
        <w:rPr>
          <w:sz w:val="20"/>
        </w:rPr>
        <w:t>, for the appellant.</w:t>
      </w:r>
    </w:p>
    <w:p w:rsidR="002A32A0" w:rsidRDefault="002A32A0" w:rsidP="002A32A0">
      <w:pPr>
        <w:pStyle w:val="SCCNormalDoubleSpacing"/>
        <w:spacing w:line="240" w:lineRule="auto"/>
        <w:rPr>
          <w:i/>
          <w:sz w:val="20"/>
        </w:rPr>
      </w:pPr>
    </w:p>
    <w:p w:rsidR="002A32A0" w:rsidRPr="00952BBE" w:rsidRDefault="002A32A0" w:rsidP="002A32A0">
      <w:pPr>
        <w:pStyle w:val="SCCNormalDoubleSpacing"/>
        <w:spacing w:line="240" w:lineRule="auto"/>
        <w:rPr>
          <w:sz w:val="20"/>
        </w:rPr>
      </w:pPr>
      <w:r w:rsidRPr="00952BBE">
        <w:rPr>
          <w:i/>
          <w:sz w:val="20"/>
        </w:rPr>
        <w:tab/>
        <w:t>Carole Lebeuf</w:t>
      </w:r>
      <w:r w:rsidRPr="00952BBE">
        <w:rPr>
          <w:sz w:val="20"/>
        </w:rPr>
        <w:t xml:space="preserve"> and </w:t>
      </w:r>
      <w:r w:rsidRPr="00952BBE">
        <w:rPr>
          <w:i/>
          <w:sz w:val="20"/>
        </w:rPr>
        <w:t>Michel Pennou</w:t>
      </w:r>
      <w:r w:rsidRPr="00952BBE">
        <w:rPr>
          <w:sz w:val="20"/>
        </w:rPr>
        <w:t>, for the respondent.</w:t>
      </w:r>
    </w:p>
    <w:p w:rsidR="002A32A0" w:rsidRDefault="002A32A0" w:rsidP="002A32A0">
      <w:pPr>
        <w:pStyle w:val="SCCNormalDoubleSpacing"/>
        <w:spacing w:line="240" w:lineRule="auto"/>
        <w:rPr>
          <w:i/>
          <w:sz w:val="20"/>
        </w:rPr>
      </w:pPr>
    </w:p>
    <w:p w:rsidR="002A32A0" w:rsidRPr="00952BBE" w:rsidRDefault="002A32A0" w:rsidP="002A32A0">
      <w:pPr>
        <w:pStyle w:val="SCCNormalDoubleSpacing"/>
        <w:spacing w:line="240" w:lineRule="auto"/>
        <w:rPr>
          <w:sz w:val="20"/>
          <w:lang w:val="fr-CA"/>
        </w:rPr>
      </w:pPr>
      <w:r w:rsidRPr="00952BBE">
        <w:rPr>
          <w:i/>
          <w:sz w:val="20"/>
        </w:rPr>
        <w:tab/>
      </w:r>
      <w:r w:rsidRPr="00952BBE">
        <w:rPr>
          <w:i/>
          <w:sz w:val="20"/>
          <w:lang w:val="fr-CA"/>
        </w:rPr>
        <w:t>Louis Belleau</w:t>
      </w:r>
      <w:r w:rsidRPr="00952BBE">
        <w:rPr>
          <w:sz w:val="20"/>
          <w:lang w:val="fr-CA"/>
        </w:rPr>
        <w:t xml:space="preserve">, as </w:t>
      </w:r>
      <w:r w:rsidRPr="00952BBE">
        <w:rPr>
          <w:i/>
          <w:sz w:val="20"/>
          <w:lang w:val="fr-CA"/>
        </w:rPr>
        <w:t>amicus curiae</w:t>
      </w:r>
      <w:r w:rsidRPr="00952BBE">
        <w:rPr>
          <w:sz w:val="20"/>
          <w:lang w:val="fr-CA"/>
        </w:rPr>
        <w:t>.</w:t>
      </w:r>
    </w:p>
    <w:p w:rsidR="002A32A0" w:rsidRDefault="002A32A0" w:rsidP="002A32A0">
      <w:pPr>
        <w:pStyle w:val="SCCNormalDoubleSpacing"/>
        <w:spacing w:line="240" w:lineRule="auto"/>
        <w:rPr>
          <w:i/>
          <w:sz w:val="20"/>
          <w:lang w:val="fr-CA"/>
        </w:rPr>
      </w:pPr>
    </w:p>
    <w:p w:rsidR="002A32A0" w:rsidRPr="00952BBE" w:rsidRDefault="002A32A0" w:rsidP="002A32A0">
      <w:pPr>
        <w:pStyle w:val="SCCNormalDoubleSpacing"/>
        <w:spacing w:line="240" w:lineRule="auto"/>
        <w:rPr>
          <w:sz w:val="20"/>
        </w:rPr>
      </w:pPr>
      <w:r w:rsidRPr="00952BBE">
        <w:rPr>
          <w:i/>
          <w:sz w:val="20"/>
          <w:lang w:val="fr-CA"/>
        </w:rPr>
        <w:tab/>
      </w:r>
      <w:r w:rsidRPr="00952BBE">
        <w:rPr>
          <w:i/>
          <w:sz w:val="20"/>
        </w:rPr>
        <w:t>James K. Stewart</w:t>
      </w:r>
      <w:r w:rsidRPr="00952BBE">
        <w:rPr>
          <w:sz w:val="20"/>
        </w:rPr>
        <w:t xml:space="preserve"> and </w:t>
      </w:r>
      <w:r w:rsidRPr="00952BBE">
        <w:rPr>
          <w:i/>
          <w:sz w:val="20"/>
        </w:rPr>
        <w:t>Robert Gattrell</w:t>
      </w:r>
      <w:r w:rsidRPr="00952BBE">
        <w:rPr>
          <w:sz w:val="20"/>
        </w:rPr>
        <w:t>, for the intervener.</w:t>
      </w:r>
    </w:p>
    <w:p w:rsidR="002A32A0" w:rsidRDefault="002A32A0" w:rsidP="002A32A0">
      <w:pPr>
        <w:pStyle w:val="SCCLawFirm"/>
        <w:spacing w:line="240" w:lineRule="auto"/>
        <w:rPr>
          <w:sz w:val="20"/>
        </w:rPr>
      </w:pPr>
    </w:p>
    <w:p w:rsidR="002A32A0" w:rsidRPr="00952BBE" w:rsidRDefault="002A32A0" w:rsidP="002A32A0">
      <w:pPr>
        <w:pStyle w:val="SCCLawFirm"/>
        <w:spacing w:line="240" w:lineRule="auto"/>
        <w:rPr>
          <w:sz w:val="20"/>
          <w:lang w:val="fr-CA"/>
        </w:rPr>
      </w:pPr>
      <w:r w:rsidRPr="00952BBE">
        <w:rPr>
          <w:sz w:val="20"/>
        </w:rPr>
        <w:tab/>
      </w:r>
      <w:r w:rsidRPr="00952BBE">
        <w:rPr>
          <w:sz w:val="20"/>
          <w:lang w:val="fr-CA"/>
        </w:rPr>
        <w:t>Solicitors for the appellant:  Lord, Poissant &amp; Associés, Brossard.</w:t>
      </w:r>
    </w:p>
    <w:p w:rsidR="002A32A0" w:rsidRDefault="002A32A0" w:rsidP="002A32A0">
      <w:pPr>
        <w:pStyle w:val="SCCLawFirm"/>
        <w:spacing w:line="240" w:lineRule="auto"/>
        <w:rPr>
          <w:sz w:val="20"/>
          <w:lang w:val="fr-CA"/>
        </w:rPr>
      </w:pPr>
    </w:p>
    <w:p w:rsidR="002A32A0" w:rsidRPr="00952BBE" w:rsidRDefault="002A32A0" w:rsidP="002A32A0">
      <w:pPr>
        <w:pStyle w:val="SCCLawFirm"/>
        <w:spacing w:line="240" w:lineRule="auto"/>
        <w:rPr>
          <w:sz w:val="20"/>
          <w:lang w:val="fr-CA"/>
        </w:rPr>
      </w:pPr>
      <w:r w:rsidRPr="00952BBE">
        <w:rPr>
          <w:sz w:val="20"/>
          <w:lang w:val="fr-CA"/>
        </w:rPr>
        <w:tab/>
        <w:t>Solicitor for the respondent:  Directeur des poursuites criminelles et pénales du Québec, Montréal.</w:t>
      </w:r>
    </w:p>
    <w:p w:rsidR="002A32A0" w:rsidRDefault="002A32A0" w:rsidP="002A32A0">
      <w:pPr>
        <w:pStyle w:val="SCCLawFirm"/>
        <w:spacing w:line="240" w:lineRule="auto"/>
        <w:rPr>
          <w:sz w:val="20"/>
          <w:lang w:val="fr-CA"/>
        </w:rPr>
      </w:pPr>
    </w:p>
    <w:p w:rsidR="002A32A0" w:rsidRPr="00952BBE" w:rsidRDefault="002A32A0" w:rsidP="002A32A0">
      <w:pPr>
        <w:pStyle w:val="SCCLawFirm"/>
        <w:spacing w:line="240" w:lineRule="auto"/>
        <w:rPr>
          <w:sz w:val="20"/>
        </w:rPr>
      </w:pPr>
      <w:r w:rsidRPr="00952BBE">
        <w:rPr>
          <w:sz w:val="20"/>
          <w:lang w:val="fr-CA"/>
        </w:rPr>
        <w:tab/>
      </w:r>
      <w:r w:rsidRPr="00952BBE">
        <w:rPr>
          <w:sz w:val="20"/>
        </w:rPr>
        <w:t>Solicitors appointed by the Court as amicus curiae:  Shadley Battista, Montréal.</w:t>
      </w:r>
    </w:p>
    <w:p w:rsidR="002A32A0" w:rsidRDefault="002A32A0" w:rsidP="002A32A0">
      <w:pPr>
        <w:pStyle w:val="SCCLawFirm"/>
        <w:spacing w:line="240" w:lineRule="auto"/>
        <w:rPr>
          <w:sz w:val="20"/>
        </w:rPr>
      </w:pPr>
    </w:p>
    <w:p w:rsidR="00F9382C" w:rsidRPr="002A32A0" w:rsidRDefault="002A32A0" w:rsidP="002A32A0">
      <w:pPr>
        <w:rPr>
          <w:i/>
          <w:sz w:val="20"/>
          <w:szCs w:val="20"/>
        </w:rPr>
      </w:pPr>
      <w:r w:rsidRPr="00952BBE">
        <w:rPr>
          <w:sz w:val="20"/>
          <w:szCs w:val="20"/>
        </w:rPr>
        <w:tab/>
      </w:r>
      <w:r w:rsidRPr="002A32A0">
        <w:rPr>
          <w:i/>
          <w:sz w:val="20"/>
          <w:szCs w:val="20"/>
        </w:rPr>
        <w:t>Solicitor for the intervener:  Attorney General of Ontario, Toronto.</w:t>
      </w:r>
    </w:p>
    <w:p w:rsidR="00F9382C" w:rsidRPr="002A32A0" w:rsidRDefault="00F9382C" w:rsidP="00F9382C">
      <w:pPr>
        <w:rPr>
          <w:rFonts w:cs="Times New Roman"/>
          <w:sz w:val="20"/>
          <w:szCs w:val="20"/>
        </w:rPr>
      </w:pPr>
    </w:p>
    <w:p w:rsidR="00F9382C" w:rsidRDefault="007333FF" w:rsidP="00F9382C">
      <w:pPr>
        <w:rPr>
          <w:rFonts w:cs="Times New Roman"/>
          <w:sz w:val="20"/>
          <w:szCs w:val="20"/>
          <w:lang w:val="fr-CA"/>
        </w:rPr>
      </w:pPr>
      <w:r w:rsidRPr="007333FF">
        <w:rPr>
          <w:rFonts w:cs="Times New Roman"/>
          <w:sz w:val="20"/>
          <w:szCs w:val="20"/>
          <w:lang w:val="fr-CA"/>
        </w:rPr>
        <w:pict>
          <v:rect id="_x0000_i1156" style="width:144.3pt;height:1pt" o:hrpct="300" o:hralign="center" o:hrstd="t" o:hrnoshade="t" o:hr="t" fillcolor="black [3213]" stroked="f"/>
        </w:pict>
      </w:r>
    </w:p>
    <w:p w:rsidR="00F9382C" w:rsidRDefault="00F9382C" w:rsidP="00F9382C">
      <w:pPr>
        <w:rPr>
          <w:rFonts w:cs="Times New Roman"/>
          <w:sz w:val="20"/>
          <w:szCs w:val="20"/>
          <w:lang w:val="fr-CA"/>
        </w:rPr>
      </w:pPr>
    </w:p>
    <w:p w:rsidR="00F9382C" w:rsidRPr="003F4721" w:rsidRDefault="00F9382C" w:rsidP="00F9382C">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6B6926" w:rsidRPr="00B6145B"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tblPr>
      <w:tblGrid>
        <w:gridCol w:w="4320"/>
        <w:gridCol w:w="840"/>
        <w:gridCol w:w="4320"/>
      </w:tblGrid>
      <w:tr w:rsidR="00DD0B49" w:rsidRPr="00B6145B" w:rsidTr="003B3977">
        <w:trPr>
          <w:cantSplit/>
          <w:trHeight w:val="1152"/>
        </w:trPr>
        <w:tc>
          <w:tcPr>
            <w:tcW w:w="4320" w:type="dxa"/>
            <w:tcBorders>
              <w:top w:val="nil"/>
              <w:left w:val="nil"/>
              <w:bottom w:val="nil"/>
              <w:right w:val="nil"/>
            </w:tcBorders>
          </w:tcPr>
          <w:p w:rsidR="00DD0B49" w:rsidRPr="00DD0B49" w:rsidRDefault="00DD0B49" w:rsidP="00DD0B49">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DD0B49" w:rsidRPr="00DD0B49" w:rsidRDefault="00DD0B49" w:rsidP="003B3977">
            <w:pPr>
              <w:rPr>
                <w:rFonts w:cs="Times New Roman"/>
                <w:b/>
                <w:bCs/>
                <w:sz w:val="20"/>
                <w:szCs w:val="20"/>
                <w:lang w:val="en-GB"/>
              </w:rPr>
            </w:pPr>
          </w:p>
        </w:tc>
        <w:tc>
          <w:tcPr>
            <w:tcW w:w="4320" w:type="dxa"/>
            <w:tcBorders>
              <w:top w:val="nil"/>
              <w:left w:val="nil"/>
              <w:bottom w:val="nil"/>
              <w:right w:val="nil"/>
            </w:tcBorders>
          </w:tcPr>
          <w:p w:rsidR="00DD0B49" w:rsidRPr="00DD0B49" w:rsidRDefault="00DD0B49" w:rsidP="00DD0B49">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DD0B49" w:rsidRPr="00DD0B49" w:rsidTr="003B3977">
        <w:tc>
          <w:tcPr>
            <w:tcW w:w="4320" w:type="dxa"/>
            <w:tcBorders>
              <w:top w:val="nil"/>
              <w:left w:val="nil"/>
              <w:bottom w:val="nil"/>
              <w:right w:val="nil"/>
            </w:tcBorders>
          </w:tcPr>
          <w:p w:rsidR="00DD0B49" w:rsidRPr="00DD0B49" w:rsidRDefault="00DD0B49" w:rsidP="003B3977">
            <w:pPr>
              <w:rPr>
                <w:rFonts w:cs="Times New Roman"/>
                <w:sz w:val="20"/>
                <w:szCs w:val="20"/>
                <w:lang w:val="en-GB"/>
              </w:rPr>
            </w:pPr>
            <w:r w:rsidRPr="00DD0B49">
              <w:rPr>
                <w:rFonts w:cs="Times New Roman"/>
                <w:b/>
                <w:bCs/>
                <w:sz w:val="20"/>
                <w:szCs w:val="20"/>
                <w:lang w:val="en-GB"/>
              </w:rPr>
              <w:t>Judgments reported in [201</w:t>
            </w:r>
            <w:r w:rsidR="002A32A0">
              <w:rPr>
                <w:rFonts w:cs="Times New Roman"/>
                <w:b/>
                <w:bCs/>
                <w:sz w:val="20"/>
                <w:szCs w:val="20"/>
                <w:lang w:val="en-GB"/>
              </w:rPr>
              <w:t>2</w:t>
            </w:r>
            <w:r w:rsidRPr="00DD0B49">
              <w:rPr>
                <w:rFonts w:cs="Times New Roman"/>
                <w:b/>
                <w:bCs/>
                <w:sz w:val="20"/>
                <w:szCs w:val="20"/>
                <w:lang w:val="en-GB"/>
              </w:rPr>
              <w:t xml:space="preserve">] 1 S.C.R. Part </w:t>
            </w:r>
            <w:r w:rsidR="002A32A0">
              <w:rPr>
                <w:rFonts w:cs="Times New Roman"/>
                <w:b/>
                <w:bCs/>
                <w:sz w:val="20"/>
                <w:szCs w:val="20"/>
                <w:lang w:val="en-GB"/>
              </w:rPr>
              <w:t>2</w:t>
            </w:r>
          </w:p>
          <w:p w:rsidR="00DD0B49" w:rsidRPr="00DD0B49" w:rsidRDefault="00DD0B49" w:rsidP="003B3977">
            <w:pPr>
              <w:rPr>
                <w:rFonts w:cs="Times New Roman"/>
                <w:sz w:val="20"/>
                <w:szCs w:val="20"/>
                <w:lang w:val="en-GB"/>
              </w:rPr>
            </w:pPr>
          </w:p>
          <w:p w:rsidR="00DD0B49" w:rsidRPr="002A32A0" w:rsidRDefault="002A32A0" w:rsidP="003B3977">
            <w:pPr>
              <w:rPr>
                <w:rFonts w:cs="Times New Roman"/>
                <w:sz w:val="20"/>
                <w:szCs w:val="20"/>
                <w:lang w:val="fr-CA"/>
              </w:rPr>
            </w:pPr>
            <w:r w:rsidRPr="002A32A0">
              <w:rPr>
                <w:rFonts w:cs="Times New Roman"/>
                <w:sz w:val="20"/>
                <w:szCs w:val="20"/>
                <w:lang w:val="fr-CA"/>
              </w:rPr>
              <w:t>Doré</w:t>
            </w:r>
            <w:r w:rsidR="00DD0B49" w:rsidRPr="002A32A0">
              <w:rPr>
                <w:rFonts w:cs="Times New Roman"/>
                <w:sz w:val="20"/>
                <w:szCs w:val="20"/>
                <w:lang w:val="fr-CA"/>
              </w:rPr>
              <w:t xml:space="preserve"> </w:t>
            </w:r>
            <w:r w:rsidR="00DD0B49" w:rsidRPr="002A32A0">
              <w:rPr>
                <w:rFonts w:cs="Times New Roman"/>
                <w:i/>
                <w:sz w:val="20"/>
                <w:szCs w:val="20"/>
                <w:lang w:val="fr-CA"/>
              </w:rPr>
              <w:t>v.</w:t>
            </w:r>
            <w:r w:rsidR="00DD0B49" w:rsidRPr="002A32A0">
              <w:rPr>
                <w:rFonts w:cs="Times New Roman"/>
                <w:sz w:val="20"/>
                <w:szCs w:val="20"/>
                <w:lang w:val="fr-CA"/>
              </w:rPr>
              <w:t xml:space="preserve"> </w:t>
            </w:r>
            <w:r w:rsidRPr="002A32A0">
              <w:rPr>
                <w:rFonts w:cs="Times New Roman"/>
                <w:sz w:val="20"/>
                <w:szCs w:val="20"/>
                <w:lang w:val="fr-CA"/>
              </w:rPr>
              <w:t>Ba</w:t>
            </w:r>
            <w:r w:rsidR="00DD0B49" w:rsidRPr="002A32A0">
              <w:rPr>
                <w:rFonts w:cs="Times New Roman"/>
                <w:sz w:val="20"/>
                <w:szCs w:val="20"/>
                <w:lang w:val="fr-CA"/>
              </w:rPr>
              <w:t>r</w:t>
            </w:r>
            <w:r w:rsidRPr="002A32A0">
              <w:rPr>
                <w:rFonts w:cs="Times New Roman"/>
                <w:sz w:val="20"/>
                <w:szCs w:val="20"/>
                <w:lang w:val="fr-CA"/>
              </w:rPr>
              <w:t>rre</w:t>
            </w:r>
            <w:r w:rsidR="00DD0B49" w:rsidRPr="002A32A0">
              <w:rPr>
                <w:rFonts w:cs="Times New Roman"/>
                <w:sz w:val="20"/>
                <w:szCs w:val="20"/>
                <w:lang w:val="fr-CA"/>
              </w:rPr>
              <w:t>a</w:t>
            </w:r>
            <w:r w:rsidRPr="002A32A0">
              <w:rPr>
                <w:rFonts w:cs="Times New Roman"/>
                <w:sz w:val="20"/>
                <w:szCs w:val="20"/>
                <w:lang w:val="fr-CA"/>
              </w:rPr>
              <w:t>u</w:t>
            </w:r>
            <w:r w:rsidR="00DD0B49" w:rsidRPr="002A32A0">
              <w:rPr>
                <w:rFonts w:cs="Times New Roman"/>
                <w:sz w:val="20"/>
                <w:szCs w:val="20"/>
                <w:lang w:val="fr-CA"/>
              </w:rPr>
              <w:t xml:space="preserve"> </w:t>
            </w:r>
            <w:r w:rsidRPr="002A32A0">
              <w:rPr>
                <w:rFonts w:cs="Times New Roman"/>
                <w:sz w:val="20"/>
                <w:szCs w:val="20"/>
                <w:lang w:val="fr-CA"/>
              </w:rPr>
              <w:t>du Québec</w:t>
            </w:r>
            <w:r w:rsidR="00DD0B49" w:rsidRPr="002A32A0">
              <w:rPr>
                <w:rFonts w:cs="Times New Roman"/>
                <w:sz w:val="20"/>
                <w:szCs w:val="20"/>
                <w:lang w:val="fr-CA"/>
              </w:rPr>
              <w:t>,</w:t>
            </w:r>
          </w:p>
          <w:p w:rsidR="00DD0B49" w:rsidRPr="00AF72E5" w:rsidRDefault="00DD0B49" w:rsidP="003B3977">
            <w:pPr>
              <w:rPr>
                <w:rFonts w:cs="Times New Roman"/>
                <w:sz w:val="20"/>
                <w:szCs w:val="20"/>
              </w:rPr>
            </w:pPr>
            <w:r w:rsidRPr="00AF72E5">
              <w:rPr>
                <w:rFonts w:cs="Times New Roman"/>
                <w:sz w:val="20"/>
                <w:szCs w:val="20"/>
              </w:rPr>
              <w:t>201</w:t>
            </w:r>
            <w:r w:rsidR="002A32A0" w:rsidRPr="00AF72E5">
              <w:rPr>
                <w:rFonts w:cs="Times New Roman"/>
                <w:sz w:val="20"/>
                <w:szCs w:val="20"/>
              </w:rPr>
              <w:t>2</w:t>
            </w:r>
            <w:r w:rsidRPr="00AF72E5">
              <w:rPr>
                <w:rFonts w:cs="Times New Roman"/>
                <w:sz w:val="20"/>
                <w:szCs w:val="20"/>
              </w:rPr>
              <w:t xml:space="preserve"> SCC </w:t>
            </w:r>
            <w:r w:rsidR="00323EE2" w:rsidRPr="00AF72E5">
              <w:rPr>
                <w:rFonts w:cs="Times New Roman"/>
                <w:sz w:val="20"/>
                <w:szCs w:val="20"/>
              </w:rPr>
              <w:t>1</w:t>
            </w:r>
            <w:r w:rsidRPr="00AF72E5">
              <w:rPr>
                <w:rFonts w:cs="Times New Roman"/>
                <w:sz w:val="20"/>
                <w:szCs w:val="20"/>
              </w:rPr>
              <w:t>2, [201</w:t>
            </w:r>
            <w:r w:rsidR="002A32A0" w:rsidRPr="00AF72E5">
              <w:rPr>
                <w:rFonts w:cs="Times New Roman"/>
                <w:sz w:val="20"/>
                <w:szCs w:val="20"/>
              </w:rPr>
              <w:t>2</w:t>
            </w:r>
            <w:r w:rsidRPr="00AF72E5">
              <w:rPr>
                <w:rFonts w:cs="Times New Roman"/>
                <w:sz w:val="20"/>
                <w:szCs w:val="20"/>
              </w:rPr>
              <w:t xml:space="preserve">] 1 S.C.R. </w:t>
            </w:r>
            <w:r w:rsidR="00323EE2" w:rsidRPr="00AF72E5">
              <w:rPr>
                <w:rFonts w:cs="Times New Roman"/>
                <w:sz w:val="20"/>
                <w:szCs w:val="20"/>
              </w:rPr>
              <w:t>395</w:t>
            </w:r>
          </w:p>
          <w:p w:rsidR="00DD0B49" w:rsidRPr="00AF72E5" w:rsidRDefault="00DD0B49" w:rsidP="003B3977">
            <w:pPr>
              <w:rPr>
                <w:rFonts w:cs="Times New Roman"/>
                <w:sz w:val="20"/>
                <w:szCs w:val="20"/>
              </w:rPr>
            </w:pPr>
          </w:p>
          <w:p w:rsidR="00DD0B49" w:rsidRPr="00DD0B49" w:rsidRDefault="00AF72E5" w:rsidP="003B3977">
            <w:pPr>
              <w:rPr>
                <w:rFonts w:cs="Times New Roman"/>
                <w:sz w:val="20"/>
                <w:szCs w:val="20"/>
                <w:lang w:val="en-GB"/>
              </w:rPr>
            </w:pPr>
            <w:r>
              <w:rPr>
                <w:rFonts w:cs="Times New Roman"/>
                <w:sz w:val="20"/>
                <w:szCs w:val="20"/>
                <w:lang w:val="en-GB"/>
              </w:rPr>
              <w:t xml:space="preserve">Fundy Settlement </w:t>
            </w:r>
            <w:r w:rsidR="00DD0B49" w:rsidRPr="00DD0B49">
              <w:rPr>
                <w:rFonts w:cs="Times New Roman"/>
                <w:i/>
                <w:iCs/>
                <w:sz w:val="20"/>
                <w:szCs w:val="20"/>
                <w:lang w:val="en-GB"/>
              </w:rPr>
              <w:t>v.</w:t>
            </w:r>
            <w:r w:rsidR="00DD0B49" w:rsidRPr="00DD0B49">
              <w:rPr>
                <w:rFonts w:cs="Times New Roman"/>
                <w:iCs/>
                <w:sz w:val="20"/>
                <w:szCs w:val="20"/>
                <w:lang w:val="en-GB"/>
              </w:rPr>
              <w:t xml:space="preserve"> C</w:t>
            </w:r>
            <w:r>
              <w:rPr>
                <w:rFonts w:cs="Times New Roman"/>
                <w:iCs/>
                <w:sz w:val="20"/>
                <w:szCs w:val="20"/>
                <w:lang w:val="en-GB"/>
              </w:rPr>
              <w:t>a</w:t>
            </w:r>
            <w:r w:rsidR="00DD0B49" w:rsidRPr="00DD0B49">
              <w:rPr>
                <w:rFonts w:cs="Times New Roman"/>
                <w:iCs/>
                <w:sz w:val="20"/>
                <w:szCs w:val="20"/>
                <w:lang w:val="en-GB"/>
              </w:rPr>
              <w:t>na</w:t>
            </w:r>
            <w:r>
              <w:rPr>
                <w:rFonts w:cs="Times New Roman"/>
                <w:iCs/>
                <w:sz w:val="20"/>
                <w:szCs w:val="20"/>
                <w:lang w:val="en-GB"/>
              </w:rPr>
              <w:t>da</w:t>
            </w:r>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2A32A0">
              <w:rPr>
                <w:rFonts w:cs="Times New Roman"/>
                <w:sz w:val="20"/>
                <w:szCs w:val="20"/>
                <w:lang w:val="en-GB"/>
              </w:rPr>
              <w:t>2</w:t>
            </w:r>
            <w:r w:rsidRPr="00DD0B49">
              <w:rPr>
                <w:rFonts w:cs="Times New Roman"/>
                <w:sz w:val="20"/>
                <w:szCs w:val="20"/>
                <w:lang w:val="en-GB"/>
              </w:rPr>
              <w:t xml:space="preserve"> SCC </w:t>
            </w:r>
            <w:r w:rsidR="00AF72E5">
              <w:rPr>
                <w:rFonts w:cs="Times New Roman"/>
                <w:sz w:val="20"/>
                <w:szCs w:val="20"/>
                <w:lang w:val="en-GB"/>
              </w:rPr>
              <w:t>14</w:t>
            </w:r>
            <w:r w:rsidRPr="00DD0B49">
              <w:rPr>
                <w:rFonts w:cs="Times New Roman"/>
                <w:sz w:val="20"/>
                <w:szCs w:val="20"/>
                <w:lang w:val="en-GB"/>
              </w:rPr>
              <w:t>, [201</w:t>
            </w:r>
            <w:r w:rsidR="002A32A0">
              <w:rPr>
                <w:rFonts w:cs="Times New Roman"/>
                <w:sz w:val="20"/>
                <w:szCs w:val="20"/>
                <w:lang w:val="en-GB"/>
              </w:rPr>
              <w:t>2</w:t>
            </w:r>
            <w:r w:rsidRPr="00DD0B49">
              <w:rPr>
                <w:rFonts w:cs="Times New Roman"/>
                <w:sz w:val="20"/>
                <w:szCs w:val="20"/>
                <w:lang w:val="en-GB"/>
              </w:rPr>
              <w:t>] 1 S.C.R. 5</w:t>
            </w:r>
            <w:r w:rsidR="00AF72E5">
              <w:rPr>
                <w:rFonts w:cs="Times New Roman"/>
                <w:sz w:val="20"/>
                <w:szCs w:val="20"/>
                <w:lang w:val="en-GB"/>
              </w:rPr>
              <w:t>20</w:t>
            </w:r>
          </w:p>
          <w:p w:rsidR="00DD0B49" w:rsidRPr="00DD0B49" w:rsidRDefault="00DD0B49" w:rsidP="003B3977">
            <w:pPr>
              <w:rPr>
                <w:rFonts w:cs="Times New Roman"/>
                <w:iCs/>
                <w:sz w:val="20"/>
                <w:szCs w:val="20"/>
                <w:lang w:val="en-GB"/>
              </w:rPr>
            </w:pPr>
          </w:p>
          <w:p w:rsidR="00DD0B49" w:rsidRPr="00DD0B49" w:rsidRDefault="00AF72E5" w:rsidP="003B3977">
            <w:pPr>
              <w:rPr>
                <w:rFonts w:cs="Times New Roman"/>
                <w:iCs/>
                <w:sz w:val="20"/>
                <w:szCs w:val="20"/>
                <w:lang w:val="en-GB"/>
              </w:rPr>
            </w:pPr>
            <w:r>
              <w:rPr>
                <w:rFonts w:cs="Times New Roman"/>
                <w:iCs/>
                <w:sz w:val="20"/>
                <w:szCs w:val="20"/>
                <w:lang w:val="en-GB"/>
              </w:rPr>
              <w:t>Halifax (</w:t>
            </w:r>
            <w:r w:rsidR="00DD0B49" w:rsidRPr="00DD0B49">
              <w:rPr>
                <w:rFonts w:cs="Times New Roman"/>
                <w:iCs/>
                <w:sz w:val="20"/>
                <w:szCs w:val="20"/>
                <w:lang w:val="en-GB"/>
              </w:rPr>
              <w:t>R</w:t>
            </w:r>
            <w:r>
              <w:rPr>
                <w:rFonts w:cs="Times New Roman"/>
                <w:iCs/>
                <w:sz w:val="20"/>
                <w:szCs w:val="20"/>
                <w:lang w:val="en-GB"/>
              </w:rPr>
              <w:t>egional Municipality)</w:t>
            </w:r>
            <w:r w:rsidR="00DD0B49" w:rsidRPr="00DD0B49">
              <w:rPr>
                <w:rFonts w:cs="Times New Roman"/>
                <w:iCs/>
                <w:sz w:val="20"/>
                <w:szCs w:val="20"/>
                <w:lang w:val="en-GB"/>
              </w:rPr>
              <w:t xml:space="preserve">. </w:t>
            </w:r>
            <w:r w:rsidR="00DD0B49" w:rsidRPr="00DD0B49">
              <w:rPr>
                <w:rFonts w:cs="Times New Roman"/>
                <w:i/>
                <w:iCs/>
                <w:sz w:val="20"/>
                <w:szCs w:val="20"/>
                <w:lang w:val="en-GB"/>
              </w:rPr>
              <w:t>v.</w:t>
            </w:r>
            <w:r w:rsidR="00DD0B49" w:rsidRPr="00DD0B49">
              <w:rPr>
                <w:rFonts w:cs="Times New Roman"/>
                <w:iCs/>
                <w:sz w:val="20"/>
                <w:szCs w:val="20"/>
                <w:lang w:val="en-GB"/>
              </w:rPr>
              <w:t xml:space="preserve"> </w:t>
            </w:r>
            <w:r>
              <w:rPr>
                <w:rFonts w:cs="Times New Roman"/>
                <w:iCs/>
                <w:sz w:val="20"/>
                <w:szCs w:val="20"/>
                <w:lang w:val="en-GB"/>
              </w:rPr>
              <w:t>Nova Scotia (</w:t>
            </w:r>
            <w:r w:rsidR="00DD0B49" w:rsidRPr="00DD0B49">
              <w:rPr>
                <w:rFonts w:cs="Times New Roman"/>
                <w:iCs/>
                <w:sz w:val="20"/>
                <w:szCs w:val="20"/>
                <w:lang w:val="en-GB"/>
              </w:rPr>
              <w:t>Hu</w:t>
            </w:r>
            <w:r>
              <w:rPr>
                <w:rFonts w:cs="Times New Roman"/>
                <w:iCs/>
                <w:sz w:val="20"/>
                <w:szCs w:val="20"/>
                <w:lang w:val="en-GB"/>
              </w:rPr>
              <w:t>man Rights Commission)</w:t>
            </w:r>
            <w:r w:rsidR="00DD0B49" w:rsidRPr="00DD0B49">
              <w:rPr>
                <w:rFonts w:cs="Times New Roman"/>
                <w:iCs/>
                <w:sz w:val="20"/>
                <w:szCs w:val="20"/>
                <w:lang w:val="en-GB"/>
              </w:rPr>
              <w:t>,</w:t>
            </w:r>
          </w:p>
          <w:p w:rsidR="00DD0B49" w:rsidRPr="00536B45" w:rsidRDefault="00DD0B49" w:rsidP="003B3977">
            <w:pPr>
              <w:rPr>
                <w:rFonts w:cs="Times New Roman"/>
                <w:sz w:val="20"/>
                <w:szCs w:val="20"/>
              </w:rPr>
            </w:pPr>
            <w:r w:rsidRPr="00536B45">
              <w:rPr>
                <w:rFonts w:cs="Times New Roman"/>
                <w:sz w:val="20"/>
                <w:szCs w:val="20"/>
              </w:rPr>
              <w:t>201</w:t>
            </w:r>
            <w:r w:rsidR="002A32A0" w:rsidRPr="00536B45">
              <w:rPr>
                <w:rFonts w:cs="Times New Roman"/>
                <w:sz w:val="20"/>
                <w:szCs w:val="20"/>
              </w:rPr>
              <w:t>2</w:t>
            </w:r>
            <w:r w:rsidRPr="00536B45">
              <w:rPr>
                <w:rFonts w:cs="Times New Roman"/>
                <w:sz w:val="20"/>
                <w:szCs w:val="20"/>
              </w:rPr>
              <w:t xml:space="preserve"> SCC 1</w:t>
            </w:r>
            <w:r w:rsidR="00AF72E5" w:rsidRPr="00536B45">
              <w:rPr>
                <w:rFonts w:cs="Times New Roman"/>
                <w:sz w:val="20"/>
                <w:szCs w:val="20"/>
              </w:rPr>
              <w:t>0</w:t>
            </w:r>
            <w:r w:rsidRPr="00536B45">
              <w:rPr>
                <w:rFonts w:cs="Times New Roman"/>
                <w:sz w:val="20"/>
                <w:szCs w:val="20"/>
              </w:rPr>
              <w:t>, [201</w:t>
            </w:r>
            <w:r w:rsidR="002A32A0" w:rsidRPr="00536B45">
              <w:rPr>
                <w:rFonts w:cs="Times New Roman"/>
                <w:sz w:val="20"/>
                <w:szCs w:val="20"/>
              </w:rPr>
              <w:t>2</w:t>
            </w:r>
            <w:r w:rsidRPr="00536B45">
              <w:rPr>
                <w:rFonts w:cs="Times New Roman"/>
                <w:sz w:val="20"/>
                <w:szCs w:val="20"/>
              </w:rPr>
              <w:t xml:space="preserve">] 1 S.C.R. </w:t>
            </w:r>
            <w:r w:rsidR="00AF72E5" w:rsidRPr="00536B45">
              <w:rPr>
                <w:rFonts w:cs="Times New Roman"/>
                <w:sz w:val="20"/>
                <w:szCs w:val="20"/>
              </w:rPr>
              <w:t>3</w:t>
            </w:r>
            <w:r w:rsidRPr="00536B45">
              <w:rPr>
                <w:rFonts w:cs="Times New Roman"/>
                <w:sz w:val="20"/>
                <w:szCs w:val="20"/>
              </w:rPr>
              <w:t>6</w:t>
            </w:r>
            <w:r w:rsidR="00AF72E5" w:rsidRPr="00536B45">
              <w:rPr>
                <w:rFonts w:cs="Times New Roman"/>
                <w:sz w:val="20"/>
                <w:szCs w:val="20"/>
              </w:rPr>
              <w:t>4</w:t>
            </w:r>
          </w:p>
          <w:p w:rsidR="00DD0B49" w:rsidRPr="00536B45" w:rsidRDefault="00DD0B49" w:rsidP="003B3977">
            <w:pPr>
              <w:rPr>
                <w:rFonts w:cs="Times New Roman"/>
                <w:sz w:val="20"/>
                <w:szCs w:val="20"/>
              </w:rPr>
            </w:pPr>
          </w:p>
          <w:p w:rsidR="00DD0B49" w:rsidRPr="00AF72E5" w:rsidRDefault="00AF72E5" w:rsidP="003B3977">
            <w:pPr>
              <w:rPr>
                <w:rFonts w:cs="Times New Roman"/>
                <w:sz w:val="20"/>
                <w:szCs w:val="20"/>
              </w:rPr>
            </w:pPr>
            <w:r w:rsidRPr="00AF72E5">
              <w:rPr>
                <w:rFonts w:cs="Times New Roman"/>
                <w:sz w:val="20"/>
                <w:szCs w:val="20"/>
              </w:rPr>
              <w:t>Momentous.ca Corp.</w:t>
            </w:r>
            <w:r w:rsidR="00DD0B49" w:rsidRPr="00AF72E5">
              <w:rPr>
                <w:rFonts w:cs="Times New Roman"/>
                <w:sz w:val="20"/>
                <w:szCs w:val="20"/>
              </w:rPr>
              <w:t xml:space="preserve"> </w:t>
            </w:r>
            <w:r w:rsidR="00DD0B49" w:rsidRPr="00AF72E5">
              <w:rPr>
                <w:rFonts w:cs="Times New Roman"/>
                <w:i/>
                <w:iCs/>
                <w:sz w:val="20"/>
                <w:szCs w:val="20"/>
              </w:rPr>
              <w:t>v.</w:t>
            </w:r>
            <w:r w:rsidR="00DD0B49" w:rsidRPr="00AF72E5">
              <w:rPr>
                <w:rFonts w:cs="Times New Roman"/>
                <w:sz w:val="20"/>
                <w:szCs w:val="20"/>
              </w:rPr>
              <w:t xml:space="preserve"> </w:t>
            </w:r>
            <w:r w:rsidRPr="00AF72E5">
              <w:rPr>
                <w:rFonts w:cs="Times New Roman"/>
                <w:sz w:val="20"/>
                <w:szCs w:val="20"/>
              </w:rPr>
              <w:t>Canadian American Association of Pr</w:t>
            </w:r>
            <w:r w:rsidR="00DD0B49" w:rsidRPr="00AF72E5">
              <w:rPr>
                <w:rFonts w:cs="Times New Roman"/>
                <w:sz w:val="20"/>
                <w:szCs w:val="20"/>
              </w:rPr>
              <w:t>o</w:t>
            </w:r>
            <w:r w:rsidRPr="00AF72E5">
              <w:rPr>
                <w:rFonts w:cs="Times New Roman"/>
                <w:sz w:val="20"/>
                <w:szCs w:val="20"/>
              </w:rPr>
              <w:t>f</w:t>
            </w:r>
            <w:r w:rsidR="00DD0B49" w:rsidRPr="00AF72E5">
              <w:rPr>
                <w:rFonts w:cs="Times New Roman"/>
                <w:sz w:val="20"/>
                <w:szCs w:val="20"/>
              </w:rPr>
              <w:t>e</w:t>
            </w:r>
            <w:r w:rsidRPr="00AF72E5">
              <w:rPr>
                <w:rFonts w:cs="Times New Roman"/>
                <w:sz w:val="20"/>
                <w:szCs w:val="20"/>
              </w:rPr>
              <w:t>ssional Baseball L</w:t>
            </w:r>
            <w:r w:rsidR="00DD0B49" w:rsidRPr="00AF72E5">
              <w:rPr>
                <w:rFonts w:cs="Times New Roman"/>
                <w:sz w:val="20"/>
                <w:szCs w:val="20"/>
              </w:rPr>
              <w:t>t</w:t>
            </w:r>
            <w:r w:rsidRPr="00AF72E5">
              <w:rPr>
                <w:rFonts w:cs="Times New Roman"/>
                <w:sz w:val="20"/>
                <w:szCs w:val="20"/>
              </w:rPr>
              <w:t>d.</w:t>
            </w:r>
            <w:r w:rsidR="00DD0B49" w:rsidRPr="00AF72E5">
              <w:rPr>
                <w:rFonts w:cs="Times New Roman"/>
                <w:sz w:val="20"/>
                <w:szCs w:val="20"/>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2A32A0">
              <w:rPr>
                <w:rFonts w:cs="Times New Roman"/>
                <w:sz w:val="20"/>
                <w:szCs w:val="20"/>
                <w:lang w:val="en-GB"/>
              </w:rPr>
              <w:t>2</w:t>
            </w:r>
            <w:r w:rsidRPr="00DD0B49">
              <w:rPr>
                <w:rFonts w:cs="Times New Roman"/>
                <w:sz w:val="20"/>
                <w:szCs w:val="20"/>
                <w:lang w:val="en-GB"/>
              </w:rPr>
              <w:t xml:space="preserve"> SCC </w:t>
            </w:r>
            <w:r w:rsidR="00AF72E5">
              <w:rPr>
                <w:rFonts w:cs="Times New Roman"/>
                <w:sz w:val="20"/>
                <w:szCs w:val="20"/>
                <w:lang w:val="en-GB"/>
              </w:rPr>
              <w:t>9</w:t>
            </w:r>
            <w:r w:rsidRPr="00DD0B49">
              <w:rPr>
                <w:rFonts w:cs="Times New Roman"/>
                <w:sz w:val="20"/>
                <w:szCs w:val="20"/>
                <w:lang w:val="en-GB"/>
              </w:rPr>
              <w:t>, [201</w:t>
            </w:r>
            <w:r w:rsidR="002A32A0">
              <w:rPr>
                <w:rFonts w:cs="Times New Roman"/>
                <w:sz w:val="20"/>
                <w:szCs w:val="20"/>
                <w:lang w:val="en-GB"/>
              </w:rPr>
              <w:t>2</w:t>
            </w:r>
            <w:r w:rsidRPr="00DD0B49">
              <w:rPr>
                <w:rFonts w:cs="Times New Roman"/>
                <w:sz w:val="20"/>
                <w:szCs w:val="20"/>
                <w:lang w:val="en-GB"/>
              </w:rPr>
              <w:t xml:space="preserve">] 1 S.C.R. </w:t>
            </w:r>
            <w:r w:rsidR="00AF72E5">
              <w:rPr>
                <w:rFonts w:cs="Times New Roman"/>
                <w:sz w:val="20"/>
                <w:szCs w:val="20"/>
                <w:lang w:val="en-GB"/>
              </w:rPr>
              <w:t>3</w:t>
            </w:r>
            <w:r w:rsidRPr="00DD0B49">
              <w:rPr>
                <w:rFonts w:cs="Times New Roman"/>
                <w:sz w:val="20"/>
                <w:szCs w:val="20"/>
                <w:lang w:val="en-GB"/>
              </w:rPr>
              <w:t>5</w:t>
            </w:r>
            <w:r w:rsidR="00AF72E5">
              <w:rPr>
                <w:rFonts w:cs="Times New Roman"/>
                <w:sz w:val="20"/>
                <w:szCs w:val="20"/>
                <w:lang w:val="en-GB"/>
              </w:rPr>
              <w:t>9</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w:t>
            </w:r>
            <w:r w:rsidR="00AF72E5">
              <w:rPr>
                <w:rFonts w:cs="Times New Roman"/>
                <w:sz w:val="20"/>
                <w:szCs w:val="20"/>
                <w:lang w:val="en-GB"/>
              </w:rPr>
              <w:t>Eastgaard</w:t>
            </w:r>
            <w:r w:rsidRPr="00DD0B49">
              <w:rPr>
                <w:rFonts w:cs="Times New Roman"/>
                <w:sz w:val="20"/>
                <w:szCs w:val="20"/>
                <w:lang w:val="en-GB"/>
              </w:rPr>
              <w:t>,</w:t>
            </w:r>
          </w:p>
          <w:p w:rsidR="00DD0B49" w:rsidRPr="00536B45" w:rsidRDefault="00DD0B49" w:rsidP="003B3977">
            <w:pPr>
              <w:rPr>
                <w:rFonts w:cs="Times New Roman"/>
                <w:sz w:val="20"/>
                <w:szCs w:val="20"/>
              </w:rPr>
            </w:pPr>
            <w:r w:rsidRPr="00536B45">
              <w:rPr>
                <w:rFonts w:cs="Times New Roman"/>
                <w:sz w:val="20"/>
                <w:szCs w:val="20"/>
              </w:rPr>
              <w:t>201</w:t>
            </w:r>
            <w:r w:rsidR="002A32A0" w:rsidRPr="00536B45">
              <w:rPr>
                <w:rFonts w:cs="Times New Roman"/>
                <w:sz w:val="20"/>
                <w:szCs w:val="20"/>
              </w:rPr>
              <w:t>2</w:t>
            </w:r>
            <w:r w:rsidRPr="00536B45">
              <w:rPr>
                <w:rFonts w:cs="Times New Roman"/>
                <w:sz w:val="20"/>
                <w:szCs w:val="20"/>
              </w:rPr>
              <w:t xml:space="preserve"> SCC </w:t>
            </w:r>
            <w:r w:rsidR="00AF72E5" w:rsidRPr="00536B45">
              <w:rPr>
                <w:rFonts w:cs="Times New Roman"/>
                <w:sz w:val="20"/>
                <w:szCs w:val="20"/>
              </w:rPr>
              <w:t>11</w:t>
            </w:r>
            <w:r w:rsidRPr="00536B45">
              <w:rPr>
                <w:rFonts w:cs="Times New Roman"/>
                <w:sz w:val="20"/>
                <w:szCs w:val="20"/>
              </w:rPr>
              <w:t>, [201</w:t>
            </w:r>
            <w:r w:rsidR="002A32A0" w:rsidRPr="00536B45">
              <w:rPr>
                <w:rFonts w:cs="Times New Roman"/>
                <w:sz w:val="20"/>
                <w:szCs w:val="20"/>
              </w:rPr>
              <w:t>2</w:t>
            </w:r>
            <w:r w:rsidRPr="00536B45">
              <w:rPr>
                <w:rFonts w:cs="Times New Roman"/>
                <w:sz w:val="20"/>
                <w:szCs w:val="20"/>
              </w:rPr>
              <w:t xml:space="preserve">] 1 S.C.R. </w:t>
            </w:r>
            <w:r w:rsidR="00AF72E5" w:rsidRPr="00536B45">
              <w:rPr>
                <w:rFonts w:cs="Times New Roman"/>
                <w:sz w:val="20"/>
                <w:szCs w:val="20"/>
              </w:rPr>
              <w:t>393</w:t>
            </w:r>
          </w:p>
          <w:p w:rsidR="00DD0B49" w:rsidRPr="00536B45" w:rsidRDefault="00DD0B49" w:rsidP="003B3977">
            <w:pPr>
              <w:rPr>
                <w:rFonts w:cs="Times New Roman"/>
                <w:sz w:val="20"/>
                <w:szCs w:val="20"/>
              </w:rPr>
            </w:pPr>
          </w:p>
          <w:p w:rsidR="00DD0B49" w:rsidRPr="00AF72E5" w:rsidRDefault="00AF72E5" w:rsidP="003B3977">
            <w:pPr>
              <w:rPr>
                <w:rFonts w:cs="Times New Roman"/>
                <w:sz w:val="20"/>
                <w:szCs w:val="20"/>
              </w:rPr>
            </w:pPr>
            <w:r w:rsidRPr="00AF72E5">
              <w:rPr>
                <w:rFonts w:cs="Times New Roman"/>
                <w:sz w:val="20"/>
                <w:szCs w:val="20"/>
              </w:rPr>
              <w:t xml:space="preserve">R. </w:t>
            </w:r>
            <w:r w:rsidR="00DD0B49" w:rsidRPr="00AF72E5">
              <w:rPr>
                <w:rFonts w:cs="Times New Roman"/>
                <w:i/>
                <w:iCs/>
                <w:sz w:val="20"/>
                <w:szCs w:val="20"/>
              </w:rPr>
              <w:t>v.</w:t>
            </w:r>
            <w:r w:rsidR="00DD0B49" w:rsidRPr="00AF72E5">
              <w:rPr>
                <w:rFonts w:cs="Times New Roman"/>
                <w:sz w:val="20"/>
                <w:szCs w:val="20"/>
              </w:rPr>
              <w:t xml:space="preserve"> </w:t>
            </w:r>
            <w:r w:rsidRPr="00AF72E5">
              <w:rPr>
                <w:rFonts w:cs="Times New Roman"/>
                <w:sz w:val="20"/>
                <w:szCs w:val="20"/>
              </w:rPr>
              <w:t>Ipeelee</w:t>
            </w:r>
            <w:r w:rsidR="00DD0B49" w:rsidRPr="00AF72E5">
              <w:rPr>
                <w:rFonts w:cs="Times New Roman"/>
                <w:sz w:val="20"/>
                <w:szCs w:val="20"/>
              </w:rPr>
              <w:t>,</w:t>
            </w:r>
          </w:p>
          <w:p w:rsidR="00DD0B49" w:rsidRPr="00AF72E5" w:rsidRDefault="00DD0B49" w:rsidP="003B3977">
            <w:pPr>
              <w:rPr>
                <w:rFonts w:cs="Times New Roman"/>
                <w:sz w:val="20"/>
                <w:szCs w:val="20"/>
              </w:rPr>
            </w:pPr>
            <w:r w:rsidRPr="00AF72E5">
              <w:rPr>
                <w:rFonts w:cs="Times New Roman"/>
                <w:sz w:val="20"/>
                <w:szCs w:val="20"/>
              </w:rPr>
              <w:t>201</w:t>
            </w:r>
            <w:r w:rsidR="002A32A0" w:rsidRPr="00AF72E5">
              <w:rPr>
                <w:rFonts w:cs="Times New Roman"/>
                <w:sz w:val="20"/>
                <w:szCs w:val="20"/>
              </w:rPr>
              <w:t>2</w:t>
            </w:r>
            <w:r w:rsidRPr="00AF72E5">
              <w:rPr>
                <w:rFonts w:cs="Times New Roman"/>
                <w:sz w:val="20"/>
                <w:szCs w:val="20"/>
              </w:rPr>
              <w:t xml:space="preserve"> SCC 1</w:t>
            </w:r>
            <w:r w:rsidR="00AF72E5" w:rsidRPr="00AF72E5">
              <w:rPr>
                <w:rFonts w:cs="Times New Roman"/>
                <w:sz w:val="20"/>
                <w:szCs w:val="20"/>
              </w:rPr>
              <w:t>3</w:t>
            </w:r>
            <w:r w:rsidRPr="00AF72E5">
              <w:rPr>
                <w:rFonts w:cs="Times New Roman"/>
                <w:sz w:val="20"/>
                <w:szCs w:val="20"/>
              </w:rPr>
              <w:t>, [201</w:t>
            </w:r>
            <w:r w:rsidR="002A32A0" w:rsidRPr="00AF72E5">
              <w:rPr>
                <w:rFonts w:cs="Times New Roman"/>
                <w:sz w:val="20"/>
                <w:szCs w:val="20"/>
              </w:rPr>
              <w:t>2</w:t>
            </w:r>
            <w:r w:rsidRPr="00AF72E5">
              <w:rPr>
                <w:rFonts w:cs="Times New Roman"/>
                <w:sz w:val="20"/>
                <w:szCs w:val="20"/>
              </w:rPr>
              <w:t xml:space="preserve">] 1 S.C.R. </w:t>
            </w:r>
            <w:r w:rsidR="00AF72E5">
              <w:rPr>
                <w:rFonts w:cs="Times New Roman"/>
                <w:sz w:val="20"/>
                <w:szCs w:val="20"/>
              </w:rPr>
              <w:t>433</w:t>
            </w:r>
          </w:p>
          <w:p w:rsidR="00DD0B49" w:rsidRPr="00AF72E5" w:rsidRDefault="00DD0B49" w:rsidP="003B3977">
            <w:pPr>
              <w:rPr>
                <w:rFonts w:cs="Times New Roman"/>
                <w:sz w:val="20"/>
                <w:szCs w:val="20"/>
              </w:rPr>
            </w:pPr>
          </w:p>
          <w:p w:rsidR="00DD0B49" w:rsidRPr="00AF72E5" w:rsidRDefault="00AF72E5" w:rsidP="003B3977">
            <w:pPr>
              <w:rPr>
                <w:rFonts w:cs="Times New Roman"/>
                <w:sz w:val="20"/>
                <w:szCs w:val="20"/>
              </w:rPr>
            </w:pPr>
            <w:r w:rsidRPr="00AF72E5">
              <w:rPr>
                <w:rFonts w:cs="Times New Roman"/>
                <w:sz w:val="20"/>
                <w:szCs w:val="20"/>
              </w:rPr>
              <w:t xml:space="preserve">Richard </w:t>
            </w:r>
            <w:r w:rsidR="00DD0B49" w:rsidRPr="00AF72E5">
              <w:rPr>
                <w:rFonts w:cs="Times New Roman"/>
                <w:i/>
                <w:iCs/>
                <w:sz w:val="20"/>
                <w:szCs w:val="20"/>
              </w:rPr>
              <w:t xml:space="preserve">v. </w:t>
            </w:r>
            <w:r w:rsidRPr="00AF72E5">
              <w:rPr>
                <w:rFonts w:cs="Times New Roman"/>
                <w:iCs/>
                <w:sz w:val="20"/>
                <w:szCs w:val="20"/>
              </w:rPr>
              <w:t>Tim</w:t>
            </w:r>
            <w:r w:rsidR="00DD0B49" w:rsidRPr="00AF72E5">
              <w:rPr>
                <w:rFonts w:cs="Times New Roman"/>
                <w:iCs/>
                <w:sz w:val="20"/>
                <w:szCs w:val="20"/>
              </w:rPr>
              <w:t>e</w:t>
            </w:r>
            <w:r w:rsidRPr="00AF72E5">
              <w:rPr>
                <w:rFonts w:cs="Times New Roman"/>
                <w:iCs/>
                <w:sz w:val="20"/>
                <w:szCs w:val="20"/>
              </w:rPr>
              <w:t xml:space="preserve"> I</w:t>
            </w:r>
            <w:r w:rsidR="00DD0B49" w:rsidRPr="00AF72E5">
              <w:rPr>
                <w:rFonts w:cs="Times New Roman"/>
                <w:iCs/>
                <w:sz w:val="20"/>
                <w:szCs w:val="20"/>
              </w:rPr>
              <w:t>n</w:t>
            </w:r>
            <w:r w:rsidRPr="00AF72E5">
              <w:rPr>
                <w:rFonts w:cs="Times New Roman"/>
                <w:iCs/>
                <w:sz w:val="20"/>
                <w:szCs w:val="20"/>
              </w:rPr>
              <w:t>c.</w:t>
            </w:r>
            <w:r w:rsidR="00DD0B49" w:rsidRPr="00AF72E5">
              <w:rPr>
                <w:rFonts w:cs="Times New Roman"/>
                <w:iCs/>
                <w:sz w:val="20"/>
                <w:szCs w:val="20"/>
              </w:rPr>
              <w:t>,</w:t>
            </w:r>
          </w:p>
          <w:p w:rsidR="00DD0B49" w:rsidRPr="00AF72E5" w:rsidRDefault="00DD0B49" w:rsidP="003B3977">
            <w:pPr>
              <w:rPr>
                <w:rFonts w:cs="Times New Roman"/>
                <w:sz w:val="20"/>
                <w:szCs w:val="20"/>
              </w:rPr>
            </w:pPr>
            <w:r w:rsidRPr="00AF72E5">
              <w:rPr>
                <w:rFonts w:cs="Times New Roman"/>
                <w:sz w:val="20"/>
                <w:szCs w:val="20"/>
              </w:rPr>
              <w:t>201</w:t>
            </w:r>
            <w:r w:rsidR="002A32A0" w:rsidRPr="00AF72E5">
              <w:rPr>
                <w:rFonts w:cs="Times New Roman"/>
                <w:sz w:val="20"/>
                <w:szCs w:val="20"/>
              </w:rPr>
              <w:t>2</w:t>
            </w:r>
            <w:r w:rsidRPr="00AF72E5">
              <w:rPr>
                <w:rFonts w:cs="Times New Roman"/>
                <w:sz w:val="20"/>
                <w:szCs w:val="20"/>
              </w:rPr>
              <w:t xml:space="preserve"> SCC </w:t>
            </w:r>
            <w:r w:rsidR="00AF72E5" w:rsidRPr="00AF72E5">
              <w:rPr>
                <w:rFonts w:cs="Times New Roman"/>
                <w:sz w:val="20"/>
                <w:szCs w:val="20"/>
              </w:rPr>
              <w:t>8</w:t>
            </w:r>
            <w:r w:rsidRPr="00AF72E5">
              <w:rPr>
                <w:rFonts w:cs="Times New Roman"/>
                <w:sz w:val="20"/>
                <w:szCs w:val="20"/>
              </w:rPr>
              <w:t>, [201</w:t>
            </w:r>
            <w:r w:rsidR="002A32A0" w:rsidRPr="00AF72E5">
              <w:rPr>
                <w:rFonts w:cs="Times New Roman"/>
                <w:sz w:val="20"/>
                <w:szCs w:val="20"/>
              </w:rPr>
              <w:t>2</w:t>
            </w:r>
            <w:r w:rsidRPr="00AF72E5">
              <w:rPr>
                <w:rFonts w:cs="Times New Roman"/>
                <w:sz w:val="20"/>
                <w:szCs w:val="20"/>
              </w:rPr>
              <w:t xml:space="preserve">] 1 S.C.R. </w:t>
            </w:r>
            <w:r w:rsidR="00AF72E5" w:rsidRPr="00AF72E5">
              <w:rPr>
                <w:rFonts w:cs="Times New Roman"/>
                <w:sz w:val="20"/>
                <w:szCs w:val="20"/>
              </w:rPr>
              <w:t>2</w:t>
            </w:r>
            <w:r w:rsidRPr="00AF72E5">
              <w:rPr>
                <w:rFonts w:cs="Times New Roman"/>
                <w:sz w:val="20"/>
                <w:szCs w:val="20"/>
              </w:rPr>
              <w:t>6</w:t>
            </w:r>
            <w:r w:rsidR="00AF72E5">
              <w:rPr>
                <w:rFonts w:cs="Times New Roman"/>
                <w:sz w:val="20"/>
                <w:szCs w:val="20"/>
              </w:rPr>
              <w:t>5</w:t>
            </w:r>
          </w:p>
          <w:p w:rsidR="00DD0B49" w:rsidRPr="00AF72E5" w:rsidRDefault="00DD0B49" w:rsidP="003B3977">
            <w:pPr>
              <w:keepNext/>
              <w:keepLines/>
              <w:rPr>
                <w:rFonts w:cs="Times New Roman"/>
                <w:bCs/>
                <w:sz w:val="20"/>
                <w:szCs w:val="20"/>
              </w:rPr>
            </w:pPr>
          </w:p>
          <w:p w:rsidR="00DD0B49" w:rsidRPr="00DD0B49" w:rsidRDefault="007333FF" w:rsidP="003B3977">
            <w:pPr>
              <w:keepNext/>
              <w:keepLines/>
              <w:rPr>
                <w:rFonts w:cs="Times New Roman"/>
                <w:bCs/>
                <w:sz w:val="20"/>
                <w:szCs w:val="20"/>
                <w:lang w:val="fr-CA"/>
              </w:rPr>
            </w:pPr>
            <w:r w:rsidRPr="007333FF">
              <w:rPr>
                <w:rFonts w:cs="Times New Roman"/>
                <w:sz w:val="20"/>
                <w:szCs w:val="20"/>
              </w:rPr>
              <w:pict>
                <v:rect id="_x0000_i1159"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c>
          <w:tcPr>
            <w:tcW w:w="840" w:type="dxa"/>
            <w:tcBorders>
              <w:top w:val="nil"/>
              <w:left w:val="nil"/>
              <w:bottom w:val="nil"/>
              <w:right w:val="nil"/>
            </w:tcBorders>
          </w:tcPr>
          <w:p w:rsidR="00DD0B49" w:rsidRPr="00DD0B49" w:rsidRDefault="00DD0B49" w:rsidP="003B3977">
            <w:pPr>
              <w:rPr>
                <w:rFonts w:cs="Times New Roman"/>
                <w:b/>
                <w:bCs/>
                <w:sz w:val="20"/>
                <w:szCs w:val="20"/>
                <w:lang w:val="fr-CA"/>
              </w:rPr>
            </w:pPr>
          </w:p>
        </w:tc>
        <w:tc>
          <w:tcPr>
            <w:tcW w:w="4320" w:type="dxa"/>
            <w:tcBorders>
              <w:top w:val="nil"/>
              <w:left w:val="nil"/>
              <w:bottom w:val="nil"/>
              <w:right w:val="nil"/>
            </w:tcBorders>
          </w:tcPr>
          <w:p w:rsidR="00DD0B49" w:rsidRPr="00DD0B49" w:rsidRDefault="00DD0B49" w:rsidP="003B3977">
            <w:pPr>
              <w:rPr>
                <w:rFonts w:cs="Times New Roman"/>
                <w:b/>
                <w:bCs/>
                <w:sz w:val="20"/>
                <w:szCs w:val="20"/>
                <w:lang w:val="fr-CA"/>
              </w:rPr>
            </w:pPr>
            <w:r w:rsidRPr="00DD0B49">
              <w:rPr>
                <w:rFonts w:cs="Times New Roman"/>
                <w:b/>
                <w:bCs/>
                <w:sz w:val="20"/>
                <w:szCs w:val="20"/>
                <w:lang w:val="fr-CA"/>
              </w:rPr>
              <w:t>Jugements publiés dans [201</w:t>
            </w:r>
            <w:r w:rsidR="002A32A0">
              <w:rPr>
                <w:rFonts w:cs="Times New Roman"/>
                <w:b/>
                <w:bCs/>
                <w:sz w:val="20"/>
                <w:szCs w:val="20"/>
                <w:lang w:val="fr-CA"/>
              </w:rPr>
              <w:t>2</w:t>
            </w:r>
            <w:r w:rsidRPr="00DD0B49">
              <w:rPr>
                <w:rFonts w:cs="Times New Roman"/>
                <w:b/>
                <w:bCs/>
                <w:sz w:val="20"/>
                <w:szCs w:val="20"/>
                <w:lang w:val="fr-CA"/>
              </w:rPr>
              <w:t xml:space="preserve">] 1 R.C.S. Partie </w:t>
            </w:r>
            <w:r w:rsidR="002A32A0">
              <w:rPr>
                <w:rFonts w:cs="Times New Roman"/>
                <w:b/>
                <w:bCs/>
                <w:sz w:val="20"/>
                <w:szCs w:val="20"/>
                <w:lang w:val="fr-CA"/>
              </w:rPr>
              <w:t>2</w:t>
            </w:r>
          </w:p>
          <w:p w:rsidR="00DD0B49" w:rsidRPr="00DD0B49" w:rsidRDefault="00DD0B49" w:rsidP="003B3977">
            <w:pPr>
              <w:rPr>
                <w:rFonts w:cs="Times New Roman"/>
                <w:b/>
                <w:bCs/>
                <w:sz w:val="20"/>
                <w:szCs w:val="20"/>
                <w:lang w:val="fr-CA"/>
              </w:rPr>
            </w:pPr>
          </w:p>
          <w:p w:rsidR="00DD0B49" w:rsidRPr="00DD0B49" w:rsidRDefault="00AF72E5" w:rsidP="003B3977">
            <w:pPr>
              <w:rPr>
                <w:rFonts w:cs="Times New Roman"/>
                <w:sz w:val="20"/>
                <w:szCs w:val="20"/>
                <w:lang w:val="fr-CA"/>
              </w:rPr>
            </w:pPr>
            <w:r>
              <w:rPr>
                <w:rFonts w:cs="Times New Roman"/>
                <w:sz w:val="20"/>
                <w:szCs w:val="20"/>
                <w:lang w:val="fr-CA"/>
              </w:rPr>
              <w:t xml:space="preserve">Doré </w:t>
            </w:r>
            <w:r w:rsidR="00DD0B49" w:rsidRPr="00DD0B49">
              <w:rPr>
                <w:rFonts w:cs="Times New Roman"/>
                <w:i/>
                <w:sz w:val="20"/>
                <w:szCs w:val="20"/>
                <w:lang w:val="fr-CA"/>
              </w:rPr>
              <w:t>c.</w:t>
            </w:r>
            <w:r w:rsidR="00DD0B49" w:rsidRPr="00DD0B49">
              <w:rPr>
                <w:rFonts w:cs="Times New Roman"/>
                <w:sz w:val="20"/>
                <w:szCs w:val="20"/>
                <w:lang w:val="fr-CA"/>
              </w:rPr>
              <w:t xml:space="preserve"> </w:t>
            </w:r>
            <w:r>
              <w:rPr>
                <w:rFonts w:cs="Times New Roman"/>
                <w:sz w:val="20"/>
                <w:szCs w:val="20"/>
                <w:lang w:val="fr-CA"/>
              </w:rPr>
              <w:t>Ba</w:t>
            </w:r>
            <w:r w:rsidR="00DD0B49" w:rsidRPr="00DD0B49">
              <w:rPr>
                <w:rFonts w:cs="Times New Roman"/>
                <w:sz w:val="20"/>
                <w:szCs w:val="20"/>
                <w:lang w:val="fr-CA"/>
              </w:rPr>
              <w:t>rr</w:t>
            </w:r>
            <w:r>
              <w:rPr>
                <w:rFonts w:cs="Times New Roman"/>
                <w:sz w:val="20"/>
                <w:szCs w:val="20"/>
                <w:lang w:val="fr-CA"/>
              </w:rPr>
              <w:t>e</w:t>
            </w:r>
            <w:r w:rsidR="00DD0B49" w:rsidRPr="00DD0B49">
              <w:rPr>
                <w:rFonts w:cs="Times New Roman"/>
                <w:sz w:val="20"/>
                <w:szCs w:val="20"/>
                <w:lang w:val="fr-CA"/>
              </w:rPr>
              <w:t>a</w:t>
            </w:r>
            <w:r>
              <w:rPr>
                <w:rFonts w:cs="Times New Roman"/>
                <w:sz w:val="20"/>
                <w:szCs w:val="20"/>
                <w:lang w:val="fr-CA"/>
              </w:rPr>
              <w:t>u du Québec</w:t>
            </w:r>
            <w:r w:rsidR="00DD0B49" w:rsidRPr="00DD0B49">
              <w:rPr>
                <w:rFonts w:cs="Times New Roman"/>
                <w:sz w:val="20"/>
                <w:szCs w:val="20"/>
                <w:lang w:val="fr-CA"/>
              </w:rPr>
              <w:t>,</w:t>
            </w:r>
          </w:p>
          <w:p w:rsidR="00DD0B49" w:rsidRPr="00DD0B49" w:rsidRDefault="00DD0B49" w:rsidP="003B3977">
            <w:pPr>
              <w:rPr>
                <w:rFonts w:cs="Times New Roman"/>
                <w:sz w:val="20"/>
                <w:szCs w:val="20"/>
              </w:rPr>
            </w:pPr>
            <w:r w:rsidRPr="00AF72E5">
              <w:rPr>
                <w:rFonts w:cs="Times New Roman"/>
                <w:sz w:val="20"/>
                <w:szCs w:val="20"/>
              </w:rPr>
              <w:t>201</w:t>
            </w:r>
            <w:r w:rsidR="00323EE2">
              <w:rPr>
                <w:rFonts w:cs="Times New Roman"/>
                <w:sz w:val="20"/>
                <w:szCs w:val="20"/>
              </w:rPr>
              <w:t>2</w:t>
            </w:r>
            <w:r w:rsidRPr="00DD0B49">
              <w:rPr>
                <w:rFonts w:cs="Times New Roman"/>
                <w:sz w:val="20"/>
                <w:szCs w:val="20"/>
              </w:rPr>
              <w:t xml:space="preserve"> CSC </w:t>
            </w:r>
            <w:r w:rsidR="00AF72E5">
              <w:rPr>
                <w:rFonts w:cs="Times New Roman"/>
                <w:sz w:val="20"/>
                <w:szCs w:val="20"/>
              </w:rPr>
              <w:t>1</w:t>
            </w:r>
            <w:r w:rsidRPr="00DD0B49">
              <w:rPr>
                <w:rFonts w:cs="Times New Roman"/>
                <w:sz w:val="20"/>
                <w:szCs w:val="20"/>
              </w:rPr>
              <w:t>2, [201</w:t>
            </w:r>
            <w:r w:rsidR="00323EE2">
              <w:rPr>
                <w:rFonts w:cs="Times New Roman"/>
                <w:sz w:val="20"/>
                <w:szCs w:val="20"/>
              </w:rPr>
              <w:t>2</w:t>
            </w:r>
            <w:r w:rsidRPr="00DD0B49">
              <w:rPr>
                <w:rFonts w:cs="Times New Roman"/>
                <w:sz w:val="20"/>
                <w:szCs w:val="20"/>
              </w:rPr>
              <w:t xml:space="preserve">] 1 R.C.S. </w:t>
            </w:r>
            <w:r w:rsidR="00AF72E5">
              <w:rPr>
                <w:rFonts w:cs="Times New Roman"/>
                <w:sz w:val="20"/>
                <w:szCs w:val="20"/>
              </w:rPr>
              <w:t>39</w:t>
            </w:r>
            <w:r w:rsidRPr="00DD0B49">
              <w:rPr>
                <w:rFonts w:cs="Times New Roman"/>
                <w:sz w:val="20"/>
                <w:szCs w:val="20"/>
              </w:rPr>
              <w:t>5</w:t>
            </w:r>
          </w:p>
          <w:p w:rsidR="00DD0B49" w:rsidRPr="00DD0B49" w:rsidRDefault="00DD0B49" w:rsidP="003B3977">
            <w:pPr>
              <w:rPr>
                <w:rFonts w:cs="Times New Roman"/>
                <w:sz w:val="20"/>
                <w:szCs w:val="20"/>
              </w:rPr>
            </w:pPr>
          </w:p>
          <w:p w:rsidR="00DD0B49" w:rsidRPr="00DD0B49" w:rsidRDefault="00AF72E5" w:rsidP="003B3977">
            <w:pPr>
              <w:rPr>
                <w:rFonts w:cs="Times New Roman"/>
                <w:sz w:val="20"/>
                <w:szCs w:val="20"/>
              </w:rPr>
            </w:pPr>
            <w:r>
              <w:rPr>
                <w:rFonts w:cs="Times New Roman"/>
                <w:sz w:val="20"/>
                <w:szCs w:val="20"/>
              </w:rPr>
              <w:t>Fundy Settlement</w:t>
            </w:r>
            <w:r w:rsidR="00DD0B49" w:rsidRPr="00DD0B49">
              <w:rPr>
                <w:rFonts w:cs="Times New Roman"/>
                <w:sz w:val="20"/>
                <w:szCs w:val="20"/>
              </w:rPr>
              <w:t xml:space="preserve"> </w:t>
            </w:r>
            <w:r w:rsidR="00DD0B49" w:rsidRPr="00DD0B49">
              <w:rPr>
                <w:rFonts w:cs="Times New Roman"/>
                <w:i/>
                <w:iCs/>
                <w:sz w:val="20"/>
                <w:szCs w:val="20"/>
              </w:rPr>
              <w:t>c.</w:t>
            </w:r>
            <w:r w:rsidR="00DD0B49" w:rsidRPr="00DD0B49">
              <w:rPr>
                <w:rFonts w:cs="Times New Roman"/>
                <w:iCs/>
                <w:sz w:val="20"/>
                <w:szCs w:val="20"/>
              </w:rPr>
              <w:t xml:space="preserve"> C</w:t>
            </w:r>
            <w:r>
              <w:rPr>
                <w:rFonts w:cs="Times New Roman"/>
                <w:iCs/>
                <w:sz w:val="20"/>
                <w:szCs w:val="20"/>
              </w:rPr>
              <w:t>a</w:t>
            </w:r>
            <w:r w:rsidR="00DD0B49" w:rsidRPr="00DD0B49">
              <w:rPr>
                <w:rFonts w:cs="Times New Roman"/>
                <w:iCs/>
                <w:sz w:val="20"/>
                <w:szCs w:val="20"/>
              </w:rPr>
              <w:t>n</w:t>
            </w:r>
            <w:r>
              <w:rPr>
                <w:rFonts w:cs="Times New Roman"/>
                <w:iCs/>
                <w:sz w:val="20"/>
                <w:szCs w:val="20"/>
              </w:rPr>
              <w:t>ad</w:t>
            </w:r>
            <w:r w:rsidR="00DD0B49" w:rsidRPr="00DD0B49">
              <w:rPr>
                <w:rFonts w:cs="Times New Roman"/>
                <w:iCs/>
                <w:sz w:val="20"/>
                <w:szCs w:val="20"/>
              </w:rPr>
              <w:t>a</w:t>
            </w:r>
            <w:r w:rsidR="00DD0B49" w:rsidRPr="00DD0B49">
              <w:rPr>
                <w:rFonts w:cs="Times New Roman"/>
                <w:sz w:val="20"/>
                <w:szCs w:val="20"/>
              </w:rPr>
              <w:t>,</w:t>
            </w:r>
          </w:p>
          <w:p w:rsidR="00DD0B49" w:rsidRPr="00DD0B49" w:rsidRDefault="00DD0B49" w:rsidP="003B3977">
            <w:pPr>
              <w:rPr>
                <w:rFonts w:cs="Times New Roman"/>
                <w:sz w:val="20"/>
                <w:szCs w:val="20"/>
              </w:rPr>
            </w:pPr>
            <w:r w:rsidRPr="00DD0B49">
              <w:rPr>
                <w:rFonts w:cs="Times New Roman"/>
                <w:sz w:val="20"/>
                <w:szCs w:val="20"/>
              </w:rPr>
              <w:t>201</w:t>
            </w:r>
            <w:r w:rsidR="00323EE2">
              <w:rPr>
                <w:rFonts w:cs="Times New Roman"/>
                <w:sz w:val="20"/>
                <w:szCs w:val="20"/>
              </w:rPr>
              <w:t>2</w:t>
            </w:r>
            <w:r w:rsidRPr="00DD0B49">
              <w:rPr>
                <w:rFonts w:cs="Times New Roman"/>
                <w:sz w:val="20"/>
                <w:szCs w:val="20"/>
              </w:rPr>
              <w:t xml:space="preserve"> CSC </w:t>
            </w:r>
            <w:r w:rsidR="00AF72E5">
              <w:rPr>
                <w:rFonts w:cs="Times New Roman"/>
                <w:sz w:val="20"/>
                <w:szCs w:val="20"/>
              </w:rPr>
              <w:t>14</w:t>
            </w:r>
            <w:r w:rsidRPr="00DD0B49">
              <w:rPr>
                <w:rFonts w:cs="Times New Roman"/>
                <w:sz w:val="20"/>
                <w:szCs w:val="20"/>
              </w:rPr>
              <w:t>, [201</w:t>
            </w:r>
            <w:r w:rsidR="00323EE2">
              <w:rPr>
                <w:rFonts w:cs="Times New Roman"/>
                <w:sz w:val="20"/>
                <w:szCs w:val="20"/>
              </w:rPr>
              <w:t>2</w:t>
            </w:r>
            <w:r w:rsidRPr="00DD0B49">
              <w:rPr>
                <w:rFonts w:cs="Times New Roman"/>
                <w:sz w:val="20"/>
                <w:szCs w:val="20"/>
              </w:rPr>
              <w:t>] 1 R.C.S. 5</w:t>
            </w:r>
            <w:r w:rsidR="00AF72E5">
              <w:rPr>
                <w:rFonts w:cs="Times New Roman"/>
                <w:sz w:val="20"/>
                <w:szCs w:val="20"/>
              </w:rPr>
              <w:t>20</w:t>
            </w:r>
          </w:p>
          <w:p w:rsidR="00DD0B49" w:rsidRPr="00DD0B49" w:rsidRDefault="00DD0B49" w:rsidP="003B3977">
            <w:pPr>
              <w:rPr>
                <w:rFonts w:cs="Times New Roman"/>
                <w:iCs/>
                <w:sz w:val="20"/>
                <w:szCs w:val="20"/>
              </w:rPr>
            </w:pPr>
          </w:p>
          <w:p w:rsidR="00DD0B49" w:rsidRPr="00DD0B49" w:rsidRDefault="00AF72E5" w:rsidP="003B3977">
            <w:pPr>
              <w:rPr>
                <w:rFonts w:cs="Times New Roman"/>
                <w:iCs/>
                <w:sz w:val="20"/>
                <w:szCs w:val="20"/>
                <w:lang w:val="en-GB"/>
              </w:rPr>
            </w:pPr>
            <w:r>
              <w:rPr>
                <w:rFonts w:cs="Times New Roman"/>
                <w:iCs/>
                <w:sz w:val="20"/>
                <w:szCs w:val="20"/>
              </w:rPr>
              <w:t>Halifax (</w:t>
            </w:r>
            <w:r w:rsidR="00DD0B49" w:rsidRPr="00DD0B49">
              <w:rPr>
                <w:rFonts w:cs="Times New Roman"/>
                <w:iCs/>
                <w:sz w:val="20"/>
                <w:szCs w:val="20"/>
                <w:lang w:val="en-GB"/>
              </w:rPr>
              <w:t>R</w:t>
            </w:r>
            <w:r>
              <w:rPr>
                <w:rFonts w:cs="Times New Roman"/>
                <w:iCs/>
                <w:sz w:val="20"/>
                <w:szCs w:val="20"/>
                <w:lang w:val="en-GB"/>
              </w:rPr>
              <w:t>egional Municipality)</w:t>
            </w:r>
            <w:r w:rsidR="00DD0B49" w:rsidRPr="00DD0B49">
              <w:rPr>
                <w:rFonts w:cs="Times New Roman"/>
                <w:iCs/>
                <w:sz w:val="20"/>
                <w:szCs w:val="20"/>
                <w:lang w:val="en-GB"/>
              </w:rPr>
              <w:t xml:space="preserve"> </w:t>
            </w:r>
            <w:r w:rsidR="00DD0B49" w:rsidRPr="00DD0B49">
              <w:rPr>
                <w:rFonts w:cs="Times New Roman"/>
                <w:i/>
                <w:iCs/>
                <w:sz w:val="20"/>
                <w:szCs w:val="20"/>
                <w:lang w:val="en-GB"/>
              </w:rPr>
              <w:t>c.</w:t>
            </w:r>
            <w:r w:rsidR="00DD0B49" w:rsidRPr="00DD0B49">
              <w:rPr>
                <w:rFonts w:cs="Times New Roman"/>
                <w:iCs/>
                <w:sz w:val="20"/>
                <w:szCs w:val="20"/>
                <w:lang w:val="en-GB"/>
              </w:rPr>
              <w:t xml:space="preserve"> </w:t>
            </w:r>
            <w:r>
              <w:rPr>
                <w:rFonts w:cs="Times New Roman"/>
                <w:iCs/>
                <w:sz w:val="20"/>
                <w:szCs w:val="20"/>
                <w:lang w:val="en-GB"/>
              </w:rPr>
              <w:t>Nouvelle-Écosse (</w:t>
            </w:r>
            <w:r w:rsidR="00DD0B49" w:rsidRPr="00DD0B49">
              <w:rPr>
                <w:rFonts w:cs="Times New Roman"/>
                <w:iCs/>
                <w:sz w:val="20"/>
                <w:szCs w:val="20"/>
                <w:lang w:val="en-GB"/>
              </w:rPr>
              <w:t>Hu</w:t>
            </w:r>
            <w:r>
              <w:rPr>
                <w:rFonts w:cs="Times New Roman"/>
                <w:iCs/>
                <w:sz w:val="20"/>
                <w:szCs w:val="20"/>
                <w:lang w:val="en-GB"/>
              </w:rPr>
              <w:t>man Rights Commission)</w:t>
            </w:r>
            <w:r w:rsidR="00DD0B49" w:rsidRPr="00DD0B49">
              <w:rPr>
                <w:rFonts w:cs="Times New Roman"/>
                <w:iCs/>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323EE2">
              <w:rPr>
                <w:rFonts w:cs="Times New Roman"/>
                <w:sz w:val="20"/>
                <w:szCs w:val="20"/>
                <w:lang w:val="en-GB"/>
              </w:rPr>
              <w:t>2</w:t>
            </w:r>
            <w:r w:rsidRPr="00DD0B49">
              <w:rPr>
                <w:rFonts w:cs="Times New Roman"/>
                <w:sz w:val="20"/>
                <w:szCs w:val="20"/>
                <w:lang w:val="en-GB"/>
              </w:rPr>
              <w:t xml:space="preserve"> CSC 1</w:t>
            </w:r>
            <w:r w:rsidR="00AF72E5">
              <w:rPr>
                <w:rFonts w:cs="Times New Roman"/>
                <w:sz w:val="20"/>
                <w:szCs w:val="20"/>
                <w:lang w:val="en-GB"/>
              </w:rPr>
              <w:t>0</w:t>
            </w:r>
            <w:r w:rsidRPr="00DD0B49">
              <w:rPr>
                <w:rFonts w:cs="Times New Roman"/>
                <w:sz w:val="20"/>
                <w:szCs w:val="20"/>
                <w:lang w:val="en-GB"/>
              </w:rPr>
              <w:t>, [201</w:t>
            </w:r>
            <w:r w:rsidR="00323EE2">
              <w:rPr>
                <w:rFonts w:cs="Times New Roman"/>
                <w:sz w:val="20"/>
                <w:szCs w:val="20"/>
                <w:lang w:val="en-GB"/>
              </w:rPr>
              <w:t>2</w:t>
            </w:r>
            <w:r w:rsidRPr="00DD0B49">
              <w:rPr>
                <w:rFonts w:cs="Times New Roman"/>
                <w:sz w:val="20"/>
                <w:szCs w:val="20"/>
                <w:lang w:val="en-GB"/>
              </w:rPr>
              <w:t>] 1 R.C.S. 3</w:t>
            </w:r>
            <w:r w:rsidR="00AF72E5">
              <w:rPr>
                <w:rFonts w:cs="Times New Roman"/>
                <w:sz w:val="20"/>
                <w:szCs w:val="20"/>
                <w:lang w:val="en-GB"/>
              </w:rPr>
              <w:t>64</w:t>
            </w:r>
          </w:p>
          <w:p w:rsidR="00DD0B49" w:rsidRPr="00DD0B49" w:rsidRDefault="00DD0B49" w:rsidP="003B3977">
            <w:pPr>
              <w:rPr>
                <w:rFonts w:cs="Times New Roman"/>
                <w:sz w:val="20"/>
                <w:szCs w:val="20"/>
                <w:lang w:val="en-GB"/>
              </w:rPr>
            </w:pPr>
          </w:p>
          <w:p w:rsidR="00DD0B49" w:rsidRPr="00AF72E5" w:rsidRDefault="00AF72E5" w:rsidP="003B3977">
            <w:pPr>
              <w:rPr>
                <w:rFonts w:cs="Times New Roman"/>
                <w:sz w:val="20"/>
                <w:szCs w:val="20"/>
              </w:rPr>
            </w:pPr>
            <w:r w:rsidRPr="00AF72E5">
              <w:rPr>
                <w:rFonts w:cs="Times New Roman"/>
                <w:sz w:val="20"/>
                <w:szCs w:val="20"/>
              </w:rPr>
              <w:t xml:space="preserve">Momentous.ca Corp. </w:t>
            </w:r>
            <w:r w:rsidR="00DD0B49" w:rsidRPr="00AF72E5">
              <w:rPr>
                <w:rFonts w:cs="Times New Roman"/>
                <w:i/>
                <w:iCs/>
                <w:sz w:val="20"/>
                <w:szCs w:val="20"/>
              </w:rPr>
              <w:t>c.</w:t>
            </w:r>
            <w:r w:rsidR="00DD0B49" w:rsidRPr="00AF72E5">
              <w:rPr>
                <w:rFonts w:cs="Times New Roman"/>
                <w:sz w:val="20"/>
                <w:szCs w:val="20"/>
              </w:rPr>
              <w:t xml:space="preserve"> </w:t>
            </w:r>
            <w:r w:rsidRPr="00AF72E5">
              <w:rPr>
                <w:rFonts w:cs="Times New Roman"/>
                <w:sz w:val="20"/>
                <w:szCs w:val="20"/>
              </w:rPr>
              <w:t>Canadian American Association of Professional Baseball L</w:t>
            </w:r>
            <w:r w:rsidR="00DD0B49" w:rsidRPr="00AF72E5">
              <w:rPr>
                <w:rFonts w:cs="Times New Roman"/>
                <w:sz w:val="20"/>
                <w:szCs w:val="20"/>
              </w:rPr>
              <w:t>t</w:t>
            </w:r>
            <w:r w:rsidRPr="00AF72E5">
              <w:rPr>
                <w:rFonts w:cs="Times New Roman"/>
                <w:sz w:val="20"/>
                <w:szCs w:val="20"/>
              </w:rPr>
              <w:t>d.</w:t>
            </w:r>
            <w:r w:rsidR="00DD0B49" w:rsidRPr="00AF72E5">
              <w:rPr>
                <w:rFonts w:cs="Times New Roman"/>
                <w:sz w:val="20"/>
                <w:szCs w:val="20"/>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323EE2">
              <w:rPr>
                <w:rFonts w:cs="Times New Roman"/>
                <w:sz w:val="20"/>
                <w:szCs w:val="20"/>
                <w:lang w:val="en-GB"/>
              </w:rPr>
              <w:t>2</w:t>
            </w:r>
            <w:r w:rsidRPr="00DD0B49">
              <w:rPr>
                <w:rFonts w:cs="Times New Roman"/>
                <w:sz w:val="20"/>
                <w:szCs w:val="20"/>
                <w:lang w:val="en-GB"/>
              </w:rPr>
              <w:t xml:space="preserve"> CSC </w:t>
            </w:r>
            <w:r w:rsidR="00AF72E5">
              <w:rPr>
                <w:rFonts w:cs="Times New Roman"/>
                <w:sz w:val="20"/>
                <w:szCs w:val="20"/>
                <w:lang w:val="en-GB"/>
              </w:rPr>
              <w:t>9</w:t>
            </w:r>
            <w:r w:rsidRPr="00DD0B49">
              <w:rPr>
                <w:rFonts w:cs="Times New Roman"/>
                <w:sz w:val="20"/>
                <w:szCs w:val="20"/>
                <w:lang w:val="en-GB"/>
              </w:rPr>
              <w:t>, [201</w:t>
            </w:r>
            <w:r w:rsidR="00323EE2">
              <w:rPr>
                <w:rFonts w:cs="Times New Roman"/>
                <w:sz w:val="20"/>
                <w:szCs w:val="20"/>
                <w:lang w:val="en-GB"/>
              </w:rPr>
              <w:t>2</w:t>
            </w:r>
            <w:r w:rsidRPr="00DD0B49">
              <w:rPr>
                <w:rFonts w:cs="Times New Roman"/>
                <w:sz w:val="20"/>
                <w:szCs w:val="20"/>
                <w:lang w:val="en-GB"/>
              </w:rPr>
              <w:t xml:space="preserve">] 1 R.C.S. </w:t>
            </w:r>
            <w:r w:rsidR="00AF72E5">
              <w:rPr>
                <w:rFonts w:cs="Times New Roman"/>
                <w:sz w:val="20"/>
                <w:szCs w:val="20"/>
                <w:lang w:val="en-GB"/>
              </w:rPr>
              <w:t>3</w:t>
            </w:r>
            <w:r w:rsidRPr="00DD0B49">
              <w:rPr>
                <w:rFonts w:cs="Times New Roman"/>
                <w:sz w:val="20"/>
                <w:szCs w:val="20"/>
                <w:lang w:val="en-GB"/>
              </w:rPr>
              <w:t>5</w:t>
            </w:r>
            <w:r w:rsidR="00AF72E5">
              <w:rPr>
                <w:rFonts w:cs="Times New Roman"/>
                <w:sz w:val="20"/>
                <w:szCs w:val="20"/>
                <w:lang w:val="en-GB"/>
              </w:rPr>
              <w:t>9</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xml:space="preserve">. </w:t>
            </w:r>
            <w:r w:rsidR="00AF72E5">
              <w:rPr>
                <w:rFonts w:cs="Times New Roman"/>
                <w:sz w:val="20"/>
                <w:szCs w:val="20"/>
                <w:lang w:val="en-GB"/>
              </w:rPr>
              <w:t>Eastgaard</w:t>
            </w:r>
            <w:r w:rsidRPr="00DD0B49">
              <w:rPr>
                <w:rFonts w:cs="Times New Roman"/>
                <w:sz w:val="20"/>
                <w:szCs w:val="20"/>
                <w:lang w:val="en-GB"/>
              </w:rPr>
              <w:t>,</w:t>
            </w:r>
          </w:p>
          <w:p w:rsidR="00DD0B49" w:rsidRPr="00DD0B49" w:rsidRDefault="00DD0B49" w:rsidP="003B3977">
            <w:pPr>
              <w:rPr>
                <w:rFonts w:cs="Times New Roman"/>
                <w:sz w:val="20"/>
                <w:szCs w:val="20"/>
              </w:rPr>
            </w:pPr>
            <w:r w:rsidRPr="00DD0B49">
              <w:rPr>
                <w:rFonts w:cs="Times New Roman"/>
                <w:sz w:val="20"/>
                <w:szCs w:val="20"/>
              </w:rPr>
              <w:t>201</w:t>
            </w:r>
            <w:r w:rsidR="00323EE2">
              <w:rPr>
                <w:rFonts w:cs="Times New Roman"/>
                <w:sz w:val="20"/>
                <w:szCs w:val="20"/>
              </w:rPr>
              <w:t>2</w:t>
            </w:r>
            <w:r w:rsidRPr="00DD0B49">
              <w:rPr>
                <w:rFonts w:cs="Times New Roman"/>
                <w:sz w:val="20"/>
                <w:szCs w:val="20"/>
              </w:rPr>
              <w:t xml:space="preserve"> CSC </w:t>
            </w:r>
            <w:r w:rsidR="00AF72E5">
              <w:rPr>
                <w:rFonts w:cs="Times New Roman"/>
                <w:sz w:val="20"/>
                <w:szCs w:val="20"/>
              </w:rPr>
              <w:t>11</w:t>
            </w:r>
            <w:r w:rsidRPr="00DD0B49">
              <w:rPr>
                <w:rFonts w:cs="Times New Roman"/>
                <w:sz w:val="20"/>
                <w:szCs w:val="20"/>
              </w:rPr>
              <w:t>, [201</w:t>
            </w:r>
            <w:r w:rsidR="00323EE2">
              <w:rPr>
                <w:rFonts w:cs="Times New Roman"/>
                <w:sz w:val="20"/>
                <w:szCs w:val="20"/>
              </w:rPr>
              <w:t>2</w:t>
            </w:r>
            <w:r w:rsidRPr="00DD0B49">
              <w:rPr>
                <w:rFonts w:cs="Times New Roman"/>
                <w:sz w:val="20"/>
                <w:szCs w:val="20"/>
              </w:rPr>
              <w:t xml:space="preserve">] 1 R.C.S. </w:t>
            </w:r>
            <w:r w:rsidR="00AF72E5">
              <w:rPr>
                <w:rFonts w:cs="Times New Roman"/>
                <w:sz w:val="20"/>
                <w:szCs w:val="20"/>
              </w:rPr>
              <w:t>393</w:t>
            </w:r>
          </w:p>
          <w:p w:rsidR="00DD0B49" w:rsidRPr="00DD0B49" w:rsidRDefault="00DD0B49" w:rsidP="003B3977">
            <w:pPr>
              <w:rPr>
                <w:rFonts w:cs="Times New Roman"/>
                <w:sz w:val="20"/>
                <w:szCs w:val="20"/>
              </w:rPr>
            </w:pPr>
          </w:p>
          <w:p w:rsidR="00DD0B49" w:rsidRPr="00DD0B49" w:rsidRDefault="00AF72E5" w:rsidP="003B3977">
            <w:pPr>
              <w:rPr>
                <w:rFonts w:cs="Times New Roman"/>
                <w:sz w:val="20"/>
                <w:szCs w:val="20"/>
              </w:rPr>
            </w:pPr>
            <w:r>
              <w:rPr>
                <w:rFonts w:cs="Times New Roman"/>
                <w:sz w:val="20"/>
                <w:szCs w:val="20"/>
              </w:rPr>
              <w:t>R.</w:t>
            </w:r>
            <w:r w:rsidR="00DD0B49" w:rsidRPr="00DD0B49">
              <w:rPr>
                <w:rFonts w:cs="Times New Roman"/>
                <w:sz w:val="20"/>
                <w:szCs w:val="20"/>
              </w:rPr>
              <w:t xml:space="preserve"> </w:t>
            </w:r>
            <w:r w:rsidR="00DD0B49" w:rsidRPr="00DD0B49">
              <w:rPr>
                <w:rFonts w:cs="Times New Roman"/>
                <w:i/>
                <w:iCs/>
                <w:sz w:val="20"/>
                <w:szCs w:val="20"/>
              </w:rPr>
              <w:t>c.</w:t>
            </w:r>
            <w:r w:rsidR="00DD0B49" w:rsidRPr="00DD0B49">
              <w:rPr>
                <w:rFonts w:cs="Times New Roman"/>
                <w:sz w:val="20"/>
                <w:szCs w:val="20"/>
              </w:rPr>
              <w:t xml:space="preserve"> </w:t>
            </w:r>
            <w:r>
              <w:rPr>
                <w:rFonts w:cs="Times New Roman"/>
                <w:sz w:val="20"/>
                <w:szCs w:val="20"/>
              </w:rPr>
              <w:t>Ipeelee</w:t>
            </w:r>
            <w:r w:rsidR="00DD0B49" w:rsidRPr="00DD0B49">
              <w:rPr>
                <w:rFonts w:cs="Times New Roman"/>
                <w:sz w:val="20"/>
                <w:szCs w:val="20"/>
              </w:rPr>
              <w:t>,</w:t>
            </w:r>
          </w:p>
          <w:p w:rsidR="00DD0B49" w:rsidRPr="00DD0B49" w:rsidRDefault="00DD0B49" w:rsidP="003B3977">
            <w:pPr>
              <w:rPr>
                <w:rFonts w:cs="Times New Roman"/>
                <w:sz w:val="20"/>
                <w:szCs w:val="20"/>
              </w:rPr>
            </w:pPr>
            <w:r w:rsidRPr="00DD0B49">
              <w:rPr>
                <w:rFonts w:cs="Times New Roman"/>
                <w:sz w:val="20"/>
                <w:szCs w:val="20"/>
              </w:rPr>
              <w:t>201</w:t>
            </w:r>
            <w:r w:rsidR="00323EE2">
              <w:rPr>
                <w:rFonts w:cs="Times New Roman"/>
                <w:sz w:val="20"/>
                <w:szCs w:val="20"/>
              </w:rPr>
              <w:t>2</w:t>
            </w:r>
            <w:r w:rsidRPr="00DD0B49">
              <w:rPr>
                <w:rFonts w:cs="Times New Roman"/>
                <w:sz w:val="20"/>
                <w:szCs w:val="20"/>
              </w:rPr>
              <w:t xml:space="preserve"> CSC 1</w:t>
            </w:r>
            <w:r w:rsidR="00AF72E5">
              <w:rPr>
                <w:rFonts w:cs="Times New Roman"/>
                <w:sz w:val="20"/>
                <w:szCs w:val="20"/>
              </w:rPr>
              <w:t>3</w:t>
            </w:r>
            <w:r w:rsidRPr="00DD0B49">
              <w:rPr>
                <w:rFonts w:cs="Times New Roman"/>
                <w:sz w:val="20"/>
                <w:szCs w:val="20"/>
              </w:rPr>
              <w:t>, [201</w:t>
            </w:r>
            <w:r w:rsidR="00323EE2">
              <w:rPr>
                <w:rFonts w:cs="Times New Roman"/>
                <w:sz w:val="20"/>
                <w:szCs w:val="20"/>
              </w:rPr>
              <w:t>2</w:t>
            </w:r>
            <w:r w:rsidRPr="00DD0B49">
              <w:rPr>
                <w:rFonts w:cs="Times New Roman"/>
                <w:sz w:val="20"/>
                <w:szCs w:val="20"/>
              </w:rPr>
              <w:t xml:space="preserve">] 1 R.C.S. </w:t>
            </w:r>
            <w:r w:rsidR="00AF72E5">
              <w:rPr>
                <w:rFonts w:cs="Times New Roman"/>
                <w:sz w:val="20"/>
                <w:szCs w:val="20"/>
              </w:rPr>
              <w:t>433</w:t>
            </w:r>
          </w:p>
          <w:p w:rsidR="00DD0B49" w:rsidRPr="00DD0B49" w:rsidRDefault="00DD0B49" w:rsidP="003B3977">
            <w:pPr>
              <w:rPr>
                <w:rFonts w:cs="Times New Roman"/>
                <w:sz w:val="20"/>
                <w:szCs w:val="20"/>
              </w:rPr>
            </w:pPr>
          </w:p>
          <w:p w:rsidR="00DD0B49" w:rsidRPr="00AF72E5" w:rsidRDefault="00AF72E5" w:rsidP="003B3977">
            <w:pPr>
              <w:rPr>
                <w:rFonts w:cs="Times New Roman"/>
                <w:sz w:val="20"/>
                <w:szCs w:val="20"/>
              </w:rPr>
            </w:pPr>
            <w:r>
              <w:rPr>
                <w:rFonts w:cs="Times New Roman"/>
                <w:sz w:val="20"/>
                <w:szCs w:val="20"/>
              </w:rPr>
              <w:t xml:space="preserve">Richard </w:t>
            </w:r>
            <w:r w:rsidR="00DD0B49" w:rsidRPr="00AF72E5">
              <w:rPr>
                <w:rFonts w:cs="Times New Roman"/>
                <w:i/>
                <w:iCs/>
                <w:sz w:val="20"/>
                <w:szCs w:val="20"/>
              </w:rPr>
              <w:t xml:space="preserve">c. </w:t>
            </w:r>
            <w:r>
              <w:rPr>
                <w:rFonts w:cs="Times New Roman"/>
                <w:iCs/>
                <w:sz w:val="20"/>
                <w:szCs w:val="20"/>
              </w:rPr>
              <w:t>Ti</w:t>
            </w:r>
            <w:r w:rsidR="00DD0B49" w:rsidRPr="00AF72E5">
              <w:rPr>
                <w:rFonts w:cs="Times New Roman"/>
                <w:iCs/>
                <w:sz w:val="20"/>
                <w:szCs w:val="20"/>
              </w:rPr>
              <w:t>me</w:t>
            </w:r>
            <w:r>
              <w:rPr>
                <w:rFonts w:cs="Times New Roman"/>
                <w:iCs/>
                <w:sz w:val="20"/>
                <w:szCs w:val="20"/>
              </w:rPr>
              <w:t xml:space="preserve"> I</w:t>
            </w:r>
            <w:r w:rsidR="00DD0B49" w:rsidRPr="00AF72E5">
              <w:rPr>
                <w:rFonts w:cs="Times New Roman"/>
                <w:iCs/>
                <w:sz w:val="20"/>
                <w:szCs w:val="20"/>
              </w:rPr>
              <w:t>n</w:t>
            </w:r>
            <w:r>
              <w:rPr>
                <w:rFonts w:cs="Times New Roman"/>
                <w:iCs/>
                <w:sz w:val="20"/>
                <w:szCs w:val="20"/>
              </w:rPr>
              <w:t>c</w:t>
            </w:r>
            <w:r w:rsidR="00536B45">
              <w:rPr>
                <w:rFonts w:cs="Times New Roman"/>
                <w:iCs/>
                <w:sz w:val="20"/>
                <w:szCs w:val="20"/>
              </w:rPr>
              <w:t>.</w:t>
            </w:r>
            <w:r w:rsidR="00DD0B49" w:rsidRPr="00AF72E5">
              <w:rPr>
                <w:rFonts w:cs="Times New Roman"/>
                <w:iCs/>
                <w:sz w:val="20"/>
                <w:szCs w:val="20"/>
              </w:rPr>
              <w:t>,</w:t>
            </w:r>
          </w:p>
          <w:p w:rsidR="00DD0B49" w:rsidRPr="00AF72E5" w:rsidRDefault="00DD0B49" w:rsidP="003B3977">
            <w:pPr>
              <w:rPr>
                <w:rFonts w:cs="Times New Roman"/>
                <w:sz w:val="20"/>
                <w:szCs w:val="20"/>
              </w:rPr>
            </w:pPr>
            <w:r w:rsidRPr="00AF72E5">
              <w:rPr>
                <w:rFonts w:cs="Times New Roman"/>
                <w:sz w:val="20"/>
                <w:szCs w:val="20"/>
              </w:rPr>
              <w:t>201</w:t>
            </w:r>
            <w:r w:rsidR="00323EE2" w:rsidRPr="00AF72E5">
              <w:rPr>
                <w:rFonts w:cs="Times New Roman"/>
                <w:sz w:val="20"/>
                <w:szCs w:val="20"/>
              </w:rPr>
              <w:t>2</w:t>
            </w:r>
            <w:r w:rsidRPr="00AF72E5">
              <w:rPr>
                <w:rFonts w:cs="Times New Roman"/>
                <w:sz w:val="20"/>
                <w:szCs w:val="20"/>
              </w:rPr>
              <w:t xml:space="preserve"> CSC </w:t>
            </w:r>
            <w:r w:rsidR="00AF72E5">
              <w:rPr>
                <w:rFonts w:cs="Times New Roman"/>
                <w:sz w:val="20"/>
                <w:szCs w:val="20"/>
              </w:rPr>
              <w:t>8</w:t>
            </w:r>
            <w:r w:rsidRPr="00AF72E5">
              <w:rPr>
                <w:rFonts w:cs="Times New Roman"/>
                <w:sz w:val="20"/>
                <w:szCs w:val="20"/>
              </w:rPr>
              <w:t>, [201</w:t>
            </w:r>
            <w:r w:rsidR="00323EE2" w:rsidRPr="00AF72E5">
              <w:rPr>
                <w:rFonts w:cs="Times New Roman"/>
                <w:sz w:val="20"/>
                <w:szCs w:val="20"/>
              </w:rPr>
              <w:t>2</w:t>
            </w:r>
            <w:r w:rsidRPr="00AF72E5">
              <w:rPr>
                <w:rFonts w:cs="Times New Roman"/>
                <w:sz w:val="20"/>
                <w:szCs w:val="20"/>
              </w:rPr>
              <w:t xml:space="preserve">] 1 R.C.S. </w:t>
            </w:r>
            <w:r w:rsidR="00AF72E5">
              <w:rPr>
                <w:rFonts w:cs="Times New Roman"/>
                <w:sz w:val="20"/>
                <w:szCs w:val="20"/>
              </w:rPr>
              <w:t>2</w:t>
            </w:r>
            <w:r w:rsidRPr="00AF72E5">
              <w:rPr>
                <w:rFonts w:cs="Times New Roman"/>
                <w:sz w:val="20"/>
                <w:szCs w:val="20"/>
              </w:rPr>
              <w:t>6</w:t>
            </w:r>
            <w:r w:rsidR="00AF72E5">
              <w:rPr>
                <w:rFonts w:cs="Times New Roman"/>
                <w:sz w:val="20"/>
                <w:szCs w:val="20"/>
              </w:rPr>
              <w:t>5</w:t>
            </w:r>
          </w:p>
          <w:p w:rsidR="00DD0B49" w:rsidRPr="00AF72E5" w:rsidRDefault="00DD0B49" w:rsidP="003B3977">
            <w:pPr>
              <w:keepNext/>
              <w:keepLines/>
              <w:rPr>
                <w:rFonts w:cs="Times New Roman"/>
                <w:bCs/>
                <w:sz w:val="20"/>
                <w:szCs w:val="20"/>
              </w:rPr>
            </w:pPr>
          </w:p>
          <w:p w:rsidR="00DD0B49" w:rsidRPr="00DD0B49" w:rsidRDefault="007333FF" w:rsidP="003B3977">
            <w:pPr>
              <w:rPr>
                <w:rFonts w:cs="Times New Roman"/>
                <w:sz w:val="20"/>
                <w:szCs w:val="20"/>
              </w:rPr>
            </w:pPr>
            <w:r w:rsidRPr="007333FF">
              <w:rPr>
                <w:rFonts w:cs="Times New Roman"/>
                <w:sz w:val="20"/>
                <w:szCs w:val="20"/>
              </w:rPr>
              <w:pict>
                <v:rect id="_x0000_i1160" style="width:129.6pt;height:1pt" o:hrpct="600" o:hralign="center" o:hrstd="t" o:hrnoshade="t" o:hr="t" fillcolor="black [3213]" stroked="f"/>
              </w:pict>
            </w:r>
          </w:p>
          <w:p w:rsidR="00DD0B49" w:rsidRPr="00AF72E5" w:rsidRDefault="00DD0B49" w:rsidP="003B3977">
            <w:pPr>
              <w:keepNext/>
              <w:keepLines/>
              <w:rPr>
                <w:rFonts w:cs="Times New Roman"/>
                <w:bCs/>
                <w:sz w:val="20"/>
                <w:szCs w:val="20"/>
              </w:rPr>
            </w:pPr>
          </w:p>
        </w:tc>
      </w:tr>
    </w:tbl>
    <w:p w:rsidR="00DD0B49" w:rsidRPr="00AF72E5" w:rsidRDefault="00DD0B49" w:rsidP="006B6926">
      <w:pPr>
        <w:rPr>
          <w:sz w:val="20"/>
          <w:szCs w:val="20"/>
        </w:rPr>
      </w:pPr>
    </w:p>
    <w:p w:rsidR="00DD0B49" w:rsidRPr="00AF72E5" w:rsidRDefault="00DD0B49" w:rsidP="006B6926">
      <w:pPr>
        <w:rPr>
          <w:sz w:val="20"/>
          <w:szCs w:val="20"/>
        </w:rPr>
      </w:pPr>
    </w:p>
    <w:p w:rsidR="00DD0B49" w:rsidRPr="00AF72E5" w:rsidRDefault="00DD0B49" w:rsidP="006B6926">
      <w:pPr>
        <w:rPr>
          <w:sz w:val="20"/>
          <w:szCs w:val="20"/>
        </w:rPr>
      </w:pPr>
    </w:p>
    <w:p w:rsidR="006B6926" w:rsidRPr="00AF72E5" w:rsidRDefault="006B6926">
      <w:pPr>
        <w:rPr>
          <w:sz w:val="20"/>
          <w:szCs w:val="20"/>
        </w:rPr>
      </w:pPr>
    </w:p>
    <w:p w:rsidR="006B6926" w:rsidRPr="00AF72E5" w:rsidRDefault="006B6926" w:rsidP="00782AE4">
      <w:pPr>
        <w:jc w:val="both"/>
        <w:rPr>
          <w:sz w:val="20"/>
          <w:szCs w:val="20"/>
        </w:rPr>
      </w:pPr>
    </w:p>
    <w:p w:rsidR="006B6926" w:rsidRPr="00AF72E5" w:rsidRDefault="006B6926" w:rsidP="00782AE4">
      <w:pPr>
        <w:jc w:val="both"/>
        <w:rPr>
          <w:sz w:val="20"/>
          <w:szCs w:val="20"/>
        </w:rPr>
      </w:pPr>
    </w:p>
    <w:p w:rsidR="006B6926" w:rsidRPr="00AF72E5" w:rsidRDefault="006B6926" w:rsidP="00782AE4">
      <w:pPr>
        <w:jc w:val="both"/>
        <w:rPr>
          <w:sz w:val="20"/>
          <w:szCs w:val="20"/>
        </w:rPr>
        <w:sectPr w:rsidR="006B6926" w:rsidRPr="00AF72E5" w:rsidSect="006B6926">
          <w:headerReference w:type="default" r:id="rId54"/>
          <w:footerReference w:type="default" r:id="rId55"/>
          <w:headerReference w:type="first" r:id="rId56"/>
          <w:footerReference w:type="first" r:id="rId57"/>
          <w:pgSz w:w="12240" w:h="15840"/>
          <w:pgMar w:top="720" w:right="965" w:bottom="1080" w:left="1656" w:header="720" w:footer="965" w:gutter="0"/>
          <w:cols w:space="720"/>
          <w:titlePg/>
          <w:docGrid w:linePitch="326"/>
        </w:sectPr>
      </w:pPr>
    </w:p>
    <w:p w:rsidR="00091FA6" w:rsidRPr="002E0C7E" w:rsidRDefault="007333FF"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957F2F">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57F2F">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57F2F">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57F2F">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57F2F">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957F2F">
            <w:pPr>
              <w:widowControl w:val="0"/>
              <w:jc w:val="center"/>
              <w:rPr>
                <w:rFonts w:ascii="Arial" w:hAnsi="Arial"/>
                <w:sz w:val="14"/>
              </w:rPr>
            </w:pPr>
            <w:r w:rsidRPr="002E0C7E">
              <w:rPr>
                <w:rFonts w:ascii="Arial" w:hAnsi="Arial"/>
                <w:b/>
                <w:sz w:val="14"/>
              </w:rPr>
              <w:t>DECEMBER - DÉCEMBRE</w:t>
            </w:r>
          </w:p>
        </w:tc>
      </w:tr>
      <w:tr w:rsidR="00091FA6" w:rsidRPr="002E0C7E" w:rsidTr="00957F2F">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S</w:t>
            </w:r>
          </w:p>
          <w:p w:rsidR="00091FA6" w:rsidRPr="002E0C7E" w:rsidRDefault="00091FA6" w:rsidP="00957F2F">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M</w:t>
            </w:r>
          </w:p>
          <w:p w:rsidR="00091FA6" w:rsidRPr="002E0C7E" w:rsidRDefault="00091FA6" w:rsidP="00957F2F">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T</w:t>
            </w:r>
          </w:p>
          <w:p w:rsidR="00091FA6" w:rsidRPr="002E0C7E" w:rsidRDefault="00091FA6" w:rsidP="00957F2F">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W</w:t>
            </w:r>
          </w:p>
          <w:p w:rsidR="00091FA6" w:rsidRPr="002E0C7E" w:rsidRDefault="00091FA6" w:rsidP="00957F2F">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T</w:t>
            </w:r>
          </w:p>
          <w:p w:rsidR="00091FA6" w:rsidRPr="002E0C7E" w:rsidRDefault="00091FA6" w:rsidP="00957F2F">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F</w:t>
            </w:r>
          </w:p>
          <w:p w:rsidR="00091FA6" w:rsidRPr="002E0C7E" w:rsidRDefault="00091FA6" w:rsidP="00957F2F">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S</w:t>
            </w:r>
          </w:p>
          <w:p w:rsidR="00091FA6" w:rsidRPr="002E0C7E" w:rsidRDefault="00091FA6" w:rsidP="00957F2F">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S</w:t>
            </w:r>
          </w:p>
          <w:p w:rsidR="00091FA6" w:rsidRPr="002E0C7E" w:rsidRDefault="00091FA6" w:rsidP="00957F2F">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M</w:t>
            </w:r>
          </w:p>
          <w:p w:rsidR="00091FA6" w:rsidRPr="002E0C7E" w:rsidRDefault="00091FA6" w:rsidP="00957F2F">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T</w:t>
            </w:r>
          </w:p>
          <w:p w:rsidR="00091FA6" w:rsidRPr="002E0C7E" w:rsidRDefault="00091FA6" w:rsidP="00957F2F">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W</w:t>
            </w:r>
          </w:p>
          <w:p w:rsidR="00091FA6" w:rsidRPr="002E0C7E" w:rsidRDefault="00091FA6" w:rsidP="00957F2F">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T</w:t>
            </w:r>
          </w:p>
          <w:p w:rsidR="00091FA6" w:rsidRPr="002E0C7E" w:rsidRDefault="00091FA6" w:rsidP="00957F2F">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F</w:t>
            </w:r>
          </w:p>
          <w:p w:rsidR="00091FA6" w:rsidRPr="002E0C7E" w:rsidRDefault="00091FA6" w:rsidP="00957F2F">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S</w:t>
            </w:r>
          </w:p>
          <w:p w:rsidR="00091FA6" w:rsidRPr="002E0C7E" w:rsidRDefault="00091FA6" w:rsidP="00957F2F">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S</w:t>
            </w:r>
          </w:p>
          <w:p w:rsidR="00091FA6" w:rsidRPr="002E0C7E" w:rsidRDefault="00091FA6" w:rsidP="00957F2F">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M</w:t>
            </w:r>
          </w:p>
          <w:p w:rsidR="00091FA6" w:rsidRPr="002E0C7E" w:rsidRDefault="00091FA6" w:rsidP="00957F2F">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T</w:t>
            </w:r>
          </w:p>
          <w:p w:rsidR="00091FA6" w:rsidRPr="002E0C7E" w:rsidRDefault="00091FA6" w:rsidP="00957F2F">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W</w:t>
            </w:r>
          </w:p>
          <w:p w:rsidR="00091FA6" w:rsidRPr="002E0C7E" w:rsidRDefault="00091FA6" w:rsidP="00957F2F">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T</w:t>
            </w:r>
          </w:p>
          <w:p w:rsidR="00091FA6" w:rsidRPr="002E0C7E" w:rsidRDefault="00091FA6" w:rsidP="00957F2F">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F</w:t>
            </w:r>
          </w:p>
          <w:p w:rsidR="00091FA6" w:rsidRPr="002E0C7E" w:rsidRDefault="00091FA6" w:rsidP="00957F2F">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S</w:t>
            </w:r>
          </w:p>
          <w:p w:rsidR="00091FA6" w:rsidRPr="002E0C7E" w:rsidRDefault="00091FA6" w:rsidP="00957F2F">
            <w:pPr>
              <w:widowControl w:val="0"/>
              <w:jc w:val="center"/>
              <w:rPr>
                <w:rFonts w:ascii="Arial" w:hAnsi="Arial"/>
                <w:sz w:val="14"/>
              </w:rPr>
            </w:pPr>
            <w:r w:rsidRPr="002E0C7E">
              <w:rPr>
                <w:rFonts w:ascii="Arial" w:hAnsi="Arial"/>
                <w:sz w:val="14"/>
              </w:rPr>
              <w:t>S</w:t>
            </w:r>
          </w:p>
        </w:tc>
      </w:tr>
      <w:tr w:rsidR="00091FA6" w:rsidRPr="002E0C7E" w:rsidTr="00957F2F">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1</w:t>
            </w:r>
          </w:p>
        </w:tc>
      </w:tr>
      <w:tr w:rsidR="00091FA6" w:rsidRPr="002E0C7E" w:rsidTr="00957F2F">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957F2F">
            <w:pPr>
              <w:widowControl w:val="0"/>
              <w:jc w:val="center"/>
              <w:rPr>
                <w:rFonts w:ascii="Arial" w:hAnsi="Arial"/>
                <w:b/>
                <w:sz w:val="14"/>
              </w:rPr>
            </w:pPr>
            <w:r w:rsidRPr="000C583B">
              <w:rPr>
                <w:rFonts w:ascii="Arial" w:hAnsi="Arial"/>
                <w:b/>
                <w:sz w:val="14"/>
              </w:rPr>
              <w:t>H</w:t>
            </w:r>
          </w:p>
          <w:p w:rsidR="00091FA6" w:rsidRPr="002E0C7E" w:rsidRDefault="00091FA6" w:rsidP="00957F2F">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957F2F">
            <w:pPr>
              <w:widowControl w:val="0"/>
              <w:jc w:val="center"/>
              <w:rPr>
                <w:rFonts w:ascii="Arial" w:hAnsi="Arial"/>
                <w:b/>
                <w:sz w:val="14"/>
              </w:rPr>
            </w:pPr>
            <w:r w:rsidRPr="000C583B">
              <w:rPr>
                <w:rFonts w:ascii="Arial" w:hAnsi="Arial"/>
                <w:b/>
                <w:sz w:val="14"/>
              </w:rPr>
              <w:t>M</w:t>
            </w:r>
          </w:p>
          <w:p w:rsidR="00091FA6" w:rsidRPr="002E0C7E" w:rsidRDefault="00091FA6" w:rsidP="00957F2F">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b/>
                <w:sz w:val="14"/>
              </w:rPr>
              <w:t>M</w:t>
            </w:r>
          </w:p>
          <w:p w:rsidR="00091FA6" w:rsidRPr="002E0C7E" w:rsidRDefault="00091FA6" w:rsidP="00957F2F">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b/>
                <w:sz w:val="14"/>
              </w:rPr>
              <w:t>M</w:t>
            </w:r>
          </w:p>
          <w:p w:rsidR="00091FA6" w:rsidRPr="002E0C7E" w:rsidRDefault="00091FA6" w:rsidP="00957F2F">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8</w:t>
            </w:r>
          </w:p>
        </w:tc>
      </w:tr>
      <w:tr w:rsidR="00091FA6" w:rsidRPr="002E0C7E" w:rsidTr="00957F2F">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957F2F">
            <w:pPr>
              <w:widowControl w:val="0"/>
              <w:jc w:val="center"/>
              <w:rPr>
                <w:rFonts w:ascii="Arial" w:hAnsi="Arial"/>
                <w:b/>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957F2F">
            <w:pPr>
              <w:widowControl w:val="0"/>
              <w:jc w:val="center"/>
              <w:rPr>
                <w:rFonts w:ascii="Arial" w:hAnsi="Arial"/>
                <w:sz w:val="14"/>
              </w:rPr>
            </w:pPr>
            <w:r>
              <w:rPr>
                <w:rFonts w:ascii="Arial" w:hAnsi="Arial"/>
                <w:b/>
                <w:sz w:val="14"/>
              </w:rPr>
              <w:t>H</w:t>
            </w: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957F2F">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957F2F">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Pr>
                <w:rFonts w:ascii="Arial" w:hAnsi="Arial"/>
                <w:sz w:val="14"/>
              </w:rPr>
              <w:t>23</w:t>
            </w:r>
          </w:p>
          <w:p w:rsidR="00091FA6" w:rsidRPr="002E0C7E" w:rsidRDefault="00091FA6" w:rsidP="00957F2F">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Pr>
                <w:rFonts w:ascii="Arial" w:hAnsi="Arial"/>
                <w:sz w:val="14"/>
              </w:rPr>
              <w:t>24</w:t>
            </w:r>
          </w:p>
          <w:p w:rsidR="00091FA6" w:rsidRPr="002E0C7E" w:rsidRDefault="00091FA6" w:rsidP="00957F2F">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b/>
                <w:sz w:val="14"/>
              </w:rPr>
              <w:t>H</w:t>
            </w: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957F2F">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57F2F">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57F2F">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57F2F">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57F2F">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957F2F">
            <w:pPr>
              <w:widowControl w:val="0"/>
              <w:jc w:val="center"/>
              <w:rPr>
                <w:rFonts w:ascii="Arial" w:hAnsi="Arial"/>
                <w:sz w:val="14"/>
              </w:rPr>
            </w:pPr>
            <w:r w:rsidRPr="002E0C7E">
              <w:rPr>
                <w:rFonts w:ascii="Arial" w:hAnsi="Arial"/>
                <w:b/>
                <w:sz w:val="14"/>
              </w:rPr>
              <w:t>MARCH - MARS</w:t>
            </w:r>
          </w:p>
        </w:tc>
      </w:tr>
      <w:tr w:rsidR="00091FA6" w:rsidRPr="002E0C7E" w:rsidTr="00957F2F">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S</w:t>
            </w:r>
          </w:p>
          <w:p w:rsidR="00091FA6" w:rsidRPr="002E0C7E" w:rsidRDefault="00091FA6" w:rsidP="00957F2F">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M</w:t>
            </w:r>
          </w:p>
          <w:p w:rsidR="00091FA6" w:rsidRPr="002E0C7E" w:rsidRDefault="00091FA6" w:rsidP="00957F2F">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T</w:t>
            </w:r>
          </w:p>
          <w:p w:rsidR="00091FA6" w:rsidRPr="002E0C7E" w:rsidRDefault="00091FA6" w:rsidP="00957F2F">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W</w:t>
            </w:r>
          </w:p>
          <w:p w:rsidR="00091FA6" w:rsidRPr="002E0C7E" w:rsidRDefault="00091FA6" w:rsidP="00957F2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T</w:t>
            </w:r>
          </w:p>
          <w:p w:rsidR="00091FA6" w:rsidRPr="002E0C7E" w:rsidRDefault="00091FA6" w:rsidP="00957F2F">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F</w:t>
            </w:r>
          </w:p>
          <w:p w:rsidR="00091FA6" w:rsidRPr="002E0C7E" w:rsidRDefault="00091FA6" w:rsidP="00957F2F">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S</w:t>
            </w:r>
          </w:p>
          <w:p w:rsidR="00091FA6" w:rsidRPr="002E0C7E" w:rsidRDefault="00091FA6" w:rsidP="00957F2F">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S</w:t>
            </w:r>
          </w:p>
          <w:p w:rsidR="00091FA6" w:rsidRPr="002E0C7E" w:rsidRDefault="00091FA6" w:rsidP="00957F2F">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M</w:t>
            </w:r>
          </w:p>
          <w:p w:rsidR="00091FA6" w:rsidRPr="002E0C7E" w:rsidRDefault="00091FA6" w:rsidP="00957F2F">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T</w:t>
            </w:r>
          </w:p>
          <w:p w:rsidR="00091FA6" w:rsidRPr="002E0C7E" w:rsidRDefault="00091FA6" w:rsidP="00957F2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W</w:t>
            </w:r>
          </w:p>
          <w:p w:rsidR="00091FA6" w:rsidRPr="002E0C7E" w:rsidRDefault="00091FA6" w:rsidP="00957F2F">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T</w:t>
            </w:r>
          </w:p>
          <w:p w:rsidR="00091FA6" w:rsidRPr="002E0C7E" w:rsidRDefault="00091FA6" w:rsidP="00957F2F">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F</w:t>
            </w:r>
          </w:p>
          <w:p w:rsidR="00091FA6" w:rsidRPr="002E0C7E" w:rsidRDefault="00091FA6" w:rsidP="00957F2F">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S</w:t>
            </w:r>
          </w:p>
          <w:p w:rsidR="00091FA6" w:rsidRPr="002E0C7E" w:rsidRDefault="00091FA6" w:rsidP="00957F2F">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S</w:t>
            </w:r>
          </w:p>
          <w:p w:rsidR="00091FA6" w:rsidRPr="002E0C7E" w:rsidRDefault="00091FA6" w:rsidP="00957F2F">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M</w:t>
            </w:r>
          </w:p>
          <w:p w:rsidR="00091FA6" w:rsidRPr="002E0C7E" w:rsidRDefault="00091FA6" w:rsidP="00957F2F">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T</w:t>
            </w:r>
          </w:p>
          <w:p w:rsidR="00091FA6" w:rsidRPr="002E0C7E" w:rsidRDefault="00091FA6" w:rsidP="00957F2F">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W</w:t>
            </w:r>
          </w:p>
          <w:p w:rsidR="00091FA6" w:rsidRPr="002E0C7E" w:rsidRDefault="00091FA6" w:rsidP="00957F2F">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T</w:t>
            </w:r>
          </w:p>
          <w:p w:rsidR="00091FA6" w:rsidRPr="002E0C7E" w:rsidRDefault="00091FA6" w:rsidP="00957F2F">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F</w:t>
            </w:r>
          </w:p>
          <w:p w:rsidR="00091FA6" w:rsidRPr="002E0C7E" w:rsidRDefault="00091FA6" w:rsidP="00957F2F">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S</w:t>
            </w:r>
          </w:p>
          <w:p w:rsidR="00091FA6" w:rsidRPr="002E0C7E" w:rsidRDefault="00091FA6" w:rsidP="00957F2F">
            <w:pPr>
              <w:widowControl w:val="0"/>
              <w:jc w:val="center"/>
              <w:rPr>
                <w:rFonts w:ascii="Arial" w:hAnsi="Arial"/>
                <w:sz w:val="14"/>
              </w:rPr>
            </w:pPr>
            <w:r w:rsidRPr="002E0C7E">
              <w:rPr>
                <w:rFonts w:ascii="Arial" w:hAnsi="Arial"/>
                <w:sz w:val="14"/>
              </w:rPr>
              <w:t>S</w:t>
            </w:r>
          </w:p>
        </w:tc>
      </w:tr>
      <w:tr w:rsidR="00091FA6" w:rsidRPr="002E0C7E" w:rsidTr="00957F2F">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957F2F">
            <w:pPr>
              <w:widowControl w:val="0"/>
              <w:jc w:val="center"/>
              <w:rPr>
                <w:rFonts w:ascii="Arial" w:hAnsi="Arial"/>
                <w:b/>
                <w:sz w:val="14"/>
              </w:rPr>
            </w:pPr>
            <w:r>
              <w:rPr>
                <w:rFonts w:ascii="Arial" w:hAnsi="Arial"/>
                <w:b/>
                <w:sz w:val="14"/>
              </w:rPr>
              <w:t>H</w:t>
            </w:r>
          </w:p>
          <w:p w:rsidR="00091FA6" w:rsidRPr="002E0C7E" w:rsidRDefault="00091FA6" w:rsidP="00957F2F">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w:t>
            </w:r>
          </w:p>
        </w:tc>
      </w:tr>
      <w:tr w:rsidR="00091FA6" w:rsidRPr="002E0C7E" w:rsidTr="00957F2F">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9</w:t>
            </w:r>
          </w:p>
        </w:tc>
      </w:tr>
      <w:tr w:rsidR="00091FA6" w:rsidRPr="002E0C7E" w:rsidTr="00957F2F">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957F2F">
            <w:pPr>
              <w:widowControl w:val="0"/>
              <w:jc w:val="center"/>
              <w:rPr>
                <w:rFonts w:ascii="Arial" w:hAnsi="Arial"/>
                <w:b/>
                <w:sz w:val="14"/>
              </w:rPr>
            </w:pPr>
            <w:r>
              <w:rPr>
                <w:rFonts w:ascii="Arial" w:hAnsi="Arial"/>
                <w:b/>
                <w:sz w:val="14"/>
              </w:rPr>
              <w:t>M</w:t>
            </w: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957F2F">
            <w:pPr>
              <w:widowControl w:val="0"/>
              <w:jc w:val="center"/>
              <w:rPr>
                <w:rFonts w:ascii="Arial" w:hAnsi="Arial"/>
                <w:b/>
                <w:sz w:val="14"/>
              </w:rPr>
            </w:pPr>
            <w:r>
              <w:rPr>
                <w:rFonts w:ascii="Arial" w:hAnsi="Arial"/>
                <w:b/>
                <w:sz w:val="14"/>
              </w:rPr>
              <w:t>M</w:t>
            </w: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957F2F">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957F2F">
            <w:pPr>
              <w:widowControl w:val="0"/>
              <w:jc w:val="center"/>
              <w:rPr>
                <w:rFonts w:ascii="Arial" w:hAnsi="Arial"/>
                <w:b/>
                <w:sz w:val="14"/>
              </w:rPr>
            </w:pPr>
            <w:r>
              <w:rPr>
                <w:rFonts w:ascii="Arial" w:hAnsi="Arial"/>
                <w:b/>
                <w:sz w:val="14"/>
              </w:rPr>
              <w:t>M</w:t>
            </w: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957F2F">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Pr>
                <w:rFonts w:ascii="Arial" w:hAnsi="Arial"/>
                <w:sz w:val="14"/>
              </w:rPr>
              <w:t>24</w:t>
            </w:r>
          </w:p>
          <w:p w:rsidR="00091FA6" w:rsidRPr="002E0C7E" w:rsidRDefault="00091FA6" w:rsidP="00957F2F">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957F2F">
            <w:pPr>
              <w:widowControl w:val="0"/>
              <w:jc w:val="center"/>
              <w:rPr>
                <w:rFonts w:ascii="Arial" w:hAnsi="Arial"/>
                <w:b/>
                <w:sz w:val="14"/>
              </w:rPr>
            </w:pPr>
            <w:r w:rsidRPr="00261B35">
              <w:rPr>
                <w:rFonts w:ascii="Arial" w:hAnsi="Arial"/>
                <w:b/>
                <w:sz w:val="14"/>
              </w:rPr>
              <w:t>H</w:t>
            </w:r>
          </w:p>
          <w:p w:rsidR="00091FA6" w:rsidRPr="002E0C7E" w:rsidRDefault="00091FA6" w:rsidP="00957F2F">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957F2F">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57F2F">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57F2F">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57F2F">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57F2F">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957F2F">
            <w:pPr>
              <w:widowControl w:val="0"/>
              <w:jc w:val="center"/>
              <w:rPr>
                <w:rFonts w:ascii="Arial" w:hAnsi="Arial"/>
                <w:sz w:val="14"/>
              </w:rPr>
            </w:pPr>
            <w:r w:rsidRPr="002E0C7E">
              <w:rPr>
                <w:rFonts w:ascii="Arial" w:hAnsi="Arial"/>
                <w:b/>
                <w:sz w:val="14"/>
              </w:rPr>
              <w:t>JUNE - JUIN</w:t>
            </w:r>
          </w:p>
        </w:tc>
      </w:tr>
      <w:tr w:rsidR="00091FA6" w:rsidRPr="002E0C7E" w:rsidTr="00957F2F">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S</w:t>
            </w:r>
          </w:p>
          <w:p w:rsidR="00091FA6" w:rsidRPr="002E0C7E" w:rsidRDefault="00091FA6" w:rsidP="00957F2F">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M</w:t>
            </w:r>
          </w:p>
          <w:p w:rsidR="00091FA6" w:rsidRPr="002E0C7E" w:rsidRDefault="00091FA6" w:rsidP="00957F2F">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T</w:t>
            </w:r>
          </w:p>
          <w:p w:rsidR="00091FA6" w:rsidRPr="002E0C7E" w:rsidRDefault="00091FA6" w:rsidP="00957F2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W</w:t>
            </w:r>
          </w:p>
          <w:p w:rsidR="00091FA6" w:rsidRPr="002E0C7E" w:rsidRDefault="00091FA6" w:rsidP="00957F2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T</w:t>
            </w:r>
          </w:p>
          <w:p w:rsidR="00091FA6" w:rsidRPr="002E0C7E" w:rsidRDefault="00091FA6" w:rsidP="00957F2F">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F</w:t>
            </w:r>
          </w:p>
          <w:p w:rsidR="00091FA6" w:rsidRPr="002E0C7E" w:rsidRDefault="00091FA6" w:rsidP="00957F2F">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S</w:t>
            </w:r>
          </w:p>
          <w:p w:rsidR="00091FA6" w:rsidRPr="002E0C7E" w:rsidRDefault="00091FA6" w:rsidP="00957F2F">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S</w:t>
            </w:r>
          </w:p>
          <w:p w:rsidR="00091FA6" w:rsidRPr="002E0C7E" w:rsidRDefault="00091FA6" w:rsidP="00957F2F">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M</w:t>
            </w:r>
          </w:p>
          <w:p w:rsidR="00091FA6" w:rsidRPr="002E0C7E" w:rsidRDefault="00091FA6" w:rsidP="00957F2F">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T</w:t>
            </w:r>
          </w:p>
          <w:p w:rsidR="00091FA6" w:rsidRPr="002E0C7E" w:rsidRDefault="00091FA6" w:rsidP="00957F2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W</w:t>
            </w:r>
          </w:p>
          <w:p w:rsidR="00091FA6" w:rsidRPr="002E0C7E" w:rsidRDefault="00091FA6" w:rsidP="00957F2F">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T</w:t>
            </w:r>
          </w:p>
          <w:p w:rsidR="00091FA6" w:rsidRPr="002E0C7E" w:rsidRDefault="00091FA6" w:rsidP="00957F2F">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F</w:t>
            </w:r>
          </w:p>
          <w:p w:rsidR="00091FA6" w:rsidRPr="002E0C7E" w:rsidRDefault="00091FA6" w:rsidP="00957F2F">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S</w:t>
            </w:r>
          </w:p>
          <w:p w:rsidR="00091FA6" w:rsidRPr="002E0C7E" w:rsidRDefault="00091FA6" w:rsidP="00957F2F">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S</w:t>
            </w:r>
          </w:p>
          <w:p w:rsidR="00091FA6" w:rsidRPr="002E0C7E" w:rsidRDefault="00091FA6" w:rsidP="00957F2F">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M</w:t>
            </w:r>
          </w:p>
          <w:p w:rsidR="00091FA6" w:rsidRPr="002E0C7E" w:rsidRDefault="00091FA6" w:rsidP="00957F2F">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T</w:t>
            </w:r>
          </w:p>
          <w:p w:rsidR="00091FA6" w:rsidRPr="002E0C7E" w:rsidRDefault="00091FA6" w:rsidP="00957F2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W</w:t>
            </w:r>
          </w:p>
          <w:p w:rsidR="00091FA6" w:rsidRPr="002E0C7E" w:rsidRDefault="00091FA6" w:rsidP="00957F2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T</w:t>
            </w:r>
          </w:p>
          <w:p w:rsidR="00091FA6" w:rsidRPr="002E0C7E" w:rsidRDefault="00091FA6" w:rsidP="00957F2F">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F</w:t>
            </w:r>
          </w:p>
          <w:p w:rsidR="00091FA6" w:rsidRPr="002E0C7E" w:rsidRDefault="00091FA6" w:rsidP="00957F2F">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sidRPr="002E0C7E">
              <w:rPr>
                <w:rFonts w:ascii="Arial" w:hAnsi="Arial"/>
                <w:sz w:val="14"/>
              </w:rPr>
              <w:t>s</w:t>
            </w:r>
          </w:p>
          <w:p w:rsidR="00091FA6" w:rsidRPr="002E0C7E" w:rsidRDefault="00091FA6" w:rsidP="00957F2F">
            <w:pPr>
              <w:widowControl w:val="0"/>
              <w:jc w:val="center"/>
              <w:rPr>
                <w:rFonts w:ascii="Arial" w:hAnsi="Arial"/>
                <w:sz w:val="14"/>
              </w:rPr>
            </w:pPr>
            <w:r w:rsidRPr="002E0C7E">
              <w:rPr>
                <w:rFonts w:ascii="Arial" w:hAnsi="Arial"/>
                <w:sz w:val="14"/>
              </w:rPr>
              <w:t>s</w:t>
            </w:r>
          </w:p>
        </w:tc>
      </w:tr>
      <w:tr w:rsidR="00091FA6" w:rsidRPr="002E0C7E" w:rsidTr="00957F2F">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957F2F">
            <w:pPr>
              <w:widowControl w:val="0"/>
              <w:jc w:val="center"/>
              <w:rPr>
                <w:rFonts w:ascii="Arial" w:hAnsi="Arial"/>
                <w:b/>
                <w:sz w:val="14"/>
              </w:rPr>
            </w:pPr>
            <w:r w:rsidRPr="002453E3">
              <w:rPr>
                <w:rFonts w:ascii="Arial" w:hAnsi="Arial"/>
                <w:b/>
                <w:sz w:val="14"/>
              </w:rPr>
              <w:t>H</w:t>
            </w:r>
          </w:p>
          <w:p w:rsidR="00091FA6" w:rsidRPr="002E0C7E" w:rsidRDefault="00091FA6" w:rsidP="00957F2F">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b/>
                <w:sz w:val="14"/>
              </w:rPr>
            </w:pPr>
          </w:p>
          <w:p w:rsidR="00091FA6" w:rsidRPr="002E0C7E" w:rsidRDefault="00091FA6" w:rsidP="00957F2F">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1</w:t>
            </w:r>
          </w:p>
        </w:tc>
      </w:tr>
      <w:tr w:rsidR="00091FA6" w:rsidRPr="002E0C7E" w:rsidTr="00957F2F">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957F2F">
            <w:pPr>
              <w:widowControl w:val="0"/>
              <w:jc w:val="center"/>
              <w:rPr>
                <w:rFonts w:ascii="Arial" w:hAnsi="Arial"/>
                <w:b/>
                <w:sz w:val="14"/>
              </w:rPr>
            </w:pPr>
          </w:p>
          <w:p w:rsidR="00091FA6" w:rsidRPr="002E0C7E" w:rsidRDefault="00091FA6" w:rsidP="00957F2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8</w:t>
            </w:r>
          </w:p>
        </w:tc>
      </w:tr>
      <w:tr w:rsidR="00091FA6" w:rsidRPr="002E0C7E" w:rsidTr="00957F2F">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957F2F">
            <w:pPr>
              <w:widowControl w:val="0"/>
              <w:jc w:val="center"/>
              <w:rPr>
                <w:rFonts w:ascii="Arial" w:hAnsi="Arial"/>
                <w:b/>
                <w:sz w:val="14"/>
              </w:rPr>
            </w:pPr>
            <w:r w:rsidRPr="00DB5777">
              <w:rPr>
                <w:rFonts w:ascii="Arial" w:hAnsi="Arial"/>
                <w:b/>
                <w:sz w:val="14"/>
              </w:rPr>
              <w:t>M</w:t>
            </w: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957F2F">
            <w:pPr>
              <w:widowControl w:val="0"/>
              <w:jc w:val="center"/>
              <w:rPr>
                <w:rFonts w:ascii="Arial" w:hAnsi="Arial"/>
                <w:b/>
                <w:sz w:val="14"/>
              </w:rPr>
            </w:pPr>
            <w:r w:rsidRPr="002453E3">
              <w:rPr>
                <w:rFonts w:ascii="Arial" w:hAnsi="Arial"/>
                <w:b/>
                <w:sz w:val="14"/>
              </w:rPr>
              <w:t>M</w:t>
            </w: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957F2F">
            <w:pPr>
              <w:widowControl w:val="0"/>
              <w:jc w:val="center"/>
              <w:rPr>
                <w:rFonts w:ascii="Arial" w:hAnsi="Arial"/>
                <w:b/>
                <w:sz w:val="14"/>
              </w:rPr>
            </w:pPr>
            <w:r w:rsidRPr="006A1E8D">
              <w:rPr>
                <w:rFonts w:ascii="Arial" w:hAnsi="Arial"/>
                <w:b/>
                <w:sz w:val="14"/>
              </w:rPr>
              <w:t>M</w:t>
            </w: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957F2F">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957F2F">
            <w:pPr>
              <w:widowControl w:val="0"/>
              <w:jc w:val="center"/>
              <w:rPr>
                <w:rFonts w:ascii="Arial" w:hAnsi="Arial"/>
                <w:b/>
                <w:sz w:val="14"/>
              </w:rPr>
            </w:pPr>
            <w:r>
              <w:rPr>
                <w:rFonts w:ascii="Arial" w:hAnsi="Arial"/>
                <w:b/>
                <w:sz w:val="14"/>
              </w:rPr>
              <w:t>H</w:t>
            </w: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957F2F">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r>
              <w:rPr>
                <w:rFonts w:ascii="Arial" w:hAnsi="Arial"/>
                <w:sz w:val="14"/>
              </w:rPr>
              <w:t>23</w:t>
            </w:r>
          </w:p>
          <w:p w:rsidR="00091FA6" w:rsidRPr="002E0C7E" w:rsidRDefault="00091FA6" w:rsidP="00957F2F">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57F2F">
            <w:pPr>
              <w:widowControl w:val="0"/>
              <w:jc w:val="center"/>
              <w:rPr>
                <w:rFonts w:ascii="Arial" w:hAnsi="Arial"/>
                <w:sz w:val="14"/>
              </w:rPr>
            </w:pPr>
          </w:p>
          <w:p w:rsidR="00091FA6" w:rsidRPr="002E0C7E" w:rsidRDefault="00091FA6" w:rsidP="00957F2F">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957F2F">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957F2F">
            <w:pPr>
              <w:widowControl w:val="0"/>
              <w:rPr>
                <w:rFonts w:ascii="Arial" w:hAnsi="Arial"/>
                <w:sz w:val="16"/>
              </w:rPr>
            </w:pPr>
            <w:r w:rsidRPr="002E0C7E">
              <w:rPr>
                <w:rFonts w:ascii="Arial" w:hAnsi="Arial"/>
                <w:sz w:val="16"/>
              </w:rPr>
              <w:t>Sittings of the court:</w:t>
            </w:r>
          </w:p>
          <w:p w:rsidR="00091FA6" w:rsidRPr="002E0C7E" w:rsidRDefault="00091FA6" w:rsidP="00957F2F">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957F2F">
            <w:pPr>
              <w:widowControl w:val="0"/>
              <w:rPr>
                <w:rFonts w:ascii="Arial" w:hAnsi="Arial"/>
                <w:sz w:val="16"/>
              </w:rPr>
            </w:pPr>
          </w:p>
          <w:p w:rsidR="00091FA6" w:rsidRPr="002E0C7E" w:rsidRDefault="00091FA6" w:rsidP="00957F2F">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957F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957F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957F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957F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957F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957F2F">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957F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957F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957F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957F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957F2F">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957F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957F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957F2F">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957F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58"/>
      <w:footerReference w:type="default" r:id="rId59"/>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47E" w:rsidRDefault="00C4747E" w:rsidP="00A87207">
      <w:r>
        <w:separator/>
      </w:r>
    </w:p>
  </w:endnote>
  <w:endnote w:type="continuationSeparator" w:id="0">
    <w:p w:rsidR="00C4747E" w:rsidRDefault="00C4747E"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5B" w:rsidRDefault="00B6145B">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7333FF">
    <w:pPr>
      <w:pStyle w:val="Footer"/>
      <w:rPr>
        <w:lang w:val="fr-CA"/>
      </w:rPr>
    </w:pPr>
    <w:r w:rsidRPr="007333FF">
      <w:rPr>
        <w:lang w:val="fr-CA"/>
      </w:rPr>
      <w:pict>
        <v:rect id="_x0000_i1117" style="width:480.95pt;height:1pt" o:hralign="center" o:hrstd="t" o:hrnoshade="t" o:hr="t" fillcolor="black [3213]" stroked="f"/>
      </w:pict>
    </w:r>
  </w:p>
  <w:p w:rsidR="00C4747E" w:rsidRDefault="00C4747E" w:rsidP="00245129">
    <w:pPr>
      <w:tabs>
        <w:tab w:val="center" w:pos="4680"/>
      </w:tabs>
    </w:pPr>
    <w:r>
      <w:tab/>
    </w:r>
    <w:r w:rsidRPr="0009648D">
      <w:t xml:space="preserve">- </w:t>
    </w:r>
    <w:fldSimple w:instr=" PAGE   \* MERGEFORMAT ">
      <w:r w:rsidR="003626B6">
        <w:rPr>
          <w:noProof/>
        </w:rPr>
        <w:t>1180</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C47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4747E" w:rsidRDefault="00C47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4747E" w:rsidRDefault="00C4747E">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7333FF" w:rsidP="00755F22">
    <w:pPr>
      <w:tabs>
        <w:tab w:val="left" w:pos="-1440"/>
        <w:tab w:val="left" w:pos="-720"/>
      </w:tabs>
    </w:pPr>
    <w:r>
      <w:pict>
        <v:rect id="_x0000_i1137" style="width:480.95pt;height:1pt" o:hralign="center" o:hrstd="t" o:hrnoshade="t" o:hr="t" fillcolor="black [3213]" stroked="f"/>
      </w:pict>
    </w:r>
  </w:p>
  <w:p w:rsidR="00C4747E" w:rsidRDefault="00C4747E" w:rsidP="00EB2B90">
    <w:pPr>
      <w:tabs>
        <w:tab w:val="center" w:pos="4680"/>
      </w:tabs>
    </w:pPr>
    <w:r>
      <w:tab/>
      <w:t xml:space="preserve">- </w:t>
    </w:r>
    <w:fldSimple w:instr=" PAGE   \* MERGEFORMAT ">
      <w:r w:rsidR="003626B6">
        <w:rPr>
          <w:noProof/>
        </w:rPr>
        <w:t>1252</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7333FF" w:rsidP="00EB2B90">
    <w:pPr>
      <w:tabs>
        <w:tab w:val="center" w:pos="4680"/>
      </w:tabs>
    </w:pPr>
    <w:r>
      <w:pict>
        <v:rect id="_x0000_i1138" style="width:480.95pt;height:1pt" o:hralign="center" o:hrstd="t" o:hrnoshade="t" o:hr="t" fillcolor="black [3213]" stroked="f"/>
      </w:pict>
    </w:r>
  </w:p>
  <w:p w:rsidR="00C4747E" w:rsidRPr="0031432F" w:rsidRDefault="00C4747E" w:rsidP="00EB2B90">
    <w:pPr>
      <w:tabs>
        <w:tab w:val="center" w:pos="4680"/>
      </w:tabs>
    </w:pPr>
    <w:r>
      <w:tab/>
      <w:t xml:space="preserve">- </w:t>
    </w:r>
    <w:fldSimple w:instr=" PAGE   \* MERGEFORMAT ">
      <w:r w:rsidR="003626B6">
        <w:rPr>
          <w:noProof/>
        </w:rPr>
        <w:t>1237</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C47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4747E" w:rsidRDefault="00C47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4747E" w:rsidRDefault="00C4747E">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733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333FF">
      <w:rPr>
        <w:lang w:val="fr-CA"/>
      </w:rPr>
      <w:pict>
        <v:rect id="_x0000_i1144" style="width:480.95pt;height:1pt" o:hralign="center" o:hrstd="t" o:hrnoshade="t" o:hr="t" fillcolor="black [3213]" stroked="f"/>
      </w:pict>
    </w:r>
  </w:p>
  <w:p w:rsidR="00C4747E" w:rsidRDefault="00C4747E"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7333FF">
    <w:pPr>
      <w:pStyle w:val="Footer"/>
      <w:rPr>
        <w:lang w:val="fr-CA"/>
      </w:rPr>
    </w:pPr>
    <w:r w:rsidRPr="007333FF">
      <w:rPr>
        <w:lang w:val="fr-CA"/>
      </w:rPr>
      <w:pict>
        <v:rect id="_x0000_i1145" style="width:480.95pt;height:1pt" o:hralign="center" o:hrstd="t" o:hrnoshade="t" o:hr="t" fillcolor="black [3213]" stroked="f"/>
      </w:pict>
    </w:r>
  </w:p>
  <w:p w:rsidR="00C4747E" w:rsidRDefault="00C4747E" w:rsidP="00EB2B90">
    <w:pPr>
      <w:tabs>
        <w:tab w:val="center" w:pos="4680"/>
      </w:tabs>
    </w:pPr>
    <w:r>
      <w:tab/>
      <w:t xml:space="preserve">- </w:t>
    </w:r>
    <w:fldSimple w:instr=" PAGE   \* MERGEFORMAT ">
      <w:r w:rsidR="003626B6">
        <w:rPr>
          <w:noProof/>
        </w:rPr>
        <w:t>1253</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C47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4747E" w:rsidRDefault="00C47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4747E" w:rsidRDefault="00C4747E">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7333FF" w:rsidP="00732DB7">
    <w:r>
      <w:pict>
        <v:rect id="_x0000_i1149" style="width:480.95pt;height:1pt" o:hralign="center" o:hrstd="t" o:hrnoshade="t" o:hr="t" fillcolor="black" stroked="f"/>
      </w:pict>
    </w:r>
  </w:p>
  <w:p w:rsidR="00C4747E" w:rsidRDefault="00C4747E">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7333FF">
    <w:pPr>
      <w:pStyle w:val="Footer"/>
    </w:pPr>
    <w:r>
      <w:pict>
        <v:rect id="_x0000_i1150" style="width:480.95pt;height:1pt" o:hralign="center" o:hrstd="t" o:hrnoshade="t" o:hr="t" fillcolor="black [3213]" stroked="f"/>
      </w:pict>
    </w:r>
  </w:p>
  <w:p w:rsidR="00C4747E" w:rsidRPr="003C2C0F" w:rsidRDefault="00C4747E" w:rsidP="00697C62">
    <w:pPr>
      <w:tabs>
        <w:tab w:val="center" w:pos="4680"/>
      </w:tabs>
    </w:pPr>
    <w:r>
      <w:tab/>
      <w:t xml:space="preserve">- </w:t>
    </w:r>
    <w:fldSimple w:instr=" PAGE   \* MERGEFORMAT ">
      <w:r w:rsidR="003626B6">
        <w:rPr>
          <w:noProof/>
        </w:rPr>
        <w:t>1254</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5B" w:rsidRDefault="00B6145B">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C47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4747E" w:rsidRDefault="00C47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4747E" w:rsidRDefault="00C4747E">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C47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4747E" w:rsidRDefault="00733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57" style="width:480.95pt;height:1pt" o:hralign="center" o:hrstd="t" o:hrnoshade="t" o:hr="t" fillcolor="black [3213]" stroked="f"/>
      </w:pict>
    </w:r>
  </w:p>
  <w:p w:rsidR="00C4747E" w:rsidRDefault="00C4747E" w:rsidP="00782AE4">
    <w:pPr>
      <w:tabs>
        <w:tab w:val="center" w:pos="4680"/>
      </w:tabs>
    </w:pPr>
    <w:r>
      <w:tab/>
      <w:t xml:space="preserve">- </w:t>
    </w:r>
    <w:r w:rsidR="007333FF" w:rsidRPr="001775C1">
      <w:rPr>
        <w:szCs w:val="24"/>
      </w:rPr>
      <w:fldChar w:fldCharType="begin"/>
    </w:r>
    <w:r w:rsidRPr="001775C1">
      <w:rPr>
        <w:szCs w:val="24"/>
      </w:rPr>
      <w:instrText xml:space="preserve"> PAGE   \* MERGEFORMAT </w:instrText>
    </w:r>
    <w:r w:rsidR="007333FF" w:rsidRPr="001775C1">
      <w:rPr>
        <w:szCs w:val="24"/>
      </w:rPr>
      <w:fldChar w:fldCharType="separate"/>
    </w:r>
    <w:r w:rsidR="003626B6">
      <w:rPr>
        <w:noProof/>
        <w:szCs w:val="24"/>
      </w:rPr>
      <w:t>1264</w:t>
    </w:r>
    <w:r w:rsidR="007333FF"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7333FF" w:rsidP="00782AE4">
    <w:pPr>
      <w:tabs>
        <w:tab w:val="center" w:pos="4680"/>
      </w:tabs>
    </w:pPr>
    <w:r>
      <w:pict>
        <v:rect id="_x0000_i1158" style="width:480.95pt;height:1pt" o:hralign="center" o:hrstd="t" o:hrnoshade="t" o:hr="t" fillcolor="black [3213]" stroked="f"/>
      </w:pict>
    </w:r>
  </w:p>
  <w:p w:rsidR="00C4747E" w:rsidRDefault="00C4747E" w:rsidP="00782AE4">
    <w:pPr>
      <w:tabs>
        <w:tab w:val="center" w:pos="4680"/>
      </w:tabs>
    </w:pPr>
    <w:r>
      <w:tab/>
      <w:t xml:space="preserve">- </w:t>
    </w:r>
    <w:r w:rsidR="007333FF" w:rsidRPr="001775C1">
      <w:rPr>
        <w:szCs w:val="24"/>
      </w:rPr>
      <w:fldChar w:fldCharType="begin"/>
    </w:r>
    <w:r w:rsidRPr="001775C1">
      <w:rPr>
        <w:szCs w:val="24"/>
      </w:rPr>
      <w:instrText xml:space="preserve"> PAGE   \* MERGEFORMAT </w:instrText>
    </w:r>
    <w:r w:rsidR="007333FF" w:rsidRPr="001775C1">
      <w:rPr>
        <w:szCs w:val="24"/>
      </w:rPr>
      <w:fldChar w:fldCharType="separate"/>
    </w:r>
    <w:r w:rsidR="003626B6">
      <w:rPr>
        <w:noProof/>
        <w:szCs w:val="24"/>
      </w:rPr>
      <w:t>1255</w:t>
    </w:r>
    <w:r w:rsidR="007333FF"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7333FF">
    <w:r w:rsidRPr="007333FF">
      <w:rPr>
        <w:lang w:val="fr-CA"/>
      </w:rPr>
      <w:pict>
        <v:rect id="_x0000_i1161" style="width:480.95pt;height:1pt" o:hralign="center" o:hrstd="t" o:hrnoshade="t" o:hr="t" fillcolor="black [3213]" stroked="f"/>
      </w:pict>
    </w:r>
  </w:p>
  <w:p w:rsidR="00C4747E" w:rsidRDefault="00C4747E" w:rsidP="006B6926">
    <w:pPr>
      <w:tabs>
        <w:tab w:val="center" w:pos="4680"/>
      </w:tabs>
    </w:pPr>
    <w:r>
      <w:tab/>
      <w:t xml:space="preserve">- </w:t>
    </w:r>
    <w:fldSimple w:instr="PAGE ">
      <w:r>
        <w:rPr>
          <w:noProof/>
        </w:rPr>
        <w:t>540</w:t>
      </w:r>
    </w:fldSimple>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7333FF" w:rsidP="006B6926">
    <w:pPr>
      <w:tabs>
        <w:tab w:val="center" w:pos="4680"/>
      </w:tabs>
      <w:rPr>
        <w:lang w:val="fr-CA"/>
      </w:rPr>
    </w:pPr>
    <w:r w:rsidRPr="007333FF">
      <w:rPr>
        <w:lang w:val="fr-CA"/>
      </w:rPr>
      <w:pict>
        <v:rect id="_x0000_i1162" style="width:480.95pt;height:1pt" o:hralign="center" o:hrstd="t" o:hrnoshade="t" o:hr="t" fillcolor="black [3213]" stroked="f"/>
      </w:pict>
    </w:r>
  </w:p>
  <w:p w:rsidR="00C4747E" w:rsidRDefault="00C4747E" w:rsidP="006B6926">
    <w:pPr>
      <w:tabs>
        <w:tab w:val="center" w:pos="4680"/>
      </w:tabs>
    </w:pPr>
    <w:r>
      <w:tab/>
      <w:t xml:space="preserve">- </w:t>
    </w:r>
    <w:fldSimple w:instr="PAGE ">
      <w:r w:rsidR="003626B6">
        <w:rPr>
          <w:noProof/>
        </w:rPr>
        <w:t>1265</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Pr="00924065" w:rsidRDefault="00C4747E"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5B" w:rsidRDefault="00B6145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7333FF" w:rsidP="00A87207">
    <w:pPr>
      <w:pStyle w:val="Footer"/>
    </w:pPr>
    <w:r>
      <w:pict>
        <v:rect id="_x0000_i1043" style="width:480.95pt;height:1pt" o:hralign="center" o:hrstd="t" o:hrnoshade="t" o:hr="t" fillcolor="black [3213]" stroked="f"/>
      </w:pict>
    </w:r>
  </w:p>
  <w:p w:rsidR="00C4747E" w:rsidRPr="00B7374B" w:rsidRDefault="00C4747E" w:rsidP="00B7374B">
    <w:pPr>
      <w:tabs>
        <w:tab w:val="center" w:pos="4680"/>
      </w:tabs>
      <w:rPr>
        <w:szCs w:val="24"/>
      </w:rPr>
    </w:pPr>
    <w:r w:rsidRPr="00954D22">
      <w:rPr>
        <w:szCs w:val="24"/>
      </w:rPr>
      <w:tab/>
      <w:t xml:space="preserve">- </w:t>
    </w:r>
    <w:r w:rsidR="007333FF" w:rsidRPr="00954D22">
      <w:rPr>
        <w:szCs w:val="24"/>
      </w:rPr>
      <w:fldChar w:fldCharType="begin"/>
    </w:r>
    <w:r w:rsidRPr="00954D22">
      <w:rPr>
        <w:szCs w:val="24"/>
      </w:rPr>
      <w:instrText xml:space="preserve"> PAGE   \* MERGEFORMAT </w:instrText>
    </w:r>
    <w:r w:rsidR="007333FF" w:rsidRPr="00954D22">
      <w:rPr>
        <w:szCs w:val="24"/>
      </w:rPr>
      <w:fldChar w:fldCharType="separate"/>
    </w:r>
    <w:r w:rsidR="003626B6">
      <w:rPr>
        <w:noProof/>
        <w:szCs w:val="24"/>
      </w:rPr>
      <w:t>1175</w:t>
    </w:r>
    <w:r w:rsidR="007333FF"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7333FF" w:rsidP="00755F22">
    <w:pPr>
      <w:tabs>
        <w:tab w:val="left" w:pos="-1440"/>
        <w:tab w:val="left" w:pos="-720"/>
      </w:tabs>
    </w:pPr>
    <w:r>
      <w:pict>
        <v:rect id="_x0000_i1044" style="width:480.95pt;height:1pt" o:hralign="center" o:hrstd="t" o:hrnoshade="t" o:hr="t" fillcolor="black [3213]" stroked="f"/>
      </w:pict>
    </w:r>
  </w:p>
  <w:p w:rsidR="00C4747E" w:rsidRPr="00954D22" w:rsidRDefault="00C4747E" w:rsidP="00B7374B">
    <w:pPr>
      <w:tabs>
        <w:tab w:val="center" w:pos="4680"/>
      </w:tabs>
      <w:rPr>
        <w:szCs w:val="24"/>
      </w:rPr>
    </w:pPr>
    <w:r w:rsidRPr="00954D22">
      <w:rPr>
        <w:szCs w:val="24"/>
      </w:rPr>
      <w:tab/>
      <w:t xml:space="preserve">- </w:t>
    </w:r>
    <w:r w:rsidR="007333FF">
      <w:rPr>
        <w:szCs w:val="24"/>
      </w:rPr>
      <w:fldChar w:fldCharType="begin"/>
    </w:r>
    <w:r>
      <w:rPr>
        <w:szCs w:val="24"/>
      </w:rPr>
      <w:instrText xml:space="preserve"> PAGE   \* MERGEFORMAT </w:instrText>
    </w:r>
    <w:r w:rsidR="007333FF">
      <w:rPr>
        <w:szCs w:val="24"/>
      </w:rPr>
      <w:fldChar w:fldCharType="separate"/>
    </w:r>
    <w:r w:rsidR="003626B6">
      <w:rPr>
        <w:noProof/>
        <w:szCs w:val="24"/>
      </w:rPr>
      <w:t>1173</w:t>
    </w:r>
    <w:r w:rsidR="007333FF">
      <w:rPr>
        <w:szCs w:val="24"/>
      </w:rPr>
      <w:fldChar w:fldCharType="end"/>
    </w:r>
    <w:r w:rsidRPr="00954D22">
      <w:rPr>
        <w:szCs w:val="24"/>
      </w:rPr>
      <w:t xml:space="preserve"> -</w:t>
    </w:r>
  </w:p>
  <w:p w:rsidR="00C4747E" w:rsidRDefault="00C4747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7333FF" w:rsidP="00A87207">
    <w:pPr>
      <w:pStyle w:val="Footer"/>
    </w:pPr>
    <w:r>
      <w:pict>
        <v:rect id="_x0000_i1050" style="width:480.95pt;height:1pt" o:hralign="center" o:hrstd="t" o:hrnoshade="t" o:hr="t" fillcolor="black [3213]" stroked="f"/>
      </w:pict>
    </w:r>
  </w:p>
  <w:p w:rsidR="00C4747E" w:rsidRPr="00B7374B" w:rsidRDefault="00C4747E" w:rsidP="00B7374B">
    <w:pPr>
      <w:tabs>
        <w:tab w:val="center" w:pos="4680"/>
      </w:tabs>
      <w:rPr>
        <w:szCs w:val="24"/>
      </w:rPr>
    </w:pPr>
    <w:r w:rsidRPr="00954D22">
      <w:rPr>
        <w:szCs w:val="24"/>
      </w:rPr>
      <w:tab/>
      <w:t xml:space="preserve">- </w:t>
    </w:r>
    <w:r w:rsidR="007333FF" w:rsidRPr="00954D22">
      <w:rPr>
        <w:szCs w:val="24"/>
      </w:rPr>
      <w:fldChar w:fldCharType="begin"/>
    </w:r>
    <w:r w:rsidRPr="00954D22">
      <w:rPr>
        <w:szCs w:val="24"/>
      </w:rPr>
      <w:instrText xml:space="preserve"> PAGE   \* MERGEFORMAT </w:instrText>
    </w:r>
    <w:r w:rsidR="007333FF" w:rsidRPr="00954D22">
      <w:rPr>
        <w:szCs w:val="24"/>
      </w:rPr>
      <w:fldChar w:fldCharType="separate"/>
    </w:r>
    <w:r w:rsidR="003626B6">
      <w:rPr>
        <w:noProof/>
        <w:szCs w:val="24"/>
      </w:rPr>
      <w:t>1177</w:t>
    </w:r>
    <w:r w:rsidR="007333FF"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7333F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1" style="width:480.95pt;height:1pt" o:hralign="center" o:hrstd="t" o:hrnoshade="t" o:hr="t" fillcolor="black [3213]" stroked="f"/>
      </w:pict>
    </w:r>
  </w:p>
  <w:p w:rsidR="00C4747E" w:rsidRPr="00954D22" w:rsidRDefault="00C4747E" w:rsidP="00B7374B">
    <w:pPr>
      <w:tabs>
        <w:tab w:val="center" w:pos="4680"/>
      </w:tabs>
      <w:rPr>
        <w:szCs w:val="24"/>
      </w:rPr>
    </w:pPr>
    <w:r w:rsidRPr="00954D22">
      <w:rPr>
        <w:szCs w:val="24"/>
      </w:rPr>
      <w:tab/>
      <w:t xml:space="preserve">- </w:t>
    </w:r>
    <w:r w:rsidR="007333FF" w:rsidRPr="00954D22">
      <w:rPr>
        <w:szCs w:val="24"/>
      </w:rPr>
      <w:fldChar w:fldCharType="begin"/>
    </w:r>
    <w:r w:rsidRPr="00954D22">
      <w:rPr>
        <w:szCs w:val="24"/>
      </w:rPr>
      <w:instrText xml:space="preserve"> PAGE   \* MERGEFORMAT </w:instrText>
    </w:r>
    <w:r w:rsidR="007333FF" w:rsidRPr="00954D22">
      <w:rPr>
        <w:szCs w:val="24"/>
      </w:rPr>
      <w:fldChar w:fldCharType="separate"/>
    </w:r>
    <w:r w:rsidR="003626B6">
      <w:rPr>
        <w:noProof/>
        <w:szCs w:val="24"/>
      </w:rPr>
      <w:t>1176</w:t>
    </w:r>
    <w:r w:rsidR="007333FF"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C47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4747E" w:rsidRDefault="00C47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4747E" w:rsidRDefault="00C4747E">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733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333FF">
      <w:rPr>
        <w:lang w:val="fr-CA"/>
      </w:rPr>
      <w:pict>
        <v:rect id="_x0000_i1116" style="width:480.95pt;height:1pt" o:hralign="center" o:hrstd="t" o:hrnoshade="t" o:hr="t" fillcolor="black [3213]" stroked="f"/>
      </w:pict>
    </w:r>
  </w:p>
  <w:p w:rsidR="00C4747E" w:rsidRPr="0009648D" w:rsidRDefault="00C4747E" w:rsidP="00ED7E83">
    <w:pPr>
      <w:tabs>
        <w:tab w:val="center" w:pos="4680"/>
      </w:tabs>
    </w:pPr>
    <w:r>
      <w:tab/>
    </w:r>
    <w:r w:rsidRPr="0009648D">
      <w:t xml:space="preserve">- </w:t>
    </w:r>
    <w:fldSimple w:instr=" PAGE   \* MERGEFORMAT ">
      <w:r w:rsidR="003626B6">
        <w:rPr>
          <w:noProof/>
        </w:rPr>
        <w:t>1236</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47E" w:rsidRDefault="00C4747E" w:rsidP="00A87207">
      <w:r>
        <w:separator/>
      </w:r>
    </w:p>
  </w:footnote>
  <w:footnote w:type="continuationSeparator" w:id="0">
    <w:p w:rsidR="00C4747E" w:rsidRDefault="00C4747E"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5B" w:rsidRDefault="00B6145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C4747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C4747E">
      <w:tc>
        <w:tcPr>
          <w:tcW w:w="4230" w:type="dxa"/>
          <w:tcMar>
            <w:left w:w="0" w:type="dxa"/>
            <w:right w:w="0" w:type="dxa"/>
          </w:tcMar>
        </w:tcPr>
        <w:p w:rsidR="00C4747E" w:rsidRDefault="00C47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4747E" w:rsidRDefault="00C474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4747E" w:rsidRDefault="00C474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4747E">
      <w:trPr>
        <w:gridAfter w:val="2"/>
        <w:wAfter w:w="5250" w:type="dxa"/>
      </w:trPr>
      <w:tc>
        <w:tcPr>
          <w:tcW w:w="4230" w:type="dxa"/>
          <w:tcMar>
            <w:left w:w="0" w:type="dxa"/>
            <w:right w:w="0" w:type="dxa"/>
          </w:tcMar>
        </w:tcPr>
        <w:p w:rsidR="00C4747E" w:rsidRDefault="00C47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4747E" w:rsidRDefault="00C47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C4747E" w:rsidRPr="00755F22" w:rsidTr="00245129">
      <w:tc>
        <w:tcPr>
          <w:tcW w:w="4230" w:type="dxa"/>
          <w:tcMar>
            <w:left w:w="0" w:type="dxa"/>
            <w:right w:w="0" w:type="dxa"/>
          </w:tcMar>
        </w:tcPr>
        <w:p w:rsidR="00C4747E" w:rsidRPr="00755F22" w:rsidRDefault="00C4747E" w:rsidP="00831CA9">
          <w:pPr>
            <w:keepNext/>
            <w:keepLines/>
            <w:rPr>
              <w:sz w:val="20"/>
              <w:szCs w:val="20"/>
            </w:rPr>
          </w:pPr>
          <w:r w:rsidRPr="00755F22">
            <w:rPr>
              <w:sz w:val="20"/>
              <w:szCs w:val="20"/>
            </w:rPr>
            <w:t>MOTIONS</w:t>
          </w:r>
        </w:p>
      </w:tc>
      <w:tc>
        <w:tcPr>
          <w:tcW w:w="1170" w:type="dxa"/>
          <w:tcMar>
            <w:left w:w="0" w:type="dxa"/>
            <w:right w:w="0" w:type="dxa"/>
          </w:tcMar>
        </w:tcPr>
        <w:p w:rsidR="00C4747E" w:rsidRPr="00755F22" w:rsidRDefault="00C4747E" w:rsidP="00831CA9">
          <w:pPr>
            <w:keepLines/>
            <w:jc w:val="center"/>
            <w:rPr>
              <w:sz w:val="20"/>
              <w:szCs w:val="20"/>
            </w:rPr>
          </w:pPr>
        </w:p>
        <w:p w:rsidR="00C4747E" w:rsidRPr="00755F22" w:rsidRDefault="00C4747E" w:rsidP="00831CA9">
          <w:pPr>
            <w:keepLines/>
            <w:tabs>
              <w:tab w:val="left" w:pos="-1440"/>
              <w:tab w:val="left" w:pos="-720"/>
            </w:tabs>
            <w:jc w:val="center"/>
            <w:rPr>
              <w:sz w:val="20"/>
              <w:szCs w:val="20"/>
            </w:rPr>
          </w:pPr>
        </w:p>
      </w:tc>
      <w:tc>
        <w:tcPr>
          <w:tcW w:w="4080" w:type="dxa"/>
          <w:tcMar>
            <w:left w:w="0" w:type="dxa"/>
            <w:right w:w="0" w:type="dxa"/>
          </w:tcMar>
        </w:tcPr>
        <w:p w:rsidR="00C4747E" w:rsidRPr="00BA6468" w:rsidRDefault="00C4747E" w:rsidP="00BA6468">
          <w:pPr>
            <w:keepLines/>
            <w:rPr>
              <w:sz w:val="20"/>
              <w:szCs w:val="20"/>
              <w:lang w:val="fr-CA"/>
            </w:rPr>
          </w:pPr>
          <w:r w:rsidRPr="00BA6468">
            <w:rPr>
              <w:sz w:val="20"/>
              <w:szCs w:val="20"/>
              <w:lang w:val="fr-CA"/>
            </w:rPr>
            <w:t>REQUÊTES</w:t>
          </w:r>
        </w:p>
      </w:tc>
    </w:tr>
  </w:tbl>
  <w:p w:rsidR="00C4747E" w:rsidRDefault="00C4747E"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C4747E">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C4747E" w:rsidRPr="003626B6">
      <w:tc>
        <w:tcPr>
          <w:tcW w:w="4200" w:type="dxa"/>
          <w:tcMar>
            <w:left w:w="0" w:type="dxa"/>
            <w:right w:w="0" w:type="dxa"/>
          </w:tcMar>
        </w:tcPr>
        <w:p w:rsidR="00C4747E" w:rsidRDefault="00C47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C4747E" w:rsidRDefault="00C47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4747E" w:rsidRPr="00B01A03" w:rsidRDefault="00C474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C4747E" w:rsidRPr="00B01A03" w:rsidRDefault="00C47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4747E" w:rsidRPr="00B01A03" w:rsidRDefault="00C47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C4747E" w:rsidRPr="003626B6" w:rsidTr="00245129">
      <w:tc>
        <w:tcPr>
          <w:tcW w:w="4200" w:type="dxa"/>
          <w:tcMar>
            <w:left w:w="0" w:type="dxa"/>
            <w:right w:w="0" w:type="dxa"/>
          </w:tcMar>
        </w:tcPr>
        <w:p w:rsidR="00C4747E" w:rsidRPr="00F40249" w:rsidRDefault="00C4747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C4747E" w:rsidRDefault="00C4747E" w:rsidP="00102926">
          <w:pPr>
            <w:keepNext/>
            <w:keepLines/>
            <w:tabs>
              <w:tab w:val="left" w:pos="-1440"/>
              <w:tab w:val="left" w:pos="-720"/>
            </w:tabs>
            <w:jc w:val="center"/>
            <w:rPr>
              <w:sz w:val="20"/>
              <w:szCs w:val="20"/>
            </w:rPr>
          </w:pPr>
        </w:p>
        <w:p w:rsidR="00C4747E" w:rsidRDefault="00C4747E" w:rsidP="00102926">
          <w:pPr>
            <w:keepNext/>
            <w:keepLines/>
            <w:tabs>
              <w:tab w:val="left" w:pos="-1440"/>
              <w:tab w:val="left" w:pos="-720"/>
            </w:tabs>
            <w:jc w:val="center"/>
            <w:rPr>
              <w:sz w:val="20"/>
              <w:szCs w:val="20"/>
            </w:rPr>
          </w:pPr>
        </w:p>
        <w:p w:rsidR="00C4747E" w:rsidRPr="00F40249" w:rsidRDefault="00C4747E" w:rsidP="00102926">
          <w:pPr>
            <w:keepNext/>
            <w:keepLines/>
            <w:tabs>
              <w:tab w:val="left" w:pos="-1440"/>
              <w:tab w:val="left" w:pos="-720"/>
            </w:tabs>
            <w:jc w:val="center"/>
            <w:rPr>
              <w:sz w:val="20"/>
              <w:szCs w:val="20"/>
            </w:rPr>
          </w:pPr>
        </w:p>
      </w:tc>
      <w:tc>
        <w:tcPr>
          <w:tcW w:w="4230" w:type="dxa"/>
          <w:tcMar>
            <w:left w:w="0" w:type="dxa"/>
            <w:right w:w="0" w:type="dxa"/>
          </w:tcMar>
        </w:tcPr>
        <w:p w:rsidR="00C4747E" w:rsidRPr="00F40249" w:rsidRDefault="00C4747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C4747E" w:rsidRPr="00B01A03" w:rsidRDefault="00C4747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C4747E">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C4747E" w:rsidRPr="003626B6">
      <w:tc>
        <w:tcPr>
          <w:tcW w:w="4200" w:type="dxa"/>
          <w:tcMar>
            <w:left w:w="0" w:type="dxa"/>
            <w:right w:w="0" w:type="dxa"/>
          </w:tcMar>
        </w:tcPr>
        <w:p w:rsidR="00C4747E" w:rsidRDefault="00C47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C4747E" w:rsidRDefault="00C47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C4747E" w:rsidRDefault="00C47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C4747E" w:rsidRPr="003C2C0F" w:rsidRDefault="00C474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C4747E" w:rsidRPr="003C2C0F" w:rsidRDefault="00C47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C4747E" w:rsidRPr="003C2C0F" w:rsidRDefault="00C47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C4747E" w:rsidRPr="003626B6" w:rsidTr="00245129">
      <w:tc>
        <w:tcPr>
          <w:tcW w:w="4200" w:type="dxa"/>
          <w:tcMar>
            <w:left w:w="0" w:type="dxa"/>
            <w:right w:w="0" w:type="dxa"/>
          </w:tcMar>
        </w:tcPr>
        <w:p w:rsidR="00C4747E" w:rsidRPr="00FF6EEC" w:rsidRDefault="00C4747E" w:rsidP="00FF6EEC">
          <w:pPr>
            <w:rPr>
              <w:sz w:val="20"/>
              <w:szCs w:val="20"/>
            </w:rPr>
          </w:pPr>
          <w:r w:rsidRPr="00FF6EEC">
            <w:rPr>
              <w:sz w:val="20"/>
              <w:szCs w:val="20"/>
            </w:rPr>
            <w:t>PRONOUNCEMENTS OF APPEALS RESERVED</w:t>
          </w:r>
        </w:p>
      </w:tc>
      <w:tc>
        <w:tcPr>
          <w:tcW w:w="1200" w:type="dxa"/>
          <w:tcMar>
            <w:left w:w="0" w:type="dxa"/>
            <w:right w:w="0" w:type="dxa"/>
          </w:tcMar>
        </w:tcPr>
        <w:p w:rsidR="00C4747E" w:rsidRPr="00FF6EEC" w:rsidRDefault="00C4747E" w:rsidP="00FF6EEC">
          <w:pPr>
            <w:jc w:val="center"/>
            <w:rPr>
              <w:sz w:val="20"/>
              <w:szCs w:val="20"/>
            </w:rPr>
          </w:pPr>
        </w:p>
        <w:p w:rsidR="00C4747E" w:rsidRPr="00FF6EEC" w:rsidRDefault="00C4747E" w:rsidP="00FF6EEC">
          <w:pPr>
            <w:jc w:val="center"/>
            <w:rPr>
              <w:sz w:val="20"/>
              <w:szCs w:val="20"/>
            </w:rPr>
          </w:pPr>
        </w:p>
        <w:p w:rsidR="00C4747E" w:rsidRPr="00FF6EEC" w:rsidRDefault="00C4747E" w:rsidP="00FF6EEC">
          <w:pPr>
            <w:jc w:val="center"/>
            <w:rPr>
              <w:sz w:val="20"/>
              <w:szCs w:val="20"/>
            </w:rPr>
          </w:pPr>
        </w:p>
      </w:tc>
      <w:tc>
        <w:tcPr>
          <w:tcW w:w="4080" w:type="dxa"/>
          <w:tcMar>
            <w:left w:w="0" w:type="dxa"/>
            <w:right w:w="0" w:type="dxa"/>
          </w:tcMar>
        </w:tcPr>
        <w:p w:rsidR="00C4747E" w:rsidRPr="00FF6EEC" w:rsidRDefault="00C4747E" w:rsidP="00FF6EEC">
          <w:pPr>
            <w:rPr>
              <w:sz w:val="20"/>
              <w:szCs w:val="20"/>
              <w:lang w:val="fr-CA"/>
            </w:rPr>
          </w:pPr>
          <w:r w:rsidRPr="00FF6EEC">
            <w:rPr>
              <w:sz w:val="20"/>
              <w:szCs w:val="20"/>
              <w:lang w:val="fr-CA"/>
            </w:rPr>
            <w:t>JUGEMENTS RENDUS SUR LES APPELS EN DÉLIBÉRÉ</w:t>
          </w:r>
        </w:p>
      </w:tc>
    </w:tr>
  </w:tbl>
  <w:p w:rsidR="00C4747E" w:rsidRPr="003C2C0F" w:rsidRDefault="00C4747E"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C474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5B" w:rsidRDefault="00B6145B">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C4747E">
      <w:tc>
        <w:tcPr>
          <w:tcW w:w="4230" w:type="dxa"/>
          <w:tcMar>
            <w:left w:w="0" w:type="dxa"/>
            <w:right w:w="0" w:type="dxa"/>
          </w:tcMar>
        </w:tcPr>
        <w:p w:rsidR="00C4747E" w:rsidRDefault="00C47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C4747E" w:rsidRDefault="00C47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C4747E" w:rsidRDefault="00C47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C4747E" w:rsidRDefault="00C47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4747E" w:rsidRDefault="00C47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C4747E" w:rsidRDefault="00C474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C4747E" w:rsidRDefault="00C47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4747E" w:rsidRDefault="00C47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C4747E" w:rsidRPr="00782AE4" w:rsidTr="00245129">
      <w:tc>
        <w:tcPr>
          <w:tcW w:w="4230" w:type="dxa"/>
          <w:tcMar>
            <w:left w:w="0" w:type="dxa"/>
            <w:right w:w="0" w:type="dxa"/>
          </w:tcMar>
        </w:tcPr>
        <w:p w:rsidR="00C4747E" w:rsidRPr="00782AE4" w:rsidRDefault="00C4747E" w:rsidP="00102926">
          <w:pPr>
            <w:keepNext/>
            <w:keepLines/>
            <w:tabs>
              <w:tab w:val="left" w:pos="-1440"/>
              <w:tab w:val="left" w:pos="-720"/>
            </w:tabs>
            <w:rPr>
              <w:sz w:val="20"/>
              <w:szCs w:val="20"/>
            </w:rPr>
          </w:pPr>
          <w:r w:rsidRPr="00782AE4">
            <w:rPr>
              <w:sz w:val="20"/>
              <w:szCs w:val="20"/>
            </w:rPr>
            <w:t xml:space="preserve">HEADNOTES OF RECENT </w:t>
          </w:r>
        </w:p>
        <w:p w:rsidR="00C4747E" w:rsidRPr="00782AE4" w:rsidRDefault="00C47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C4747E" w:rsidRDefault="00C4747E" w:rsidP="00102926">
          <w:pPr>
            <w:keepNext/>
            <w:keepLines/>
            <w:tabs>
              <w:tab w:val="left" w:pos="-1440"/>
              <w:tab w:val="left" w:pos="-720"/>
            </w:tabs>
            <w:jc w:val="center"/>
            <w:rPr>
              <w:sz w:val="20"/>
              <w:szCs w:val="20"/>
            </w:rPr>
          </w:pPr>
        </w:p>
        <w:p w:rsidR="00C4747E" w:rsidRDefault="00C4747E" w:rsidP="00102926">
          <w:pPr>
            <w:keepNext/>
            <w:keepLines/>
            <w:tabs>
              <w:tab w:val="left" w:pos="-1440"/>
              <w:tab w:val="left" w:pos="-720"/>
            </w:tabs>
            <w:jc w:val="center"/>
            <w:rPr>
              <w:sz w:val="20"/>
              <w:szCs w:val="20"/>
            </w:rPr>
          </w:pPr>
        </w:p>
        <w:p w:rsidR="00C4747E" w:rsidRPr="00782AE4" w:rsidRDefault="00C4747E" w:rsidP="00102926">
          <w:pPr>
            <w:keepNext/>
            <w:keepLines/>
            <w:tabs>
              <w:tab w:val="left" w:pos="-1440"/>
              <w:tab w:val="left" w:pos="-720"/>
            </w:tabs>
            <w:jc w:val="center"/>
            <w:rPr>
              <w:sz w:val="20"/>
              <w:szCs w:val="20"/>
            </w:rPr>
          </w:pPr>
        </w:p>
      </w:tc>
      <w:tc>
        <w:tcPr>
          <w:tcW w:w="4080" w:type="dxa"/>
          <w:tcMar>
            <w:left w:w="0" w:type="dxa"/>
            <w:right w:w="0" w:type="dxa"/>
          </w:tcMar>
        </w:tcPr>
        <w:p w:rsidR="00C4747E" w:rsidRPr="00102926" w:rsidRDefault="00C47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C4747E" w:rsidRPr="00782AE4" w:rsidRDefault="00C4747E" w:rsidP="00102926">
          <w:pPr>
            <w:keepLines/>
            <w:tabs>
              <w:tab w:val="left" w:pos="-1440"/>
              <w:tab w:val="left" w:pos="-720"/>
            </w:tabs>
            <w:rPr>
              <w:sz w:val="20"/>
              <w:szCs w:val="20"/>
            </w:rPr>
          </w:pPr>
          <w:r w:rsidRPr="00102926">
            <w:rPr>
              <w:sz w:val="20"/>
              <w:szCs w:val="20"/>
              <w:lang w:val="fr-CA"/>
            </w:rPr>
            <w:t>RÉCENTS</w:t>
          </w:r>
        </w:p>
      </w:tc>
    </w:tr>
  </w:tbl>
  <w:p w:rsidR="00C4747E" w:rsidRDefault="00C4747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C4747E">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C4747E" w:rsidRPr="003626B6" w:rsidTr="00245129">
      <w:tc>
        <w:tcPr>
          <w:tcW w:w="4320" w:type="dxa"/>
        </w:tcPr>
        <w:p w:rsidR="00C4747E" w:rsidRPr="006B6926" w:rsidRDefault="00C4747E" w:rsidP="006B6926">
          <w:pPr>
            <w:keepNext/>
            <w:keepLines/>
            <w:rPr>
              <w:bCs/>
              <w:sz w:val="20"/>
              <w:szCs w:val="20"/>
              <w:lang w:val="en-GB"/>
            </w:rPr>
          </w:pPr>
          <w:r w:rsidRPr="006B6926">
            <w:rPr>
              <w:bCs/>
              <w:sz w:val="20"/>
              <w:szCs w:val="20"/>
              <w:lang w:val="en-GB"/>
            </w:rPr>
            <w:t>SUPREME COURT REPORTS</w:t>
          </w:r>
        </w:p>
      </w:tc>
      <w:tc>
        <w:tcPr>
          <w:tcW w:w="840" w:type="dxa"/>
        </w:tcPr>
        <w:p w:rsidR="00C4747E" w:rsidRDefault="00C4747E" w:rsidP="006B6926">
          <w:pPr>
            <w:jc w:val="center"/>
            <w:rPr>
              <w:bCs/>
              <w:sz w:val="20"/>
              <w:szCs w:val="20"/>
              <w:lang w:val="en-GB"/>
            </w:rPr>
          </w:pPr>
        </w:p>
        <w:p w:rsidR="00C4747E" w:rsidRPr="006B6926" w:rsidRDefault="00C4747E" w:rsidP="006B6926">
          <w:pPr>
            <w:jc w:val="center"/>
            <w:rPr>
              <w:bCs/>
              <w:sz w:val="20"/>
              <w:szCs w:val="20"/>
              <w:lang w:val="en-GB"/>
            </w:rPr>
          </w:pPr>
        </w:p>
      </w:tc>
      <w:tc>
        <w:tcPr>
          <w:tcW w:w="4320" w:type="dxa"/>
        </w:tcPr>
        <w:p w:rsidR="00C4747E" w:rsidRPr="006B6926" w:rsidRDefault="00C4747E" w:rsidP="006B6926">
          <w:pPr>
            <w:keepNext/>
            <w:keepLines/>
            <w:rPr>
              <w:bCs/>
              <w:sz w:val="20"/>
              <w:szCs w:val="20"/>
              <w:lang w:val="fr-CA"/>
            </w:rPr>
          </w:pPr>
          <w:r w:rsidRPr="006B6926">
            <w:rPr>
              <w:bCs/>
              <w:sz w:val="20"/>
              <w:szCs w:val="20"/>
              <w:lang w:val="fr-CA"/>
            </w:rPr>
            <w:t>RECUEIL DES ARRÊTS DE LA COUR SUPRÊME</w:t>
          </w:r>
        </w:p>
      </w:tc>
    </w:tr>
  </w:tbl>
  <w:p w:rsidR="00C4747E" w:rsidRPr="000924F7" w:rsidRDefault="00C4747E">
    <w:pPr>
      <w:pStyle w:val="Header"/>
      <w:rPr>
        <w:lang w:val="fr-CA"/>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C4747E">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C474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5B" w:rsidRDefault="00B6145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C4747E" w:rsidRPr="0044776A" w:rsidTr="00245129">
      <w:tc>
        <w:tcPr>
          <w:tcW w:w="4290" w:type="dxa"/>
          <w:tcMar>
            <w:left w:w="0" w:type="dxa"/>
            <w:right w:w="0" w:type="dxa"/>
          </w:tcMar>
        </w:tcPr>
        <w:p w:rsidR="00C4747E" w:rsidRPr="0044776A" w:rsidRDefault="00C4747E"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C4747E" w:rsidRPr="0044776A" w:rsidRDefault="00C4747E" w:rsidP="002E2327">
          <w:pPr>
            <w:keepNext/>
            <w:keepLines/>
            <w:tabs>
              <w:tab w:val="left" w:pos="-1440"/>
              <w:tab w:val="left" w:pos="-720"/>
            </w:tabs>
            <w:jc w:val="center"/>
            <w:rPr>
              <w:sz w:val="20"/>
              <w:szCs w:val="20"/>
            </w:rPr>
          </w:pPr>
        </w:p>
        <w:p w:rsidR="00C4747E" w:rsidRPr="0044776A" w:rsidRDefault="00C4747E" w:rsidP="002E2327">
          <w:pPr>
            <w:keepNext/>
            <w:keepLines/>
            <w:tabs>
              <w:tab w:val="left" w:pos="-1440"/>
              <w:tab w:val="left" w:pos="-720"/>
            </w:tabs>
            <w:jc w:val="center"/>
            <w:rPr>
              <w:sz w:val="20"/>
              <w:szCs w:val="20"/>
            </w:rPr>
          </w:pPr>
        </w:p>
        <w:p w:rsidR="00C4747E" w:rsidRPr="0044776A" w:rsidRDefault="00C4747E" w:rsidP="002E2327">
          <w:pPr>
            <w:keepNext/>
            <w:keepLines/>
            <w:tabs>
              <w:tab w:val="left" w:pos="-1440"/>
              <w:tab w:val="left" w:pos="-720"/>
            </w:tabs>
            <w:jc w:val="center"/>
            <w:rPr>
              <w:sz w:val="20"/>
              <w:szCs w:val="20"/>
            </w:rPr>
          </w:pPr>
        </w:p>
      </w:tc>
      <w:tc>
        <w:tcPr>
          <w:tcW w:w="4320" w:type="dxa"/>
          <w:tcMar>
            <w:left w:w="0" w:type="dxa"/>
            <w:right w:w="0" w:type="dxa"/>
          </w:tcMar>
        </w:tcPr>
        <w:p w:rsidR="00C4747E" w:rsidRPr="0044776A" w:rsidRDefault="00C4747E" w:rsidP="002E2327">
          <w:pPr>
            <w:keepLines/>
            <w:rPr>
              <w:sz w:val="20"/>
              <w:szCs w:val="20"/>
              <w:lang w:val="fr-CA"/>
            </w:rPr>
          </w:pPr>
          <w:r w:rsidRPr="0044776A">
            <w:rPr>
              <w:sz w:val="20"/>
              <w:szCs w:val="20"/>
              <w:lang w:val="fr-CA"/>
            </w:rPr>
            <w:t>DEMANDES D'AUTORISATION D'APPEL DÉPOSÉES</w:t>
          </w:r>
        </w:p>
      </w:tc>
    </w:tr>
  </w:tbl>
  <w:p w:rsidR="00C4747E" w:rsidRDefault="00C4747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C4747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C4747E" w:rsidRPr="003626B6" w:rsidTr="00245129">
      <w:tc>
        <w:tcPr>
          <w:tcW w:w="4200" w:type="dxa"/>
          <w:tcMar>
            <w:left w:w="0" w:type="dxa"/>
            <w:right w:w="0" w:type="dxa"/>
          </w:tcMar>
        </w:tcPr>
        <w:p w:rsidR="00C4747E" w:rsidRPr="0044776A" w:rsidRDefault="00C4747E" w:rsidP="0044776A">
          <w:pPr>
            <w:keepNext/>
            <w:keepLines/>
            <w:widowControl w:val="0"/>
            <w:rPr>
              <w:sz w:val="20"/>
              <w:szCs w:val="20"/>
            </w:rPr>
          </w:pPr>
          <w:r>
            <w:rPr>
              <w:sz w:val="20"/>
              <w:szCs w:val="20"/>
            </w:rPr>
            <w:t>APPLICATIONS FOR LEAVE</w:t>
          </w:r>
        </w:p>
        <w:p w:rsidR="00C4747E" w:rsidRPr="0044776A" w:rsidRDefault="00C4747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C4747E" w:rsidRPr="0044776A" w:rsidRDefault="00C4747E" w:rsidP="0044776A">
          <w:pPr>
            <w:keepNext/>
            <w:keepLines/>
            <w:widowControl w:val="0"/>
            <w:jc w:val="center"/>
            <w:rPr>
              <w:sz w:val="20"/>
              <w:szCs w:val="20"/>
            </w:rPr>
          </w:pPr>
        </w:p>
        <w:p w:rsidR="00C4747E" w:rsidRPr="0044776A" w:rsidRDefault="00C4747E" w:rsidP="0044776A">
          <w:pPr>
            <w:keepNext/>
            <w:keepLines/>
            <w:widowControl w:val="0"/>
            <w:jc w:val="center"/>
            <w:rPr>
              <w:sz w:val="20"/>
              <w:szCs w:val="20"/>
            </w:rPr>
          </w:pPr>
        </w:p>
        <w:p w:rsidR="00C4747E" w:rsidRPr="0044776A" w:rsidRDefault="00C4747E" w:rsidP="0044776A">
          <w:pPr>
            <w:keepNext/>
            <w:keepLines/>
            <w:widowControl w:val="0"/>
            <w:jc w:val="center"/>
            <w:rPr>
              <w:sz w:val="20"/>
              <w:szCs w:val="20"/>
            </w:rPr>
          </w:pPr>
        </w:p>
      </w:tc>
      <w:tc>
        <w:tcPr>
          <w:tcW w:w="4080" w:type="dxa"/>
          <w:tcMar>
            <w:left w:w="0" w:type="dxa"/>
            <w:right w:w="0" w:type="dxa"/>
          </w:tcMar>
        </w:tcPr>
        <w:p w:rsidR="00C4747E" w:rsidRPr="0044776A" w:rsidRDefault="00C4747E" w:rsidP="0044776A">
          <w:pPr>
            <w:keepLines/>
            <w:widowControl w:val="0"/>
            <w:rPr>
              <w:sz w:val="20"/>
              <w:szCs w:val="20"/>
              <w:lang w:val="fr-CA"/>
            </w:rPr>
          </w:pPr>
          <w:r w:rsidRPr="0044776A">
            <w:rPr>
              <w:sz w:val="20"/>
              <w:szCs w:val="20"/>
              <w:lang w:val="fr-CA"/>
            </w:rPr>
            <w:t>DEMANDES SOUMISES À LA COUR DEPUIS LA DERNIÈRE PARUTION</w:t>
          </w:r>
        </w:p>
        <w:p w:rsidR="00C4747E" w:rsidRPr="0044776A" w:rsidRDefault="00C4747E" w:rsidP="0044776A">
          <w:pPr>
            <w:widowControl w:val="0"/>
            <w:rPr>
              <w:sz w:val="20"/>
              <w:szCs w:val="20"/>
              <w:lang w:val="fr-CA"/>
            </w:rPr>
          </w:pPr>
        </w:p>
      </w:tc>
    </w:tr>
  </w:tbl>
  <w:p w:rsidR="00C4747E" w:rsidRPr="002E2327" w:rsidRDefault="00C4747E">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7E" w:rsidRDefault="00C4747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C4747E" w:rsidRPr="003626B6">
      <w:tc>
        <w:tcPr>
          <w:tcW w:w="4200" w:type="dxa"/>
          <w:tcMar>
            <w:left w:w="0" w:type="dxa"/>
            <w:right w:w="0" w:type="dxa"/>
          </w:tcMar>
        </w:tcPr>
        <w:p w:rsidR="00C4747E" w:rsidRDefault="00C47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4747E" w:rsidRDefault="00C47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4747E" w:rsidRDefault="00C474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4747E" w:rsidRPr="00FF6BA5" w:rsidRDefault="00C474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4747E" w:rsidRPr="00FF6BA5" w:rsidRDefault="00C47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4747E" w:rsidRPr="00FF6BA5" w:rsidRDefault="00C47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4747E" w:rsidRPr="00FF6BA5" w:rsidRDefault="00C47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C4747E" w:rsidRPr="003626B6" w:rsidTr="00245129">
      <w:tc>
        <w:tcPr>
          <w:tcW w:w="4200" w:type="dxa"/>
          <w:tcMar>
            <w:left w:w="0" w:type="dxa"/>
            <w:right w:w="0" w:type="dxa"/>
          </w:tcMar>
        </w:tcPr>
        <w:p w:rsidR="00C4747E" w:rsidRPr="00755F22" w:rsidRDefault="00C47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C4747E" w:rsidRPr="00755F22" w:rsidRDefault="00C47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C4747E" w:rsidRPr="00755F22" w:rsidRDefault="00C4747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4747E" w:rsidRPr="00755F22" w:rsidRDefault="00C4747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4747E" w:rsidRPr="00755F22" w:rsidRDefault="00C4747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4747E" w:rsidRPr="00755F22" w:rsidRDefault="00C474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C4747E" w:rsidRPr="00FF6BA5" w:rsidRDefault="00C4747E"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A0F1DA2"/>
    <w:multiLevelType w:val="hybridMultilevel"/>
    <w:tmpl w:val="E60C11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0C5EA1"/>
    <w:multiLevelType w:val="hybridMultilevel"/>
    <w:tmpl w:val="005E5ED8"/>
    <w:lvl w:ilvl="0" w:tplc="DC7C4588">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9025AA"/>
    <w:multiLevelType w:val="hybridMultilevel"/>
    <w:tmpl w:val="25545F8A"/>
    <w:lvl w:ilvl="0" w:tplc="1009000F">
      <w:start w:val="1"/>
      <w:numFmt w:val="decimal"/>
      <w:lvlText w:val="%1."/>
      <w:lvlJc w:val="left"/>
      <w:pPr>
        <w:ind w:left="81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23C3778"/>
    <w:multiLevelType w:val="hybridMultilevel"/>
    <w:tmpl w:val="5890E98C"/>
    <w:lvl w:ilvl="0" w:tplc="454AAC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182F66"/>
    <w:multiLevelType w:val="hybridMultilevel"/>
    <w:tmpl w:val="8A9E4F70"/>
    <w:lvl w:ilvl="0" w:tplc="EC7E5A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B2B70D6"/>
    <w:multiLevelType w:val="hybridMultilevel"/>
    <w:tmpl w:val="2E04DFC4"/>
    <w:lvl w:ilvl="0" w:tplc="3C226FF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2FB32CC"/>
    <w:multiLevelType w:val="hybridMultilevel"/>
    <w:tmpl w:val="0CB4D5B8"/>
    <w:lvl w:ilvl="0" w:tplc="501CBE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4AA4A86"/>
    <w:multiLevelType w:val="hybridMultilevel"/>
    <w:tmpl w:val="993E5A7E"/>
    <w:lvl w:ilvl="0" w:tplc="B1AEFB4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78F525E"/>
    <w:multiLevelType w:val="hybridMultilevel"/>
    <w:tmpl w:val="BAD4F9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5F746E"/>
    <w:multiLevelType w:val="hybridMultilevel"/>
    <w:tmpl w:val="849A9A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264596A"/>
    <w:multiLevelType w:val="hybridMultilevel"/>
    <w:tmpl w:val="22AA5988"/>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3">
    <w:nsid w:val="39EA1357"/>
    <w:multiLevelType w:val="hybridMultilevel"/>
    <w:tmpl w:val="55BC95A0"/>
    <w:lvl w:ilvl="0" w:tplc="A97098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A4D528E"/>
    <w:multiLevelType w:val="hybridMultilevel"/>
    <w:tmpl w:val="E07231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B2D5E2B"/>
    <w:multiLevelType w:val="hybridMultilevel"/>
    <w:tmpl w:val="B6B82EB4"/>
    <w:lvl w:ilvl="0" w:tplc="007284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F9D2818"/>
    <w:multiLevelType w:val="hybridMultilevel"/>
    <w:tmpl w:val="005E5ED8"/>
    <w:lvl w:ilvl="0" w:tplc="DC7C4588">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FE45B69"/>
    <w:multiLevelType w:val="hybridMultilevel"/>
    <w:tmpl w:val="1EC6DDD4"/>
    <w:lvl w:ilvl="0" w:tplc="EBE8E3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44C69CD"/>
    <w:multiLevelType w:val="hybridMultilevel"/>
    <w:tmpl w:val="38EE6FDE"/>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56F6FB0"/>
    <w:multiLevelType w:val="hybridMultilevel"/>
    <w:tmpl w:val="38EE6FDE"/>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AB535DD"/>
    <w:multiLevelType w:val="hybridMultilevel"/>
    <w:tmpl w:val="5F1AC1BA"/>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FF953B2"/>
    <w:multiLevelType w:val="hybridMultilevel"/>
    <w:tmpl w:val="1AA6C856"/>
    <w:lvl w:ilvl="0" w:tplc="6FC428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2141AE0"/>
    <w:multiLevelType w:val="hybridMultilevel"/>
    <w:tmpl w:val="6304EF08"/>
    <w:lvl w:ilvl="0" w:tplc="C60AF82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2DA3051"/>
    <w:multiLevelType w:val="hybridMultilevel"/>
    <w:tmpl w:val="8D9AF3F4"/>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52E0625"/>
    <w:multiLevelType w:val="hybridMultilevel"/>
    <w:tmpl w:val="005E5ED8"/>
    <w:lvl w:ilvl="0" w:tplc="DC7C4588">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7D726F"/>
    <w:multiLevelType w:val="hybridMultilevel"/>
    <w:tmpl w:val="B4A81B10"/>
    <w:lvl w:ilvl="0" w:tplc="F3FC8B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9596D25"/>
    <w:multiLevelType w:val="hybridMultilevel"/>
    <w:tmpl w:val="00028F04"/>
    <w:lvl w:ilvl="0" w:tplc="ACC8F9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97E0DCA"/>
    <w:multiLevelType w:val="hybridMultilevel"/>
    <w:tmpl w:val="65C47D0E"/>
    <w:lvl w:ilvl="0" w:tplc="28D83EA6">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E580FBD"/>
    <w:multiLevelType w:val="hybridMultilevel"/>
    <w:tmpl w:val="00F6367A"/>
    <w:lvl w:ilvl="0" w:tplc="4D96F7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412624B"/>
    <w:multiLevelType w:val="hybridMultilevel"/>
    <w:tmpl w:val="3BA486CA"/>
    <w:lvl w:ilvl="0" w:tplc="B934B4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A396A10"/>
    <w:multiLevelType w:val="hybridMultilevel"/>
    <w:tmpl w:val="805247A8"/>
    <w:lvl w:ilvl="0" w:tplc="FC8888E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A4822D8"/>
    <w:multiLevelType w:val="hybridMultilevel"/>
    <w:tmpl w:val="F432B6C0"/>
    <w:lvl w:ilvl="0" w:tplc="938008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E8C44BE"/>
    <w:multiLevelType w:val="hybridMultilevel"/>
    <w:tmpl w:val="F7AC067C"/>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FBD78E4"/>
    <w:multiLevelType w:val="hybridMultilevel"/>
    <w:tmpl w:val="31FAB23E"/>
    <w:lvl w:ilvl="0" w:tplc="BEEC02F6">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31C43E6"/>
    <w:multiLevelType w:val="hybridMultilevel"/>
    <w:tmpl w:val="44443B34"/>
    <w:lvl w:ilvl="0" w:tplc="78C6B99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43F709A"/>
    <w:multiLevelType w:val="hybridMultilevel"/>
    <w:tmpl w:val="48F0A0F2"/>
    <w:lvl w:ilvl="0" w:tplc="64603C8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72C2EB0"/>
    <w:multiLevelType w:val="hybridMultilevel"/>
    <w:tmpl w:val="953E0BF6"/>
    <w:lvl w:ilvl="0" w:tplc="4014AE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A9F0333"/>
    <w:multiLevelType w:val="multilevel"/>
    <w:tmpl w:val="670244D6"/>
    <w:name w:val="zzmpSCCdocumen||SCC documents|3|4|1|1|2|0||1|2|0||1|2|0||1|2|0||1|2|0||mpNA||mpNA||mpNA||mpNA||"/>
    <w:lvl w:ilvl="0">
      <w:start w:val="1"/>
      <w:numFmt w:val="none"/>
      <w:pStyle w:val="SCCdocumenL1"/>
      <w:lvlText w:val=""/>
      <w:lvlJc w:val="left"/>
      <w:pPr>
        <w:tabs>
          <w:tab w:val="num" w:pos="1440"/>
        </w:tabs>
        <w:ind w:left="720" w:firstLine="0"/>
      </w:pPr>
      <w:rPr>
        <w:rFonts w:ascii="Arial" w:hAnsi="Arial" w:cs="Arial"/>
        <w:b w:val="0"/>
        <w:i w:val="0"/>
        <w:caps w:val="0"/>
        <w:color w:val="auto"/>
        <w:sz w:val="24"/>
        <w:u w:val="none"/>
      </w:rPr>
    </w:lvl>
    <w:lvl w:ilvl="1">
      <w:start w:val="1"/>
      <w:numFmt w:val="decimal"/>
      <w:pStyle w:val="SCCdocumenL2"/>
      <w:lvlText w:val="%2."/>
      <w:lvlJc w:val="left"/>
      <w:pPr>
        <w:tabs>
          <w:tab w:val="num" w:pos="1440"/>
        </w:tabs>
        <w:ind w:left="720" w:firstLine="0"/>
      </w:pPr>
      <w:rPr>
        <w:rFonts w:ascii="Arial" w:hAnsi="Arial" w:cs="Arial"/>
        <w:b w:val="0"/>
        <w:i w:val="0"/>
        <w:caps w:val="0"/>
        <w:color w:val="auto"/>
        <w:sz w:val="24"/>
        <w:u w:val="none"/>
      </w:rPr>
    </w:lvl>
    <w:lvl w:ilvl="2">
      <w:start w:val="1"/>
      <w:numFmt w:val="lowerLetter"/>
      <w:pStyle w:val="SCCdocumenL3"/>
      <w:lvlText w:val="(%3)"/>
      <w:lvlJc w:val="left"/>
      <w:pPr>
        <w:tabs>
          <w:tab w:val="num" w:pos="2160"/>
        </w:tabs>
        <w:ind w:left="2160" w:hanging="720"/>
      </w:pPr>
      <w:rPr>
        <w:rFonts w:ascii="Arial" w:hAnsi="Arial" w:cs="Arial"/>
        <w:b w:val="0"/>
        <w:i w:val="0"/>
        <w:caps w:val="0"/>
        <w:color w:val="auto"/>
        <w:sz w:val="24"/>
        <w:u w:val="none"/>
      </w:rPr>
    </w:lvl>
    <w:lvl w:ilvl="3">
      <w:start w:val="1"/>
      <w:numFmt w:val="lowerRoman"/>
      <w:pStyle w:val="SCCdocumenL4"/>
      <w:lvlText w:val="(%4)"/>
      <w:lvlJc w:val="left"/>
      <w:pPr>
        <w:tabs>
          <w:tab w:val="num" w:pos="2880"/>
        </w:tabs>
        <w:ind w:left="2880" w:hanging="720"/>
      </w:pPr>
      <w:rPr>
        <w:rFonts w:ascii="Arial" w:hAnsi="Arial" w:cs="Arial"/>
        <w:b w:val="0"/>
        <w:i w:val="0"/>
        <w:caps w:val="0"/>
        <w:color w:val="auto"/>
        <w:sz w:val="24"/>
        <w:u w:val="none"/>
      </w:rPr>
    </w:lvl>
    <w:lvl w:ilvl="4">
      <w:start w:val="1"/>
      <w:numFmt w:val="none"/>
      <w:lvlRestart w:val="0"/>
      <w:pStyle w:val="SCCdocumenL5"/>
      <w:lvlText w:val=""/>
      <w:lvlJc w:val="left"/>
      <w:pPr>
        <w:tabs>
          <w:tab w:val="num" w:pos="1440"/>
        </w:tabs>
        <w:ind w:left="1440" w:hanging="720"/>
      </w:pPr>
      <w:rPr>
        <w:rFonts w:ascii="Arial" w:hAnsi="Arial" w:cs="Arial"/>
        <w:b w:val="0"/>
        <w:i w:val="0"/>
        <w:caps w:val="0"/>
        <w:color w:val="auto"/>
        <w:sz w:val="24"/>
        <w:u w:val="none"/>
      </w:rPr>
    </w:lvl>
    <w:lvl w:ilvl="5">
      <w:start w:val="1"/>
      <w:numFmt w:val="decimal"/>
      <w:lvlText w:val="%6)"/>
      <w:lvlJc w:val="left"/>
      <w:pPr>
        <w:tabs>
          <w:tab w:val="num" w:pos="6480"/>
        </w:tabs>
        <w:ind w:left="6480" w:hanging="720"/>
      </w:pPr>
      <w:rPr>
        <w:rFonts w:ascii="Arial" w:hAnsi="Arial" w:cs="Arial"/>
        <w:b w:val="0"/>
        <w:i w:val="0"/>
        <w:caps w:val="0"/>
        <w:color w:val="auto"/>
        <w:sz w:val="24"/>
        <w:u w:val="none"/>
      </w:rPr>
    </w:lvl>
    <w:lvl w:ilvl="6">
      <w:start w:val="1"/>
      <w:numFmt w:val="decimal"/>
      <w:lvlText w:val="%7)"/>
      <w:lvlJc w:val="left"/>
      <w:pPr>
        <w:tabs>
          <w:tab w:val="num" w:pos="6480"/>
        </w:tabs>
        <w:ind w:left="6480" w:hanging="720"/>
      </w:pPr>
      <w:rPr>
        <w:rFonts w:ascii="Arial" w:hAnsi="Arial" w:cs="Arial"/>
        <w:b w:val="0"/>
        <w:i w:val="0"/>
        <w:caps w:val="0"/>
        <w:color w:val="auto"/>
        <w:sz w:val="24"/>
        <w:u w:val="none"/>
      </w:rPr>
    </w:lvl>
    <w:lvl w:ilvl="7">
      <w:start w:val="1"/>
      <w:numFmt w:val="decimal"/>
      <w:lvlText w:val="%8)"/>
      <w:lvlJc w:val="left"/>
      <w:pPr>
        <w:tabs>
          <w:tab w:val="num" w:pos="6480"/>
        </w:tabs>
        <w:ind w:left="6480" w:hanging="720"/>
      </w:pPr>
      <w:rPr>
        <w:rFonts w:ascii="Arial" w:hAnsi="Arial" w:cs="Arial"/>
        <w:b w:val="0"/>
        <w:i w:val="0"/>
        <w:caps w:val="0"/>
        <w:color w:val="auto"/>
        <w:sz w:val="24"/>
        <w:u w:val="none"/>
      </w:rPr>
    </w:lvl>
    <w:lvl w:ilvl="8">
      <w:start w:val="1"/>
      <w:numFmt w:val="lowerRoman"/>
      <w:lvlText w:val="(%9)"/>
      <w:lvlJc w:val="left"/>
      <w:pPr>
        <w:tabs>
          <w:tab w:val="num" w:pos="7200"/>
        </w:tabs>
        <w:ind w:left="7200" w:hanging="720"/>
      </w:pPr>
      <w:rPr>
        <w:rFonts w:ascii="Arial" w:hAnsi="Arial" w:cs="Arial"/>
        <w:b w:val="0"/>
        <w:i w:val="0"/>
        <w:caps w:val="0"/>
        <w:color w:val="auto"/>
        <w:u w:val="none"/>
      </w:rPr>
    </w:lvl>
  </w:abstractNum>
  <w:num w:numId="1">
    <w:abstractNumId w:val="11"/>
  </w:num>
  <w:num w:numId="2">
    <w:abstractNumId w:val="30"/>
  </w:num>
  <w:num w:numId="3">
    <w:abstractNumId w:val="36"/>
  </w:num>
  <w:num w:numId="4">
    <w:abstractNumId w:val="26"/>
  </w:num>
  <w:num w:numId="5">
    <w:abstractNumId w:val="34"/>
  </w:num>
  <w:num w:numId="6">
    <w:abstractNumId w:val="0"/>
  </w:num>
  <w:num w:numId="7">
    <w:abstractNumId w:val="37"/>
  </w:num>
  <w:num w:numId="8">
    <w:abstractNumId w:val="32"/>
  </w:num>
  <w:num w:numId="9">
    <w:abstractNumId w:val="20"/>
  </w:num>
  <w:num w:numId="10">
    <w:abstractNumId w:val="23"/>
  </w:num>
  <w:num w:numId="11">
    <w:abstractNumId w:val="3"/>
  </w:num>
  <w:num w:numId="12">
    <w:abstractNumId w:val="18"/>
  </w:num>
  <w:num w:numId="13">
    <w:abstractNumId w:val="19"/>
  </w:num>
  <w:num w:numId="14">
    <w:abstractNumId w:val="10"/>
  </w:num>
  <w:num w:numId="15">
    <w:abstractNumId w:val="1"/>
  </w:num>
  <w:num w:numId="16">
    <w:abstractNumId w:val="14"/>
  </w:num>
  <w:num w:numId="17">
    <w:abstractNumId w:val="9"/>
  </w:num>
  <w:num w:numId="18">
    <w:abstractNumId w:val="8"/>
  </w:num>
  <w:num w:numId="19">
    <w:abstractNumId w:val="21"/>
  </w:num>
  <w:num w:numId="20">
    <w:abstractNumId w:val="7"/>
  </w:num>
  <w:num w:numId="21">
    <w:abstractNumId w:val="33"/>
  </w:num>
  <w:num w:numId="22">
    <w:abstractNumId w:val="25"/>
  </w:num>
  <w:num w:numId="23">
    <w:abstractNumId w:val="28"/>
  </w:num>
  <w:num w:numId="24">
    <w:abstractNumId w:val="6"/>
  </w:num>
  <w:num w:numId="25">
    <w:abstractNumId w:val="29"/>
  </w:num>
  <w:num w:numId="26">
    <w:abstractNumId w:val="35"/>
  </w:num>
  <w:num w:numId="27">
    <w:abstractNumId w:val="17"/>
  </w:num>
  <w:num w:numId="28">
    <w:abstractNumId w:val="13"/>
  </w:num>
  <w:num w:numId="29">
    <w:abstractNumId w:val="27"/>
  </w:num>
  <w:num w:numId="30">
    <w:abstractNumId w:val="4"/>
  </w:num>
  <w:num w:numId="31">
    <w:abstractNumId w:val="22"/>
  </w:num>
  <w:num w:numId="32">
    <w:abstractNumId w:val="31"/>
  </w:num>
  <w:num w:numId="33">
    <w:abstractNumId w:val="15"/>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59409"/>
  </w:hdrShapeDefaults>
  <w:footnotePr>
    <w:footnote w:id="-1"/>
    <w:footnote w:id="0"/>
  </w:footnotePr>
  <w:endnotePr>
    <w:endnote w:id="-1"/>
    <w:endnote w:id="0"/>
  </w:endnotePr>
  <w:compat/>
  <w:rsids>
    <w:rsidRoot w:val="009A5CA3"/>
    <w:rsid w:val="0003223B"/>
    <w:rsid w:val="000327B2"/>
    <w:rsid w:val="00036B24"/>
    <w:rsid w:val="000472FC"/>
    <w:rsid w:val="0008126C"/>
    <w:rsid w:val="000871CC"/>
    <w:rsid w:val="00091FA6"/>
    <w:rsid w:val="00096BD9"/>
    <w:rsid w:val="000B3C9A"/>
    <w:rsid w:val="000B40A2"/>
    <w:rsid w:val="000B4624"/>
    <w:rsid w:val="000C0ACD"/>
    <w:rsid w:val="000C421F"/>
    <w:rsid w:val="00102926"/>
    <w:rsid w:val="0010587F"/>
    <w:rsid w:val="00106A52"/>
    <w:rsid w:val="00111C6B"/>
    <w:rsid w:val="001125C1"/>
    <w:rsid w:val="0012102B"/>
    <w:rsid w:val="00123E21"/>
    <w:rsid w:val="0013114B"/>
    <w:rsid w:val="0013369E"/>
    <w:rsid w:val="00164E6D"/>
    <w:rsid w:val="00186B05"/>
    <w:rsid w:val="00190B40"/>
    <w:rsid w:val="0019550B"/>
    <w:rsid w:val="001B157C"/>
    <w:rsid w:val="001B2036"/>
    <w:rsid w:val="001B5C23"/>
    <w:rsid w:val="001B6907"/>
    <w:rsid w:val="001D0D5F"/>
    <w:rsid w:val="001D6B8C"/>
    <w:rsid w:val="001D79EE"/>
    <w:rsid w:val="001F1F83"/>
    <w:rsid w:val="002021A9"/>
    <w:rsid w:val="002139A7"/>
    <w:rsid w:val="00215F7C"/>
    <w:rsid w:val="0021611C"/>
    <w:rsid w:val="00216526"/>
    <w:rsid w:val="0022323B"/>
    <w:rsid w:val="002274B5"/>
    <w:rsid w:val="002410B8"/>
    <w:rsid w:val="00241C78"/>
    <w:rsid w:val="00242AEE"/>
    <w:rsid w:val="00245129"/>
    <w:rsid w:val="00245879"/>
    <w:rsid w:val="00267FD5"/>
    <w:rsid w:val="002868D0"/>
    <w:rsid w:val="002947AD"/>
    <w:rsid w:val="0029503C"/>
    <w:rsid w:val="002A27D1"/>
    <w:rsid w:val="002A32A0"/>
    <w:rsid w:val="002A4AFA"/>
    <w:rsid w:val="002B516C"/>
    <w:rsid w:val="002D72EB"/>
    <w:rsid w:val="002E2327"/>
    <w:rsid w:val="002E3583"/>
    <w:rsid w:val="002E361D"/>
    <w:rsid w:val="002E5576"/>
    <w:rsid w:val="00323841"/>
    <w:rsid w:val="00323EE2"/>
    <w:rsid w:val="00331B52"/>
    <w:rsid w:val="003359D3"/>
    <w:rsid w:val="00355967"/>
    <w:rsid w:val="003626B6"/>
    <w:rsid w:val="003821B9"/>
    <w:rsid w:val="00382C47"/>
    <w:rsid w:val="00384384"/>
    <w:rsid w:val="003866AE"/>
    <w:rsid w:val="003B3977"/>
    <w:rsid w:val="003B7EA6"/>
    <w:rsid w:val="003D3AF4"/>
    <w:rsid w:val="003D5C51"/>
    <w:rsid w:val="0041112E"/>
    <w:rsid w:val="00424003"/>
    <w:rsid w:val="00426786"/>
    <w:rsid w:val="00432989"/>
    <w:rsid w:val="00440E24"/>
    <w:rsid w:val="00444F66"/>
    <w:rsid w:val="00445CBE"/>
    <w:rsid w:val="0044776A"/>
    <w:rsid w:val="00460AFC"/>
    <w:rsid w:val="0047471F"/>
    <w:rsid w:val="00474B70"/>
    <w:rsid w:val="00497CA8"/>
    <w:rsid w:val="004B195E"/>
    <w:rsid w:val="004B66B4"/>
    <w:rsid w:val="004B7F60"/>
    <w:rsid w:val="004C1AAC"/>
    <w:rsid w:val="004C4611"/>
    <w:rsid w:val="004C66BF"/>
    <w:rsid w:val="004F090E"/>
    <w:rsid w:val="004F1F5E"/>
    <w:rsid w:val="00527CC7"/>
    <w:rsid w:val="00536B45"/>
    <w:rsid w:val="005552A8"/>
    <w:rsid w:val="0056619E"/>
    <w:rsid w:val="00571CA4"/>
    <w:rsid w:val="005737AF"/>
    <w:rsid w:val="00573DF6"/>
    <w:rsid w:val="00582136"/>
    <w:rsid w:val="00590C4D"/>
    <w:rsid w:val="005B2CE1"/>
    <w:rsid w:val="005C6840"/>
    <w:rsid w:val="005D165C"/>
    <w:rsid w:val="005D312B"/>
    <w:rsid w:val="005E6253"/>
    <w:rsid w:val="005F263E"/>
    <w:rsid w:val="005F6378"/>
    <w:rsid w:val="00600252"/>
    <w:rsid w:val="0060124A"/>
    <w:rsid w:val="00612A40"/>
    <w:rsid w:val="00626177"/>
    <w:rsid w:val="00643505"/>
    <w:rsid w:val="00643B72"/>
    <w:rsid w:val="00665450"/>
    <w:rsid w:val="006748AB"/>
    <w:rsid w:val="00675479"/>
    <w:rsid w:val="00680709"/>
    <w:rsid w:val="00694072"/>
    <w:rsid w:val="00696BF9"/>
    <w:rsid w:val="00697C62"/>
    <w:rsid w:val="006A329B"/>
    <w:rsid w:val="006A7EB8"/>
    <w:rsid w:val="006B203C"/>
    <w:rsid w:val="006B6926"/>
    <w:rsid w:val="006C3F47"/>
    <w:rsid w:val="006C5F7A"/>
    <w:rsid w:val="006E06AF"/>
    <w:rsid w:val="006F350F"/>
    <w:rsid w:val="006F72AD"/>
    <w:rsid w:val="0070788A"/>
    <w:rsid w:val="007321D8"/>
    <w:rsid w:val="00732DB7"/>
    <w:rsid w:val="007333FF"/>
    <w:rsid w:val="0074238B"/>
    <w:rsid w:val="00745EF7"/>
    <w:rsid w:val="00751A97"/>
    <w:rsid w:val="00753DB1"/>
    <w:rsid w:val="00755F22"/>
    <w:rsid w:val="00766E4A"/>
    <w:rsid w:val="00776ABD"/>
    <w:rsid w:val="00776AFF"/>
    <w:rsid w:val="007820CE"/>
    <w:rsid w:val="00782AE4"/>
    <w:rsid w:val="0079724F"/>
    <w:rsid w:val="007A3EAE"/>
    <w:rsid w:val="007B2D77"/>
    <w:rsid w:val="007C04FC"/>
    <w:rsid w:val="007C4D2D"/>
    <w:rsid w:val="007C78E1"/>
    <w:rsid w:val="007D3E0F"/>
    <w:rsid w:val="007D6433"/>
    <w:rsid w:val="007E1D87"/>
    <w:rsid w:val="007E46AB"/>
    <w:rsid w:val="007F387B"/>
    <w:rsid w:val="00802863"/>
    <w:rsid w:val="00815B3C"/>
    <w:rsid w:val="0082783A"/>
    <w:rsid w:val="00831CA9"/>
    <w:rsid w:val="0084336C"/>
    <w:rsid w:val="00850E1F"/>
    <w:rsid w:val="008528AB"/>
    <w:rsid w:val="0085476B"/>
    <w:rsid w:val="008749C3"/>
    <w:rsid w:val="0088663A"/>
    <w:rsid w:val="00890FEB"/>
    <w:rsid w:val="00894654"/>
    <w:rsid w:val="00897D74"/>
    <w:rsid w:val="008C1F0F"/>
    <w:rsid w:val="008D292F"/>
    <w:rsid w:val="008E03DC"/>
    <w:rsid w:val="00924065"/>
    <w:rsid w:val="00930D68"/>
    <w:rsid w:val="00932DB4"/>
    <w:rsid w:val="00941A4B"/>
    <w:rsid w:val="00942EBA"/>
    <w:rsid w:val="00946242"/>
    <w:rsid w:val="0095096B"/>
    <w:rsid w:val="00957F2F"/>
    <w:rsid w:val="00970CD3"/>
    <w:rsid w:val="0097231A"/>
    <w:rsid w:val="009723FA"/>
    <w:rsid w:val="00984546"/>
    <w:rsid w:val="00996510"/>
    <w:rsid w:val="009A5CA3"/>
    <w:rsid w:val="009B0B1F"/>
    <w:rsid w:val="009D1F15"/>
    <w:rsid w:val="009D555E"/>
    <w:rsid w:val="009F3024"/>
    <w:rsid w:val="00A0355E"/>
    <w:rsid w:val="00A043F1"/>
    <w:rsid w:val="00A375D1"/>
    <w:rsid w:val="00A51D10"/>
    <w:rsid w:val="00A52A83"/>
    <w:rsid w:val="00A6552C"/>
    <w:rsid w:val="00A741EB"/>
    <w:rsid w:val="00A87207"/>
    <w:rsid w:val="00A935AA"/>
    <w:rsid w:val="00A949BF"/>
    <w:rsid w:val="00AB2201"/>
    <w:rsid w:val="00AD3259"/>
    <w:rsid w:val="00AF1715"/>
    <w:rsid w:val="00AF3904"/>
    <w:rsid w:val="00AF72E5"/>
    <w:rsid w:val="00B010C0"/>
    <w:rsid w:val="00B4740D"/>
    <w:rsid w:val="00B54293"/>
    <w:rsid w:val="00B56106"/>
    <w:rsid w:val="00B6145B"/>
    <w:rsid w:val="00B61629"/>
    <w:rsid w:val="00B6794D"/>
    <w:rsid w:val="00B7374B"/>
    <w:rsid w:val="00B90DC0"/>
    <w:rsid w:val="00BA116A"/>
    <w:rsid w:val="00BA5582"/>
    <w:rsid w:val="00BA6468"/>
    <w:rsid w:val="00BB17EF"/>
    <w:rsid w:val="00BB7F50"/>
    <w:rsid w:val="00BC1142"/>
    <w:rsid w:val="00BC1BF6"/>
    <w:rsid w:val="00BC7B7D"/>
    <w:rsid w:val="00BD06DA"/>
    <w:rsid w:val="00BD2383"/>
    <w:rsid w:val="00BD4217"/>
    <w:rsid w:val="00BE55D1"/>
    <w:rsid w:val="00BF25F3"/>
    <w:rsid w:val="00C13D9E"/>
    <w:rsid w:val="00C1697B"/>
    <w:rsid w:val="00C216E8"/>
    <w:rsid w:val="00C21CB5"/>
    <w:rsid w:val="00C25C88"/>
    <w:rsid w:val="00C2704B"/>
    <w:rsid w:val="00C2718F"/>
    <w:rsid w:val="00C4747E"/>
    <w:rsid w:val="00C50A5C"/>
    <w:rsid w:val="00C50FDF"/>
    <w:rsid w:val="00C63381"/>
    <w:rsid w:val="00C73D06"/>
    <w:rsid w:val="00C73E1B"/>
    <w:rsid w:val="00C759B4"/>
    <w:rsid w:val="00C77713"/>
    <w:rsid w:val="00C832DD"/>
    <w:rsid w:val="00C860C8"/>
    <w:rsid w:val="00CB1295"/>
    <w:rsid w:val="00CB43D5"/>
    <w:rsid w:val="00CC4D84"/>
    <w:rsid w:val="00CE198A"/>
    <w:rsid w:val="00D26982"/>
    <w:rsid w:val="00D40817"/>
    <w:rsid w:val="00D44439"/>
    <w:rsid w:val="00D45F24"/>
    <w:rsid w:val="00D51D89"/>
    <w:rsid w:val="00D64901"/>
    <w:rsid w:val="00D76BDF"/>
    <w:rsid w:val="00D862C1"/>
    <w:rsid w:val="00D919EE"/>
    <w:rsid w:val="00D93B50"/>
    <w:rsid w:val="00D94670"/>
    <w:rsid w:val="00D95EF8"/>
    <w:rsid w:val="00DA409E"/>
    <w:rsid w:val="00DA46F6"/>
    <w:rsid w:val="00DD0B49"/>
    <w:rsid w:val="00DF5F1D"/>
    <w:rsid w:val="00E06DFA"/>
    <w:rsid w:val="00E20A0A"/>
    <w:rsid w:val="00E21706"/>
    <w:rsid w:val="00E356C7"/>
    <w:rsid w:val="00E45FD4"/>
    <w:rsid w:val="00E45FE4"/>
    <w:rsid w:val="00E644CF"/>
    <w:rsid w:val="00E64FA7"/>
    <w:rsid w:val="00E767F8"/>
    <w:rsid w:val="00E770CB"/>
    <w:rsid w:val="00E903A1"/>
    <w:rsid w:val="00E940EB"/>
    <w:rsid w:val="00EB25FF"/>
    <w:rsid w:val="00EB2B90"/>
    <w:rsid w:val="00EC0656"/>
    <w:rsid w:val="00EC09EE"/>
    <w:rsid w:val="00EC5C7E"/>
    <w:rsid w:val="00ED19A5"/>
    <w:rsid w:val="00ED7E83"/>
    <w:rsid w:val="00EF4B63"/>
    <w:rsid w:val="00F0068D"/>
    <w:rsid w:val="00F0576D"/>
    <w:rsid w:val="00F14E6D"/>
    <w:rsid w:val="00F15EA8"/>
    <w:rsid w:val="00F16C8D"/>
    <w:rsid w:val="00F26C61"/>
    <w:rsid w:val="00F33CCE"/>
    <w:rsid w:val="00F40249"/>
    <w:rsid w:val="00F40E20"/>
    <w:rsid w:val="00F526C8"/>
    <w:rsid w:val="00F70B00"/>
    <w:rsid w:val="00F72E53"/>
    <w:rsid w:val="00F814BA"/>
    <w:rsid w:val="00F9272D"/>
    <w:rsid w:val="00F9382C"/>
    <w:rsid w:val="00F9518C"/>
    <w:rsid w:val="00FA316E"/>
    <w:rsid w:val="00FA59EF"/>
    <w:rsid w:val="00FB19A2"/>
    <w:rsid w:val="00FF52A6"/>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LsocParty">
    <w:name w:val="SCC.Lsoc.Party"/>
    <w:basedOn w:val="Normal"/>
    <w:next w:val="Normal"/>
    <w:link w:val="SCCLsocPartyChar"/>
    <w:rsid w:val="00497CA8"/>
    <w:pPr>
      <w:jc w:val="center"/>
    </w:pPr>
    <w:rPr>
      <w:rFonts w:eastAsia="Calibri" w:cs="Times New Roman"/>
      <w:lang w:val="fr-CA"/>
    </w:rPr>
  </w:style>
  <w:style w:type="character" w:customStyle="1" w:styleId="SCCLsocPartyChar">
    <w:name w:val="SCC.Lsoc.Party Char"/>
    <w:basedOn w:val="DefaultParagraphFont"/>
    <w:link w:val="SCCLsocParty"/>
    <w:rsid w:val="00497CA8"/>
    <w:rPr>
      <w:rFonts w:eastAsia="Calibri" w:cs="Times New Roman"/>
      <w:lang w:val="fr-CA"/>
    </w:rPr>
  </w:style>
  <w:style w:type="paragraph" w:customStyle="1" w:styleId="SCCLowerCourtNameLowercase">
    <w:name w:val="SCC.LowerCourtNameLowercase"/>
    <w:basedOn w:val="SCCNormalDoubleSpacing"/>
    <w:next w:val="SCCNormalDoubleSpacing"/>
    <w:rsid w:val="007C4D2D"/>
    <w:pPr>
      <w:tabs>
        <w:tab w:val="left" w:pos="1168"/>
      </w:tabs>
    </w:pPr>
    <w:rPr>
      <w:smallCaps/>
    </w:rPr>
  </w:style>
  <w:style w:type="paragraph" w:customStyle="1" w:styleId="SCCBanSummary">
    <w:name w:val="SCC.BanSummary"/>
    <w:basedOn w:val="Normal"/>
    <w:next w:val="Normal"/>
    <w:link w:val="SCCBanSummaryChar"/>
    <w:rsid w:val="001B2036"/>
    <w:pPr>
      <w:jc w:val="both"/>
    </w:pPr>
    <w:rPr>
      <w:rFonts w:eastAsia="Calibri" w:cs="Times New Roman"/>
      <w:smallCaps/>
    </w:rPr>
  </w:style>
  <w:style w:type="character" w:customStyle="1" w:styleId="SCCBanSummaryChar">
    <w:name w:val="SCC.BanSummary Char"/>
    <w:basedOn w:val="DefaultParagraphFont"/>
    <w:link w:val="SCCBanSummary"/>
    <w:rsid w:val="001B2036"/>
    <w:rPr>
      <w:rFonts w:eastAsia="Calibri" w:cs="Times New Roman"/>
      <w:smallCaps/>
      <w:lang w:val="en-CA"/>
    </w:rPr>
  </w:style>
  <w:style w:type="paragraph" w:customStyle="1" w:styleId="Level1">
    <w:name w:val="Level 1"/>
    <w:basedOn w:val="Normal"/>
    <w:rsid w:val="00B56106"/>
    <w:pPr>
      <w:widowControl w:val="0"/>
    </w:pPr>
    <w:rPr>
      <w:rFonts w:eastAsia="Times New Roman" w:cs="Times New Roman"/>
      <w:sz w:val="20"/>
      <w:szCs w:val="20"/>
      <w:lang w:val="en-US" w:eastAsia="en-CA"/>
    </w:rPr>
  </w:style>
  <w:style w:type="paragraph" w:customStyle="1" w:styleId="Level2">
    <w:name w:val="Level 2"/>
    <w:basedOn w:val="Normal"/>
    <w:rsid w:val="00B56106"/>
    <w:pPr>
      <w:widowControl w:val="0"/>
    </w:pPr>
    <w:rPr>
      <w:rFonts w:eastAsia="Times New Roman" w:cs="Times New Roman"/>
      <w:sz w:val="20"/>
      <w:szCs w:val="20"/>
      <w:lang w:val="en-US" w:eastAsia="en-CA"/>
    </w:rPr>
  </w:style>
  <w:style w:type="paragraph" w:customStyle="1" w:styleId="Level3">
    <w:name w:val="Level 3"/>
    <w:basedOn w:val="Normal"/>
    <w:rsid w:val="00B56106"/>
    <w:pPr>
      <w:widowControl w:val="0"/>
    </w:pPr>
    <w:rPr>
      <w:rFonts w:eastAsia="Times New Roman" w:cs="Times New Roman"/>
      <w:sz w:val="20"/>
      <w:szCs w:val="20"/>
      <w:lang w:val="en-US" w:eastAsia="en-CA"/>
    </w:rPr>
  </w:style>
  <w:style w:type="paragraph" w:customStyle="1" w:styleId="Level4">
    <w:name w:val="Level 4"/>
    <w:basedOn w:val="Normal"/>
    <w:rsid w:val="00B56106"/>
    <w:pPr>
      <w:widowControl w:val="0"/>
    </w:pPr>
    <w:rPr>
      <w:rFonts w:eastAsia="Times New Roman" w:cs="Times New Roman"/>
      <w:sz w:val="20"/>
      <w:szCs w:val="20"/>
      <w:lang w:val="en-US" w:eastAsia="en-CA"/>
    </w:rPr>
  </w:style>
  <w:style w:type="paragraph" w:customStyle="1" w:styleId="Level5">
    <w:name w:val="Level 5"/>
    <w:basedOn w:val="Normal"/>
    <w:rsid w:val="00B56106"/>
    <w:pPr>
      <w:widowControl w:val="0"/>
    </w:pPr>
    <w:rPr>
      <w:rFonts w:eastAsia="Times New Roman" w:cs="Times New Roman"/>
      <w:sz w:val="20"/>
      <w:szCs w:val="20"/>
      <w:lang w:val="en-US" w:eastAsia="en-CA"/>
    </w:rPr>
  </w:style>
  <w:style w:type="paragraph" w:customStyle="1" w:styleId="Level6">
    <w:name w:val="Level 6"/>
    <w:basedOn w:val="Normal"/>
    <w:rsid w:val="00B56106"/>
    <w:pPr>
      <w:widowControl w:val="0"/>
    </w:pPr>
    <w:rPr>
      <w:rFonts w:eastAsia="Times New Roman" w:cs="Times New Roman"/>
      <w:sz w:val="20"/>
      <w:szCs w:val="20"/>
      <w:lang w:val="en-US" w:eastAsia="en-CA"/>
    </w:rPr>
  </w:style>
  <w:style w:type="paragraph" w:customStyle="1" w:styleId="Level7">
    <w:name w:val="Level 7"/>
    <w:basedOn w:val="Normal"/>
    <w:rsid w:val="00B56106"/>
    <w:pPr>
      <w:widowControl w:val="0"/>
    </w:pPr>
    <w:rPr>
      <w:rFonts w:eastAsia="Times New Roman" w:cs="Times New Roman"/>
      <w:sz w:val="20"/>
      <w:szCs w:val="20"/>
      <w:lang w:val="en-US" w:eastAsia="en-CA"/>
    </w:rPr>
  </w:style>
  <w:style w:type="paragraph" w:customStyle="1" w:styleId="Level8">
    <w:name w:val="Level 8"/>
    <w:basedOn w:val="Normal"/>
    <w:rsid w:val="00B56106"/>
    <w:pPr>
      <w:widowControl w:val="0"/>
    </w:pPr>
    <w:rPr>
      <w:rFonts w:eastAsia="Times New Roman" w:cs="Times New Roman"/>
      <w:sz w:val="20"/>
      <w:szCs w:val="20"/>
      <w:lang w:val="en-US" w:eastAsia="en-CA"/>
    </w:rPr>
  </w:style>
  <w:style w:type="paragraph" w:customStyle="1" w:styleId="Level9">
    <w:name w:val="Level 9"/>
    <w:basedOn w:val="Normal"/>
    <w:rsid w:val="00B56106"/>
    <w:pPr>
      <w:widowControl w:val="0"/>
    </w:pPr>
    <w:rPr>
      <w:rFonts w:eastAsia="Times New Roman" w:cs="Times New Roman"/>
      <w:b/>
      <w:sz w:val="20"/>
      <w:szCs w:val="20"/>
      <w:lang w:val="en-US" w:eastAsia="en-CA"/>
    </w:rPr>
  </w:style>
  <w:style w:type="paragraph" w:customStyle="1" w:styleId="level10">
    <w:name w:val="_level1"/>
    <w:basedOn w:val="Normal"/>
    <w:rsid w:val="00B56106"/>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eastAsia="Times New Roman" w:cs="Times New Roman"/>
      <w:sz w:val="20"/>
      <w:szCs w:val="20"/>
      <w:lang w:val="en-US" w:eastAsia="en-CA"/>
    </w:rPr>
  </w:style>
  <w:style w:type="paragraph" w:customStyle="1" w:styleId="level20">
    <w:name w:val="_level2"/>
    <w:basedOn w:val="Normal"/>
    <w:rsid w:val="00B56106"/>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eastAsia="Times New Roman" w:cs="Times New Roman"/>
      <w:sz w:val="20"/>
      <w:szCs w:val="20"/>
      <w:lang w:val="en-US" w:eastAsia="en-CA"/>
    </w:rPr>
  </w:style>
  <w:style w:type="paragraph" w:customStyle="1" w:styleId="level30">
    <w:name w:val="_level3"/>
    <w:basedOn w:val="Normal"/>
    <w:rsid w:val="00B56106"/>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eastAsia="Times New Roman" w:cs="Times New Roman"/>
      <w:sz w:val="20"/>
      <w:szCs w:val="20"/>
      <w:lang w:val="en-US" w:eastAsia="en-CA"/>
    </w:rPr>
  </w:style>
  <w:style w:type="paragraph" w:customStyle="1" w:styleId="level40">
    <w:name w:val="_level4"/>
    <w:basedOn w:val="Normal"/>
    <w:rsid w:val="00B56106"/>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rPr>
      <w:rFonts w:eastAsia="Times New Roman" w:cs="Times New Roman"/>
      <w:sz w:val="20"/>
      <w:szCs w:val="20"/>
      <w:lang w:val="en-US" w:eastAsia="en-CA"/>
    </w:rPr>
  </w:style>
  <w:style w:type="paragraph" w:customStyle="1" w:styleId="level50">
    <w:name w:val="_level5"/>
    <w:basedOn w:val="Normal"/>
    <w:rsid w:val="00B56106"/>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rPr>
      <w:rFonts w:eastAsia="Times New Roman" w:cs="Times New Roman"/>
      <w:sz w:val="20"/>
      <w:szCs w:val="20"/>
      <w:lang w:val="en-US" w:eastAsia="en-CA"/>
    </w:rPr>
  </w:style>
  <w:style w:type="paragraph" w:customStyle="1" w:styleId="level60">
    <w:name w:val="_level6"/>
    <w:basedOn w:val="Normal"/>
    <w:rsid w:val="00B56106"/>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rPr>
      <w:rFonts w:eastAsia="Times New Roman" w:cs="Times New Roman"/>
      <w:sz w:val="20"/>
      <w:szCs w:val="20"/>
      <w:lang w:val="en-US" w:eastAsia="en-CA"/>
    </w:rPr>
  </w:style>
  <w:style w:type="paragraph" w:customStyle="1" w:styleId="level70">
    <w:name w:val="_level7"/>
    <w:basedOn w:val="Normal"/>
    <w:rsid w:val="00B56106"/>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rPr>
      <w:rFonts w:eastAsia="Times New Roman" w:cs="Times New Roman"/>
      <w:sz w:val="20"/>
      <w:szCs w:val="20"/>
      <w:lang w:val="en-US" w:eastAsia="en-CA"/>
    </w:rPr>
  </w:style>
  <w:style w:type="paragraph" w:customStyle="1" w:styleId="level80">
    <w:name w:val="_level8"/>
    <w:basedOn w:val="Normal"/>
    <w:rsid w:val="00B56106"/>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rPr>
      <w:rFonts w:eastAsia="Times New Roman" w:cs="Times New Roman"/>
      <w:sz w:val="20"/>
      <w:szCs w:val="20"/>
      <w:lang w:val="en-US" w:eastAsia="en-CA"/>
    </w:rPr>
  </w:style>
  <w:style w:type="paragraph" w:customStyle="1" w:styleId="Outline0019">
    <w:name w:val="Outline001_9"/>
    <w:basedOn w:val="Normal"/>
    <w:rsid w:val="00B56106"/>
    <w:pPr>
      <w:widowControl w:val="0"/>
      <w:tabs>
        <w:tab w:val="left" w:pos="7196"/>
        <w:tab w:val="left" w:pos="7200"/>
        <w:tab w:val="left" w:pos="7920"/>
      </w:tabs>
      <w:ind w:left="7196" w:hanging="180"/>
    </w:pPr>
    <w:rPr>
      <w:rFonts w:eastAsia="Times New Roman" w:cs="Times New Roman"/>
      <w:sz w:val="20"/>
      <w:szCs w:val="20"/>
      <w:lang w:eastAsia="en-CA"/>
    </w:rPr>
  </w:style>
  <w:style w:type="paragraph" w:customStyle="1" w:styleId="44">
    <w:name w:val="_44"/>
    <w:basedOn w:val="Normal"/>
    <w:rsid w:val="00B561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val="en-US" w:eastAsia="en-CA"/>
    </w:rPr>
  </w:style>
  <w:style w:type="paragraph" w:customStyle="1" w:styleId="43">
    <w:name w:val="_43"/>
    <w:basedOn w:val="Normal"/>
    <w:rsid w:val="00B5610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val="en-US" w:eastAsia="en-CA"/>
    </w:rPr>
  </w:style>
  <w:style w:type="paragraph" w:customStyle="1" w:styleId="42">
    <w:name w:val="_42"/>
    <w:basedOn w:val="Normal"/>
    <w:rsid w:val="00B56106"/>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val="en-US" w:eastAsia="en-CA"/>
    </w:rPr>
  </w:style>
  <w:style w:type="paragraph" w:customStyle="1" w:styleId="41">
    <w:name w:val="_41"/>
    <w:basedOn w:val="Normal"/>
    <w:rsid w:val="00B56106"/>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val="en-US" w:eastAsia="en-CA"/>
    </w:rPr>
  </w:style>
  <w:style w:type="paragraph" w:customStyle="1" w:styleId="40">
    <w:name w:val="_40"/>
    <w:basedOn w:val="Normal"/>
    <w:rsid w:val="00B56106"/>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val="en-US" w:eastAsia="en-CA"/>
    </w:rPr>
  </w:style>
  <w:style w:type="paragraph" w:customStyle="1" w:styleId="39">
    <w:name w:val="_39"/>
    <w:basedOn w:val="Normal"/>
    <w:rsid w:val="00B56106"/>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val="en-US" w:eastAsia="en-CA"/>
    </w:rPr>
  </w:style>
  <w:style w:type="paragraph" w:customStyle="1" w:styleId="38">
    <w:name w:val="_38"/>
    <w:basedOn w:val="Normal"/>
    <w:rsid w:val="00B56106"/>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val="en-US" w:eastAsia="en-CA"/>
    </w:rPr>
  </w:style>
  <w:style w:type="paragraph" w:customStyle="1" w:styleId="37">
    <w:name w:val="_37"/>
    <w:basedOn w:val="Normal"/>
    <w:rsid w:val="00B56106"/>
    <w:pPr>
      <w:widowControl w:val="0"/>
      <w:tabs>
        <w:tab w:val="left" w:pos="5760"/>
        <w:tab w:val="left" w:pos="6480"/>
        <w:tab w:val="left" w:pos="7200"/>
        <w:tab w:val="left" w:pos="7920"/>
        <w:tab w:val="left" w:pos="8640"/>
      </w:tabs>
      <w:ind w:left="5760"/>
    </w:pPr>
    <w:rPr>
      <w:rFonts w:eastAsia="Times New Roman" w:cs="Times New Roman"/>
      <w:sz w:val="20"/>
      <w:szCs w:val="20"/>
      <w:lang w:val="en-US" w:eastAsia="en-CA"/>
    </w:rPr>
  </w:style>
  <w:style w:type="paragraph" w:customStyle="1" w:styleId="Outline0039">
    <w:name w:val="Outline003_9"/>
    <w:basedOn w:val="Normal"/>
    <w:rsid w:val="00B56106"/>
    <w:pPr>
      <w:widowControl w:val="0"/>
      <w:tabs>
        <w:tab w:val="left" w:pos="6480"/>
        <w:tab w:val="left" w:pos="7200"/>
        <w:tab w:val="left" w:pos="7920"/>
      </w:tabs>
      <w:ind w:left="6480" w:hanging="180"/>
    </w:pPr>
    <w:rPr>
      <w:rFonts w:eastAsia="Times New Roman" w:cs="Times New Roman"/>
      <w:sz w:val="20"/>
      <w:szCs w:val="20"/>
      <w:lang w:eastAsia="en-CA"/>
    </w:rPr>
  </w:style>
  <w:style w:type="paragraph" w:customStyle="1" w:styleId="En-tte">
    <w:name w:val="En-tīte"/>
    <w:basedOn w:val="Normal"/>
    <w:rsid w:val="00B56106"/>
    <w:pPr>
      <w:widowControl w:val="0"/>
      <w:tabs>
        <w:tab w:val="left" w:pos="0"/>
        <w:tab w:val="center" w:pos="4680"/>
        <w:tab w:val="right" w:pos="9360"/>
      </w:tabs>
    </w:pPr>
    <w:rPr>
      <w:rFonts w:eastAsia="Times New Roman" w:cs="Times New Roman"/>
      <w:sz w:val="20"/>
      <w:szCs w:val="20"/>
      <w:lang w:val="en-US" w:eastAsia="en-CA"/>
    </w:rPr>
  </w:style>
  <w:style w:type="paragraph" w:customStyle="1" w:styleId="Pieddepage1">
    <w:name w:val="Pied de page1"/>
    <w:basedOn w:val="Normal"/>
    <w:rsid w:val="00B56106"/>
    <w:pPr>
      <w:widowControl w:val="0"/>
      <w:tabs>
        <w:tab w:val="left" w:pos="0"/>
        <w:tab w:val="center" w:pos="4680"/>
        <w:tab w:val="right" w:pos="9360"/>
      </w:tabs>
    </w:pPr>
    <w:rPr>
      <w:rFonts w:eastAsia="Times New Roman" w:cs="Times New Roman"/>
      <w:sz w:val="20"/>
      <w:szCs w:val="20"/>
      <w:lang w:val="en-US" w:eastAsia="en-CA"/>
    </w:rPr>
  </w:style>
  <w:style w:type="paragraph" w:customStyle="1" w:styleId="level90">
    <w:name w:val="_level9"/>
    <w:basedOn w:val="Normal"/>
    <w:rsid w:val="00B56106"/>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rPr>
      <w:rFonts w:eastAsia="Times New Roman" w:cs="Times New Roman"/>
      <w:sz w:val="20"/>
      <w:szCs w:val="20"/>
      <w:lang w:val="en-US" w:eastAsia="en-CA"/>
    </w:rPr>
  </w:style>
  <w:style w:type="paragraph" w:customStyle="1" w:styleId="a">
    <w:name w:val="آ"/>
    <w:basedOn w:val="Normal"/>
    <w:rsid w:val="00B56106"/>
    <w:pPr>
      <w:widowControl w:val="0"/>
    </w:pPr>
    <w:rPr>
      <w:rFonts w:eastAsia="Times New Roman" w:cs="Times New Roman"/>
      <w:sz w:val="20"/>
      <w:szCs w:val="20"/>
      <w:lang w:val="en-US" w:eastAsia="en-CA"/>
    </w:rPr>
  </w:style>
  <w:style w:type="paragraph" w:customStyle="1" w:styleId="17">
    <w:name w:val="_17"/>
    <w:basedOn w:val="Normal"/>
    <w:rsid w:val="00B561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val="en-US" w:eastAsia="en-CA"/>
    </w:rPr>
  </w:style>
  <w:style w:type="paragraph" w:customStyle="1" w:styleId="16">
    <w:name w:val="_16"/>
    <w:basedOn w:val="Normal"/>
    <w:rsid w:val="00B5610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val="en-US" w:eastAsia="en-CA"/>
    </w:rPr>
  </w:style>
  <w:style w:type="paragraph" w:customStyle="1" w:styleId="15">
    <w:name w:val="_15"/>
    <w:basedOn w:val="Normal"/>
    <w:rsid w:val="00B56106"/>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val="en-US" w:eastAsia="en-CA"/>
    </w:rPr>
  </w:style>
  <w:style w:type="paragraph" w:customStyle="1" w:styleId="14">
    <w:name w:val="_14"/>
    <w:basedOn w:val="Normal"/>
    <w:rsid w:val="00B56106"/>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val="en-US" w:eastAsia="en-CA"/>
    </w:rPr>
  </w:style>
  <w:style w:type="paragraph" w:customStyle="1" w:styleId="13">
    <w:name w:val="_13"/>
    <w:basedOn w:val="Normal"/>
    <w:rsid w:val="00B56106"/>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val="en-US" w:eastAsia="en-CA"/>
    </w:rPr>
  </w:style>
  <w:style w:type="paragraph" w:customStyle="1" w:styleId="12">
    <w:name w:val="_12"/>
    <w:basedOn w:val="Normal"/>
    <w:rsid w:val="00B56106"/>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val="en-US" w:eastAsia="en-CA"/>
    </w:rPr>
  </w:style>
  <w:style w:type="paragraph" w:customStyle="1" w:styleId="11">
    <w:name w:val="_11"/>
    <w:basedOn w:val="Normal"/>
    <w:rsid w:val="00B56106"/>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val="en-US" w:eastAsia="en-CA"/>
    </w:rPr>
  </w:style>
  <w:style w:type="paragraph" w:customStyle="1" w:styleId="10">
    <w:name w:val="_10"/>
    <w:basedOn w:val="Normal"/>
    <w:rsid w:val="00B56106"/>
    <w:pPr>
      <w:widowControl w:val="0"/>
      <w:tabs>
        <w:tab w:val="left" w:pos="5760"/>
        <w:tab w:val="left" w:pos="6480"/>
        <w:tab w:val="left" w:pos="7200"/>
        <w:tab w:val="left" w:pos="7920"/>
        <w:tab w:val="left" w:pos="8640"/>
      </w:tabs>
      <w:ind w:left="5760"/>
    </w:pPr>
    <w:rPr>
      <w:rFonts w:eastAsia="Times New Roman" w:cs="Times New Roman"/>
      <w:sz w:val="20"/>
      <w:szCs w:val="20"/>
      <w:lang w:val="en-US" w:eastAsia="en-CA"/>
    </w:rPr>
  </w:style>
  <w:style w:type="paragraph" w:customStyle="1" w:styleId="36">
    <w:name w:val="_36"/>
    <w:basedOn w:val="Normal"/>
    <w:rsid w:val="00B56106"/>
    <w:pPr>
      <w:widowControl w:val="0"/>
      <w:tabs>
        <w:tab w:val="left" w:pos="6480"/>
        <w:tab w:val="left" w:pos="7200"/>
        <w:tab w:val="left" w:pos="7920"/>
        <w:tab w:val="left" w:pos="8640"/>
      </w:tabs>
      <w:ind w:left="6480"/>
    </w:pPr>
    <w:rPr>
      <w:rFonts w:eastAsia="Times New Roman" w:cs="Times New Roman"/>
      <w:sz w:val="20"/>
      <w:szCs w:val="20"/>
      <w:lang w:val="en-US" w:eastAsia="en-CA"/>
    </w:rPr>
  </w:style>
  <w:style w:type="paragraph" w:customStyle="1" w:styleId="26">
    <w:name w:val="_26"/>
    <w:basedOn w:val="Normal"/>
    <w:rsid w:val="00B56106"/>
    <w:pPr>
      <w:widowControl w:val="0"/>
    </w:pPr>
    <w:rPr>
      <w:rFonts w:eastAsia="Times New Roman" w:cs="Times New Roman"/>
      <w:sz w:val="20"/>
      <w:szCs w:val="20"/>
      <w:lang w:val="en-US" w:eastAsia="en-CA"/>
    </w:rPr>
  </w:style>
  <w:style w:type="paragraph" w:customStyle="1" w:styleId="25">
    <w:name w:val="_25"/>
    <w:basedOn w:val="Normal"/>
    <w:rsid w:val="00B5610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eastAsia="Times New Roman" w:cs="Times New Roman"/>
      <w:sz w:val="20"/>
      <w:szCs w:val="20"/>
      <w:lang w:val="en-US" w:eastAsia="en-CA"/>
    </w:rPr>
  </w:style>
  <w:style w:type="paragraph" w:customStyle="1" w:styleId="24">
    <w:name w:val="_24"/>
    <w:basedOn w:val="Normal"/>
    <w:rsid w:val="00B56106"/>
    <w:pPr>
      <w:widowControl w:val="0"/>
      <w:tabs>
        <w:tab w:val="left" w:pos="2160"/>
        <w:tab w:val="left" w:pos="2880"/>
        <w:tab w:val="left" w:pos="3600"/>
        <w:tab w:val="left" w:pos="4320"/>
        <w:tab w:val="left" w:pos="5040"/>
        <w:tab w:val="left" w:pos="5760"/>
        <w:tab w:val="left" w:pos="6480"/>
        <w:tab w:val="left" w:pos="7200"/>
        <w:tab w:val="left" w:pos="7920"/>
      </w:tabs>
      <w:ind w:left="2160"/>
    </w:pPr>
    <w:rPr>
      <w:rFonts w:eastAsia="Times New Roman" w:cs="Times New Roman"/>
      <w:sz w:val="20"/>
      <w:szCs w:val="20"/>
      <w:lang w:val="en-US" w:eastAsia="en-CA"/>
    </w:rPr>
  </w:style>
  <w:style w:type="paragraph" w:customStyle="1" w:styleId="23">
    <w:name w:val="_23"/>
    <w:basedOn w:val="Normal"/>
    <w:rsid w:val="00B56106"/>
    <w:pPr>
      <w:widowControl w:val="0"/>
      <w:tabs>
        <w:tab w:val="left" w:pos="2880"/>
        <w:tab w:val="left" w:pos="3600"/>
        <w:tab w:val="left" w:pos="4320"/>
        <w:tab w:val="left" w:pos="5040"/>
        <w:tab w:val="left" w:pos="5760"/>
        <w:tab w:val="left" w:pos="6480"/>
        <w:tab w:val="left" w:pos="7200"/>
        <w:tab w:val="left" w:pos="7920"/>
      </w:tabs>
      <w:ind w:left="2880"/>
    </w:pPr>
    <w:rPr>
      <w:rFonts w:eastAsia="Times New Roman" w:cs="Times New Roman"/>
      <w:sz w:val="20"/>
      <w:szCs w:val="20"/>
      <w:lang w:val="en-US" w:eastAsia="en-CA"/>
    </w:rPr>
  </w:style>
  <w:style w:type="paragraph" w:customStyle="1" w:styleId="22">
    <w:name w:val="_22"/>
    <w:basedOn w:val="Normal"/>
    <w:rsid w:val="00B56106"/>
    <w:pPr>
      <w:widowControl w:val="0"/>
      <w:tabs>
        <w:tab w:val="left" w:pos="3600"/>
        <w:tab w:val="left" w:pos="4320"/>
        <w:tab w:val="left" w:pos="5040"/>
        <w:tab w:val="left" w:pos="5760"/>
        <w:tab w:val="left" w:pos="6480"/>
        <w:tab w:val="left" w:pos="7200"/>
        <w:tab w:val="left" w:pos="7920"/>
      </w:tabs>
      <w:ind w:left="3600"/>
    </w:pPr>
    <w:rPr>
      <w:rFonts w:eastAsia="Times New Roman" w:cs="Times New Roman"/>
      <w:sz w:val="20"/>
      <w:szCs w:val="20"/>
      <w:lang w:val="en-US" w:eastAsia="en-CA"/>
    </w:rPr>
  </w:style>
  <w:style w:type="paragraph" w:customStyle="1" w:styleId="21">
    <w:name w:val="_21"/>
    <w:basedOn w:val="Normal"/>
    <w:rsid w:val="00B56106"/>
    <w:pPr>
      <w:widowControl w:val="0"/>
      <w:tabs>
        <w:tab w:val="left" w:pos="4320"/>
        <w:tab w:val="left" w:pos="5040"/>
        <w:tab w:val="left" w:pos="5760"/>
        <w:tab w:val="left" w:pos="6480"/>
        <w:tab w:val="left" w:pos="7200"/>
        <w:tab w:val="left" w:pos="7920"/>
      </w:tabs>
      <w:ind w:left="4320"/>
    </w:pPr>
    <w:rPr>
      <w:rFonts w:eastAsia="Times New Roman" w:cs="Times New Roman"/>
      <w:sz w:val="20"/>
      <w:szCs w:val="20"/>
      <w:lang w:val="en-US" w:eastAsia="en-CA"/>
    </w:rPr>
  </w:style>
  <w:style w:type="paragraph" w:customStyle="1" w:styleId="20">
    <w:name w:val="_20"/>
    <w:basedOn w:val="Normal"/>
    <w:rsid w:val="00B56106"/>
    <w:pPr>
      <w:widowControl w:val="0"/>
      <w:tabs>
        <w:tab w:val="left" w:pos="5040"/>
        <w:tab w:val="left" w:pos="5760"/>
        <w:tab w:val="left" w:pos="6480"/>
        <w:tab w:val="left" w:pos="7200"/>
        <w:tab w:val="left" w:pos="7920"/>
      </w:tabs>
      <w:ind w:left="5040"/>
    </w:pPr>
    <w:rPr>
      <w:rFonts w:eastAsia="Times New Roman" w:cs="Times New Roman"/>
      <w:sz w:val="20"/>
      <w:szCs w:val="20"/>
      <w:lang w:val="en-US" w:eastAsia="en-CA"/>
    </w:rPr>
  </w:style>
  <w:style w:type="paragraph" w:customStyle="1" w:styleId="19">
    <w:name w:val="_19"/>
    <w:basedOn w:val="Normal"/>
    <w:rsid w:val="00B56106"/>
    <w:pPr>
      <w:widowControl w:val="0"/>
      <w:tabs>
        <w:tab w:val="left" w:pos="5760"/>
        <w:tab w:val="left" w:pos="6480"/>
        <w:tab w:val="left" w:pos="7200"/>
        <w:tab w:val="left" w:pos="7920"/>
      </w:tabs>
      <w:ind w:left="5760"/>
    </w:pPr>
    <w:rPr>
      <w:rFonts w:eastAsia="Times New Roman" w:cs="Times New Roman"/>
      <w:sz w:val="20"/>
      <w:szCs w:val="20"/>
      <w:lang w:val="en-US" w:eastAsia="en-CA"/>
    </w:rPr>
  </w:style>
  <w:style w:type="paragraph" w:customStyle="1" w:styleId="18">
    <w:name w:val="_18"/>
    <w:basedOn w:val="Normal"/>
    <w:rsid w:val="00B56106"/>
    <w:pPr>
      <w:widowControl w:val="0"/>
      <w:tabs>
        <w:tab w:val="left" w:pos="6480"/>
        <w:tab w:val="left" w:pos="7200"/>
        <w:tab w:val="left" w:pos="7920"/>
      </w:tabs>
      <w:ind w:left="6480"/>
    </w:pPr>
    <w:rPr>
      <w:rFonts w:eastAsia="Times New Roman" w:cs="Times New Roman"/>
      <w:sz w:val="20"/>
      <w:szCs w:val="20"/>
      <w:lang w:val="en-US" w:eastAsia="en-CA"/>
    </w:rPr>
  </w:style>
  <w:style w:type="paragraph" w:customStyle="1" w:styleId="9">
    <w:name w:val="_9"/>
    <w:basedOn w:val="Normal"/>
    <w:rsid w:val="00B56106"/>
    <w:pPr>
      <w:widowControl w:val="0"/>
      <w:tabs>
        <w:tab w:val="left" w:pos="6480"/>
        <w:tab w:val="left" w:pos="7200"/>
        <w:tab w:val="left" w:pos="7920"/>
      </w:tabs>
      <w:ind w:left="6480"/>
    </w:pPr>
    <w:rPr>
      <w:rFonts w:eastAsia="Times New Roman" w:cs="Times New Roman"/>
      <w:sz w:val="20"/>
      <w:szCs w:val="20"/>
      <w:lang w:val="en-US" w:eastAsia="en-CA"/>
    </w:rPr>
  </w:style>
  <w:style w:type="paragraph" w:customStyle="1" w:styleId="8">
    <w:name w:val="_8"/>
    <w:basedOn w:val="Normal"/>
    <w:rsid w:val="00B561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cs="Times New Roman"/>
      <w:sz w:val="20"/>
      <w:szCs w:val="20"/>
      <w:lang w:val="en-US" w:eastAsia="en-CA"/>
    </w:rPr>
  </w:style>
  <w:style w:type="paragraph" w:customStyle="1" w:styleId="7">
    <w:name w:val="_7"/>
    <w:basedOn w:val="Normal"/>
    <w:rsid w:val="00B5610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eastAsia="Times New Roman" w:cs="Times New Roman"/>
      <w:sz w:val="20"/>
      <w:szCs w:val="20"/>
      <w:lang w:val="en-US" w:eastAsia="en-CA"/>
    </w:rPr>
  </w:style>
  <w:style w:type="paragraph" w:customStyle="1" w:styleId="6">
    <w:name w:val="_6"/>
    <w:basedOn w:val="Normal"/>
    <w:rsid w:val="00B56106"/>
    <w:pPr>
      <w:widowControl w:val="0"/>
      <w:tabs>
        <w:tab w:val="left" w:pos="2160"/>
        <w:tab w:val="left" w:pos="2880"/>
        <w:tab w:val="left" w:pos="3600"/>
        <w:tab w:val="left" w:pos="4320"/>
        <w:tab w:val="left" w:pos="5040"/>
        <w:tab w:val="left" w:pos="5760"/>
        <w:tab w:val="left" w:pos="6480"/>
        <w:tab w:val="left" w:pos="7200"/>
        <w:tab w:val="left" w:pos="7920"/>
      </w:tabs>
      <w:ind w:left="2160"/>
    </w:pPr>
    <w:rPr>
      <w:rFonts w:eastAsia="Times New Roman" w:cs="Times New Roman"/>
      <w:sz w:val="20"/>
      <w:szCs w:val="20"/>
      <w:lang w:val="en-US" w:eastAsia="en-CA"/>
    </w:rPr>
  </w:style>
  <w:style w:type="paragraph" w:customStyle="1" w:styleId="5">
    <w:name w:val="_5"/>
    <w:basedOn w:val="Normal"/>
    <w:rsid w:val="00B56106"/>
    <w:pPr>
      <w:widowControl w:val="0"/>
      <w:tabs>
        <w:tab w:val="left" w:pos="2880"/>
        <w:tab w:val="left" w:pos="3600"/>
        <w:tab w:val="left" w:pos="4320"/>
        <w:tab w:val="left" w:pos="5040"/>
        <w:tab w:val="left" w:pos="5760"/>
        <w:tab w:val="left" w:pos="6480"/>
        <w:tab w:val="left" w:pos="7200"/>
        <w:tab w:val="left" w:pos="7920"/>
      </w:tabs>
      <w:ind w:left="2880"/>
    </w:pPr>
    <w:rPr>
      <w:rFonts w:eastAsia="Times New Roman" w:cs="Times New Roman"/>
      <w:sz w:val="20"/>
      <w:szCs w:val="20"/>
      <w:lang w:val="en-US" w:eastAsia="en-CA"/>
    </w:rPr>
  </w:style>
  <w:style w:type="paragraph" w:customStyle="1" w:styleId="4">
    <w:name w:val="_4"/>
    <w:basedOn w:val="Normal"/>
    <w:rsid w:val="00B56106"/>
    <w:pPr>
      <w:widowControl w:val="0"/>
      <w:tabs>
        <w:tab w:val="left" w:pos="3600"/>
        <w:tab w:val="left" w:pos="4320"/>
        <w:tab w:val="left" w:pos="5040"/>
        <w:tab w:val="left" w:pos="5760"/>
        <w:tab w:val="left" w:pos="6480"/>
        <w:tab w:val="left" w:pos="7200"/>
        <w:tab w:val="left" w:pos="7920"/>
      </w:tabs>
      <w:ind w:left="3600"/>
    </w:pPr>
    <w:rPr>
      <w:rFonts w:eastAsia="Times New Roman" w:cs="Times New Roman"/>
      <w:sz w:val="20"/>
      <w:szCs w:val="20"/>
      <w:lang w:val="en-US" w:eastAsia="en-CA"/>
    </w:rPr>
  </w:style>
  <w:style w:type="paragraph" w:customStyle="1" w:styleId="3">
    <w:name w:val="_3"/>
    <w:basedOn w:val="Normal"/>
    <w:rsid w:val="00B56106"/>
    <w:pPr>
      <w:widowControl w:val="0"/>
      <w:tabs>
        <w:tab w:val="left" w:pos="4320"/>
        <w:tab w:val="left" w:pos="5040"/>
        <w:tab w:val="left" w:pos="5760"/>
        <w:tab w:val="left" w:pos="6480"/>
        <w:tab w:val="left" w:pos="7200"/>
        <w:tab w:val="left" w:pos="7920"/>
      </w:tabs>
      <w:ind w:left="4320"/>
    </w:pPr>
    <w:rPr>
      <w:rFonts w:eastAsia="Times New Roman" w:cs="Times New Roman"/>
      <w:sz w:val="20"/>
      <w:szCs w:val="20"/>
      <w:lang w:val="en-US" w:eastAsia="en-CA"/>
    </w:rPr>
  </w:style>
  <w:style w:type="paragraph" w:customStyle="1" w:styleId="2">
    <w:name w:val="_2"/>
    <w:basedOn w:val="Normal"/>
    <w:rsid w:val="00B56106"/>
    <w:pPr>
      <w:widowControl w:val="0"/>
      <w:tabs>
        <w:tab w:val="left" w:pos="5040"/>
        <w:tab w:val="left" w:pos="5760"/>
        <w:tab w:val="left" w:pos="6480"/>
        <w:tab w:val="left" w:pos="7200"/>
        <w:tab w:val="left" w:pos="7920"/>
      </w:tabs>
      <w:ind w:left="5040"/>
    </w:pPr>
    <w:rPr>
      <w:rFonts w:eastAsia="Times New Roman" w:cs="Times New Roman"/>
      <w:sz w:val="20"/>
      <w:szCs w:val="20"/>
      <w:lang w:val="en-US" w:eastAsia="en-CA"/>
    </w:rPr>
  </w:style>
  <w:style w:type="paragraph" w:customStyle="1" w:styleId="1">
    <w:name w:val="_1"/>
    <w:basedOn w:val="Normal"/>
    <w:rsid w:val="00B56106"/>
    <w:pPr>
      <w:widowControl w:val="0"/>
      <w:tabs>
        <w:tab w:val="left" w:pos="5760"/>
        <w:tab w:val="left" w:pos="6480"/>
        <w:tab w:val="left" w:pos="7200"/>
        <w:tab w:val="left" w:pos="7920"/>
      </w:tabs>
      <w:ind w:left="5760"/>
    </w:pPr>
    <w:rPr>
      <w:rFonts w:eastAsia="Times New Roman" w:cs="Times New Roman"/>
      <w:sz w:val="20"/>
      <w:szCs w:val="20"/>
      <w:lang w:val="en-US" w:eastAsia="en-CA"/>
    </w:rPr>
  </w:style>
  <w:style w:type="paragraph" w:customStyle="1" w:styleId="a0">
    <w:name w:val="_"/>
    <w:basedOn w:val="Normal"/>
    <w:rsid w:val="00B56106"/>
    <w:pPr>
      <w:widowControl w:val="0"/>
      <w:tabs>
        <w:tab w:val="left" w:pos="6480"/>
        <w:tab w:val="left" w:pos="7200"/>
        <w:tab w:val="left" w:pos="7920"/>
      </w:tabs>
      <w:ind w:left="6480"/>
    </w:pPr>
    <w:rPr>
      <w:rFonts w:eastAsia="Times New Roman" w:cs="Times New Roman"/>
      <w:sz w:val="20"/>
      <w:szCs w:val="20"/>
      <w:lang w:val="en-US" w:eastAsia="en-CA"/>
    </w:rPr>
  </w:style>
  <w:style w:type="character" w:customStyle="1" w:styleId="DefaultPara">
    <w:name w:val="Default Para"/>
    <w:basedOn w:val="DefaultParagraphFont"/>
    <w:rsid w:val="00B56106"/>
  </w:style>
  <w:style w:type="paragraph" w:customStyle="1" w:styleId="MT1">
    <w:name w:val="MT1"/>
    <w:basedOn w:val="Normal"/>
    <w:rsid w:val="00B561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720"/>
    </w:pPr>
    <w:rPr>
      <w:rFonts w:eastAsia="Times New Roman" w:cs="Times New Roman"/>
      <w:szCs w:val="20"/>
      <w:lang w:eastAsia="en-CA"/>
    </w:rPr>
  </w:style>
  <w:style w:type="paragraph" w:customStyle="1" w:styleId="MT2">
    <w:name w:val="MT2"/>
    <w:basedOn w:val="Normal"/>
    <w:rsid w:val="00B56106"/>
    <w:pPr>
      <w:tabs>
        <w:tab w:val="left" w:pos="1980"/>
        <w:tab w:val="left" w:pos="2160"/>
        <w:tab w:val="left" w:pos="2880"/>
        <w:tab w:val="left" w:pos="3600"/>
        <w:tab w:val="left" w:pos="4320"/>
        <w:tab w:val="left" w:pos="5040"/>
        <w:tab w:val="left" w:pos="5760"/>
        <w:tab w:val="left" w:pos="6480"/>
        <w:tab w:val="left" w:pos="7200"/>
        <w:tab w:val="left" w:pos="7920"/>
      </w:tabs>
      <w:ind w:left="1980" w:hanging="720"/>
    </w:pPr>
    <w:rPr>
      <w:rFonts w:eastAsia="Times New Roman" w:cs="Times New Roman"/>
      <w:szCs w:val="20"/>
      <w:lang w:eastAsia="en-CA"/>
    </w:rPr>
  </w:style>
  <w:style w:type="paragraph" w:customStyle="1" w:styleId="MT3">
    <w:name w:val="MT3"/>
    <w:basedOn w:val="Normal"/>
    <w:rsid w:val="00B56106"/>
    <w:pPr>
      <w:tabs>
        <w:tab w:val="left" w:pos="2160"/>
        <w:tab w:val="left" w:pos="2880"/>
        <w:tab w:val="left" w:pos="3600"/>
        <w:tab w:val="left" w:pos="4320"/>
        <w:tab w:val="left" w:pos="5040"/>
        <w:tab w:val="left" w:pos="5760"/>
        <w:tab w:val="left" w:pos="6480"/>
        <w:tab w:val="left" w:pos="7200"/>
        <w:tab w:val="left" w:pos="7920"/>
      </w:tabs>
      <w:ind w:left="2160" w:hanging="720"/>
    </w:pPr>
    <w:rPr>
      <w:rFonts w:eastAsia="Times New Roman" w:cs="Times New Roman"/>
      <w:szCs w:val="20"/>
      <w:lang w:eastAsia="en-CA"/>
    </w:rPr>
  </w:style>
  <w:style w:type="paragraph" w:customStyle="1" w:styleId="MT4">
    <w:name w:val="MT4"/>
    <w:basedOn w:val="Normal"/>
    <w:rsid w:val="00B56106"/>
    <w:pPr>
      <w:tabs>
        <w:tab w:val="left" w:pos="2880"/>
        <w:tab w:val="left" w:pos="3600"/>
        <w:tab w:val="left" w:pos="4320"/>
        <w:tab w:val="left" w:pos="5040"/>
        <w:tab w:val="left" w:pos="5760"/>
        <w:tab w:val="left" w:pos="6480"/>
        <w:tab w:val="left" w:pos="7200"/>
        <w:tab w:val="left" w:pos="7920"/>
      </w:tabs>
      <w:ind w:left="2880" w:hanging="720"/>
    </w:pPr>
    <w:rPr>
      <w:rFonts w:eastAsia="Times New Roman" w:cs="Times New Roman"/>
      <w:szCs w:val="20"/>
      <w:lang w:eastAsia="en-CA"/>
    </w:rPr>
  </w:style>
  <w:style w:type="paragraph" w:customStyle="1" w:styleId="MT5">
    <w:name w:val="MT5"/>
    <w:basedOn w:val="Normal"/>
    <w:rsid w:val="00B56106"/>
    <w:pPr>
      <w:tabs>
        <w:tab w:val="left" w:pos="3600"/>
        <w:tab w:val="left" w:pos="4320"/>
        <w:tab w:val="left" w:pos="5040"/>
        <w:tab w:val="left" w:pos="5760"/>
        <w:tab w:val="left" w:pos="6480"/>
        <w:tab w:val="left" w:pos="7200"/>
        <w:tab w:val="left" w:pos="7920"/>
      </w:tabs>
      <w:ind w:left="3600" w:hanging="720"/>
    </w:pPr>
    <w:rPr>
      <w:rFonts w:eastAsia="Times New Roman" w:cs="Times New Roman"/>
      <w:szCs w:val="20"/>
      <w:lang w:eastAsia="en-CA"/>
    </w:rPr>
  </w:style>
  <w:style w:type="paragraph" w:customStyle="1" w:styleId="MT6">
    <w:name w:val="MT6"/>
    <w:basedOn w:val="Normal"/>
    <w:rsid w:val="00B56106"/>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7">
    <w:name w:val="MT7"/>
    <w:basedOn w:val="Normal"/>
    <w:rsid w:val="00B56106"/>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8">
    <w:name w:val="MT8"/>
    <w:basedOn w:val="Normal"/>
    <w:rsid w:val="00B56106"/>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9">
    <w:name w:val="MT9"/>
    <w:basedOn w:val="Normal"/>
    <w:rsid w:val="00B56106"/>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Outline0011">
    <w:name w:val="Outline001_1"/>
    <w:basedOn w:val="Normal"/>
    <w:rsid w:val="00B56106"/>
    <w:pPr>
      <w:tabs>
        <w:tab w:val="left" w:pos="1436"/>
        <w:tab w:val="left" w:pos="1440"/>
        <w:tab w:val="left" w:pos="2160"/>
        <w:tab w:val="left" w:pos="2880"/>
        <w:tab w:val="left" w:pos="3600"/>
        <w:tab w:val="left" w:pos="4320"/>
        <w:tab w:val="left" w:pos="5040"/>
        <w:tab w:val="left" w:pos="5760"/>
        <w:tab w:val="left" w:pos="6480"/>
        <w:tab w:val="left" w:pos="7200"/>
        <w:tab w:val="left" w:pos="7920"/>
      </w:tabs>
      <w:ind w:left="1436" w:hanging="360"/>
    </w:pPr>
    <w:rPr>
      <w:rFonts w:eastAsia="Times New Roman" w:cs="Times New Roman"/>
      <w:sz w:val="20"/>
      <w:szCs w:val="20"/>
      <w:lang w:eastAsia="en-CA"/>
    </w:rPr>
  </w:style>
  <w:style w:type="paragraph" w:customStyle="1" w:styleId="Outline0012">
    <w:name w:val="Outline001_2"/>
    <w:basedOn w:val="Normal"/>
    <w:rsid w:val="00B56106"/>
    <w:pPr>
      <w:tabs>
        <w:tab w:val="left" w:pos="2156"/>
        <w:tab w:val="left" w:pos="2160"/>
        <w:tab w:val="left" w:pos="2880"/>
        <w:tab w:val="left" w:pos="3600"/>
        <w:tab w:val="left" w:pos="4320"/>
        <w:tab w:val="left" w:pos="5040"/>
        <w:tab w:val="left" w:pos="5760"/>
        <w:tab w:val="left" w:pos="6480"/>
        <w:tab w:val="left" w:pos="7200"/>
        <w:tab w:val="left" w:pos="7920"/>
      </w:tabs>
      <w:ind w:left="2156" w:hanging="360"/>
    </w:pPr>
    <w:rPr>
      <w:rFonts w:eastAsia="Times New Roman" w:cs="Times New Roman"/>
      <w:sz w:val="20"/>
      <w:szCs w:val="20"/>
      <w:lang w:eastAsia="en-CA"/>
    </w:rPr>
  </w:style>
  <w:style w:type="paragraph" w:customStyle="1" w:styleId="Outline0013">
    <w:name w:val="Outline001_3"/>
    <w:basedOn w:val="Normal"/>
    <w:rsid w:val="00B56106"/>
    <w:pPr>
      <w:tabs>
        <w:tab w:val="left" w:pos="2876"/>
        <w:tab w:val="left" w:pos="2880"/>
        <w:tab w:val="left" w:pos="3600"/>
        <w:tab w:val="left" w:pos="4320"/>
        <w:tab w:val="left" w:pos="5040"/>
        <w:tab w:val="left" w:pos="5760"/>
        <w:tab w:val="left" w:pos="6480"/>
        <w:tab w:val="left" w:pos="7200"/>
        <w:tab w:val="left" w:pos="7920"/>
      </w:tabs>
      <w:ind w:left="2876" w:hanging="180"/>
    </w:pPr>
    <w:rPr>
      <w:rFonts w:eastAsia="Times New Roman" w:cs="Times New Roman"/>
      <w:sz w:val="20"/>
      <w:szCs w:val="20"/>
      <w:lang w:eastAsia="en-CA"/>
    </w:rPr>
  </w:style>
  <w:style w:type="paragraph" w:customStyle="1" w:styleId="Outline0014">
    <w:name w:val="Outline001_4"/>
    <w:basedOn w:val="Normal"/>
    <w:rsid w:val="00B56106"/>
    <w:pPr>
      <w:tabs>
        <w:tab w:val="left" w:pos="3596"/>
        <w:tab w:val="left" w:pos="3600"/>
        <w:tab w:val="left" w:pos="4320"/>
        <w:tab w:val="left" w:pos="5040"/>
        <w:tab w:val="left" w:pos="5760"/>
        <w:tab w:val="left" w:pos="6480"/>
        <w:tab w:val="left" w:pos="7200"/>
        <w:tab w:val="left" w:pos="7920"/>
      </w:tabs>
      <w:ind w:left="3596" w:hanging="360"/>
    </w:pPr>
    <w:rPr>
      <w:rFonts w:eastAsia="Times New Roman" w:cs="Times New Roman"/>
      <w:sz w:val="20"/>
      <w:szCs w:val="20"/>
      <w:lang w:eastAsia="en-CA"/>
    </w:rPr>
  </w:style>
  <w:style w:type="paragraph" w:customStyle="1" w:styleId="Outline0015">
    <w:name w:val="Outline001_5"/>
    <w:basedOn w:val="Normal"/>
    <w:rsid w:val="00B56106"/>
    <w:pPr>
      <w:tabs>
        <w:tab w:val="left" w:pos="4316"/>
        <w:tab w:val="left" w:pos="4320"/>
        <w:tab w:val="left" w:pos="5040"/>
        <w:tab w:val="left" w:pos="5760"/>
        <w:tab w:val="left" w:pos="6480"/>
        <w:tab w:val="left" w:pos="7200"/>
        <w:tab w:val="left" w:pos="7920"/>
      </w:tabs>
      <w:ind w:left="4316" w:hanging="360"/>
    </w:pPr>
    <w:rPr>
      <w:rFonts w:eastAsia="Times New Roman" w:cs="Times New Roman"/>
      <w:sz w:val="20"/>
      <w:szCs w:val="20"/>
      <w:lang w:eastAsia="en-CA"/>
    </w:rPr>
  </w:style>
  <w:style w:type="paragraph" w:customStyle="1" w:styleId="Outline0016">
    <w:name w:val="Outline001_6"/>
    <w:basedOn w:val="Normal"/>
    <w:rsid w:val="00B56106"/>
    <w:pPr>
      <w:tabs>
        <w:tab w:val="left" w:pos="5036"/>
        <w:tab w:val="left" w:pos="5040"/>
        <w:tab w:val="left" w:pos="5760"/>
        <w:tab w:val="left" w:pos="6480"/>
        <w:tab w:val="left" w:pos="7200"/>
        <w:tab w:val="left" w:pos="7920"/>
      </w:tabs>
      <w:ind w:left="5036" w:hanging="180"/>
    </w:pPr>
    <w:rPr>
      <w:rFonts w:eastAsia="Times New Roman" w:cs="Times New Roman"/>
      <w:sz w:val="20"/>
      <w:szCs w:val="20"/>
      <w:lang w:eastAsia="en-CA"/>
    </w:rPr>
  </w:style>
  <w:style w:type="paragraph" w:customStyle="1" w:styleId="Outline0017">
    <w:name w:val="Outline001_7"/>
    <w:basedOn w:val="Normal"/>
    <w:rsid w:val="00B56106"/>
    <w:pPr>
      <w:tabs>
        <w:tab w:val="left" w:pos="5756"/>
        <w:tab w:val="left" w:pos="5760"/>
        <w:tab w:val="left" w:pos="6480"/>
        <w:tab w:val="left" w:pos="7200"/>
        <w:tab w:val="left" w:pos="7920"/>
      </w:tabs>
      <w:ind w:left="5756" w:hanging="360"/>
    </w:pPr>
    <w:rPr>
      <w:rFonts w:eastAsia="Times New Roman" w:cs="Times New Roman"/>
      <w:sz w:val="20"/>
      <w:szCs w:val="20"/>
      <w:lang w:eastAsia="en-CA"/>
    </w:rPr>
  </w:style>
  <w:style w:type="paragraph" w:customStyle="1" w:styleId="Outline0018">
    <w:name w:val="Outline001_8"/>
    <w:basedOn w:val="Normal"/>
    <w:rsid w:val="00B56106"/>
    <w:pPr>
      <w:tabs>
        <w:tab w:val="left" w:pos="6476"/>
        <w:tab w:val="left" w:pos="6480"/>
        <w:tab w:val="left" w:pos="7200"/>
        <w:tab w:val="left" w:pos="7920"/>
      </w:tabs>
      <w:ind w:left="6476" w:hanging="360"/>
    </w:pPr>
    <w:rPr>
      <w:rFonts w:eastAsia="Times New Roman" w:cs="Times New Roman"/>
      <w:sz w:val="20"/>
      <w:szCs w:val="20"/>
      <w:lang w:eastAsia="en-CA"/>
    </w:rPr>
  </w:style>
  <w:style w:type="paragraph" w:customStyle="1" w:styleId="Outline0021">
    <w:name w:val="Outline002_1"/>
    <w:basedOn w:val="Normal"/>
    <w:rsid w:val="00B56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cs="Times New Roman"/>
      <w:sz w:val="20"/>
      <w:szCs w:val="20"/>
      <w:lang w:eastAsia="en-CA"/>
    </w:rPr>
  </w:style>
  <w:style w:type="paragraph" w:customStyle="1" w:styleId="Outline0022">
    <w:name w:val="Outline002_2"/>
    <w:basedOn w:val="Normal"/>
    <w:rsid w:val="00B56106"/>
    <w:pPr>
      <w:tabs>
        <w:tab w:val="left" w:pos="1980"/>
        <w:tab w:val="left" w:pos="2160"/>
        <w:tab w:val="left" w:pos="2880"/>
        <w:tab w:val="left" w:pos="3600"/>
        <w:tab w:val="left" w:pos="4320"/>
        <w:tab w:val="left" w:pos="5040"/>
        <w:tab w:val="left" w:pos="5760"/>
        <w:tab w:val="left" w:pos="6480"/>
        <w:tab w:val="left" w:pos="7200"/>
        <w:tab w:val="left" w:pos="7920"/>
      </w:tabs>
      <w:ind w:left="1980" w:hanging="720"/>
    </w:pPr>
    <w:rPr>
      <w:rFonts w:eastAsia="Times New Roman" w:cs="Times New Roman"/>
      <w:sz w:val="20"/>
      <w:szCs w:val="20"/>
      <w:lang w:eastAsia="en-CA"/>
    </w:rPr>
  </w:style>
  <w:style w:type="paragraph" w:customStyle="1" w:styleId="Outline0023">
    <w:name w:val="Outline002_3"/>
    <w:basedOn w:val="Normal"/>
    <w:rsid w:val="00B56106"/>
    <w:pPr>
      <w:tabs>
        <w:tab w:val="left" w:pos="2160"/>
        <w:tab w:val="left" w:pos="2880"/>
        <w:tab w:val="left" w:pos="3600"/>
        <w:tab w:val="left" w:pos="4320"/>
        <w:tab w:val="left" w:pos="5040"/>
        <w:tab w:val="left" w:pos="5760"/>
        <w:tab w:val="left" w:pos="6480"/>
        <w:tab w:val="left" w:pos="7200"/>
        <w:tab w:val="left" w:pos="7920"/>
      </w:tabs>
      <w:ind w:left="2160" w:hanging="720"/>
    </w:pPr>
    <w:rPr>
      <w:rFonts w:eastAsia="Times New Roman" w:cs="Times New Roman"/>
      <w:sz w:val="20"/>
      <w:szCs w:val="20"/>
      <w:lang w:eastAsia="en-CA"/>
    </w:rPr>
  </w:style>
  <w:style w:type="paragraph" w:customStyle="1" w:styleId="Outline0024">
    <w:name w:val="Outline002_4"/>
    <w:basedOn w:val="Normal"/>
    <w:rsid w:val="00B56106"/>
    <w:pPr>
      <w:tabs>
        <w:tab w:val="left" w:pos="2880"/>
        <w:tab w:val="left" w:pos="3600"/>
        <w:tab w:val="left" w:pos="4320"/>
        <w:tab w:val="left" w:pos="5040"/>
        <w:tab w:val="left" w:pos="5760"/>
        <w:tab w:val="left" w:pos="6480"/>
        <w:tab w:val="left" w:pos="7200"/>
        <w:tab w:val="left" w:pos="7920"/>
      </w:tabs>
      <w:ind w:left="2880" w:hanging="720"/>
    </w:pPr>
    <w:rPr>
      <w:rFonts w:eastAsia="Times New Roman" w:cs="Times New Roman"/>
      <w:sz w:val="20"/>
      <w:szCs w:val="20"/>
      <w:lang w:eastAsia="en-CA"/>
    </w:rPr>
  </w:style>
  <w:style w:type="paragraph" w:customStyle="1" w:styleId="Outline0025">
    <w:name w:val="Outline002_5"/>
    <w:basedOn w:val="Normal"/>
    <w:rsid w:val="00B56106"/>
    <w:pPr>
      <w:tabs>
        <w:tab w:val="left" w:pos="3600"/>
        <w:tab w:val="left" w:pos="4320"/>
        <w:tab w:val="left" w:pos="5040"/>
        <w:tab w:val="left" w:pos="5760"/>
        <w:tab w:val="left" w:pos="6480"/>
        <w:tab w:val="left" w:pos="7200"/>
        <w:tab w:val="left" w:pos="7920"/>
      </w:tabs>
      <w:ind w:left="3600" w:hanging="720"/>
    </w:pPr>
    <w:rPr>
      <w:rFonts w:eastAsia="Times New Roman" w:cs="Times New Roman"/>
      <w:sz w:val="20"/>
      <w:szCs w:val="20"/>
      <w:lang w:eastAsia="en-CA"/>
    </w:rPr>
  </w:style>
  <w:style w:type="paragraph" w:customStyle="1" w:styleId="Outline0026">
    <w:name w:val="Outline002_6"/>
    <w:basedOn w:val="Normal"/>
    <w:rsid w:val="00B56106"/>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7">
    <w:name w:val="Outline002_7"/>
    <w:basedOn w:val="Normal"/>
    <w:rsid w:val="00B56106"/>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8">
    <w:name w:val="Outline002_8"/>
    <w:basedOn w:val="Normal"/>
    <w:rsid w:val="00B56106"/>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9">
    <w:name w:val="Outline002_9"/>
    <w:basedOn w:val="Normal"/>
    <w:rsid w:val="00B56106"/>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31">
    <w:name w:val="Outline003_1"/>
    <w:basedOn w:val="Normal"/>
    <w:rsid w:val="00B56106"/>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720"/>
    </w:pPr>
    <w:rPr>
      <w:rFonts w:eastAsia="Times New Roman" w:cs="Times New Roman"/>
      <w:sz w:val="20"/>
      <w:szCs w:val="20"/>
      <w:lang w:eastAsia="en-CA"/>
    </w:rPr>
  </w:style>
  <w:style w:type="paragraph" w:customStyle="1" w:styleId="Outline0032">
    <w:name w:val="Outline003_2"/>
    <w:basedOn w:val="Normal"/>
    <w:rsid w:val="00B56106"/>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eastAsia="Times New Roman" w:cs="Times New Roman"/>
      <w:sz w:val="20"/>
      <w:szCs w:val="20"/>
      <w:lang w:eastAsia="en-CA"/>
    </w:rPr>
  </w:style>
  <w:style w:type="paragraph" w:customStyle="1" w:styleId="Outline0033">
    <w:name w:val="Outline003_3"/>
    <w:basedOn w:val="Normal"/>
    <w:rsid w:val="00B56106"/>
    <w:pPr>
      <w:tabs>
        <w:tab w:val="left" w:pos="2160"/>
        <w:tab w:val="left" w:pos="2880"/>
        <w:tab w:val="left" w:pos="3600"/>
        <w:tab w:val="left" w:pos="4320"/>
        <w:tab w:val="left" w:pos="5040"/>
        <w:tab w:val="left" w:pos="5760"/>
        <w:tab w:val="left" w:pos="6480"/>
        <w:tab w:val="left" w:pos="7200"/>
        <w:tab w:val="left" w:pos="7920"/>
      </w:tabs>
      <w:ind w:left="2160" w:hanging="180"/>
    </w:pPr>
    <w:rPr>
      <w:rFonts w:eastAsia="Times New Roman" w:cs="Times New Roman"/>
      <w:sz w:val="20"/>
      <w:szCs w:val="20"/>
      <w:lang w:eastAsia="en-CA"/>
    </w:rPr>
  </w:style>
  <w:style w:type="paragraph" w:customStyle="1" w:styleId="Outline0034">
    <w:name w:val="Outline003_4"/>
    <w:basedOn w:val="Normal"/>
    <w:rsid w:val="00B56106"/>
    <w:pPr>
      <w:tabs>
        <w:tab w:val="left" w:pos="2880"/>
        <w:tab w:val="left" w:pos="3600"/>
        <w:tab w:val="left" w:pos="4320"/>
        <w:tab w:val="left" w:pos="5040"/>
        <w:tab w:val="left" w:pos="5760"/>
        <w:tab w:val="left" w:pos="6480"/>
        <w:tab w:val="left" w:pos="7200"/>
        <w:tab w:val="left" w:pos="7920"/>
      </w:tabs>
      <w:ind w:left="2880" w:hanging="360"/>
    </w:pPr>
    <w:rPr>
      <w:rFonts w:eastAsia="Times New Roman" w:cs="Times New Roman"/>
      <w:sz w:val="20"/>
      <w:szCs w:val="20"/>
      <w:lang w:eastAsia="en-CA"/>
    </w:rPr>
  </w:style>
  <w:style w:type="paragraph" w:customStyle="1" w:styleId="Outline0035">
    <w:name w:val="Outline003_5"/>
    <w:basedOn w:val="Normal"/>
    <w:rsid w:val="00B56106"/>
    <w:pPr>
      <w:tabs>
        <w:tab w:val="left" w:pos="3600"/>
        <w:tab w:val="left" w:pos="4320"/>
        <w:tab w:val="left" w:pos="5040"/>
        <w:tab w:val="left" w:pos="5760"/>
        <w:tab w:val="left" w:pos="6480"/>
        <w:tab w:val="left" w:pos="7200"/>
        <w:tab w:val="left" w:pos="7920"/>
      </w:tabs>
      <w:ind w:left="3600" w:hanging="360"/>
    </w:pPr>
    <w:rPr>
      <w:rFonts w:eastAsia="Times New Roman" w:cs="Times New Roman"/>
      <w:sz w:val="20"/>
      <w:szCs w:val="20"/>
      <w:lang w:eastAsia="en-CA"/>
    </w:rPr>
  </w:style>
  <w:style w:type="paragraph" w:customStyle="1" w:styleId="Outline0036">
    <w:name w:val="Outline003_6"/>
    <w:basedOn w:val="Normal"/>
    <w:rsid w:val="00B56106"/>
    <w:pPr>
      <w:tabs>
        <w:tab w:val="left" w:pos="4320"/>
        <w:tab w:val="left" w:pos="5040"/>
        <w:tab w:val="left" w:pos="5760"/>
        <w:tab w:val="left" w:pos="6480"/>
        <w:tab w:val="left" w:pos="7200"/>
        <w:tab w:val="left" w:pos="7920"/>
      </w:tabs>
      <w:ind w:left="4320" w:hanging="180"/>
    </w:pPr>
    <w:rPr>
      <w:rFonts w:eastAsia="Times New Roman" w:cs="Times New Roman"/>
      <w:sz w:val="20"/>
      <w:szCs w:val="20"/>
      <w:lang w:eastAsia="en-CA"/>
    </w:rPr>
  </w:style>
  <w:style w:type="paragraph" w:customStyle="1" w:styleId="Outline0037">
    <w:name w:val="Outline003_7"/>
    <w:basedOn w:val="Normal"/>
    <w:rsid w:val="00B56106"/>
    <w:pPr>
      <w:tabs>
        <w:tab w:val="left" w:pos="5040"/>
        <w:tab w:val="left" w:pos="5760"/>
        <w:tab w:val="left" w:pos="6480"/>
        <w:tab w:val="left" w:pos="7200"/>
        <w:tab w:val="left" w:pos="7920"/>
      </w:tabs>
      <w:ind w:left="5040" w:hanging="360"/>
    </w:pPr>
    <w:rPr>
      <w:rFonts w:eastAsia="Times New Roman" w:cs="Times New Roman"/>
      <w:sz w:val="20"/>
      <w:szCs w:val="20"/>
      <w:lang w:eastAsia="en-CA"/>
    </w:rPr>
  </w:style>
  <w:style w:type="paragraph" w:customStyle="1" w:styleId="Outline0038">
    <w:name w:val="Outline003_8"/>
    <w:basedOn w:val="Normal"/>
    <w:rsid w:val="00B56106"/>
    <w:pPr>
      <w:tabs>
        <w:tab w:val="left" w:pos="5760"/>
        <w:tab w:val="left" w:pos="6480"/>
        <w:tab w:val="left" w:pos="7200"/>
        <w:tab w:val="left" w:pos="7920"/>
      </w:tabs>
      <w:ind w:left="5760" w:hanging="360"/>
    </w:pPr>
    <w:rPr>
      <w:rFonts w:eastAsia="Times New Roman" w:cs="Times New Roman"/>
      <w:sz w:val="20"/>
      <w:szCs w:val="20"/>
      <w:lang w:eastAsia="en-CA"/>
    </w:rPr>
  </w:style>
  <w:style w:type="character" w:customStyle="1" w:styleId="Numrodepa">
    <w:name w:val="Numĩro de pa"/>
    <w:basedOn w:val="DefaultParagraphFont"/>
    <w:rsid w:val="00B56106"/>
    <w:rPr>
      <w:sz w:val="24"/>
    </w:rPr>
  </w:style>
  <w:style w:type="character" w:customStyle="1" w:styleId="zzmpTrailerI">
    <w:name w:val="zzmpTrailerI"/>
    <w:basedOn w:val="DefaultParagraphFont"/>
    <w:rsid w:val="00B56106"/>
    <w:rPr>
      <w:rFonts w:ascii="Arial" w:hAnsi="Arial"/>
      <w:color w:val="000000"/>
      <w:sz w:val="14"/>
    </w:rPr>
  </w:style>
  <w:style w:type="paragraph" w:customStyle="1" w:styleId="SCCdocumenL1">
    <w:name w:val="SCCdocumen_L1"/>
    <w:basedOn w:val="Normal"/>
    <w:rsid w:val="00B56106"/>
    <w:pPr>
      <w:numPr>
        <w:numId w:val="7"/>
      </w:numPr>
      <w:spacing w:after="240" w:line="360" w:lineRule="auto"/>
      <w:jc w:val="both"/>
      <w:outlineLvl w:val="0"/>
    </w:pPr>
    <w:rPr>
      <w:rFonts w:ascii="Arial" w:eastAsia="Times New Roman" w:hAnsi="Arial" w:cs="Arial"/>
      <w:szCs w:val="20"/>
    </w:rPr>
  </w:style>
  <w:style w:type="paragraph" w:customStyle="1" w:styleId="SCCdocumenL2">
    <w:name w:val="SCCdocumen_L2"/>
    <w:basedOn w:val="SCCdocumenL1"/>
    <w:rsid w:val="00B56106"/>
    <w:pPr>
      <w:numPr>
        <w:ilvl w:val="1"/>
      </w:numPr>
      <w:outlineLvl w:val="1"/>
    </w:pPr>
    <w:rPr>
      <w:lang w:val="en-US"/>
    </w:rPr>
  </w:style>
  <w:style w:type="paragraph" w:customStyle="1" w:styleId="SCCdocumenL3">
    <w:name w:val="SCCdocumen_L3"/>
    <w:basedOn w:val="SCCdocumenL2"/>
    <w:rsid w:val="00B56106"/>
    <w:pPr>
      <w:numPr>
        <w:ilvl w:val="2"/>
      </w:numPr>
      <w:outlineLvl w:val="2"/>
    </w:pPr>
  </w:style>
  <w:style w:type="paragraph" w:customStyle="1" w:styleId="SCCdocumenL4">
    <w:name w:val="SCCdocumen_L4"/>
    <w:basedOn w:val="SCCdocumenL3"/>
    <w:rsid w:val="00B56106"/>
    <w:pPr>
      <w:numPr>
        <w:ilvl w:val="3"/>
      </w:numPr>
      <w:outlineLvl w:val="3"/>
    </w:pPr>
  </w:style>
  <w:style w:type="paragraph" w:customStyle="1" w:styleId="SCCdocumenL5">
    <w:name w:val="SCCdocumen_L5"/>
    <w:basedOn w:val="SCCdocumenL4"/>
    <w:rsid w:val="00B56106"/>
    <w:pPr>
      <w:numPr>
        <w:ilvl w:val="4"/>
      </w:numPr>
      <w:spacing w:after="360" w:line="240" w:lineRule="auto"/>
      <w:outlineLvl w:val="4"/>
    </w:pPr>
  </w:style>
</w:styles>
</file>

<file path=word/webSettings.xml><?xml version="1.0" encoding="utf-8"?>
<w:webSettings xmlns:r="http://schemas.openxmlformats.org/officeDocument/2006/relationships" xmlns:w="http://schemas.openxmlformats.org/wordprocessingml/2006/main">
  <w:divs>
    <w:div w:id="150532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footer" Target="footer23.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4.xm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header" Target="header24.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37817</Words>
  <Characters>215557</Characters>
  <Application>Microsoft Office Word</Application>
  <DocSecurity>0</DocSecurity>
  <Lines>1796</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2012-08-31T17:58:00Z</dcterms:created>
  <dcterms:modified xsi:type="dcterms:W3CDTF">2012-09-17T12:56:00Z</dcterms:modified>
</cp:coreProperties>
</file>